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54610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60" w:type="dxa"/>
        <w:tblCellMar>
          <w:top w:w="0" w:type="dxa"/>
          <w:left w:w="0" w:type="dxa"/>
          <w:bottom w:w="0" w:type="dxa"/>
          <w:right w:w="0" w:type="dxa"/>
        </w:tblCellMar>
      </w:tblPr>
      <w:tr>
        <w:trPr>
          <w:trHeight w:val="221"/>
        </w:trPr>
        <w:tc>
          <w:tcPr>
            <w:tcW w:w="4840" w:type="dxa"/>
            <w:vAlign w:val="bottom"/>
          </w:tcPr>
          <w:p>
            <w:pPr>
              <w:jc w:val="center"/>
              <w:ind w:right="1043"/>
              <w:spacing w:after="0"/>
              <w:rPr>
                <w:sz w:val="20"/>
                <w:szCs w:val="20"/>
                <w:color w:val="auto"/>
              </w:rPr>
            </w:pPr>
            <w:r>
              <w:rPr>
                <w:rFonts w:ascii="Arial" w:cs="Arial" w:eastAsia="Arial" w:hAnsi="Arial"/>
                <w:sz w:val="16"/>
                <w:szCs w:val="16"/>
                <w:b w:val="1"/>
                <w:bCs w:val="1"/>
                <w:color w:val="auto"/>
              </w:rPr>
              <w:t>Delaware</w:t>
            </w:r>
          </w:p>
        </w:tc>
        <w:tc>
          <w:tcPr>
            <w:tcW w:w="2420" w:type="dxa"/>
            <w:vAlign w:val="bottom"/>
          </w:tcPr>
          <w:p>
            <w:pPr>
              <w:jc w:val="right"/>
              <w:ind w:right="60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840" w:type="dxa"/>
            <w:vAlign w:val="bottom"/>
          </w:tcPr>
          <w:p>
            <w:pPr>
              <w:jc w:val="center"/>
              <w:ind w:right="1043"/>
              <w:spacing w:after="0"/>
              <w:rPr>
                <w:sz w:val="20"/>
                <w:szCs w:val="20"/>
                <w:color w:val="auto"/>
              </w:rPr>
            </w:pPr>
            <w:r>
              <w:rPr>
                <w:rFonts w:ascii="Arial" w:cs="Arial" w:eastAsia="Arial" w:hAnsi="Arial"/>
                <w:sz w:val="14"/>
                <w:szCs w:val="14"/>
                <w:color w:val="auto"/>
              </w:rPr>
              <w:t>(State or other jurisdiction of incorporation or organization)</w:t>
            </w:r>
          </w:p>
        </w:tc>
        <w:tc>
          <w:tcPr>
            <w:tcW w:w="2420" w:type="dxa"/>
            <w:vAlign w:val="bottom"/>
          </w:tcPr>
          <w:p>
            <w:pPr>
              <w:jc w:val="center"/>
              <w:ind w:left="12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840" w:type="dxa"/>
            <w:vAlign w:val="bottom"/>
          </w:tcPr>
          <w:p>
            <w:pPr>
              <w:jc w:val="right"/>
              <w:ind w:right="1503"/>
              <w:spacing w:after="0"/>
              <w:rPr>
                <w:sz w:val="20"/>
                <w:szCs w:val="20"/>
                <w:color w:val="auto"/>
              </w:rPr>
            </w:pPr>
            <w:r>
              <w:rPr>
                <w:rFonts w:ascii="Arial" w:cs="Arial" w:eastAsia="Arial" w:hAnsi="Arial"/>
                <w:sz w:val="16"/>
                <w:szCs w:val="16"/>
                <w:b w:val="1"/>
                <w:bCs w:val="1"/>
                <w:color w:val="auto"/>
              </w:rPr>
              <w:t>1 Skyview Drive, Fort Worth,  Texas</w:t>
            </w:r>
          </w:p>
        </w:tc>
        <w:tc>
          <w:tcPr>
            <w:tcW w:w="242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840" w:type="dxa"/>
            <w:vAlign w:val="bottom"/>
          </w:tcPr>
          <w:p>
            <w:pPr>
              <w:jc w:val="center"/>
              <w:ind w:right="1063"/>
              <w:spacing w:after="0"/>
              <w:rPr>
                <w:sz w:val="20"/>
                <w:szCs w:val="20"/>
                <w:color w:val="auto"/>
              </w:rPr>
            </w:pPr>
            <w:r>
              <w:rPr>
                <w:rFonts w:ascii="Arial" w:cs="Arial" w:eastAsia="Arial" w:hAnsi="Arial"/>
                <w:sz w:val="14"/>
                <w:szCs w:val="14"/>
                <w:color w:val="auto"/>
              </w:rPr>
              <w:t>(Address of principal executive offices)</w:t>
            </w:r>
          </w:p>
        </w:tc>
        <w:tc>
          <w:tcPr>
            <w:tcW w:w="2420" w:type="dxa"/>
            <w:vAlign w:val="bottom"/>
          </w:tcPr>
          <w:p>
            <w:pPr>
              <w:jc w:val="center"/>
              <w:ind w:left="144"/>
              <w:spacing w:after="0"/>
              <w:rPr>
                <w:sz w:val="20"/>
                <w:szCs w:val="20"/>
                <w:color w:val="auto"/>
              </w:rPr>
            </w:pPr>
            <w:r>
              <w:rPr>
                <w:rFonts w:ascii="Arial" w:cs="Arial" w:eastAsia="Arial" w:hAnsi="Arial"/>
                <w:sz w:val="14"/>
                <w:szCs w:val="14"/>
                <w:color w:val="auto"/>
              </w:rPr>
              <w:t>(Zip Code)</w:t>
            </w:r>
          </w:p>
        </w:tc>
      </w:tr>
      <w:tr>
        <w:trPr>
          <w:trHeight w:val="352"/>
        </w:trPr>
        <w:tc>
          <w:tcPr>
            <w:tcW w:w="4840" w:type="dxa"/>
            <w:vAlign w:val="bottom"/>
          </w:tcPr>
          <w:p>
            <w:pPr>
              <w:jc w:val="right"/>
              <w:ind w:right="123"/>
              <w:spacing w:after="0"/>
              <w:rPr>
                <w:sz w:val="20"/>
                <w:szCs w:val="20"/>
                <w:color w:val="auto"/>
              </w:rPr>
            </w:pPr>
            <w:r>
              <w:rPr>
                <w:rFonts w:ascii="Arial" w:cs="Arial" w:eastAsia="Arial" w:hAnsi="Arial"/>
                <w:sz w:val="16"/>
                <w:szCs w:val="16"/>
                <w:b w:val="1"/>
                <w:bCs w:val="1"/>
                <w:color w:val="auto"/>
              </w:rPr>
              <w:t>(682) 278-9000</w:t>
            </w:r>
          </w:p>
        </w:tc>
        <w:tc>
          <w:tcPr>
            <w:tcW w:w="24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00" w:type="dxa"/>
        <w:tblCellMar>
          <w:top w:w="0" w:type="dxa"/>
          <w:left w:w="0" w:type="dxa"/>
          <w:bottom w:w="0" w:type="dxa"/>
          <w:right w:w="0" w:type="dxa"/>
        </w:tblCellMar>
      </w:tblPr>
      <w:tr>
        <w:trPr>
          <w:trHeight w:val="221"/>
        </w:trPr>
        <w:tc>
          <w:tcPr>
            <w:tcW w:w="4460" w:type="dxa"/>
            <w:vAlign w:val="bottom"/>
          </w:tcPr>
          <w:p>
            <w:pPr>
              <w:jc w:val="center"/>
              <w:ind w:right="664"/>
              <w:spacing w:after="0"/>
              <w:rPr>
                <w:sz w:val="20"/>
                <w:szCs w:val="20"/>
                <w:color w:val="auto"/>
              </w:rPr>
            </w:pPr>
            <w:r>
              <w:rPr>
                <w:rFonts w:ascii="Arial" w:cs="Arial" w:eastAsia="Arial" w:hAnsi="Arial"/>
                <w:sz w:val="16"/>
                <w:szCs w:val="16"/>
                <w:b w:val="1"/>
                <w:bCs w:val="1"/>
                <w:color w:val="auto"/>
              </w:rPr>
              <w:t>Delaware</w:t>
            </w:r>
          </w:p>
        </w:tc>
        <w:tc>
          <w:tcPr>
            <w:tcW w:w="2960" w:type="dxa"/>
            <w:vAlign w:val="bottom"/>
          </w:tcPr>
          <w:p>
            <w:pPr>
              <w:jc w:val="right"/>
              <w:ind w:right="604"/>
              <w:spacing w:after="0"/>
              <w:rPr>
                <w:sz w:val="20"/>
                <w:szCs w:val="20"/>
                <w:color w:val="auto"/>
              </w:rPr>
            </w:pPr>
            <w:r>
              <w:rPr>
                <w:rFonts w:ascii="Arial" w:cs="Arial" w:eastAsia="Arial" w:hAnsi="Arial"/>
                <w:sz w:val="16"/>
                <w:szCs w:val="16"/>
                <w:b w:val="1"/>
                <w:bCs w:val="1"/>
                <w:color w:val="auto"/>
              </w:rPr>
              <w:t>13-1502798</w:t>
            </w:r>
          </w:p>
        </w:tc>
      </w:tr>
      <w:tr>
        <w:trPr>
          <w:trHeight w:val="190"/>
        </w:trPr>
        <w:tc>
          <w:tcPr>
            <w:tcW w:w="4460" w:type="dxa"/>
            <w:vAlign w:val="bottom"/>
          </w:tcPr>
          <w:p>
            <w:pPr>
              <w:jc w:val="center"/>
              <w:ind w:right="664"/>
              <w:spacing w:after="0"/>
              <w:rPr>
                <w:sz w:val="20"/>
                <w:szCs w:val="20"/>
                <w:color w:val="auto"/>
              </w:rPr>
            </w:pPr>
            <w:r>
              <w:rPr>
                <w:rFonts w:ascii="Arial" w:cs="Arial" w:eastAsia="Arial" w:hAnsi="Arial"/>
                <w:sz w:val="14"/>
                <w:szCs w:val="14"/>
                <w:color w:val="auto"/>
              </w:rPr>
              <w:t>(State or other jurisdiction of incorporation or organization)</w:t>
            </w:r>
          </w:p>
        </w:tc>
        <w:tc>
          <w:tcPr>
            <w:tcW w:w="2960" w:type="dxa"/>
            <w:vAlign w:val="bottom"/>
          </w:tcPr>
          <w:p>
            <w:pPr>
              <w:jc w:val="center"/>
              <w:ind w:left="66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460" w:type="dxa"/>
            <w:vAlign w:val="bottom"/>
          </w:tcPr>
          <w:p>
            <w:pPr>
              <w:ind w:left="620"/>
              <w:spacing w:after="0"/>
              <w:rPr>
                <w:sz w:val="20"/>
                <w:szCs w:val="20"/>
                <w:color w:val="auto"/>
              </w:rPr>
            </w:pPr>
            <w:r>
              <w:rPr>
                <w:rFonts w:ascii="Arial" w:cs="Arial" w:eastAsia="Arial" w:hAnsi="Arial"/>
                <w:sz w:val="16"/>
                <w:szCs w:val="16"/>
                <w:b w:val="1"/>
                <w:bCs w:val="1"/>
                <w:color w:val="auto"/>
              </w:rPr>
              <w:t>1 Skyview Drive, Fort Worth,  Texas</w:t>
            </w:r>
          </w:p>
        </w:tc>
        <w:tc>
          <w:tcPr>
            <w:tcW w:w="296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460" w:type="dxa"/>
            <w:vAlign w:val="bottom"/>
          </w:tcPr>
          <w:p>
            <w:pPr>
              <w:jc w:val="center"/>
              <w:ind w:right="684"/>
              <w:spacing w:after="0"/>
              <w:rPr>
                <w:sz w:val="20"/>
                <w:szCs w:val="20"/>
                <w:color w:val="auto"/>
              </w:rPr>
            </w:pPr>
            <w:r>
              <w:rPr>
                <w:rFonts w:ascii="Arial" w:cs="Arial" w:eastAsia="Arial" w:hAnsi="Arial"/>
                <w:sz w:val="14"/>
                <w:szCs w:val="14"/>
                <w:color w:val="auto"/>
              </w:rPr>
              <w:t>(Address of principal executive offices)</w:t>
            </w:r>
          </w:p>
        </w:tc>
        <w:tc>
          <w:tcPr>
            <w:tcW w:w="2960" w:type="dxa"/>
            <w:vAlign w:val="bottom"/>
          </w:tcPr>
          <w:p>
            <w:pPr>
              <w:jc w:val="center"/>
              <w:ind w:left="684"/>
              <w:spacing w:after="0"/>
              <w:rPr>
                <w:sz w:val="20"/>
                <w:szCs w:val="20"/>
                <w:color w:val="auto"/>
              </w:rPr>
            </w:pPr>
            <w:r>
              <w:rPr>
                <w:rFonts w:ascii="Arial" w:cs="Arial" w:eastAsia="Arial" w:hAnsi="Arial"/>
                <w:sz w:val="14"/>
                <w:szCs w:val="14"/>
                <w:color w:val="auto"/>
              </w:rPr>
              <w:t>(Zip Code)</w:t>
            </w:r>
          </w:p>
        </w:tc>
      </w:tr>
    </w:tbl>
    <w:p>
      <w:pPr>
        <w:spacing w:after="0" w:line="12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(682) 278-9000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466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9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99"/>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97"/>
              </w:rPr>
              <w:t>AAL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3"/>
        </w:trPr>
        <w:tc>
          <w:tcPr>
            <w:tcW w:w="4660" w:type="dxa"/>
            <w:vAlign w:val="bottom"/>
            <w:gridSpan w:val="3"/>
            <w:vMerge w:val="restart"/>
          </w:tcPr>
          <w:p>
            <w:pPr>
              <w:jc w:val="center"/>
              <w:ind w:right="800"/>
              <w:spacing w:after="0"/>
              <w:rPr>
                <w:sz w:val="20"/>
                <w:szCs w:val="20"/>
                <w:color w:val="auto"/>
              </w:rPr>
            </w:pPr>
            <w:r>
              <w:rPr>
                <w:rFonts w:ascii="Arial" w:cs="Arial" w:eastAsia="Arial" w:hAnsi="Arial"/>
                <w:sz w:val="16"/>
                <w:szCs w:val="16"/>
                <w:b w:val="1"/>
                <w:bCs w:val="1"/>
                <w:color w:val="auto"/>
              </w:rPr>
              <w:t>Preferred Stock Purchase Rights</w:t>
            </w:r>
          </w:p>
        </w:tc>
        <w:tc>
          <w:tcPr>
            <w:tcW w:w="2980" w:type="dxa"/>
            <w:vAlign w:val="bottom"/>
            <w:gridSpan w:val="2"/>
            <w:vMerge w:val="restart"/>
          </w:tcPr>
          <w:p>
            <w:pPr>
              <w:jc w:val="center"/>
              <w:ind w:right="780"/>
              <w:spacing w:after="0"/>
              <w:rPr>
                <w:sz w:val="20"/>
                <w:szCs w:val="20"/>
                <w:color w:val="auto"/>
              </w:rPr>
            </w:pPr>
            <w:r>
              <w:rPr>
                <w:rFonts w:ascii="Arial" w:cs="Arial" w:eastAsia="Arial" w:hAnsi="Arial"/>
                <w:sz w:val="16"/>
                <w:szCs w:val="16"/>
                <w:color w:val="auto"/>
                <w:w w:val="99"/>
              </w:rPr>
              <w:t>—</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90"/>
        </w:trPr>
        <w:tc>
          <w:tcPr>
            <w:tcW w:w="4660" w:type="dxa"/>
            <w:vAlign w:val="bottom"/>
            <w:gridSpan w:val="3"/>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56"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63" w:lineRule="exact"/>
        <w:rPr>
          <w:sz w:val="24"/>
          <w:szCs w:val="24"/>
          <w:color w:val="auto"/>
        </w:rPr>
      </w:pPr>
    </w:p>
    <w:p>
      <w:pPr>
        <w:jc w:val="both"/>
        <w:ind w:firstLine="162"/>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49"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7" w:right="339" w:bottom="0" w:gutter="0" w:footer="0" w:header="0"/>
        </w:sectPr>
      </w:pPr>
    </w:p>
    <w:p>
      <w:pPr>
        <w:spacing w:after="0" w:line="174"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62" w:lineRule="exact"/>
        <w:tabs>
          <w:tab w:leader="none" w:pos="260" w:val="left"/>
          <w:tab w:leader="none" w:pos="18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62" w:lineRule="exact"/>
        <w:tabs>
          <w:tab w:leader="none" w:pos="260" w:val="left"/>
          <w:tab w:leader="none" w:pos="17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20" w:space="320"/>
            <w:col w:w="3020" w:space="280"/>
            <w:col w:w="6000"/>
          </w:cols>
          <w:pgMar w:left="320" w:top="1097" w:right="339" w:bottom="0" w:gutter="0" w:footer="0" w:header="0"/>
          <w:type w:val="continuous"/>
        </w:sectPr>
      </w:pPr>
    </w:p>
    <w:p>
      <w:pPr>
        <w:spacing w:after="0" w:line="258" w:lineRule="exact"/>
        <w:rPr>
          <w:sz w:val="24"/>
          <w:szCs w:val="24"/>
          <w:color w:val="auto"/>
        </w:rPr>
      </w:pPr>
    </w:p>
    <w:p>
      <w:pPr>
        <w:ind w:right="20" w:firstLine="162"/>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100"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1097" w:right="339" w:bottom="0" w:gutter="0" w:footer="0" w:header="0"/>
          <w:type w:val="continuous"/>
        </w:sectPr>
      </w:pPr>
    </w:p>
    <w:bookmarkStart w:id="1" w:name="page2"/>
    <w:bookmarkEnd w:id="1"/>
    <w:p>
      <w:pPr>
        <w:ind w:left="1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00"/>
          </w:cols>
          <w:pgMar w:left="340" w:top="125" w:right="3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211" w:lineRule="exact"/>
        <w:rPr>
          <w:sz w:val="20"/>
          <w:szCs w:val="20"/>
          <w:color w:val="auto"/>
        </w:rPr>
      </w:pPr>
    </w:p>
    <w:p>
      <w:pPr>
        <w:sectPr>
          <w:pgSz w:w="11900" w:h="16838" w:orient="portrait"/>
          <w:cols w:equalWidth="0" w:num="5">
            <w:col w:w="8580" w:space="720"/>
            <w:col w:w="140" w:space="440"/>
            <w:col w:w="260" w:space="200"/>
            <w:col w:w="160" w:space="500"/>
            <w:col w:w="200"/>
          </w:cols>
          <w:pgMar w:left="340" w:top="125" w:right="359" w:bottom="1440" w:gutter="0" w:footer="0" w:header="0"/>
          <w:type w:val="continuous"/>
        </w:sectPr>
      </w:pP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April 17, 2026, there were 661,385,137 shares of American Airlines Group Inc. common stock outstanding.</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April 17, 2026,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200660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March 31, 2026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0"/>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6300" w:type="dxa"/>
            <w:vAlign w:val="bottom"/>
            <w:gridSpan w:val="13"/>
          </w:tcPr>
          <w:p>
            <w:pPr>
              <w:spacing w:after="0" w:line="195"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48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6"/>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1540" w:type="dxa"/>
            <w:vAlign w:val="bottom"/>
            <w:gridSpan w:val="5"/>
          </w:tcPr>
          <w:p>
            <w:pPr>
              <w:spacing w:after="0"/>
              <w:rPr>
                <w:sz w:val="18"/>
                <w:szCs w:val="18"/>
                <w:color w:val="auto"/>
              </w:rPr>
            </w:pPr>
          </w:p>
        </w:tc>
        <w:tc>
          <w:tcPr>
            <w:tcW w:w="4120" w:type="dxa"/>
            <w:vAlign w:val="bottom"/>
            <w:gridSpan w:val="4"/>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2"/>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5"/>
          </w:tcPr>
          <w:p>
            <w:pPr>
              <w:spacing w:after="0"/>
              <w:rPr>
                <w:sz w:val="18"/>
                <w:szCs w:val="18"/>
                <w:color w:val="auto"/>
              </w:rPr>
            </w:pP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tcBorders>
              <w:left w:val="single" w:sz="8" w:color="0000FF"/>
            </w:tcBorders>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1540" w:type="dxa"/>
            <w:vAlign w:val="bottom"/>
            <w:gridSpan w:val="5"/>
          </w:tcPr>
          <w:p>
            <w:pPr>
              <w:spacing w:after="0"/>
              <w:rPr>
                <w:sz w:val="18"/>
                <w:szCs w:val="18"/>
                <w:color w:val="auto"/>
              </w:rPr>
            </w:pPr>
          </w:p>
        </w:tc>
        <w:tc>
          <w:tcPr>
            <w:tcW w:w="41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1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60" w:type="dxa"/>
            <w:vAlign w:val="bottom"/>
            <w:gridSpan w:val="2"/>
          </w:tcPr>
          <w:p>
            <w:pPr>
              <w:spacing w:after="0"/>
              <w:rPr>
                <w:sz w:val="18"/>
                <w:szCs w:val="18"/>
                <w:color w:val="auto"/>
              </w:rPr>
            </w:pPr>
          </w:p>
        </w:tc>
        <w:tc>
          <w:tcPr>
            <w:tcW w:w="41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9"/>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52</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4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1"/>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79"/>
              </w:rPr>
              <w:t>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1"/>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760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55</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 Capitalized terms used but not defined herein shall have the meanings given to them in our Annual Report on Form 10-K for the year ended December 31, 2025 (2025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w:t>
      </w:r>
    </w:p>
    <w:p>
      <w:pPr>
        <w:spacing w:after="0" w:line="15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79" w:lineRule="exact"/>
        <w:rPr>
          <w:rFonts w:ascii="Times New Roman" w:cs="Times New Roman" w:eastAsia="Times New Roman" w:hAnsi="Times New Roman"/>
          <w:sz w:val="22"/>
          <w:szCs w:val="22"/>
          <w:color w:val="auto"/>
        </w:rPr>
      </w:pPr>
    </w:p>
    <w:p>
      <w:pPr>
        <w:jc w:val="both"/>
        <w:ind w:left="660" w:hanging="328"/>
        <w:spacing w:after="0" w:line="249"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72"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loss of key personnel whom we depend on to operate our business, or the inability to attract, develop and retain additional qualified personnel could adversely affect our business;</w:t>
      </w:r>
    </w:p>
    <w:p>
      <w:pPr>
        <w:spacing w:after="0" w:line="18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business has been and will continue to be materially affected by many changing economic, geopolitical, commercial, regulatory and other conditions beyond our control, including global events that affect travel behavior;</w:t>
      </w:r>
    </w:p>
    <w:p>
      <w:pPr>
        <w:spacing w:after="0" w:line="16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airline industry is intensely competitive and dynamic;</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union disputes, employee strikes and other labor-related disruptions may adversely affect our operations and financial performance;</w:t>
      </w:r>
    </w:p>
    <w:p>
      <w:pPr>
        <w:spacing w:after="0" w:line="193"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risks of losses and adverse publicity from any public incidents involving our company, people or brand;</w:t>
      </w:r>
    </w:p>
    <w:p>
      <w:pPr>
        <w:spacing w:after="0" w:line="179"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changes to our business model that are designed to increase revenues and reduce costs may not be successful and may cause operational difficulties or decreased demand;</w:t>
      </w:r>
    </w:p>
    <w:p>
      <w:pPr>
        <w:spacing w:after="0" w:line="18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spacing w:after="0" w:line="4" w:lineRule="exact"/>
        <w:rPr>
          <w:sz w:val="20"/>
          <w:szCs w:val="20"/>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79"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rely heavily on technology and automated systems, including artificial intelligence, to operate our business, and any failures could harm our business, results of operations and financial condition;</w:t>
      </w:r>
    </w:p>
    <w:p>
      <w:pPr>
        <w:spacing w:after="0" w:line="180" w:lineRule="exact"/>
        <w:rPr>
          <w:rFonts w:ascii="Times New Roman" w:cs="Times New Roman" w:eastAsia="Times New Roman" w:hAnsi="Times New Roman"/>
          <w:sz w:val="22"/>
          <w:szCs w:val="22"/>
          <w:color w:val="auto"/>
        </w:rPr>
      </w:pPr>
    </w:p>
    <w:p>
      <w:pPr>
        <w:jc w:val="both"/>
        <w:ind w:left="328" w:hanging="328"/>
        <w:spacing w:after="0" w:line="249"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evolving data privacy requirements could increase our costs, and any significant cybersecurity incident could disrupt our operations, harm our reputation, expose us to legal risks and otherwise materially adversely affect our business, results of operations and financial condition;</w:t>
      </w:r>
    </w:p>
    <w:p>
      <w:pPr>
        <w:spacing w:after="0" w:line="172"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are exposed to risks from cyberattacks, and any cybersecurity incidents involving us, our third-party service providers, or one of our AAdvantage partners or other business partners;</w:t>
      </w:r>
    </w:p>
    <w:p>
      <w:pPr>
        <w:spacing w:after="0" w:line="180"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have a significant amount of goodwill, which is assessed for impairment at least annually. We may never realize the full value of our intangible or long-lived assets, causing us to record material impairment charges;</w:t>
      </w:r>
    </w:p>
    <w:p>
      <w:pPr>
        <w:spacing w:after="0" w:line="180" w:lineRule="exact"/>
        <w:rPr>
          <w:rFonts w:ascii="Times New Roman" w:cs="Times New Roman" w:eastAsia="Times New Roman" w:hAnsi="Times New Roman"/>
          <w:sz w:val="22"/>
          <w:szCs w:val="22"/>
          <w:color w:val="auto"/>
        </w:rPr>
      </w:pPr>
    </w:p>
    <w:p>
      <w:pPr>
        <w:ind w:left="328" w:right="20"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80" w:lineRule="exact"/>
        <w:rPr>
          <w:rFonts w:ascii="Times New Roman" w:cs="Times New Roman" w:eastAsia="Times New Roman" w:hAnsi="Times New Roman"/>
          <w:sz w:val="22"/>
          <w:szCs w:val="22"/>
          <w:color w:val="auto"/>
        </w:rPr>
      </w:pPr>
    </w:p>
    <w:p>
      <w:pPr>
        <w:jc w:val="both"/>
        <w:ind w:left="328" w:hanging="328"/>
        <w:spacing w:after="0" w:line="242"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6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business is subject to extensive government regulation;</w:t>
      </w:r>
    </w:p>
    <w:p>
      <w:pPr>
        <w:spacing w:after="0" w:line="179"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can be adversely affected by any prolonged partial or full U.S. Government shutdown;</w:t>
      </w:r>
    </w:p>
    <w:p>
      <w:pPr>
        <w:spacing w:after="0" w:line="179"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80"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may be adversely affected by conflicts overseas, terrorist attacks or other acts of violence, domestically or abroad; the travel industry continues to face ongoing security concerns;</w:t>
      </w:r>
    </w:p>
    <w:p>
      <w:pPr>
        <w:spacing w:after="0" w:line="180"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are subject to risks associated with climate change, including increased regulation of our greenhouse gas emissions, changing consumer preferences and the potential for increased impacts of severe weather events on our operations and infrastructure;</w:t>
      </w:r>
    </w:p>
    <w:p>
      <w:pPr>
        <w:spacing w:after="0" w:line="180"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are subject to various risks associated with environmental and social matters, and many forms of environmental and noise regulation;</w:t>
      </w:r>
    </w:p>
    <w:p>
      <w:pPr>
        <w:spacing w:after="0" w:line="16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a shortage of pilots or other personnel could materially adversely affect our business;</w:t>
      </w:r>
    </w:p>
    <w:p>
      <w:pPr>
        <w:spacing w:after="0" w:line="193" w:lineRule="exact"/>
        <w:rPr>
          <w:rFonts w:ascii="Times New Roman" w:cs="Times New Roman" w:eastAsia="Times New Roman" w:hAnsi="Times New Roman"/>
          <w:sz w:val="22"/>
          <w:szCs w:val="22"/>
          <w:color w:val="auto"/>
        </w:rPr>
      </w:pPr>
    </w:p>
    <w:p>
      <w:pPr>
        <w:jc w:val="both"/>
        <w:ind w:left="328" w:hanging="328"/>
        <w:spacing w:after="0" w:line="244"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spacing w:after="0" w:line="16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we rely on third-party distribution channels and must effectively manage the costs, rights and functionality of these channels;</w:t>
      </w:r>
    </w:p>
    <w:p>
      <w:pPr>
        <w:spacing w:after="0" w:line="179" w:lineRule="exact"/>
        <w:rPr>
          <w:rFonts w:ascii="Times New Roman" w:cs="Times New Roman" w:eastAsia="Times New Roman" w:hAnsi="Times New Roman"/>
          <w:sz w:val="22"/>
          <w:szCs w:val="22"/>
          <w:color w:val="auto"/>
        </w:rPr>
      </w:pPr>
    </w:p>
    <w:p>
      <w:pPr>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w:t>
      </w: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 w:name="page6"/>
    <w:bookmarkEnd w:id="5"/>
    <w:p>
      <w:pPr>
        <w:spacing w:after="0" w:line="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interruptions or disruptions in service at one of our key facilities;</w:t>
      </w:r>
    </w:p>
    <w:p>
      <w:pPr>
        <w:spacing w:after="0" w:line="13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insurance costs or reductions in insurance coverage, and heavy taxation of the airline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ownership of AAG common stock; and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risks as described in Part I, Item 1A. Risk Factors in our 2025 Form 10-K, Part I, Item 2. Management’s Discussion and Analysis of Financial Condition and Results of Operations and Part II, Item 1A. Risk Factors of this report and other risks and uncertainties listed from time to time in our filings with the Securities and Exchange Commission (the SEC).</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19"/>
                <w:szCs w:val="19"/>
                <w:color w:val="auto"/>
              </w:rPr>
            </w:pP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11,391</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661,181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658,880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-4611370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Investments</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0"/>
        </w:trPr>
        <w:tc>
          <w:tcPr>
            <w:tcW w:w="7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6,391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4,882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2,008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2,075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2,792</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13,984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12,205</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47,303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46,597</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10,605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10,479</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58,500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57,732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(25,675)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(25,192)</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32,825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32,540</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7,091</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$850 and $848, respectively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2,064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2,066</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2,368</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1,413</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9,986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9,938</w:t>
            </w:r>
          </w:p>
        </w:tc>
      </w:tr>
      <w:tr>
        <w:trPr>
          <w:trHeight w:val="196"/>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63,738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61,774</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0"/>
        </w:trPr>
        <w:tc>
          <w:tcPr>
            <w:tcW w:w="7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 (DEFICIT)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3,610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2,840</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2,128</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10,031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7,158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3,725</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1,053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1,058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Fuel financing</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2,916</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24,492</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23,522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25,254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1,568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6,839</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5,762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5,905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1,530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39,409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41,009</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49"/>
        </w:trPr>
        <w:tc>
          <w:tcPr>
            <w:tcW w:w="7580" w:type="dxa"/>
            <w:vAlign w:val="bottom"/>
            <w:shd w:val="clear" w:color="auto" w:fill="CCEEFF"/>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661,385,137 shares issued and</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outstanding at March 31, 2026; 660,301,080 shares issued and outstanding at December 31, 2025</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7,402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7,387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(4,389)</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(6,732)</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stockholders’ deficit</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(3,727)</w:t>
            </w:r>
          </w:p>
        </w:tc>
      </w:tr>
      <w:tr>
        <w:trPr>
          <w:trHeight w:val="196"/>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63,738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61,774</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(1,806)</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7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Net payments on fuel financing</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 and other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400" w:type="dxa"/>
            <w:vAlign w:val="bottom"/>
          </w:tcPr>
          <w:p>
            <w:pPr>
              <w:ind w:left="20"/>
              <w:spacing w:after="0" w:line="176" w:lineRule="exact"/>
              <w:rPr>
                <w:sz w:val="20"/>
                <w:szCs w:val="20"/>
                <w:color w:val="auto"/>
              </w:rPr>
            </w:pPr>
            <w:r>
              <w:rPr>
                <w:rFonts w:ascii="Arial" w:cs="Arial" w:eastAsia="Arial" w:hAnsi="Arial"/>
                <w:sz w:val="18"/>
                <w:szCs w:val="18"/>
                <w:color w:val="auto"/>
              </w:rPr>
              <w:t>Issuance of 1,084,057 shares of AAG common stock pursuant to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Settlement of warrants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5"/>
        </w:trPr>
        <w:tc>
          <w:tcPr>
            <w:tcW w:w="5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1,914,837 shares of AAG common stock pursuant to</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stock plans net of shares withheld for cash taxes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2025.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240" w:type="dxa"/>
            <w:vAlign w:val="bottom"/>
            <w:shd w:val="clear" w:color="auto" w:fill="CCEEFF"/>
          </w:tcPr>
          <w:p>
            <w:pPr>
              <w:jc w:val="right"/>
              <w:ind w:right="10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5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75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30"/>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and extinguishment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special items, net</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right="20" w:hanging="332"/>
        <w:spacing w:after="0" w:line="237" w:lineRule="auto"/>
        <w:tabs>
          <w:tab w:leader="none" w:pos="33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Common Share</w:t>
      </w:r>
    </w:p>
    <w:p>
      <w:pPr>
        <w:spacing w:after="0" w:line="90"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following table provides the computation of basic and diluted loss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7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3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658,880</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Basic and diluted EPS</w:t>
            </w:r>
          </w:p>
        </w:tc>
        <w:tc>
          <w:tcPr>
            <w:tcW w:w="23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300" w:type="dxa"/>
            <w:vAlign w:val="bottom"/>
            <w:vMerge w:val="restart"/>
          </w:tcPr>
          <w:p>
            <w:pPr>
              <w:jc w:val="right"/>
              <w:ind w:right="175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3"/>
        </w:trPr>
        <w:tc>
          <w:tcPr>
            <w:tcW w:w="52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221"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2025</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311"/>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 xml:space="preserve">6.50% convertible senior notes </w:t>
            </w:r>
            <w:r>
              <w:rPr>
                <w:rFonts w:ascii="Arial" w:cs="Arial" w:eastAsia="Arial" w:hAnsi="Arial"/>
                <w:sz w:val="23"/>
                <w:szCs w:val="23"/>
                <w:color w:val="auto"/>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61,728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11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0" w:lineRule="exact"/>
        <w:rPr>
          <w:sz w:val="20"/>
          <w:szCs w:val="20"/>
          <w:color w:val="auto"/>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On March 27, 2025, we provided notice to the holders of our 6.50% convertible senior notes due 2025 (Convertible Notes) that we would settle our Convertible Notes at their maturity in cash on July 1, 2025. As a result, we have excluded the Convertible Notes from the calculation of diluted EPS for the quarterly periods ended after March 31, 2025.</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for the three months ended March 31, 2026, excluded from the calculation of diluted EPS because inclusion of such shares would be antidilutive, are certain shares underlying the warrants issued pursuant to the payroll support program established under the Subtitle A of Title IV of Division N of the Consolidated Appropriations Act, 2021 (PSP2 Warrants) and the payroll support program established under the American Rescue Plan Act of 2021 (PSP3 Warrants).</w:t>
      </w:r>
    </w:p>
    <w:p>
      <w:pPr>
        <w:spacing w:after="0" w:line="122"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During the first three months of 2026, 2.8 million shares of PSP2 Warrants were exercised at an exercise price of $15.66 per share and net settled in cash for a nominal amount, reflected within other financing activities in the condensed consolidated statement of cash flows. Additionally, 2.9 million shares of PSP2 Warrants expired during the first quarter of 2026.</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provides a summary of the warrants outstanding as of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2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Warrants Issued (shares, in</w:t>
            </w:r>
          </w:p>
        </w:tc>
        <w:tc>
          <w:tcPr>
            <w:tcW w:w="21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Exercise Price ($)</w:t>
            </w:r>
          </w:p>
        </w:tc>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3280" w:type="dxa"/>
            <w:vAlign w:val="bottom"/>
            <w:gridSpan w:val="2"/>
            <w:vMerge w:val="continue"/>
          </w:tcPr>
          <w:p>
            <w:pPr>
              <w:spacing w:after="0"/>
              <w:rPr>
                <w:sz w:val="17"/>
                <w:szCs w:val="17"/>
                <w:color w:val="auto"/>
              </w:rPr>
            </w:pPr>
          </w:p>
        </w:tc>
        <w:tc>
          <w:tcPr>
            <w:tcW w:w="2160" w:type="dxa"/>
            <w:vAlign w:val="bottom"/>
            <w:gridSpan w:val="2"/>
          </w:tcPr>
          <w:p>
            <w:pPr>
              <w:jc w:val="center"/>
              <w:ind w:right="60"/>
              <w:spacing w:after="0" w:line="201" w:lineRule="exact"/>
              <w:rPr>
                <w:sz w:val="20"/>
                <w:szCs w:val="20"/>
                <w:color w:val="auto"/>
              </w:rPr>
            </w:pPr>
            <w:r>
              <w:rPr>
                <w:rFonts w:ascii="Arial" w:cs="Arial" w:eastAsia="Arial" w:hAnsi="Arial"/>
                <w:sz w:val="14"/>
                <w:szCs w:val="14"/>
                <w:b w:val="1"/>
                <w:bCs w:val="1"/>
                <w:color w:val="auto"/>
                <w:w w:val="99"/>
              </w:rPr>
              <w:t xml:space="preserve">thousands) </w:t>
            </w:r>
            <w:r>
              <w:rPr>
                <w:rFonts w:ascii="Arial" w:cs="Arial" w:eastAsia="Arial" w:hAnsi="Arial"/>
                <w:sz w:val="18"/>
                <w:szCs w:val="18"/>
                <w:b w:val="1"/>
                <w:bCs w:val="1"/>
                <w:color w:val="auto"/>
                <w:w w:val="99"/>
                <w:vertAlign w:val="superscript"/>
              </w:rPr>
              <w:t>(1)</w:t>
            </w:r>
          </w:p>
        </w:tc>
        <w:tc>
          <w:tcPr>
            <w:tcW w:w="2160" w:type="dxa"/>
            <w:vAlign w:val="bottom"/>
            <w:gridSpan w:val="2"/>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PSP2 Warrants</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April 2026</w:t>
            </w:r>
          </w:p>
        </w:tc>
        <w:tc>
          <w:tcPr>
            <w:tcW w:w="0" w:type="dxa"/>
            <w:vAlign w:val="bottom"/>
          </w:tcPr>
          <w:p>
            <w:pPr>
              <w:spacing w:after="0"/>
              <w:rPr>
                <w:sz w:val="1"/>
                <w:szCs w:val="1"/>
                <w:color w:val="auto"/>
              </w:rPr>
            </w:pPr>
          </w:p>
        </w:tc>
      </w:tr>
      <w:tr>
        <w:trPr>
          <w:trHeight w:val="23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PSP3 Warrants</w:t>
            </w:r>
          </w:p>
        </w:tc>
        <w:tc>
          <w:tcPr>
            <w:tcW w:w="2080" w:type="dxa"/>
            <w:vAlign w:val="bottom"/>
          </w:tcPr>
          <w:p>
            <w:pPr>
              <w:jc w:val="right"/>
              <w:spacing w:after="0"/>
              <w:rPr>
                <w:sz w:val="20"/>
                <w:szCs w:val="20"/>
                <w:color w:val="auto"/>
              </w:rPr>
            </w:pPr>
            <w:r>
              <w:rPr>
                <w:rFonts w:ascii="Arial" w:cs="Arial" w:eastAsia="Arial" w:hAnsi="Arial"/>
                <w:sz w:val="18"/>
                <w:szCs w:val="18"/>
                <w:color w:val="auto"/>
              </w:rPr>
              <w:t>4,407</w:t>
            </w:r>
          </w:p>
        </w:tc>
        <w:tc>
          <w:tcPr>
            <w:tcW w:w="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April 2026 to June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5" w:lineRule="exact"/>
        <w:rPr>
          <w:sz w:val="20"/>
          <w:szCs w:val="20"/>
          <w:color w:val="auto"/>
        </w:rPr>
      </w:pPr>
    </w:p>
    <w:p>
      <w:pPr>
        <w:jc w:val="both"/>
        <w:ind w:left="340" w:hanging="332"/>
        <w:spacing w:after="0" w:line="242"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PSP2 Warrants and PSP3 Warrants are subject to certain anti-dilution provisions, do not have any voting rights and are freely transferable, with registration rights. Each warrant is exercisable either through net share settlement or cash, at our option. The warrants were issued solely as compensation to the U.S. Government related to entry into the payroll support program agreements. No separate proceeds (apart from the financial assistance previously received in 2021) were received upon issuance of the warrants or will be received upon exercise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ind w:left="260" w:right="9200" w:hanging="252"/>
        <w:spacing w:after="0" w:line="364" w:lineRule="auto"/>
        <w:tabs>
          <w:tab w:leader="none" w:pos="21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11"/>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75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11,515</w:t>
            </w:r>
          </w:p>
        </w:tc>
        <w:tc>
          <w:tcPr>
            <w:tcW w:w="12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10,475</w:t>
            </w:r>
          </w:p>
        </w:tc>
      </w:tr>
      <w:tr>
        <w:trPr>
          <w:trHeight w:val="229"/>
        </w:trPr>
        <w:tc>
          <w:tcPr>
            <w:tcW w:w="7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23"/>
        </w:trPr>
        <w:tc>
          <w:tcPr>
            <w:tcW w:w="75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11,391</w:t>
            </w: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9"/>
        </w:trPr>
        <w:tc>
          <w:tcPr>
            <w:tcW w:w="7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3"/>
        </w:trPr>
        <w:tc>
          <w:tcPr>
            <w:tcW w:w="75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-1174115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r>
      <w:tr>
        <w:trPr>
          <w:trHeight w:val="230"/>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March 31, 2026 </w:t>
            </w:r>
            <w:r>
              <w:rPr>
                <w:rFonts w:ascii="Arial" w:cs="Arial" w:eastAsia="Arial" w:hAnsi="Arial"/>
                <w:sz w:val="23"/>
                <w:szCs w:val="23"/>
                <w:color w:val="auto"/>
                <w:vertAlign w:val="superscript"/>
              </w:rPr>
              <w:t>(2)</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homogeneous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the AAdvantage member has any type of qualifying activity at least every 24 months or if the AAdvantage member is the primary holder of a co-branded credit card. As of March 31, 2026, our current loyalty program liability was $4.2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Additionally, as of March 31, 2026, our loyalty program liability includes a one-time cash payment associated with the extension of a partner agreement announced in 2025.</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air traffic liability principally represents tickets sold for future travel on American, American Eagle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2026, $4.2 billion of revenue was recognized in passenger revenue that was included in our air traffic liability at December 31, 2025.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2013 Term Loan Facility, variable interest rate of 6.00%, installments until due in February</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2028</w:t>
            </w:r>
          </w:p>
        </w:tc>
        <w:tc>
          <w:tcPr>
            <w:tcW w:w="54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2014 Term Loan Facility, variable interest rate of 5.52%, installments until due in January</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2027</w:t>
            </w:r>
          </w:p>
        </w:tc>
        <w:tc>
          <w:tcPr>
            <w:tcW w:w="5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2023 Term Loan Facility, variable interest rate of 5.91%, installments until due in June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8.50% senior secured notes</w:t>
            </w:r>
          </w:p>
        </w:tc>
        <w:tc>
          <w:tcPr>
            <w:tcW w:w="2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2021 AAdvantage Term Loan Facility, variable interest rate of 5.92%, installments until due in</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April 2028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2025 AAdvantage Term Loan Facility, variable interest rate of 6.42%, installments until due in</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May 2032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7.15%, averaging 4.15%, maturing from 2026 to 2038</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2.55% to 6.29%, averaging 5.45%, maturing from 2027 to 2037</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PSP1 Promissory Note, variable interest rate of 5.57%, interest only payments until due in</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April 2030</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PSP2 Promissory Note, variable interest rate of 5.57%, interest only payments until due in</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January 2031</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PSP3 Promissory Note, interest only payments until due in April 2031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Senior short-term term loan facility</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The PSP3 Promissory Note bears interest at a fixed interest rate of 1.00% until the second quarter of 2026. Thereafter, the note bears interest at 2.00% plus an interest rate based on the Secured Overnight Financing Rate (SOFR).</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2026, the maximum availability under our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4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Revolving Facility</w:t>
            </w:r>
          </w:p>
        </w:tc>
        <w:tc>
          <w:tcPr>
            <w:tcW w:w="5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facilities </w:t>
            </w:r>
            <w:r>
              <w:rPr>
                <w:rFonts w:ascii="Arial" w:cs="Arial" w:eastAsia="Arial" w:hAnsi="Arial"/>
                <w:sz w:val="23"/>
                <w:szCs w:val="23"/>
                <w:color w:val="auto"/>
                <w:vertAlign w:val="superscript"/>
              </w:rPr>
              <w:t>(1)</w:t>
            </w:r>
          </w:p>
        </w:tc>
        <w:tc>
          <w:tcPr>
            <w:tcW w:w="57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15</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0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00" w:type="dxa"/>
            <w:vAlign w:val="bottom"/>
            <w:tcBorders>
              <w:bottom w:val="single" w:sz="8" w:color="9A9A9A"/>
            </w:tcBorders>
          </w:tcPr>
          <w:p>
            <w:pPr>
              <w:spacing w:after="0"/>
              <w:rPr>
                <w:sz w:val="9"/>
                <w:szCs w:val="9"/>
                <w:color w:val="auto"/>
              </w:rPr>
            </w:pPr>
          </w:p>
        </w:tc>
        <w:tc>
          <w:tcPr>
            <w:tcW w:w="57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1311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40" w:hanging="332"/>
        <w:spacing w:after="0"/>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a revolving credit facility that provides for borrowing capacity of up to $350 million. In March 2026, American elected to exercise its option to extend the maturity date of the revolving credit facility by an additional year to March 2028. Additionally, American currently has $50 million of available borrowing capacity under a cargo receivables facility that is scheduled to expire in December 2026. There are no amounts drawn under these facilities.</w:t>
      </w:r>
    </w:p>
    <w:p>
      <w:pPr>
        <w:spacing w:after="0" w:line="14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2026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 – 2013 Revolving Facility</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March 2026, American and AAG entered into the Eleventh Amendment to the Amended and Restated Credit and Guaranty Agreement, amending the Amended and Restated Credit and Guaranty Agreement, dated as of May 21, 2015 (as amended, the 2013 Credit Agreement), pursuant to which American terminated all then-existing revolving commitments and letter of credit commitments available under the 2013 Credit Agreement and established new revolving commitments in an aggregate amount of $363 million and new letter of credit commitments (which are part of, and not in addition to, the revolving credit commitments) in an aggregate amount of $155 million (the newly established revolving commitments, the 2013 Revolving Facility), which have a maturity date of March 5, 2031. All other terms of the 2013 Revolving Facility are substantially similar to the prior revolving commitments.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 – 2014 Revolving Facility</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March 2026, American and AAG entered into the Eleventh Amendment to the Amended and Restated Credit and Guaranty Agreement, amending the Amended and Restated Credit and Guaranty Agreement, dated as of April 20, 2015 (as amended, the 2014 Credit Agreement), pursuant to which American terminated all then-existing revolving commitments and letter of credit commitments available under the 2014 Credit Agreement and established new revolving commitments in an aggregate amount of approximately $1.3 billion and new letter of credit commitments (which are part of, and not in addition to, the revolving credit commitments) in an aggregate amount of $195 million (the newly established revolving commitments, the 2014 Revolving Facility), which have a maturity date of March 5, 2031. All other terms of the 2014 Revolving Facility are substantially similar to the prior revolving commitments.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Credit Facilities – 2023 Revolving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2026, American and AAG entered into the Fourth Amendment to the Credit and Guaranty Agreement, amending the Credit and Guaranty Agreement, dated as of December 4, 2023 (as amended, the 2023 Credit Agreement), pursuant to which American terminated all then-existing revolving commitments available under the 2023 Credit Agreement and established new revolving commitments in an aggregate amount of approximately $1.5 billion (the newly established revolving commitments, the 2023 Revolving Facility), which have a maturity date of March 5, 2031. All other terms of the 2023 Revolving Facility are substantially similar to the prior revolving commitments.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2025 AAdvantage Term Loan Facility</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February 2026, American and AAdvantage Loyalty IP Ltd., a Cayman Islands exempted company incorporated with limited liability and an indirect wholly-owned subsidiary of American (together with American, the AAdvantage Issuers) entered into a fourth amendment to the term loan credit and guaranty agreement dated March 24, 2021 (the Fourth Amendment). As a result of the Fourth Amendment, the term loans outstanding under the 2025 AAdvantage Term Loan Facility were replaced with new term loans in the same principal amount. Pursuant to the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2026-1 Class (B)R Aircraft EETCs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March 2026, American entered into agreements under which it borrowed $870 million in connection with the financing of certain aircraft that had been previously delivered. Debt incurred under these agreements is junior to existing equipment notes secured by such previously delivered aircraft, matures in 2028 through 2029 and bears interest at a fixed rate of 5.61%.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2025-1 Aircraft EETCs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November 2025, American created two pass-through trusts which issued approximately $1.1 billion aggregate face amount of Series 2025-1 Class A and Class B EETCs (the 2025-1 Aircraft EETCs) in connection with the financing of 25 aircraft delivered to American from October 2025 through March 2026 (the 2025-1 Aircraft). In 2025, $978 million of the proceeds were used to purchase equipment notes issued by American in connection with the financing of 21 of the 2025-1 Aircraft. In March 2026, approximately $127 million of proceeds were used to purchase equipment notes issued by American in connection with the financing of the four remaining 2025-1 Aircraft. As of March 31, 2026, there are no remaining proceeds held in escrow, and all proceeds have been used to purchase equipment notes issued by American. Interest and principal payments on equipment notes issued in connection with the 2025-1 Aircraft EETCs are payable semi-annually in May and November each year, with interest payments scheduled to begin in May 2026 and principal payments scheduled to begin in November 2026.</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2025-1 Aircraft EETC equipment notes, as of March 31, 2026, is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2025-1 Aircraft EETCs</w:t>
            </w:r>
          </w:p>
        </w:tc>
      </w:tr>
      <w:tr>
        <w:trPr>
          <w:trHeight w:val="196"/>
        </w:trPr>
        <w:tc>
          <w:tcPr>
            <w:tcW w:w="7620" w:type="dxa"/>
            <w:vAlign w:val="bottom"/>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24"/>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$884 million</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Fixed interest rate per annum</w:t>
            </w:r>
          </w:p>
        </w:tc>
        <w:tc>
          <w:tcPr>
            <w:tcW w:w="1760" w:type="dxa"/>
            <w:vAlign w:val="bottom"/>
          </w:tcPr>
          <w:p>
            <w:pPr>
              <w:jc w:val="center"/>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5.65%</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2038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November 2034</w:t>
            </w:r>
          </w:p>
        </w:tc>
      </w:tr>
    </w:tbl>
    <w:p>
      <w:pPr>
        <w:spacing w:after="0" w:line="3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2026, American paid in full the $629 million of the outstanding principal amount of the senior short-term term loan facility due January 2026. Additionally, American prepaid in full the $1.0 billion of the outstanding principal amount of the 8.50%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2025, we had approximately $11.9 billion of gross federal net operating losses (NOLs) and $6.0 billion of other carryforwards available to reduce future federal taxable income, of which $1.6 billion will expire beginning in 2033 if unused and $ 16.3 billion can be carried forward indefinitely. We also had approximately $5.0 billion of NOL carryforwards to reduce future state taxable income at December 31, 2025, which will expire in taxable years 2025 through 2045 if unused.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have used the discrete method to calculate income taxes for the three months ended March 31, 2026. At this time, we believe that the use of the discrete method is more appropriate than the estimated annual effective tax rate method due to the fact that small changes in projected full year income could cause material fluctuations in our annual effective tax rate applied during each quarter.</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three months ended March 31, 2026, we recorded an income tax benefit of $94 million, which was substantially non-cash due to the utilization of the NOLs described above. Substantially all of our loss before income taxes is attributable to the United States.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three months ended March 31, 2026.</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Fair Value Measurements as of March 31, 2026</w:t>
            </w:r>
          </w:p>
        </w:tc>
        <w:tc>
          <w:tcPr>
            <w:tcW w:w="96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overhaul and maintenance base at Tulsa International Airport. Restricted short-term investments principally mature in one year or less.</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 in China Southern Airlines Company Limited (China Southern Airlines). See Note 8 for further information on our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2026</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48"/>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8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5"/>
        </w:trPr>
        <w:tc>
          <w:tcPr>
            <w:tcW w:w="4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48"/>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8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40" w:type="dxa"/>
            <w:vAlign w:val="bottom"/>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20"/>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18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condensed consolidated balance sheets. Our share of equity method investees’ financial results and changes in fair value are recorded in nonoperating other expense, net on the condensed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56"/>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Equity Method</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2000" w:type="dxa"/>
            <w:vAlign w:val="bottom"/>
            <w:gridSpan w:val="2"/>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Holdings Limited, which is accounted for under the equity method.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expense, net in the condensed consolidated statements of operations.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first three months of 2026, we made required contributions of $236 million and supplemental contributions of $50 million to our defined benefit pension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pacing w:after="0" w:line="209" w:lineRule="exact"/>
        <w:rPr>
          <w:sz w:val="20"/>
          <w:szCs w:val="20"/>
          <w:color w:val="auto"/>
        </w:rPr>
      </w:pPr>
    </w:p>
    <w:p>
      <w:pPr>
        <w:jc w:val="center"/>
        <w:ind w:left="1280"/>
        <w:spacing w:after="0"/>
        <w:rPr>
          <w:sz w:val="20"/>
          <w:szCs w:val="20"/>
          <w:color w:val="auto"/>
        </w:rPr>
      </w:pPr>
      <w:r>
        <w:rPr>
          <w:rFonts w:ascii="Arial" w:cs="Arial" w:eastAsia="Arial" w:hAnsi="Arial"/>
          <w:sz w:val="14"/>
          <w:szCs w:val="14"/>
          <w:b w:val="1"/>
          <w:bCs w:val="1"/>
          <w:color w:val="auto"/>
        </w:rPr>
        <w:t>Pension, Retiree</w:t>
      </w:r>
    </w:p>
    <w:p>
      <w:pPr>
        <w:jc w:val="center"/>
        <w:ind w:left="1280"/>
        <w:spacing w:after="0" w:line="221" w:lineRule="auto"/>
        <w:rPr>
          <w:sz w:val="20"/>
          <w:szCs w:val="20"/>
          <w:color w:val="auto"/>
        </w:rPr>
      </w:pPr>
      <w:r>
        <w:rPr>
          <w:rFonts w:ascii="Arial" w:cs="Arial" w:eastAsia="Arial" w:hAnsi="Arial"/>
          <w:sz w:val="14"/>
          <w:szCs w:val="14"/>
          <w:b w:val="1"/>
          <w:bCs w:val="1"/>
          <w:color w:val="auto"/>
        </w:rPr>
        <w:t>Medical and Other</w:t>
      </w: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Postretirement</w:t>
            </w:r>
          </w:p>
        </w:tc>
        <w:tc>
          <w:tcPr>
            <w:tcW w:w="1420" w:type="dxa"/>
            <w:vAlign w:val="bottom"/>
            <w:gridSpan w:val="3"/>
          </w:tcPr>
          <w:p>
            <w:pPr>
              <w:ind w:left="120"/>
              <w:spacing w:after="0" w:line="144" w:lineRule="exact"/>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12"/>
                <w:szCs w:val="12"/>
                <w:color w:val="auto"/>
              </w:rPr>
            </w:pPr>
          </w:p>
        </w:tc>
        <w:tc>
          <w:tcPr>
            <w:tcW w:w="1240" w:type="dxa"/>
            <w:vAlign w:val="bottom"/>
            <w:gridSpan w:val="2"/>
          </w:tcPr>
          <w:p>
            <w:pPr>
              <w:ind w:left="80"/>
              <w:spacing w:after="0" w:line="144" w:lineRule="exact"/>
              <w:rPr>
                <w:sz w:val="20"/>
                <w:szCs w:val="20"/>
                <w:color w:val="auto"/>
              </w:rPr>
            </w:pPr>
            <w:r>
              <w:rPr>
                <w:rFonts w:ascii="Arial" w:cs="Arial" w:eastAsia="Arial" w:hAnsi="Arial"/>
                <w:sz w:val="14"/>
                <w:szCs w:val="14"/>
                <w:b w:val="1"/>
                <w:bCs w:val="1"/>
                <w:color w:val="auto"/>
              </w:rPr>
              <w:t>Income Tax</w:t>
            </w:r>
          </w:p>
        </w:tc>
        <w:tc>
          <w:tcPr>
            <w:tcW w:w="300" w:type="dxa"/>
            <w:vAlign w:val="bottom"/>
          </w:tcPr>
          <w:p>
            <w:pPr>
              <w:spacing w:after="0"/>
              <w:rPr>
                <w:sz w:val="12"/>
                <w:szCs w:val="12"/>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on Investments</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1311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left="340" w:hanging="332"/>
        <w:spacing w:after="0" w:line="237"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 Amounts reclassified from AOCI are recognized within the income tax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Amounts reclassified from AOCI</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 condensed</w:t>
            </w:r>
          </w:p>
        </w:tc>
      </w:tr>
      <w:tr>
        <w:trPr>
          <w:trHeight w:val="198"/>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1140" w:type="dxa"/>
            <w:vAlign w:val="bottom"/>
          </w:tcPr>
          <w:p>
            <w:pPr>
              <w:jc w:val="right"/>
              <w:ind w:right="101"/>
              <w:spacing w:after="0"/>
              <w:rPr>
                <w:sz w:val="20"/>
                <w:szCs w:val="20"/>
                <w:color w:val="auto"/>
              </w:rPr>
            </w:pPr>
            <w:r>
              <w:rPr>
                <w:rFonts w:ascii="Arial" w:cs="Arial" w:eastAsia="Arial" w:hAnsi="Arial"/>
                <w:sz w:val="14"/>
                <w:szCs w:val="14"/>
                <w:b w:val="1"/>
                <w:bCs w:val="1"/>
                <w:color w:val="auto"/>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 operations</w:t>
            </w:r>
          </w:p>
        </w:tc>
      </w:tr>
      <w:tr>
        <w:trPr>
          <w:trHeight w:val="169"/>
        </w:trPr>
        <w:tc>
          <w:tcPr>
            <w:tcW w:w="4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Amortization of pension, retiree medical and other</w:t>
            </w: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auto"/>
            </w:tcBorders>
            <w:shd w:val="clear" w:color="auto" w:fill="CCEEFF"/>
          </w:tcPr>
          <w:p>
            <w:pPr>
              <w:spacing w:after="0"/>
              <w:rPr>
                <w:sz w:val="14"/>
                <w:szCs w:val="14"/>
                <w:color w:val="auto"/>
              </w:rPr>
            </w:pPr>
          </w:p>
        </w:tc>
      </w:tr>
      <w:tr>
        <w:trPr>
          <w:trHeight w:val="243"/>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229"/>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140" w:type="dxa"/>
            <w:vAlign w:val="bottom"/>
          </w:tcPr>
          <w:p>
            <w:pPr>
              <w:jc w:val="right"/>
              <w:ind w:right="94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2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14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1"/>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principally in the form of capacity purchase agreements. Expenses, excluding fuel expense,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for the three months ended March 31, 2026 and 2025 include $91 million and $79 million of depreciation and amortization, respectively, and each include $2 million of aircraft rent.</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months ended March 31, 2026 and 2025, we recognized $177 million and $168 million, respectively, of expense under our capacity purchase agreement with Republic Airways Inc. (Republic). We hold a 20.8% equity interest in Republic Airways Holdings Inc., the parent company of Republic.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(NEA). </w:t>
      </w:r>
      <w:r>
        <w:rPr>
          <w:rFonts w:ascii="Arial" w:cs="Arial" w:eastAsia="Arial" w:hAnsi="Arial"/>
          <w:sz w:val="18"/>
          <w:szCs w:val="18"/>
          <w:color w:val="auto"/>
        </w:rPr>
        <w:t>On December 5, 2022 and December 7, 2022, two private party</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We believe these lawsuits are without merit and are defending against them vigorously.</w:t>
      </w:r>
    </w:p>
    <w:p>
      <w:pPr>
        <w:spacing w:after="0" w:line="1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American Eagle Flight 5342 Accident Litigation. </w:t>
      </w:r>
      <w:r>
        <w:rPr>
          <w:rFonts w:ascii="Arial" w:cs="Arial" w:eastAsia="Arial" w:hAnsi="Arial"/>
          <w:sz w:val="18"/>
          <w:szCs w:val="18"/>
          <w:color w:val="auto"/>
        </w:rPr>
        <w:t>On January 29, 2025, American Eagle flight 5342 was involved in a fatal accident in</w:t>
      </w:r>
      <w:r>
        <w:rPr>
          <w:rFonts w:ascii="Arial" w:cs="Arial" w:eastAsia="Arial" w:hAnsi="Arial"/>
          <w:sz w:val="18"/>
          <w:szCs w:val="18"/>
          <w:i w:val="1"/>
          <w:iCs w:val="1"/>
          <w:color w:val="auto"/>
        </w:rPr>
        <w:t xml:space="preserve"> </w:t>
      </w:r>
      <w:r>
        <w:rPr>
          <w:rFonts w:ascii="Arial" w:cs="Arial" w:eastAsia="Arial" w:hAnsi="Arial"/>
          <w:sz w:val="18"/>
          <w:szCs w:val="18"/>
          <w:color w:val="auto"/>
        </w:rPr>
        <w:t>Washington, D.C. The Bombardier CRJ700 aircraft operated by PSA Airlines, Inc. (PSA) was en route to Washington, D.C. from Wichita, Kansas when it was involved in a midair collision near Ronald Reagan Washington National Airport. Beginning on September 24, 2025, multiple wrongful death and survival actions have been filed in the U.S. District Court for the District of Columbia related to the accident. We expect additional actions will continue to be filed. All cases have been assigned to the same judge and are subject to streamlined pleading and discovery procedures. The court required plaintiffs to file a single consolidated Master Complaint (MC), with later joining plaintiffs to file short form complaints adopting the MC and adding any plaintiff-specific information. The MC alleges that the U.S. Government, American and PSA negligently caused or contributed to the accident. Defendants’ respective deadlines to respond to the MC were in December 2025. The U.S. Government filed an answer to the MC admitting liability only as to claims that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helicopter pilots were negligent in failing to see and avoid Flight 5342. American and PSA filed motions to dismiss asserting federal preemption and related failure to state a claim grounds. The airlines’ motions to dismiss were denied without prejudice on February 27, 2026. Plaintiffs filed an amended complaint on March 27, 2026. Discovery is ongoing pursuant to an expedited 18-month discovery and pre-trial calendar, which sets the trial date for April 12, 2027. We believe these lawsuits are without merit as to both American and PSA and are defending against them vigorously.</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11,391</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12,549</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Investments</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7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6,388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4,880</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 and short-term investments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735</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2,041</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Receivables from related parties, net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9,896</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Aircraft fuel, spare parts and supplies, net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2,923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2,596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645</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23,670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21,729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Flight equipment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46,920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46,226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Ground property and equipment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9,954</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Equipment purchase deposits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656</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at cost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56,836</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(24,621)</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net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32,215</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6,893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7,038</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Intangibles, net of accumulated amortization of $850 and $848, respectively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2,066</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Deferred tax asset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1,891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1,832</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1,276</w:t>
            </w:r>
          </w:p>
        </w:tc>
        <w:tc>
          <w:tcPr>
            <w:tcW w:w="0" w:type="dxa"/>
            <w:vAlign w:val="bottom"/>
          </w:tcPr>
          <w:p>
            <w:pPr>
              <w:spacing w:after="0"/>
              <w:rPr>
                <w:sz w:val="1"/>
                <w:szCs w:val="1"/>
                <w:color w:val="auto"/>
              </w:rPr>
            </w:pPr>
          </w:p>
        </w:tc>
      </w:tr>
      <w:tr>
        <w:trPr>
          <w:trHeight w:val="195"/>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Total other assets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9,265</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72,311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70,247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Current maturities of long-term debt and finance leases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4,189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3,750</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2,717</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Accrued salaries and wages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1,781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1,957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Air traffic liability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7,158</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4,210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3,725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1,048</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Fuel financing</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914</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accrued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2,768</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27,947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24,037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Long-term debt and finance leases, net of current maturities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19,765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21,509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Pension and postretirement benefits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1,566</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7,376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6,839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5,860</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1,408</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noncurrent liabilities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37,182</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2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17,468</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(4,490)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(4,507)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Retained deficit</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(3,933)</w:t>
            </w:r>
          </w:p>
        </w:tc>
        <w:tc>
          <w:tcPr>
            <w:tcW w:w="0" w:type="dxa"/>
            <w:vAlign w:val="bottom"/>
          </w:tcPr>
          <w:p>
            <w:pPr>
              <w:spacing w:after="0"/>
              <w:rPr>
                <w:sz w:val="1"/>
                <w:szCs w:val="1"/>
                <w:color w:val="auto"/>
              </w:rPr>
            </w:pPr>
          </w:p>
        </w:tc>
      </w:tr>
      <w:tr>
        <w:trPr>
          <w:trHeight w:val="195"/>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8,793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9,028</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72,311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70,247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Net payments on fuel financing</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 and other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2025. American is the principal wholly-owned subsidiary of American Airlines Group Inc. (AAG). All significant intercompany transactions have been eliminated.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240" w:type="dxa"/>
            <w:vAlign w:val="bottom"/>
            <w:shd w:val="clear" w:color="auto" w:fill="CCEEFF"/>
          </w:tcPr>
          <w:p>
            <w:pPr>
              <w:jc w:val="right"/>
              <w:ind w:right="10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5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75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and extinguishment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special items, net</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right="20" w:hanging="332"/>
        <w:spacing w:after="0" w:line="237"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9200" w:hanging="252"/>
        <w:spacing w:after="0" w:line="364" w:lineRule="auto"/>
        <w:tabs>
          <w:tab w:leader="none" w:pos="217"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11"/>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5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11,515</w:t>
            </w:r>
          </w:p>
        </w:tc>
        <w:tc>
          <w:tcPr>
            <w:tcW w:w="12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10,475</w:t>
            </w:r>
          </w:p>
        </w:tc>
      </w:tr>
      <w:tr>
        <w:trPr>
          <w:trHeight w:val="229"/>
        </w:trPr>
        <w:tc>
          <w:tcPr>
            <w:tcW w:w="7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23"/>
        </w:trPr>
        <w:tc>
          <w:tcPr>
            <w:tcW w:w="75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11,391</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9"/>
        </w:trPr>
        <w:tc>
          <w:tcPr>
            <w:tcW w:w="7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3"/>
        </w:trPr>
        <w:tc>
          <w:tcPr>
            <w:tcW w:w="75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13,911</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w:t>
            </w:r>
          </w:p>
        </w:tc>
      </w:tr>
      <w:tr>
        <w:trPr>
          <w:trHeight w:val="21"/>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-1174115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r>
      <w:tr>
        <w:trPr>
          <w:trHeight w:val="229"/>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30"/>
        </w:trPr>
        <w:tc>
          <w:tcPr>
            <w:tcW w:w="9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3"/>
        </w:trPr>
        <w:tc>
          <w:tcPr>
            <w:tcW w:w="946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March 31, 2026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w:t>
            </w:r>
          </w:p>
        </w:tc>
      </w:tr>
      <w:tr>
        <w:trPr>
          <w:trHeight w:val="21"/>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homogeneous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the AAdvantage member has any type of qualifying activity at least every 24 months or if the AAdvantage member is the primary holder of a co-branded credit card. As of March 31, 2026, American’s current loyalty program liability was $4.2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color w:val="auto"/>
        </w:rPr>
        <w:t>Additionally, as of March 31, 2026, American’s loyalty program liability includes a one-time cash payment associated with the extension of a partner agreement announced in 2025.</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air traffic liability principally represents tickets sold for future travel on American, American Eagle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2026, $4.2 billion of revenue was recognized in passenger revenue that was included in American’s air traffic liability at December 31, 2025.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2013 Term Loan Facility, variable interest rate of 6.00%, installments until due in February</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2028</w:t>
            </w:r>
          </w:p>
        </w:tc>
        <w:tc>
          <w:tcPr>
            <w:tcW w:w="54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2014 Term Loan Facility, variable interest rate of 5.52%, installments until due in January</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2027</w:t>
            </w:r>
          </w:p>
        </w:tc>
        <w:tc>
          <w:tcPr>
            <w:tcW w:w="5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2023 Term Loan Facility, variable interest rate of 5.91%, installments until due in June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8.50% senior secured notes</w:t>
            </w:r>
          </w:p>
        </w:tc>
        <w:tc>
          <w:tcPr>
            <w:tcW w:w="2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until due in April 2026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2021 AAdvantage Term Loan Facility, variable interest rate of 5.92%, installments until due in</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April 2028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2025 AAdvantage Term Loan Facility, variable interest rate of 6.42%, installments until due in</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May 2032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7.15%, averaging 4.15%, maturing from 2026 to 2038</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2.55% to 6.29%, averaging 5.45%, maturing from 2027 to 2037</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Senior short-term term loan facility</w:t>
            </w:r>
          </w:p>
        </w:tc>
        <w:tc>
          <w:tcPr>
            <w:tcW w:w="2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24,848</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2026, the maximum availability under American’s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29"/>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30"/>
        </w:trPr>
        <w:tc>
          <w:tcPr>
            <w:tcW w:w="94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facilities </w:t>
            </w:r>
            <w:r>
              <w:rPr>
                <w:rFonts w:ascii="Arial" w:cs="Arial" w:eastAsia="Arial" w:hAnsi="Arial"/>
                <w:sz w:val="23"/>
                <w:szCs w:val="23"/>
                <w:color w:val="auto"/>
                <w:vertAlign w:val="superscript"/>
              </w:rPr>
              <w:t>(1)</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48"/>
        </w:trPr>
        <w:tc>
          <w:tcPr>
            <w:tcW w:w="9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76" w:lineRule="exact"/>
        <w:rPr>
          <w:sz w:val="20"/>
          <w:szCs w:val="20"/>
          <w:color w:val="auto"/>
        </w:rPr>
      </w:pPr>
    </w:p>
    <w:p>
      <w:pPr>
        <w:jc w:val="both"/>
        <w:ind w:left="340" w:hanging="332"/>
        <w:spacing w:after="0"/>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a revolving credit facility that provides for borrowing capacity of up to $350 million. In March 2026, American elected to exercise its option to extend the maturity date of the revolving credit facility by an additional year to March 2028. Additionally, American currently has $50 million of available borrowing capacity under a cargo receivables facility that is scheduled to expire in December 2026. There are no amounts drawn under these facilities.</w:t>
      </w:r>
    </w:p>
    <w:p>
      <w:pPr>
        <w:spacing w:after="0" w:line="14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2026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 – 2013 Revolving Facility</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March 2026, American and AAG entered into the Eleventh Amendment to the Amended and Restated Credit and Guaranty Agreement, amending the Amended and Restated Credit and Guaranty Agreement, dated as of May 21, 2015 (as amended, the 2013 Credit Agreement), pursuant to which American terminated all then-existing revolving commitments and letter of credit commitments available under the 2013 Credit Agreement and established new revolving commitments in an aggregate amount of $363 million and new letter of credit commitments (which are part of, and not in addition to, the revolving credit commitments) in an aggregate amount of $155 million (the newly established revolving commitments, the 2013 Revolving Facility), which have a maturity date of March 5, 2031. All other terms of the 2013 Revolving Facility are substantially similar to the prior revolving commitments.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 – 2014 Revolving Facility</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March 2026, American and AAG entered into the Eleventh Amendment to the Amended and Restated Credit and Guaranty Agreement, amending the Amended and Restated Credit and Guaranty Agreement, dated as of April 20, 2015 (as amended, the 2014 Credit Agreement), pursuant to which American terminated all then-existing revolving commitments and letter of credit commitments available under the 2014 Credit Agreement and established new revolving commitments in an aggregate amount of approximately $1.3 billion and new letter of credit commitments (which are part of, and not in addition to, the revolving credit commitments) in an aggregate amount of $195 million (the newly established revolving commitments, the 2014 Revolving Facility), which have a maturity date of March 5, 2031. All other terms of the 2014 Revolving Facility are substantially similar to the prior revolving commitments.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Credit Facilities – 2023 Revolving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2026, American and AAG entered into the Fourth Amendment to the Credit and Guaranty Agreement, amending the Credit and Guaranty Agreement, dated as of December 4, 2023 (as amended, the 2023 Credit Agreement), pursuant to which American terminated all then-existing revolving commitments available under the 2023 Credit Agreement and established new revolving commitments in an aggregate amount of approximately $1.5 billion (the newly established revolving commitments, the 2023 Revolving Facility), which have a maturity date of March 5, 2031. All other terms of the 2023 Revolving Facility are substantially similar to the prior revolving commitments.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2025 AAdvantage Term Loan Facility</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February 2026, American and AAdvantage Loyalty IP Ltd., a Cayman Islands exempted company incorporated with limited liability and an indirect wholly-owned subsidiary of American (together with American, the AAdvantage Issuers) entered into a fourth amendment to the term loan credit and guaranty agreement dated March 24, 2021 (the Fourth Amendment). As a result of the Fourth Amendment, the term loans outstanding under the 2025 AAdvantage Term Loan Facility were replaced with new term loans in the same principal amount. Pursuant to the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2026-1 Class (B)R Aircraft EETCs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March 2026, American entered into agreements under which it borrowed $870 million in connection with the financing of certain aircraft that had been previously delivered. Debt incurred under these agreements is junior to existing equipment notes secured by such previously delivered aircraft, matures in 2028 through 2029 and bears interest at a fixed rate of 5.61%.</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2025-1 Aircraft EETCs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November 2025, American created two pass-through trusts which issued approximately $1.1 billion aggregate face amount of Series 2025-1 Class A and Class B EETCs (the 2025-1 Aircraft EETCs) in connection with the financing of 25 aircraft delivered to American from October 2025 through March 2026 (the 2025-1 Aircraft). In 2025, $978 million of the proceeds were used to purchase equipment notes issued by American in connection with the financing of 21 of the 2025-1 Aircraft. In March 2026, approximately $127 million of proceeds were used to purchase equipment notes issued by American in connection with the financing of the four remaining 2025-1 Aircraft. As of March 31, 2026, there are no remaining proceeds held in escrow, and all proceeds have been used to purchase equipment notes issued by American.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and principal payments on equipment notes issued in connection with the 2025-1 Aircraft EETCs are payable semi-annually in May and November each year, with interest payments scheduled to begin in May 2026 and principal payments scheduled to begin in November 2026.</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2025-1 Aircraft EETC equipment notes, as of March 31, 2026, is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2025-1 Aircraft EETCs</w:t>
            </w:r>
          </w:p>
        </w:tc>
      </w:tr>
      <w:tr>
        <w:trPr>
          <w:trHeight w:val="196"/>
        </w:trPr>
        <w:tc>
          <w:tcPr>
            <w:tcW w:w="7620" w:type="dxa"/>
            <w:vAlign w:val="bottom"/>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24"/>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$884 million</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$221 million</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Fixed interest rate per annum</w:t>
            </w:r>
          </w:p>
        </w:tc>
        <w:tc>
          <w:tcPr>
            <w:tcW w:w="1760" w:type="dxa"/>
            <w:vAlign w:val="bottom"/>
          </w:tcPr>
          <w:p>
            <w:pPr>
              <w:jc w:val="center"/>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5.65%</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2038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November 2034</w:t>
            </w:r>
          </w:p>
        </w:tc>
      </w:tr>
    </w:tbl>
    <w:p>
      <w:pPr>
        <w:spacing w:after="0" w:line="3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2026, American paid in full the $629 million of the outstanding principal amount of the senior short-term term loan facility due January 2026. Additionally, American prepaid in full the $1.0 billion of the outstanding principal amount of the 8.50%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2025, American had approximately $11.7 billion of gross federal net operating losses (NOLs) and $3.8 billion of other carryforwards available to reduce future federal taxable income, of which $1.8 billion will expire beginning in 2033 if unused and $13.7 billion can be carried forward indefinitely. American is a member of AAG’s consolidated federal and certain state income tax returns. American also had approximately $4.7 billion of NOL carryforwards to reduce future state taxable income at December 31, 2025, which will expire in taxable years 2025 through 2045 if unused.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its NOLs and other carryforwards,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has used the discrete method to calculate income taxes for the three months ended March 31, 2026. At this time, American believes that the use of the discrete method is more appropriate than the estimated annual effective tax rate method due to the fact that small changes in projected full year income could cause material fluctuations in American’s annual effective tax rate applied during each quarter.</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months ended March 31, 2026, American recorded an income tax benefit of $64 million, which was substantially non-cash due to the utilization of the NOLs described above. Substantially all of American’s loss before income taxes is attributable to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three months ended March 31, 2026.</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rPr>
              <w:t>Fair Value Measurements as of March 31, 2026</w:t>
            </w:r>
          </w:p>
        </w:tc>
        <w:tc>
          <w:tcPr>
            <w:tcW w:w="110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overhaul and maintenance base at Tulsa International Airport. Restricted short-term investments principally mature in one year or less.</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 in China Southern Airlines Company Limited (China Southern Airlines). See Note 7 for further information on American’s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March 31, 2026</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5"/>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4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condensed consolidated balance sheets. American’s share of equity method investees’ financial results and changes in fair value are recorded in nonoperating other expense, net on the condensed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American’s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 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Equity Method</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2000" w:type="dxa"/>
            <w:vAlign w:val="bottom"/>
            <w:gridSpan w:val="2"/>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Holdings Limited, which is accounted for under the equity method.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expense, net in the condensed consolidated statements of operations.</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During the first three months of 2026, American made required contributions of $236 million and supplemental contributions of $50 million to its defined benefit pension plans.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OF AMERICAN AIRLINES,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2025</w:t>
      </w:r>
    </w:p>
    <w:p>
      <w:pPr>
        <w:spacing w:after="0" w:line="36" w:lineRule="exact"/>
        <w:rPr>
          <w:sz w:val="20"/>
          <w:szCs w:val="20"/>
          <w:color w:val="auto"/>
        </w:rPr>
      </w:pPr>
    </w:p>
    <w:p>
      <w:pPr>
        <w:ind w:left="140" w:right="40"/>
        <w:spacing w:after="0" w:line="280" w:lineRule="auto"/>
        <w:rPr>
          <w:sz w:val="20"/>
          <w:szCs w:val="20"/>
          <w:color w:val="auto"/>
        </w:rPr>
      </w:pPr>
      <w:r>
        <w:rPr>
          <w:rFonts w:ascii="Arial" w:cs="Arial" w:eastAsia="Arial" w:hAnsi="Arial"/>
          <w:sz w:val="18"/>
          <w:szCs w:val="18"/>
          <w:color w:val="auto"/>
        </w:rPr>
        <w:t>Other comprehensive income (loss) before reclassifications Amounts reclassified from AOCI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Pension, Retiree</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0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Medical and Other</w:t>
            </w:r>
          </w:p>
        </w:tc>
        <w:tc>
          <w:tcPr>
            <w:tcW w:w="1600" w:type="dxa"/>
            <w:vAlign w:val="bottom"/>
            <w:gridSpan w:val="4"/>
            <w:vMerge w:val="restart"/>
          </w:tcPr>
          <w:p>
            <w:pPr>
              <w:jc w:val="center"/>
              <w:ind w:right="170"/>
              <w:spacing w:after="0"/>
              <w:rPr>
                <w:sz w:val="20"/>
                <w:szCs w:val="20"/>
                <w:color w:val="auto"/>
              </w:rPr>
            </w:pPr>
            <w:r>
              <w:rPr>
                <w:rFonts w:ascii="Arial" w:cs="Arial" w:eastAsia="Arial" w:hAnsi="Arial"/>
                <w:sz w:val="14"/>
                <w:szCs w:val="14"/>
                <w:b w:val="1"/>
                <w:bCs w:val="1"/>
                <w:color w:val="auto"/>
              </w:rPr>
              <w:t>Unrealized Loss</w:t>
            </w: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Income Tax</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Postretirement</w:t>
            </w:r>
          </w:p>
        </w:tc>
        <w:tc>
          <w:tcPr>
            <w:tcW w:w="1600" w:type="dxa"/>
            <w:vAlign w:val="bottom"/>
            <w:gridSpan w:val="4"/>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6"/>
                <w:szCs w:val="16"/>
                <w:color w:val="auto"/>
              </w:rPr>
            </w:pPr>
          </w:p>
        </w:tc>
        <w:tc>
          <w:tcPr>
            <w:tcW w:w="146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rPr>
              <w:t>on Investments</w:t>
            </w:r>
          </w:p>
        </w:tc>
        <w:tc>
          <w:tcPr>
            <w:tcW w:w="1240" w:type="dxa"/>
            <w:vAlign w:val="bottom"/>
            <w:gridSpan w:val="2"/>
          </w:tcPr>
          <w:p>
            <w:pPr>
              <w:ind w:left="80"/>
              <w:spacing w:after="0" w:line="189" w:lineRule="exact"/>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8"/>
                <w:szCs w:val="18"/>
                <w:b w:val="1"/>
                <w:bCs w:val="1"/>
                <w:color w:val="auto"/>
                <w:vertAlign w:val="superscript"/>
              </w:rPr>
              <w:t>(1)</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-445135</wp:posOffset>
            </wp:positionV>
            <wp:extent cx="708088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0885"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-145415</wp:posOffset>
            </wp:positionV>
            <wp:extent cx="708088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620" w:type="dxa"/>
            <w:vAlign w:val="bottom"/>
            <w:tcBorders>
              <w:bottom w:val="single" w:sz="8" w:color="CCEEFF"/>
            </w:tcBorders>
            <w:gridSpan w:val="2"/>
          </w:tcPr>
          <w:p>
            <w:pPr>
              <w:ind w:left="140"/>
              <w:spacing w:after="0" w:line="205" w:lineRule="exact"/>
              <w:rPr>
                <w:sz w:val="20"/>
                <w:szCs w:val="20"/>
                <w:color w:val="auto"/>
              </w:rPr>
            </w:pPr>
            <w:r>
              <w:rPr>
                <w:rFonts w:ascii="Arial" w:cs="Arial" w:eastAsia="Arial" w:hAnsi="Arial"/>
                <w:sz w:val="18"/>
                <w:szCs w:val="18"/>
                <w:color w:val="auto"/>
              </w:rPr>
              <w:t>Net current-period other comprehensive income (loss)</w:t>
            </w: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17</w:t>
            </w:r>
          </w:p>
        </w:tc>
      </w:tr>
      <w:tr>
        <w:trPr>
          <w:trHeight w:val="24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62" w:lineRule="exact"/>
        <w:rPr>
          <w:sz w:val="20"/>
          <w:szCs w:val="20"/>
          <w:color w:val="auto"/>
        </w:rPr>
      </w:pPr>
    </w:p>
    <w:p>
      <w:pPr>
        <w:jc w:val="both"/>
        <w:ind w:left="340" w:hanging="332"/>
        <w:spacing w:after="0" w:line="237"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 Amounts reclassified from AOCI are recognized within the income tax benefit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Amounts reclassified from AOCI</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19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 condensed</w:t>
            </w:r>
          </w:p>
        </w:tc>
      </w:tr>
      <w:tr>
        <w:trPr>
          <w:trHeight w:val="198"/>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1160" w:type="dxa"/>
            <w:vAlign w:val="bottom"/>
          </w:tcPr>
          <w:p>
            <w:pPr>
              <w:jc w:val="right"/>
              <w:ind w:right="101"/>
              <w:spacing w:after="0"/>
              <w:rPr>
                <w:sz w:val="20"/>
                <w:szCs w:val="20"/>
                <w:color w:val="auto"/>
              </w:rPr>
            </w:pPr>
            <w:r>
              <w:rPr>
                <w:rFonts w:ascii="Arial" w:cs="Arial" w:eastAsia="Arial" w:hAnsi="Arial"/>
                <w:sz w:val="14"/>
                <w:szCs w:val="14"/>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consolidated statements of operations</w:t>
            </w:r>
          </w:p>
        </w:tc>
      </w:tr>
      <w:tr>
        <w:trPr>
          <w:trHeight w:val="177"/>
        </w:trPr>
        <w:tc>
          <w:tcPr>
            <w:tcW w:w="436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Amortization of pension, retiree medical and other</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80" w:type="dxa"/>
            <w:vAlign w:val="bottom"/>
            <w:tcBorders>
              <w:top w:val="single" w:sz="8" w:color="auto"/>
            </w:tcBorders>
            <w:shd w:val="clear" w:color="auto" w:fill="CCEEFF"/>
          </w:tcPr>
          <w:p>
            <w:pPr>
              <w:spacing w:after="0"/>
              <w:rPr>
                <w:sz w:val="15"/>
                <w:szCs w:val="15"/>
                <w:color w:val="auto"/>
              </w:rPr>
            </w:pPr>
          </w:p>
        </w:tc>
      </w:tr>
      <w:tr>
        <w:trPr>
          <w:trHeight w:val="235"/>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r>
      <w:tr>
        <w:trPr>
          <w:trHeight w:val="230"/>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30"/>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expense, net</w:t>
            </w:r>
          </w:p>
        </w:tc>
      </w:tr>
      <w:tr>
        <w:trPr>
          <w:trHeight w:val="22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160" w:type="dxa"/>
            <w:vAlign w:val="bottom"/>
            <w:tcBorders>
              <w:bottom w:val="single" w:sz="8" w:color="auto"/>
            </w:tcBorders>
          </w:tcPr>
          <w:p>
            <w:pPr>
              <w:jc w:val="right"/>
              <w:ind w:right="9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principally in the form of capacity purchase agreements. Expenses, excluding fuel expense,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for the three months ended March 31, 2026 and 2025 include $77 million and $70 million of depreciation and amortization, respectively, and each include $2 million of aircraft rent.</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months ended March 31, 2026 and 2025, American recognized $177 million and $168 million, respectively, of expense under its capacity purchase agreement with Republic Airways Inc. (Republic). American holds a 20.8% equity interest in Republic Airways Holdings Inc., the parent company of Republic.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from or to related parties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AAG</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r>
      <w:tr>
        <w:trPr>
          <w:trHeight w:val="230"/>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(NEA). </w:t>
      </w:r>
      <w:r>
        <w:rPr>
          <w:rFonts w:ascii="Arial" w:cs="Arial" w:eastAsia="Arial" w:hAnsi="Arial"/>
          <w:sz w:val="18"/>
          <w:szCs w:val="18"/>
          <w:color w:val="auto"/>
        </w:rPr>
        <w:t>On December 5, 2022 and December 7, 2022, two private party</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AAG believes these lawsuits are without merit and is defending against them vigorously.</w:t>
      </w:r>
    </w:p>
    <w:p>
      <w:pPr>
        <w:spacing w:after="0" w:line="13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American Eagle Flight 5342 Accident Litigation. </w:t>
      </w:r>
      <w:r>
        <w:rPr>
          <w:rFonts w:ascii="Arial" w:cs="Arial" w:eastAsia="Arial" w:hAnsi="Arial"/>
          <w:sz w:val="18"/>
          <w:szCs w:val="18"/>
          <w:color w:val="auto"/>
        </w:rPr>
        <w:t>On January 29, 2025, American Eagle flight 5342 was involved in a fatal accident in</w:t>
      </w:r>
      <w:r>
        <w:rPr>
          <w:rFonts w:ascii="Arial" w:cs="Arial" w:eastAsia="Arial" w:hAnsi="Arial"/>
          <w:sz w:val="18"/>
          <w:szCs w:val="18"/>
          <w:i w:val="1"/>
          <w:iCs w:val="1"/>
          <w:color w:val="auto"/>
        </w:rPr>
        <w:t xml:space="preserve"> </w:t>
      </w:r>
      <w:r>
        <w:rPr>
          <w:rFonts w:ascii="Arial" w:cs="Arial" w:eastAsia="Arial" w:hAnsi="Arial"/>
          <w:sz w:val="18"/>
          <w:szCs w:val="18"/>
          <w:color w:val="auto"/>
        </w:rPr>
        <w:t>Washington, D.C. The Bombardier CRJ700 aircraft operated by PSA Airlines, Inc. (PSA) was en route to Washington, D.C. from Wichita, Kansas when it was involved in a midair collision near Ronald Reagan Washington National Airport. Beginning on September 24, 2025, multiple wrongful death and survival actions have been filed in the U.S. District Court for the District of Columbia related to the accident. AAG expects additional actions will continue to be filed. All cases have been assigned to the same judge and are subject to streamlined pleading and discovery procedures. The court required plaintiffs to file a single consolidated Master Complaint (MC), with later joining plaintiffs to file short form complaints adopting the MC and adding any plaintiff-specific information. The MC alleges that the U.S. Government, American and PSA negligently caused or contributed to the accident. Defendants’ respective deadlines to respond to the MC were in December 2025. The U.S. Government filed an answer to the MC admitting liability only as to claims that the helicopter pilots were negligent in failing to see and avoid Flight 5342. American and PSA filed motions to dismiss asserting federal preemption and related failure to state a claim grounds. The airlines’ motions to dismiss were denied without prejudice on February 27, 2026. Plaintiffs filed an amended complaint on March 27, 2026. Discovery is ongoing pursuant to an expedited 18-month discovery and pre-trial calendar, which sets the trial date for April 12, 2027. American believes these lawsuits are without merit as to both American and PSA and is defending against them vigorously.</w:t>
      </w:r>
    </w:p>
    <w:p>
      <w:pPr>
        <w:spacing w:after="0" w:line="1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2025 (the 2025 Form 10-K). The information contained herein is not a comprehensive discussion and analysis of the financial condition and results of operations of AAG and American, but rather updates disclosures made in the 2025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Macroeconomic Conditions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Worldwide macroeconomic, political and military events, including war, terrorist activity, and conflict in the Middle East (particularly if it intensifies or is prolonged) and in Ukraine, have contributed, and are likely to continue to contribute, to oil and natural gas price volatility. These factors, along with changes in U.S. or international trade policies and continued uncertainty surrounding such policies, could lead to weakened business conditions for the transportation industry, which may adversely impact our operations through increased supply chain challenges, commodity price volatility and a decline in discretionary spending and consumer confidence, among others.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aircraft fuel can have a material effect on our operating results and liquidity. Market prices for aircraft fuel have fluctuated substantially over the first quarter of 2026 and prices continue to be highly volatile, with market spot prices ranging from a low of approximately $1.86 per gallon to a high of approximately $4.75 per gallon during the first quarter of 2026.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First Quarter 2026 Results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3"/>
              <w:spacing w:after="0" w:line="121" w:lineRule="exact"/>
              <w:rPr>
                <w:sz w:val="20"/>
                <w:szCs w:val="20"/>
                <w:color w:val="auto"/>
              </w:rPr>
            </w:pPr>
            <w:r>
              <w:rPr>
                <w:rFonts w:ascii="Arial" w:cs="Arial" w:eastAsia="Arial" w:hAnsi="Arial"/>
                <w:sz w:val="13"/>
                <w:szCs w:val="13"/>
                <w:b w:val="1"/>
                <w:bCs w:val="1"/>
                <w:color w:val="auto"/>
              </w:rPr>
              <w:t>Increase</w:t>
            </w:r>
          </w:p>
        </w:tc>
        <w:tc>
          <w:tcPr>
            <w:tcW w:w="1260" w:type="dxa"/>
            <w:vAlign w:val="bottom"/>
          </w:tcPr>
          <w:p>
            <w:pPr>
              <w:jc w:val="center"/>
              <w:ind w:left="34"/>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w w:val="96"/>
              </w:rPr>
              <w:t>12.9</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6"/>
              </w:rPr>
              <w:t>23.9</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1,361</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6"/>
              </w:rPr>
              <w:t>13.2</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w w:val="96"/>
              </w:rPr>
              <w:t>10.7</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w w:val="97"/>
              </w:rPr>
              <w:t>(85.0)</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(26.6)</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w w:val="97"/>
              </w:rPr>
              <w:t>(46.7)</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(19.2)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 –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(26.6)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6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6"/>
              </w:rPr>
              <w:t>25.0</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6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7"/>
              </w:rPr>
              <w:t>(38.2)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ind w:left="340" w:hanging="332"/>
        <w:spacing w:after="0" w:line="231" w:lineRule="auto"/>
        <w:tabs>
          <w:tab w:leader="none" w:pos="33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below and Note 2 to AAG’s Condensed Consolidated Financial Statements in Part I, Item 1A for details on the components of net special items.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Loss and Net Loss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Pre-tax loss and net loss were $476 million and $382 million, respectively, in the first quarter of 2026. This compares to first quarter of 2025 pre-tax loss and net loss of $648 million and $473 million, respectively. Excluding the effects of pre-tax net special items, pre-tax loss was $327 million and $530 million in the first quarters of 2026 and 2025, respectively.</w:t>
      </w:r>
    </w:p>
    <w:p>
      <w:pPr>
        <w:spacing w:after="0" w:line="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period-over-period decrease in pre-tax loss on both a GAAP basis and excluding pre-tax net special items was principally driven by an increase in passenger revenue, offset in part by increases in certain operating expenses including salaries, wages, and benefits, aircraft fuel and related taxes and other operating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2026, we reported total operating revenues of $13.9 billion, an increase of $1.4 billion, or 10.8%, from the first quarter of 2025. Passenger revenue was $12.5 billion in the first quarter of 2026, an increase of $1.1 billion, or 9.7%, from the first quarter of 2025. Passenger revenue performance improved in the first quarter of 2026, primarily due to higher domestic and international demand for air travel with passenger revenue per available seat mile (PRASM) increasing 6.5% compared to the first quarter of 2025. This increase was primarily driven by a 5.6% increase in passenger yield, while load factor increased 0.7pts compared to the first quarter of 2025.</w:t>
      </w:r>
    </w:p>
    <w:p>
      <w:pPr>
        <w:spacing w:after="0" w:line="1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increased $25 million, or 12.9%, in the first quarter of 2026 from the first quarter of 2025, primarily due to a 9.0% increase in cargo ton miles and a 3.6% increase in cargo yield.</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operating revenue increased $232 million, or 23.9%, in the first quarter of 2026 from the first quarter of 2025, driven primarily by higher revenue associated with our loyalty program. During the three months ended March 31, 2026 and 2025, cash payments from co-branded credit card and other partners were $2.9 billion and $1.8 billion, respectively. Cash remuneration for the first quarter of 2026 included a one-time cash payment associated with the extension of a partner agreement announced in 2025.</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total revenue per available seat mile (TRASM) was 19.32 cents in the first quarter of 2026, a 7.6% increase as compared to 17.95 cents in the first quarter of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and related taxes was $2.9 billion in the first quarter of 2026, which was $341 million, or 13.2%, higher as compared to the first quarter of 2025. This was primarily due to a 10.7% increase in the average price per gallon of aircraft fuel including related taxes to $2.75 in the first quarter of 2026 from $2.48 in the first quarter of 2025 and a 2.3% increase in gallons of fuel consumed due to increased capacity.</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As of March 31, 2026,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rFonts w:ascii="Arial" w:cs="Arial" w:eastAsia="Arial" w:hAnsi="Arial"/>
          <w:sz w:val="18"/>
          <w:szCs w:val="18"/>
          <w:i w:val="1"/>
          <w:iCs w:val="1"/>
          <w:color w:val="auto"/>
        </w:rPr>
        <w:t>“Our business is very dependent on the price and availability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aircraft fuel. Continued periods of high volatility in fuel costs, increased fuel prices or significant disruptions in the supply of aircraft fuel could have a significant negative impact on consumer demand, our operating results and liquidity” </w:t>
      </w:r>
      <w:r>
        <w:rPr>
          <w:rFonts w:ascii="Arial" w:cs="Arial" w:eastAsia="Arial" w:hAnsi="Arial"/>
          <w:sz w:val="18"/>
          <w:szCs w:val="18"/>
          <w:color w:val="auto"/>
        </w:rPr>
        <w:t>in our 2025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Additionally, we continue to focus on initiatives to reengineer our business through the use of digital solutions, process enhancements and procurement transformation and we intend to continue to invest in reengineering our business through the remainder of 2026 and beyond to build an even more efficient airline and continue to manage costs while delivering a better experience for our customers and team.</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2026 first quarter total operating cost per available seat mile (CASM) was 19.38 cents, an increase of 5.6% from 18.34 cents in the first quarter of 2025. The increase in CASM was primarily driven by higher costs for salaries, wages and benefits, aircraft fuel and other operating expenses, offset in part by a decrease in mainline operating special items, net.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2026 first quarter CASM excluding net special items, fuel and profit sharing was 15.29 cents, an increase of 5.2% from 14.54 cents in the first quarter of 2025, which was primarily driven by higher costs for salaries, wages and benefits and other operating expenses.</w:t>
      </w:r>
    </w:p>
    <w:p>
      <w:pPr>
        <w:spacing w:after="0" w:line="9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 xml:space="preserve">For a reconciliation of CASM to CASM excluding net special items, fuel and profit sharing see </w:t>
      </w:r>
      <w:r>
        <w:rPr>
          <w:rFonts w:ascii="Arial" w:cs="Arial" w:eastAsia="Arial" w:hAnsi="Arial"/>
          <w:sz w:val="18"/>
          <w:szCs w:val="18"/>
          <w:i w:val="1"/>
          <w:iCs w:val="1"/>
          <w:color w:val="auto"/>
        </w:rPr>
        <w:t>“Reconciliation of GAAP to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Measures” </w:t>
      </w:r>
      <w:r>
        <w:rPr>
          <w:rFonts w:ascii="Arial" w:cs="Arial" w:eastAsia="Arial" w:hAnsi="Arial"/>
          <w:sz w:val="18"/>
          <w:szCs w:val="18"/>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As of March 31, 2026, we had $10.8 billion in total available liquidity, consisting of $7.3 billion in unrestricted cash and short-term investments, and $3.5 billion in total undrawn capacity under revolving credit and other facilities.</w:t>
      </w:r>
    </w:p>
    <w:p>
      <w:pPr>
        <w:spacing w:after="0" w:line="9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During the first three months of 2026, we completed the following financing transactions (see Note 5 to AAG’s Condensed Consolidated Financial Statements in Part I, Item 1A for further information on 2026 financing activities):</w:t>
      </w:r>
    </w:p>
    <w:p>
      <w:pPr>
        <w:spacing w:after="0" w:line="9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repaid in full $629 million of the outstanding principal amount of the senior short-term term loan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color w:val="auto"/>
        </w:rPr>
        <w:t>prepaid in full $1.0 billion of the outstanding principal amount of the 8.50% senior secured notes;</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amended the 2025 AAdvantage Term Loan Facility to reduce the applicable interest rate margin;</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the aggregate revolving commitments under the 2013, 2014 and 2023 Revolving Facilities from $3.0 billion to $3.1 billion and extended the maturity of each facility from June 4, 2029 to March 5, 2031;</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received approximately $870 million and $127 million in proceeds from enhanced equipment trust certificates (EETCs) under the 2026-1 Class (B)R Aircraft EETCs and the 2025-1 Class A and B EETCs, respectively, in connection with the financing of certain aircraft;</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extended the maturity date of a revolving credit facility that provides for borrowing capacity of up to $350 million by an additional year to March 2028;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incurred $554 million in net payments on fuel financing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following table presents the reconciliation of pre-tax loss (GAAP measure) to pre-tax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provides management with an additional tool to understand our core operating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0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r>
      <w:tr>
        <w:trPr>
          <w:trHeight w:val="231"/>
        </w:trPr>
        <w:tc>
          <w:tcPr>
            <w:tcW w:w="7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Loss Excluding Net Special Items:</w:t>
            </w: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Pre-tax loss – GAAP</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-1336675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13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fuel and profit sharing (non-GAAP measure) and CASM to CASM excluding net special items, fuel and profit sharing. Management uses total operating costs excluding net special items, fuel and profit sharing and CASM excluding net special items, fuel and profit sharing to evaluate our current operating performance and for period-to-period comparisons. The price of fuel, over which we have no control, impacts the comparability of period-to-period financial performance. Additionally, we exclude profit sharing to allow investors to better understand and analyze our operating cost performance and to provide a more meaningful comparison of our core operating costs to the airline industry. The adjustment to exclude net special items, fuel and profit sharing provides management with an additional tool to understand and analyze our non-fuel costs and core operating performance. Amounts may not recalculate due to rounding.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54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r>
      <w:tr>
        <w:trPr>
          <w:trHeight w:val="210"/>
        </w:trPr>
        <w:tc>
          <w:tcPr>
            <w:tcW w:w="7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Fuel and Profit Sharing:</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5"/>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r>
      <w:tr>
        <w:trPr>
          <w:trHeight w:val="230"/>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(2,587)</w:t>
            </w: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Profit sharing</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fuel and profit sharing</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10,164</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72,009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69,904</w:t>
            </w:r>
          </w:p>
        </w:tc>
      </w:tr>
      <w:tr>
        <w:trPr>
          <w:trHeight w:val="20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29"/>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Profit sharing per ASM</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fuel and profit sharing</w:t>
            </w: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-2665095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jc w:val="center"/>
        <w:ind w:left="5520" w:right="600" w:hanging="5512"/>
        <w:spacing w:after="0" w:line="721" w:lineRule="auto"/>
        <w:tabs>
          <w:tab w:leader="none" w:pos="322"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table below sets forth selected operating data for the three months ended March 31, 2026 and 2025. Amounts may not recalculate due to rounding.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7"/>
        </w:trPr>
        <w:tc>
          <w:tcPr>
            <w:tcW w:w="7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Increase</w:t>
            </w:r>
          </w:p>
        </w:tc>
      </w:tr>
      <w:tr>
        <w:trPr>
          <w:trHeight w:val="224"/>
        </w:trPr>
        <w:tc>
          <w:tcPr>
            <w:tcW w:w="7220" w:type="dxa"/>
            <w:vAlign w:val="bottom"/>
            <w:shd w:val="clear" w:color="auto" w:fill="CCEEFF"/>
          </w:tcPr>
          <w:p>
            <w:pPr>
              <w:ind w:left="180"/>
              <w:spacing w:after="0" w:line="224"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w:t>
            </w:r>
          </w:p>
        </w:tc>
      </w:tr>
      <w:tr>
        <w:trPr>
          <w:trHeight w:val="229"/>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260" w:type="dxa"/>
            <w:vAlign w:val="bottom"/>
          </w:tcPr>
          <w:p>
            <w:pPr>
              <w:jc w:val="right"/>
              <w:spacing w:after="0"/>
              <w:rPr>
                <w:sz w:val="20"/>
                <w:szCs w:val="20"/>
                <w:color w:val="auto"/>
              </w:rPr>
            </w:pPr>
            <w:r>
              <w:rPr>
                <w:rFonts w:ascii="Arial" w:cs="Arial" w:eastAsia="Arial" w:hAnsi="Arial"/>
                <w:sz w:val="18"/>
                <w:szCs w:val="18"/>
                <w:color w:val="auto"/>
              </w:rPr>
              <w:t>72,009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69,904</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3.0%</w:t>
            </w:r>
          </w:p>
        </w:tc>
      </w:tr>
      <w:tr>
        <w:trPr>
          <w:trHeight w:val="229"/>
        </w:trPr>
        <w:tc>
          <w:tcPr>
            <w:tcW w:w="7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0.7pts</w:t>
            </w:r>
          </w:p>
        </w:tc>
      </w:tr>
      <w:tr>
        <w:trPr>
          <w:trHeight w:val="230"/>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20.21</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5.6%</w:t>
            </w:r>
          </w:p>
        </w:tc>
      </w:tr>
      <w:tr>
        <w:trPr>
          <w:trHeight w:val="229"/>
        </w:trPr>
        <w:tc>
          <w:tcPr>
            <w:tcW w:w="7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6.5%</w:t>
            </w:r>
          </w:p>
        </w:tc>
      </w:tr>
      <w:tr>
        <w:trPr>
          <w:trHeight w:val="229"/>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260" w:type="dxa"/>
            <w:vAlign w:val="bottom"/>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17.95</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7.6%</w:t>
            </w:r>
          </w:p>
        </w:tc>
      </w:tr>
      <w:tr>
        <w:trPr>
          <w:trHeight w:val="230"/>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2.3%</w:t>
            </w:r>
          </w:p>
        </w:tc>
      </w:tr>
      <w:tr>
        <w:trPr>
          <w:trHeight w:val="229"/>
        </w:trPr>
        <w:tc>
          <w:tcPr>
            <w:tcW w:w="7220" w:type="dxa"/>
            <w:vAlign w:val="bottom"/>
          </w:tcPr>
          <w:p>
            <w:pPr>
              <w:ind w:left="18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10.7%</w:t>
            </w:r>
          </w:p>
        </w:tc>
      </w:tr>
      <w:tr>
        <w:trPr>
          <w:trHeight w:val="230"/>
        </w:trPr>
        <w:tc>
          <w:tcPr>
            <w:tcW w:w="7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5.6%</w:t>
            </w:r>
          </w:p>
        </w:tc>
      </w:tr>
      <w:tr>
        <w:trPr>
          <w:trHeight w:val="229"/>
        </w:trPr>
        <w:tc>
          <w:tcPr>
            <w:tcW w:w="7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260" w:type="dxa"/>
            <w:vAlign w:val="bottom"/>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1,552</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rPr>
              <w:t>2.7%</w:t>
            </w:r>
          </w:p>
        </w:tc>
      </w:tr>
      <w:tr>
        <w:trPr>
          <w:trHeight w:val="229"/>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133,100</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as of March 31, 2026 are three Airbus A321XLR mainline aircraft and two Bombardier CRJ900 regional aircraft held in temporary storage.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to Three Months Ended March 31, 2025</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0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Increase</w:t>
            </w:r>
          </w:p>
        </w:tc>
        <w:tc>
          <w:tcPr>
            <w:tcW w:w="100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10"/>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12,495</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11,391</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30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Cargo</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9"/>
                <w:szCs w:val="19"/>
                <w:color w:val="auto"/>
              </w:rPr>
            </w:pPr>
          </w:p>
        </w:tc>
        <w:tc>
          <w:tcPr>
            <w:tcW w:w="1000" w:type="dxa"/>
            <w:vAlign w:val="bottom"/>
            <w:gridSpan w:val="2"/>
          </w:tcPr>
          <w:p>
            <w:pPr>
              <w:jc w:val="center"/>
              <w:ind w:right="308"/>
              <w:spacing w:after="0"/>
              <w:rPr>
                <w:sz w:val="20"/>
                <w:szCs w:val="20"/>
                <w:color w:val="auto"/>
              </w:rPr>
            </w:pPr>
            <w:r>
              <w:rPr>
                <w:rFonts w:ascii="Arial" w:cs="Arial" w:eastAsia="Arial" w:hAnsi="Arial"/>
                <w:sz w:val="18"/>
                <w:szCs w:val="18"/>
                <w:color w:val="auto"/>
                <w:w w:val="96"/>
              </w:rPr>
              <w:t>12.9</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308"/>
              <w:spacing w:after="0"/>
              <w:rPr>
                <w:sz w:val="20"/>
                <w:szCs w:val="20"/>
                <w:color w:val="auto"/>
              </w:rPr>
            </w:pPr>
            <w:r>
              <w:rPr>
                <w:rFonts w:ascii="Arial" w:cs="Arial" w:eastAsia="Arial" w:hAnsi="Arial"/>
                <w:sz w:val="18"/>
                <w:szCs w:val="18"/>
                <w:color w:val="auto"/>
                <w:w w:val="96"/>
              </w:rPr>
              <w:t>23.9</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13,912</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12,551</w:t>
            </w: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480" w:type="dxa"/>
            <w:vAlign w:val="bottom"/>
          </w:tcPr>
          <w:p>
            <w:pPr>
              <w:spacing w:after="0"/>
              <w:rPr>
                <w:sz w:val="19"/>
                <w:szCs w:val="19"/>
                <w:color w:val="auto"/>
              </w:rPr>
            </w:pPr>
          </w:p>
        </w:tc>
        <w:tc>
          <w:tcPr>
            <w:tcW w:w="1000" w:type="dxa"/>
            <w:vAlign w:val="bottom"/>
            <w:gridSpan w:val="2"/>
          </w:tcPr>
          <w:p>
            <w:pPr>
              <w:jc w:val="center"/>
              <w:ind w:right="308"/>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1"/>
        </w:trPr>
        <w:tc>
          <w:tcPr>
            <w:tcW w:w="5360" w:type="dxa"/>
            <w:vAlign w:val="bottom"/>
            <w:gridSpan w:val="3"/>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9180" w:type="dxa"/>
            <w:vAlign w:val="bottom"/>
            <w:gridSpan w:val="16"/>
          </w:tcPr>
          <w:p>
            <w:pPr>
              <w:ind w:left="26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vs. Three Months Ended March 31, 2025</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8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Load</w:t>
            </w:r>
          </w:p>
        </w:tc>
        <w:tc>
          <w:tcPr>
            <w:tcW w:w="1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Passenger</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 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Factor</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rPr>
              <w:t>0.7pts</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5.6%</w:t>
            </w:r>
          </w:p>
        </w:tc>
        <w:tc>
          <w:tcPr>
            <w:tcW w:w="10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-1911350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-1911350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-1911350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$1.1 billion, or 9.7%, in the first quarter of 2026 from the first quarter of 2025, primarily due to higher domestic and international demand for air travel with PRASM increasing 6.5% compared to the first quarter of 2025. This increase was primarily driven by a 5.6% increase in passenger yield, while load factor increased 0.7pts compared to the first quarter of 2025.</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increased $25 million, or 12.9%, in the first quarter of 2026 from the first quarter of 2025, primarily due to a 9.0% increase in cargo ton miles and a 3.6% increase in cargo yield.</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operating revenue increased $232 million, or 23.9%, in the first quarter of 2026 from the first quarter of 2025, driven primarily by higher revenue associated with our loyalty program. During the three months ended March 31, 2026 and 2025, cash payments from co-branded credit card and other partners were $2.9 billion and $1.8 billion, respectively. Cash remuneration for the first quarter of 2026 included a one-time cash payment associated with the extension of a partner agreement announced in 2025.</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restart"/>
          </w:tcPr>
          <w:p>
            <w:pPr>
              <w:jc w:val="right"/>
              <w:ind w:right="313"/>
              <w:spacing w:after="0" w:line="113" w:lineRule="exact"/>
              <w:rPr>
                <w:sz w:val="20"/>
                <w:szCs w:val="20"/>
                <w:color w:val="auto"/>
              </w:rPr>
            </w:pPr>
            <w:r>
              <w:rPr>
                <w:rFonts w:ascii="Arial" w:cs="Arial" w:eastAsia="Arial" w:hAnsi="Arial"/>
                <w:sz w:val="13"/>
                <w:szCs w:val="13"/>
                <w:b w:val="1"/>
                <w:bCs w:val="1"/>
                <w:color w:val="auto"/>
              </w:rPr>
              <w:t>Increase</w:t>
            </w:r>
          </w:p>
        </w:tc>
        <w:tc>
          <w:tcPr>
            <w:tcW w:w="1480" w:type="dxa"/>
            <w:vAlign w:val="bottom"/>
            <w:vMerge w:val="restart"/>
          </w:tcPr>
          <w:p>
            <w:pPr>
              <w:jc w:val="center"/>
              <w:ind w:left="14"/>
              <w:spacing w:after="0" w:line="113"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13.2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10.7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6"/>
              </w:rPr>
              <w:t>12.8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(80.6)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$341 million, or 13.2%, in the first quarter of 2026 from the first quarter of 2025, primarily due to a 10.7% increase in the average price per gallon of aircraft fuel including related taxes to $2.75 in the first quarter of 2026 from $2.48 in the first quarter of 2025 and a 2.3% increase in gallons of fuel consumed due to increased capacity.</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Salaries, wages and benefits increased $452 million, or 10.7%, in the first quarter of 2026 from the first quarter of 2025, primarily due to annual contractual wage rate increases and a 3.9% increase in mainline full-time equivalent employees subsequent to the first quarter of 2025.</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Maintenance, materials and repairs increased $60 million, or 6.5%, in the first quarter of 2026 from the first quarter of 2025, primarily due to increased costs for airframe heavy checks, component part repairs and engine overhauls driven by higher volume and cost of materials.</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Other rent and landing fees increased $64 million, or 7.7%, in the first quarter of 2026 from the first quarter of 2025, primarily due to rate increases at certain airports.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Selling expenses increased $57 million, or 12.8%, in the first quarter of 2026 from the first quarter of 2025, primarily due to higher commissions from renegotiated agency contracts, higher credit card fees driven by the overall increase in passenger revenue and increased advertising expenses.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$142 million, or 8.7%, in the first quarter of 2026 from the first quarter of 2025, primarily driven by increased costs for crew travel, onboard food and catering, Wi-Fi, ground and cargo handling, passenger accommodation and certain general and administrative expenses.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r>
      <w:tr>
        <w:trPr>
          <w:trHeight w:val="231"/>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42"/>
        </w:trPr>
        <w:tc>
          <w:tcPr>
            <w:tcW w:w="2080" w:type="dxa"/>
            <w:vAlign w:val="bottom"/>
            <w:tcBorders>
              <w:bottom w:val="single" w:sz="8" w:color="auto"/>
            </w:tcBorders>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r>
    </w:tbl>
    <w:p>
      <w:pPr>
        <w:spacing w:after="0" w:line="62" w:lineRule="exact"/>
        <w:rPr>
          <w:sz w:val="20"/>
          <w:szCs w:val="20"/>
          <w:color w:val="auto"/>
        </w:rPr>
      </w:pPr>
    </w:p>
    <w:p>
      <w:pPr>
        <w:jc w:val="both"/>
        <w:ind w:left="340" w:right="20" w:hanging="332"/>
        <w:spacing w:after="0" w:line="237"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center"/>
              <w:ind w:left="2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580" w:type="dxa"/>
            <w:vAlign w:val="bottom"/>
            <w:tcBorders>
              <w:bottom w:val="single" w:sz="8" w:color="auto"/>
            </w:tcBorders>
            <w:gridSpan w:val="4"/>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37"/>
              <w:spacing w:after="0" w:line="116"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24"/>
              <w:spacing w:after="0" w:line="116"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77"/>
              <w:spacing w:after="0"/>
              <w:rPr>
                <w:sz w:val="20"/>
                <w:szCs w:val="20"/>
                <w:color w:val="auto"/>
              </w:rPr>
            </w:pPr>
            <w:r>
              <w:rPr>
                <w:rFonts w:ascii="Arial" w:cs="Arial" w:eastAsia="Arial" w:hAnsi="Arial"/>
                <w:sz w:val="18"/>
                <w:szCs w:val="18"/>
                <w:color w:val="auto"/>
                <w:w w:val="99"/>
              </w:rPr>
              <w:t>(39)</w:t>
            </w:r>
          </w:p>
        </w:tc>
        <w:tc>
          <w:tcPr>
            <w:tcW w:w="1480" w:type="dxa"/>
            <w:vAlign w:val="bottom"/>
            <w:shd w:val="clear" w:color="auto" w:fill="CCEEFF"/>
          </w:tcPr>
          <w:p>
            <w:pPr>
              <w:jc w:val="center"/>
              <w:ind w:left="24"/>
              <w:spacing w:after="0"/>
              <w:rPr>
                <w:sz w:val="20"/>
                <w:szCs w:val="20"/>
                <w:color w:val="auto"/>
              </w:rPr>
            </w:pPr>
            <w:r>
              <w:rPr>
                <w:rFonts w:ascii="Arial" w:cs="Arial" w:eastAsia="Arial" w:hAnsi="Arial"/>
                <w:sz w:val="18"/>
                <w:szCs w:val="18"/>
                <w:color w:val="auto"/>
                <w:w w:val="97"/>
              </w:rPr>
              <w:t>(41.3)</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717"/>
              <w:spacing w:after="0"/>
              <w:rPr>
                <w:sz w:val="20"/>
                <w:szCs w:val="20"/>
                <w:color w:val="auto"/>
              </w:rPr>
            </w:pPr>
            <w:r>
              <w:rPr>
                <w:rFonts w:ascii="Arial" w:cs="Arial" w:eastAsia="Arial" w:hAnsi="Arial"/>
                <w:sz w:val="18"/>
                <w:szCs w:val="18"/>
                <w:color w:val="auto"/>
                <w:w w:val="99"/>
              </w:rPr>
              <w:t>31</w:t>
            </w:r>
          </w:p>
        </w:tc>
        <w:tc>
          <w:tcPr>
            <w:tcW w:w="1480" w:type="dxa"/>
            <w:vAlign w:val="bottom"/>
          </w:tcPr>
          <w:p>
            <w:pPr>
              <w:jc w:val="center"/>
              <w:ind w:left="2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77"/>
              <w:spacing w:after="0"/>
              <w:rPr>
                <w:sz w:val="20"/>
                <w:szCs w:val="20"/>
                <w:color w:val="auto"/>
              </w:rPr>
            </w:pPr>
            <w:r>
              <w:rPr>
                <w:rFonts w:ascii="Arial" w:cs="Arial" w:eastAsia="Arial" w:hAnsi="Arial"/>
                <w:sz w:val="18"/>
                <w:szCs w:val="18"/>
                <w:color w:val="auto"/>
                <w:w w:val="99"/>
              </w:rPr>
              <w:t>(49)</w:t>
            </w:r>
          </w:p>
        </w:tc>
        <w:tc>
          <w:tcPr>
            <w:tcW w:w="1480" w:type="dxa"/>
            <w:vAlign w:val="bottom"/>
            <w:shd w:val="clear" w:color="auto" w:fill="CCEEFF"/>
          </w:tcPr>
          <w:p>
            <w:pPr>
              <w:jc w:val="center"/>
              <w:ind w:left="24"/>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23"/>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77"/>
              <w:spacing w:after="0"/>
              <w:rPr>
                <w:sz w:val="20"/>
                <w:szCs w:val="20"/>
                <w:color w:val="auto"/>
              </w:rPr>
            </w:pPr>
            <w:r>
              <w:rPr>
                <w:rFonts w:ascii="Arial" w:cs="Arial" w:eastAsia="Arial" w:hAnsi="Arial"/>
                <w:sz w:val="18"/>
                <w:szCs w:val="18"/>
                <w:color w:val="auto"/>
                <w:w w:val="99"/>
              </w:rPr>
              <w:t>(57)</w:t>
            </w:r>
          </w:p>
        </w:tc>
        <w:tc>
          <w:tcPr>
            <w:tcW w:w="1480" w:type="dxa"/>
            <w:vAlign w:val="bottom"/>
          </w:tcPr>
          <w:p>
            <w:pPr>
              <w:jc w:val="center"/>
              <w:ind w:left="24"/>
              <w:spacing w:after="0"/>
              <w:rPr>
                <w:sz w:val="20"/>
                <w:szCs w:val="20"/>
                <w:color w:val="auto"/>
              </w:rPr>
            </w:pPr>
            <w:r>
              <w:rPr>
                <w:rFonts w:ascii="Arial" w:cs="Arial" w:eastAsia="Arial" w:hAnsi="Arial"/>
                <w:sz w:val="18"/>
                <w:szCs w:val="18"/>
                <w:color w:val="auto"/>
                <w:w w:val="96"/>
              </w:rPr>
              <w:t>15.1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-882015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-882015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-882015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13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income decreased $39 million, or 41.3%, in the first quarter of 2026 from the first quarter of 2025, primarily due to a decrease in the average balance of our short-term investments and lower interest rates, resulting in reduced returns. Interest expense, net decreased $31 million, or 7.3%, in the first quarter of 2026 from the first quarter of 2025, primarily due to lower interest rates on our variable-rate debt instruments and lower outstanding debt subsequent to the first quarter of 2025, as we continue our efforts to strengthen the balance sheet.</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2026, other nonoperating expense, net included $135 million of net special items primarily for mark-to-market net unrealized losses associated with certain equity investments and costs associated with debt refinancings and extinguishments, offset in part by $18 million of non-service-related pension and other postretirement benefit plan income.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2025, other nonoperating expense, net primarily included $48 million of net special charges for mark-to-market net unrealized losses associated with certain equity investments and debt refinancings and extinguishments, as well as $11 million of foreign currency losses, offset in part by $11 million of non-service-related pension and other postretirement benefit plan income.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first quarter of 2026, we recorded an income tax benefit of $94 million. Substantially all of our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to Three Months Ended March 31, 2025</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w:t>
            </w:r>
          </w:p>
        </w:tc>
      </w:tr>
      <w:tr>
        <w:trPr>
          <w:trHeight w:val="197"/>
        </w:trPr>
        <w:tc>
          <w:tcPr>
            <w:tcW w:w="53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Increase</w:t>
            </w:r>
          </w:p>
        </w:tc>
        <w:tc>
          <w:tcPr>
            <w:tcW w:w="14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Increase</w:t>
            </w:r>
          </w:p>
        </w:tc>
      </w:tr>
      <w:tr>
        <w:trPr>
          <w:trHeight w:val="195"/>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9.7</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6"/>
              </w:rPr>
              <w:t>12.9</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6"/>
              </w:rPr>
              <w:t>24.1</w:t>
            </w: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13,911</w:t>
            </w:r>
          </w:p>
        </w:tc>
        <w:tc>
          <w:tcPr>
            <w:tcW w:w="12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480" w:type="dxa"/>
            <w:vAlign w:val="bottom"/>
          </w:tcPr>
          <w:p>
            <w:pPr>
              <w:jc w:val="center"/>
              <w:ind w:left="16"/>
              <w:spacing w:after="0"/>
              <w:rPr>
                <w:sz w:val="20"/>
                <w:szCs w:val="20"/>
                <w:color w:val="auto"/>
              </w:rPr>
            </w:pPr>
            <w:r>
              <w:rPr>
                <w:rFonts w:ascii="Arial" w:cs="Arial" w:eastAsia="Arial" w:hAnsi="Arial"/>
                <w:sz w:val="18"/>
                <w:szCs w:val="18"/>
                <w:color w:val="auto"/>
                <w:w w:val="96"/>
              </w:rPr>
              <w:t>10.9</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-762000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$ 1.1 billion, or 9.7%, in the first quarter of 2026 from the first quarter of 2025, primarily due to higher domestic and international demand for air travel with PRASM increasing compared to the first quarter of 2025. This increase was primarily driven by an increase in passenger yield, while load factor increased compared to the first quarter of 2025.</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Cargo revenue increased $25 million, or 12.9%, in the first quarter of 2026 from the first quarter of 2025, primarily due to an increase in cargo ton miles and cargo yield.</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operating revenue increased $233 million, or 24.1%, in the first quarter of 2026 from the first quarter of 2025, driven primarily by higher revenue associated with American’s loyalty program. During the three months ended March 31, 2026 and 2025, cash payments from co-branded credit card and other partners were $2.9 billion and $1.8 billion, respectively. Cash remuneration for the first quarter of 2026 included a one-time cash payment associated with the extension of a partner agreement announced in 2025.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jc w:val="center"/>
              <w:ind w:left="3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294"/>
              <w:spacing w:after="0" w:line="108"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15"/>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5"/>
              </w:rPr>
              <w:t>6.5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5"/>
              </w:rPr>
              <w:t>7.7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5"/>
              </w:rPr>
              <w:t>3.9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80" w:type="dxa"/>
            <w:vAlign w:val="bottom"/>
            <w:tcBorders>
              <w:bottom w:val="single" w:sz="8" w:color="CCEEFF"/>
            </w:tcBorders>
          </w:tcPr>
          <w:p>
            <w:pPr>
              <w:jc w:val="center"/>
              <w:ind w:left="35"/>
              <w:spacing w:after="0"/>
              <w:rPr>
                <w:sz w:val="20"/>
                <w:szCs w:val="20"/>
                <w:color w:val="auto"/>
              </w:rPr>
            </w:pPr>
            <w:r>
              <w:rPr>
                <w:rFonts w:ascii="Arial" w:cs="Arial" w:eastAsia="Arial" w:hAnsi="Arial"/>
                <w:sz w:val="18"/>
                <w:szCs w:val="18"/>
                <w:color w:val="auto"/>
                <w:w w:val="95"/>
              </w:rPr>
              <w:t>8.7</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48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95"/>
              </w:rPr>
              <w:t>8.8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-1782445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-1782445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$341 million, or 13.2%, in the first quarter of 2026 from the first quarter of 2025, primarily due to a 10.7% increase in the average price per gallon of aircraft fuel including related taxes to $2.75 in the first quarter of 2026 from $2.48 in the first quarter of 2025 and a 2.3% increase in gallons of fuel consumed due to increased capacity.</w:t>
      </w:r>
    </w:p>
    <w:p>
      <w:pPr>
        <w:spacing w:after="0" w:line="117"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Salaries, wages and benefits increased $452 million, or 10.7%, in the first quarter of 2026 from the first quarter of 2025, primarily due to annual contractual wage rate increases and a 3.9% increase in mainline full-time equivalent employees subsequent to the first quarter of 2025.</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Maintenance, materials and repairs increased $60 million, or 6.5%, in the first quarter of 2026 from the first quarter of 2025, primarily due to increased costs for airframe heavy checks, component part repairs and engine overhauls driven by higher volume and cost of materials.</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Other rent and landing fees increased $64 million, or 7.7%, in the first quarter of 2026 from the first quarter of 2025, primarily due to rate increases at certain airports.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Selling expenses increased $57 million, or 12.8%, in the first quarter of 2026 from the first quarter of 2025, primarily due to higher commissions from renegotiated agency contracts, higher credit card fees driven by the overall increase in passenger revenue and increased advertising expenses.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$142 million, or 8.7%, in the first quarter of 2026 from the first quarter of 2025, primarily driven by increased costs for crew travel, onboard food and catering, ground and cargo handling, Wi-Fi, passenger accommodation and certain general and administrative expenses.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
        </w:trPr>
        <w:tc>
          <w:tcPr>
            <w:tcW w:w="2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42"/>
        </w:trPr>
        <w:tc>
          <w:tcPr>
            <w:tcW w:w="2080" w:type="dxa"/>
            <w:vAlign w:val="bottom"/>
            <w:tcBorders>
              <w:bottom w:val="single" w:sz="8" w:color="auto"/>
            </w:tcBorders>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r>
    </w:tbl>
    <w:p>
      <w:pPr>
        <w:spacing w:after="0" w:line="76" w:lineRule="exact"/>
        <w:rPr>
          <w:sz w:val="20"/>
          <w:szCs w:val="20"/>
          <w:color w:val="auto"/>
        </w:rPr>
      </w:pPr>
    </w:p>
    <w:p>
      <w:pPr>
        <w:jc w:val="both"/>
        <w:ind w:left="340" w:right="20" w:hanging="332"/>
        <w:spacing w:after="0" w:line="237"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for the three months ended March 31,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March</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rPr>
              <w:t>31,</w:t>
            </w: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37"/>
              <w:spacing w:after="0" w:line="118" w:lineRule="exact"/>
              <w:rPr>
                <w:sz w:val="20"/>
                <w:szCs w:val="20"/>
                <w:color w:val="auto"/>
              </w:rPr>
            </w:pPr>
            <w:r>
              <w:rPr>
                <w:rFonts w:ascii="Arial" w:cs="Arial" w:eastAsia="Arial" w:hAnsi="Arial"/>
                <w:sz w:val="13"/>
                <w:szCs w:val="13"/>
                <w:b w:val="1"/>
                <w:bCs w:val="1"/>
                <w:color w:val="auto"/>
              </w:rPr>
              <w:t>Increase</w:t>
            </w:r>
          </w:p>
        </w:tc>
        <w:tc>
          <w:tcPr>
            <w:tcW w:w="10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(Decrease)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8"/>
          </w:tcPr>
          <w:p>
            <w:pPr>
              <w:jc w:val="right"/>
              <w:ind w:right="658"/>
              <w:spacing w:after="0"/>
              <w:rPr>
                <w:sz w:val="20"/>
                <w:szCs w:val="20"/>
                <w:color w:val="auto"/>
              </w:rPr>
            </w:pPr>
            <w:r>
              <w:rPr>
                <w:rFonts w:ascii="Arial" w:cs="Arial" w:eastAsia="Arial" w:hAnsi="Arial"/>
                <w:sz w:val="14"/>
                <w:szCs w:val="14"/>
                <w:b w:val="1"/>
                <w:bCs w:val="1"/>
                <w:color w:val="auto"/>
              </w:rPr>
              <w:t>(In millions, except percentage changes)</w:t>
            </w:r>
          </w:p>
        </w:tc>
        <w:tc>
          <w:tcPr>
            <w:tcW w:w="0" w:type="dxa"/>
            <w:vAlign w:val="bottom"/>
          </w:tcPr>
          <w:p>
            <w:pPr>
              <w:spacing w:after="0"/>
              <w:rPr>
                <w:sz w:val="1"/>
                <w:szCs w:val="1"/>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99"/>
              </w:rPr>
              <w:t>(44)</w:t>
            </w:r>
          </w:p>
        </w:tc>
        <w:tc>
          <w:tcPr>
            <w:tcW w:w="10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0"/>
        </w:trPr>
        <w:tc>
          <w:tcPr>
            <w:tcW w:w="3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center"/>
              <w:ind w:left="397"/>
              <w:spacing w:after="0"/>
              <w:rPr>
                <w:sz w:val="20"/>
                <w:szCs w:val="20"/>
                <w:color w:val="auto"/>
              </w:rPr>
            </w:pPr>
            <w:r>
              <w:rPr>
                <w:rFonts w:ascii="Arial" w:cs="Arial" w:eastAsia="Arial" w:hAnsi="Arial"/>
                <w:sz w:val="18"/>
                <w:szCs w:val="18"/>
                <w:color w:val="auto"/>
                <w:w w:val="99"/>
              </w:rPr>
              <w:t>52</w:t>
            </w:r>
          </w:p>
        </w:tc>
        <w:tc>
          <w:tcPr>
            <w:tcW w:w="1060" w:type="dxa"/>
            <w:vAlign w:val="bottom"/>
          </w:tcPr>
          <w:p>
            <w:pPr>
              <w:jc w:val="right"/>
              <w:ind w:right="178"/>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97"/>
              <w:spacing w:after="0"/>
              <w:rPr>
                <w:sz w:val="20"/>
                <w:szCs w:val="20"/>
                <w:color w:val="auto"/>
              </w:rPr>
            </w:pPr>
            <w:r>
              <w:rPr>
                <w:rFonts w:ascii="Arial" w:cs="Arial" w:eastAsia="Arial" w:hAnsi="Arial"/>
                <w:sz w:val="18"/>
                <w:szCs w:val="18"/>
                <w:color w:val="auto"/>
                <w:w w:val="99"/>
              </w:rPr>
              <w:t>(50)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70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ind w:left="397"/>
              <w:spacing w:after="0"/>
              <w:rPr>
                <w:sz w:val="20"/>
                <w:szCs w:val="20"/>
                <w:color w:val="auto"/>
              </w:rPr>
            </w:pPr>
            <w:r>
              <w:rPr>
                <w:rFonts w:ascii="Arial" w:cs="Arial" w:eastAsia="Arial" w:hAnsi="Arial"/>
                <w:sz w:val="18"/>
                <w:szCs w:val="18"/>
                <w:color w:val="auto"/>
                <w:w w:val="99"/>
              </w:rPr>
              <w:t>(42)</w:t>
            </w:r>
          </w:p>
        </w:tc>
        <w:tc>
          <w:tcPr>
            <w:tcW w:w="1060" w:type="dxa"/>
            <w:vAlign w:val="bottom"/>
          </w:tcPr>
          <w:p>
            <w:pPr>
              <w:jc w:val="right"/>
              <w:ind w:right="238"/>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-788035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-788035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-788035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income decreased $44 million, or 18.6%, in the first quarter of 2026 from the first quarter of 2025, primarily due to a decrease in the average balance of American’s short-term investments and lower interest rates, resulting in reduced returns. Interest expense, net decreased $52 million, or 11.5%, in the first quarter of 2026 from the first quarter of 2025, primarily due to lower interest rates on its variable-rate debt instruments and lower outstanding debt subsequent to the first quarter of 2025, as American continues its efforts to strengthen the balance sheet.</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2026, other nonoperating expense, net included $135 million of net special items primarily for mark-to-market net unrealized losses associated with certain equity investments and costs associated with debt refinancings and extinguishments, offset in part by $18 million of non-service-related pension and other postretirement benefit plan income.</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first quarter of 2025, other nonoperating expense, net primarily included $48 million of net special charges for mark-to-market net unrealized losses associated with certain equity investments and debt refinancings and extinguishments, as well as $11 million of foreign currency losses, offset in part by $11 million of non-service-related pension and other postretirement benefit plan income.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 the first quarter of 2026, American recorded an income tax benefit of $64 million. Substantially all of American’s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March 31, 2026, AAG had $10.8 billion in total available liquidity and $717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AAG</w:t>
            </w:r>
          </w:p>
        </w:tc>
        <w:tc>
          <w:tcPr>
            <w:tcW w:w="1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American</w:t>
            </w:r>
          </w:p>
        </w:tc>
        <w:tc>
          <w:tcPr>
            <w:tcW w:w="1580" w:type="dxa"/>
            <w:vAlign w:val="bottom"/>
            <w:tcBorders>
              <w:bottom w:val="single" w:sz="8" w:color="auto"/>
            </w:tcBorders>
          </w:tcPr>
          <w:p>
            <w:pPr>
              <w:spacing w:after="0"/>
              <w:rPr>
                <w:sz w:val="17"/>
                <w:szCs w:val="17"/>
                <w:color w:val="auto"/>
              </w:rPr>
            </w:pPr>
          </w:p>
        </w:tc>
      </w:tr>
      <w:tr>
        <w:trPr>
          <w:trHeight w:val="196"/>
        </w:trPr>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Pr>
          <w:p>
            <w:pPr>
              <w:spacing w:after="0"/>
              <w:rPr>
                <w:sz w:val="17"/>
                <w:szCs w:val="17"/>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4,880</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23"/>
        </w:trPr>
        <w:tc>
          <w:tcPr>
            <w:tcW w:w="350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w:t>
            </w: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The AAdvantage Financing contains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net cash provided by operating activities was $ 4.2 billion and $2.5 billion for the first quarter of 2026 and 2025, respectively, a $1.8 billion period-over-period increase driven primarily by working capital increases principally in our air traffic liability and loyalty program deferred revenue.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$2.3 billion and $1.2 billion for the first quarter of 2026 and 2025, respectively.</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principal investing activities in the first quarter of 2026 included $ 1.5 billion in net purchases of short-term investments and $811 million of capital expenditures, which primarily related to the purchase of nine Boeing 737 MAX aircraft, two Embraer E175 aircraft, one Bombardier CRJ900 aircraft and six aircraft engines.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principal investing activities in the first quarter of 2025 included $824 million of capital expenditures, which primarily related to the purchase of seven Boeing 737 MAX aircraft, two Embraer E175 aircraft, two Bombardier CRJ900 aircraft, one Airbus A321neo aircraft and four aircraft engines. Additionally, we had $457 million in net purchases of short-term investments.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$1.9 billion and $1.2 billion for the first quarter of 2026 and 2025,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financing activities in the first quarter of 2026 included $2.3 billion in long-term debt and finance lease repayments, consisting of the $1.0 billion early repayment on the outstanding principal amount of the 8.50% senior secured notes and $1.3 billion in scheduled repayments, including the outstanding principal amount of the senior short-term term loan facility. Additionally, we incurred $554 million in net payments on fuel financing transactions. These cash outflows were offset in part by $997 million of proceeds from the issuance of EETCs in connection with the financing of certain aircraft.</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principal financing activities in the first quarter of 2025 primarily included $1.4 billion in long-term debt and finance lease repayments, consisting of $910 million in scheduled repayments, $308 million of early repayments toward portions of the outstanding principal amounts of the 10.75% senior secured IP notes and 10.75% senior secured LGA/DCA notes and $144 million of early repayments for the outstanding principal amount of equipment notes issued under an EETC. These cash outflows were offset in part by $325 million of proceeds from the issuance of long-term debt, primarily from the issuance of equipment loans and other notes payable in connection with the financing of certain aircraft.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net cash provided by operating activities was $4.2 billion and $2.3 billion for the first quarter of 2026 and 2025, respectively, a $1.8 billion period-over-period increase driven primarily by working capital increases principally in American’s air traffic liability and loyalty program deferred revenue.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$2.3 billion and $1.2 billion for the first quarter of 2026 and 2025, respectively.</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principal investing activities in the first quarter of 2026 included $1.5 billion in net purchases of short-term investments and $788 million of capital expenditures, which primarily related to the purchase of nine Boeing 737 MAX aircraft, two Embraer E175 aircraft, one Bombardier CRJ900 aircraft and six aircraft engines.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principal investing activities in the first quarter of 2025 included $805 million of capital expenditures, which primarily related to the purchase of seven Boeing 737 MAX aircraft, two Embraer E175 aircraft, two Bombardier CRJ900 aircraft, one Airbus A321neo aircraft and four aircraft engines. Additionally, American had $457 million in net purchases of short-term investments.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$1.9 billion and $1.1 billion for the first quarter of 2026 and 2025,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principal financing activities in the first quarter of 2026 included $2.3 billion in long-term debt and finance lease repayments, consisting of the $1.0 billion early repayment on the outstanding principal amount of the 8.50% senior secured notes and $1.3 billion in scheduled repayments, including the outstanding principal amount of the senior short-term term loan facility. Additionally, American incurred $554 million in net payments on fuel financing transactions. These cash outflows were offset in part by $997 million of proceeds from the issuance of EETCs in connection with the financing of certain aircraft.</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principal financing activities in the first quarter of 2025 primarily included $1.4 billion in long-term debt and finance lease repayments, consisting of $909 million in scheduled repayments, $ 308 million of early repayments toward portions of the outstanding principal amounts of the 10.75% senior secured IP notes and 10.75% senior secured LGA/DCA notes and $ 144 million of early repayments for the outstanding principal amount of equipment notes issued under an EETC. These cash outflows were offset in part by $325 million of proceeds from the issuance of long-term debt, primarily from the issuance of equipment loans and other notes payable in connection with the financing of certain aircraft.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March 31, 2026, AAG had $27.3 billion in long-term debt, including current maturities of $4.1 billion. As of March 31, 2026, American had $23.6 billion in long-term debt, including current maturities of $ 4.1 billion. All material changes in our significant indebtedness since our 2025 Form 10-K are discussed in Note 5 to AAG’s Condensed Consolidated Financial Statements in Part I, Item 1A and Note 4 to American’s Condensed Consolidated Financial Statements in Part I, Item 1B.</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March 31, 2026,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1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1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2029 and</w:t>
            </w: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2026</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4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4"/>
          </w:tcPr>
          <w:p>
            <w:pPr>
              <w:spacing w:after="0" w:line="230" w:lineRule="exact"/>
              <w:rPr>
                <w:sz w:val="20"/>
                <w:szCs w:val="20"/>
                <w:color w:val="auto"/>
              </w:rPr>
            </w:pPr>
            <w:r>
              <w:rPr>
                <w:rFonts w:ascii="Arial" w:cs="Arial" w:eastAsia="Arial" w:hAnsi="Arial"/>
                <w:sz w:val="18"/>
                <w:szCs w:val="18"/>
                <w:color w:val="auto"/>
              </w:rPr>
              <w:t>A320 Family</w:t>
            </w:r>
            <w:r>
              <w:rPr>
                <w:rFonts w:ascii="Arial" w:cs="Arial" w:eastAsia="Arial" w:hAnsi="Arial"/>
                <w:sz w:val="23"/>
                <w:szCs w:val="23"/>
                <w:color w:val="auto"/>
                <w:vertAlign w:val="superscript"/>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4180" w:type="dxa"/>
            <w:vAlign w:val="bottom"/>
            <w:tcBorders>
              <w:bottom w:val="single" w:sz="8" w:color="CCEEFF"/>
            </w:tcBorders>
            <w:gridSpan w:val="2"/>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737 Family</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E175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45"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 xml:space="preserve">Delivery schedule represents our best estimate as of the date of this report as described in footnote (d)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Actual delivery dates are subject to change, which could be material, based on various potential factors including production delays by the manufacturer and regulatory concerns. See Part I, Item 1A. Risk Factors – </w:t>
      </w:r>
      <w:r>
        <w:rPr>
          <w:rFonts w:ascii="Arial" w:cs="Arial" w:eastAsia="Arial" w:hAnsi="Arial"/>
          <w:sz w:val="18"/>
          <w:szCs w:val="18"/>
          <w:i w:val="1"/>
          <w:iCs w:val="1"/>
          <w:color w:val="auto"/>
        </w:rPr>
        <w:t>“We depend on a limited number of suppliers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t>
      </w:r>
      <w:r>
        <w:rPr>
          <w:rFonts w:ascii="Arial" w:cs="Arial" w:eastAsia="Arial" w:hAnsi="Arial"/>
          <w:sz w:val="18"/>
          <w:szCs w:val="18"/>
          <w:color w:val="auto"/>
        </w:rPr>
        <w:t>in our 2025</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13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table above and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table below reflect our exercise of purchase options for six Airbus A320 Family aircraft in April 2026.</w:t>
      </w:r>
    </w:p>
    <w:p>
      <w:pPr>
        <w:spacing w:after="0" w:line="14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 xml:space="preserve">In addition, we have committed to purchase three used Bombardier CRJ900 aircraft which are scheduled to be delivered in 2026. We also have agreements for 42 spare engines to be delivered in the second quarter of 2026 and beyond.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reflects these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intend to finance future aircraft deliveries and option exercises using long-term debt.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2025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March 31, 2026 (in millions). The table does not include commitments that are contingent on events or other factors that are uncertain or unknown at this time and is subject to other conventions as set forth in the applicable accompanying footnotes.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Remainder</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2031 and</w:t>
            </w:r>
          </w:p>
        </w:tc>
        <w:tc>
          <w:tcPr>
            <w:tcW w:w="22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2026</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23,559</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24,055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76"/>
        </w:trPr>
        <w:tc>
          <w:tcPr>
            <w:tcW w:w="4060" w:type="dxa"/>
            <w:vAlign w:val="bottom"/>
          </w:tcPr>
          <w:p>
            <w:pPr>
              <w:ind w:left="20"/>
              <w:spacing w:after="0" w:line="176" w:lineRule="exact"/>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68"/>
        </w:trPr>
        <w:tc>
          <w:tcPr>
            <w:tcW w:w="4060" w:type="dxa"/>
            <w:vAlign w:val="bottom"/>
            <w:vMerge w:val="restart"/>
          </w:tcPr>
          <w:p>
            <w:pPr>
              <w:ind w:left="180"/>
              <w:spacing w:after="0"/>
              <w:rPr>
                <w:sz w:val="20"/>
                <w:szCs w:val="20"/>
                <w:color w:val="auto"/>
              </w:rPr>
            </w:pPr>
            <w:r>
              <w:rPr>
                <w:rFonts w:ascii="Arial" w:cs="Arial" w:eastAsia="Arial" w:hAnsi="Arial"/>
                <w:sz w:val="12"/>
                <w:szCs w:val="12"/>
                <w:color w:val="auto"/>
              </w:rPr>
              <w:t>(f)</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4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23"/>
        </w:trPr>
        <w:tc>
          <w:tcPr>
            <w:tcW w:w="406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purchase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060" w:type="dxa"/>
            <w:vAlign w:val="bottom"/>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$286 million and $2 million of unamortized debt discount, premium and issuance costs as of March 31, 2026 for American and AAG Parent, respectively. For additional information, see Note 5 and Note 4 to AAG’s and American’s Condensed Consolidated Financial Statements in Part I, Items 1A and 1B,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March 31, 2026.</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28"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Includes $7.8 billion of future principal payments and $1.1 billion of future interest payments as of March 31, 2026, related to EETCs associated with mortgage financings of certain aircraft and spare engines.</w:t>
      </w:r>
    </w:p>
    <w:p>
      <w:pPr>
        <w:spacing w:after="0" w:line="140"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above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equipment manufacturers and regulatory concerns.</w:t>
      </w:r>
    </w:p>
    <w:p>
      <w:pPr>
        <w:spacing w:after="0" w:line="13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These commitments are estimates of costs based on assumed minimum levels of flying under the capacity purchase agreements and American’s actual payments could differ materially.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40" w:hanging="332"/>
        <w:spacing w:after="0"/>
        <w:tabs>
          <w:tab w:leader="none" w:pos="329"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and expected contributions to our retiree medical and other postretirement plans based on actuarially determined estimates as of December 31, 2025 and is based on estimated payments through 2035. During the first three months of 2026, we made required contributions of $236 million and supplemental contributions of $50 million to our defined benefit pension plans.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governmental actions, military actions, terrorism, disease outbreaks, natural disasters or other causes could reduce the demand for air travel, which would reduce the amount of cash generated by operations. See Part 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in our 2025 Form 10-K for additional discussion. An increase in costs, either due to an increase in borrowing costs caused by a reduction in credit ratings or a general increase in interest rates, due to an increase in the cost of fuel, maintenance, aircraft, aircraft engines or parts, or due to an increase in tariffs,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information regarding our critical accounting policies and estimates, see Part II, Item 7. Management’s Discussion and Analysis of Financial Condition and Results of Operations –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xml:space="preserve"> in our 2025 Form 10-K.</w:t>
      </w:r>
    </w:p>
    <w:p>
      <w:pPr>
        <w:spacing w:after="0" w:line="180" w:lineRule="exact"/>
        <w:rPr>
          <w:sz w:val="20"/>
          <w:szCs w:val="20"/>
          <w:color w:val="auto"/>
        </w:rPr>
      </w:pPr>
    </w:p>
    <w:p>
      <w:pPr>
        <w:ind w:right="4240"/>
        <w:spacing w:after="0" w:line="344"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2025 Form 10-K except as updated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As of March 31, 2026,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2026 forecasted fuel consumption, we estimate that a one cent per gallon increase in the price of aircraft fuel would increase our 2026 annual fuel expense by approximately $45 million. See Part I, Item 1A. Risk Factors –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 </w:t>
      </w:r>
      <w:r>
        <w:rPr>
          <w:rFonts w:ascii="Arial" w:cs="Arial" w:eastAsia="Arial" w:hAnsi="Arial"/>
          <w:sz w:val="18"/>
          <w:szCs w:val="18"/>
          <w:color w:val="auto"/>
        </w:rPr>
        <w:t>in our 2025 Form 10-K</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in our 2025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March 31, 2026 variable-rate debt and short-term investments balances, annual interest expense on variable rate debt would increase by approximately $140 million and annual interest income on short-term investments would increase by approximately $70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March 31, 2026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March 31, 2026 at the reasonable assurance level.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quarter ended March 31, 2026, there have been no changes in AAG’s or American’s internal control over financial reporting that have materially affected, or are reasonably likely to materially affect, AAG’s and American’s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March 31, 2026.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12 to each of AAG and American’s Condensed Consolidated Financial Statements in Part I, Item 1A and Part I, Item 1B, respectively,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There have been no material changes in our risk factors as previously disclosed in Part I, Item 1A in our 2025 Form 10-K. The risks in our 2025 Form 10-K are not the only risks facing AAG and American. Additional risks and uncertainties not currently known to us, or that we currently deem to be immaterial, could also materially adversely affect our business, financial condition or future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quarter ended March 31, 2026, none of our directors or “officers” (as defined in Rule 16a-1(f) under the Exchange Act) adopted, modified or terminated any contract, instruction or written plan for the purchase or sale of AAG securities that was intended to satisfy the affirmative defense conditions of Rule 10b5-1(c) or any “non-Rule 10b5-1 trading arrangement.”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4"/>
        </w:trPr>
        <w:tc>
          <w:tcPr>
            <w:tcW w:w="7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0" w:type="dxa"/>
            <w:vAlign w:val="bottom"/>
            <w:gridSpan w:val="2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10560" w:type="dxa"/>
            <w:vAlign w:val="bottom"/>
            <w:gridSpan w:val="28"/>
          </w:tcPr>
          <w:p>
            <w:pPr>
              <w:spacing w:after="0"/>
              <w:rPr>
                <w:rFonts w:ascii="Arial" w:cs="Arial" w:eastAsia="Arial" w:hAnsi="Arial"/>
                <w:sz w:val="18"/>
                <w:szCs w:val="18"/>
                <w:color w:val="0000FF"/>
              </w:rPr>
            </w:pPr>
            <w:hyperlink r:id="rId118">
              <w:r>
                <w:rPr>
                  <w:rFonts w:ascii="Arial" w:cs="Arial" w:eastAsia="Arial" w:hAnsi="Arial"/>
                  <w:sz w:val="18"/>
                  <w:szCs w:val="18"/>
                  <w:color w:val="0000FF"/>
                </w:rPr>
                <w:t>Severance Agreement and Restrictive Covenants Agreement, dated as of January 5, 2026, among American Airlines Group Inc.,</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American Airlines, Inc. and Nathaniel Pieper (incorporated by reference to Exhibit 10.153 to American Airlines Group Inc.’s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16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Annual Report on Form 10-K filed on February 18, 2026 (Commission File No. 1-8400)). †</w:t>
              </w:r>
            </w:hyperlink>
          </w:p>
        </w:tc>
        <w:tc>
          <w:tcPr>
            <w:tcW w:w="338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10560" w:type="dxa"/>
            <w:vAlign w:val="bottom"/>
            <w:gridSpan w:val="28"/>
          </w:tcPr>
          <w:p>
            <w:pPr>
              <w:spacing w:after="0"/>
              <w:rPr>
                <w:rFonts w:ascii="Arial" w:cs="Arial" w:eastAsia="Arial" w:hAnsi="Arial"/>
                <w:sz w:val="18"/>
                <w:szCs w:val="18"/>
                <w:color w:val="0000FF"/>
              </w:rPr>
            </w:pPr>
            <w:hyperlink r:id="rId119">
              <w:r>
                <w:rPr>
                  <w:rFonts w:ascii="Arial" w:cs="Arial" w:eastAsia="Arial" w:hAnsi="Arial"/>
                  <w:sz w:val="18"/>
                  <w:szCs w:val="18"/>
                  <w:color w:val="0000FF"/>
                </w:rPr>
                <w:t>Eleventh Amendment to Amended and Restated Credit and Guaranty Agreement, dated as of March 5, 2026, amending the</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6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Amended and Restated Credit and Guaranty Agreement, dated as of April 20, 2015, among American Airlines, Inc., American</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00" w:type="dxa"/>
            <w:vAlign w:val="bottom"/>
            <w:gridSpan w:val="25"/>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Airlines Group Inc., the lenders from time to time party thereto, Citibank, N.A., as administrative agent, and certain other parties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60" w:type="dxa"/>
            <w:vAlign w:val="bottom"/>
            <w:gridSpan w:val="28"/>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thereto (incorporated by reference to Exhibit 10.1 to American Airlines Group Inc.’s Current Report on Form 8-K filed on March 9,</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2026 (Commission File No. 1-8400)).*</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0"/>
                <w:szCs w:val="20"/>
                <w:color w:val="auto"/>
              </w:rPr>
            </w:pPr>
          </w:p>
        </w:tc>
        <w:tc>
          <w:tcPr>
            <w:tcW w:w="10560" w:type="dxa"/>
            <w:vAlign w:val="bottom"/>
            <w:gridSpan w:val="28"/>
          </w:tcPr>
          <w:p>
            <w:pPr>
              <w:spacing w:after="0"/>
              <w:rPr>
                <w:rFonts w:ascii="Arial" w:cs="Arial" w:eastAsia="Arial" w:hAnsi="Arial"/>
                <w:sz w:val="18"/>
                <w:szCs w:val="18"/>
                <w:color w:val="0000FF"/>
              </w:rPr>
            </w:pPr>
            <w:hyperlink r:id="rId120">
              <w:r>
                <w:rPr>
                  <w:rFonts w:ascii="Arial" w:cs="Arial" w:eastAsia="Arial" w:hAnsi="Arial"/>
                  <w:sz w:val="18"/>
                  <w:szCs w:val="18"/>
                  <w:color w:val="0000FF"/>
                </w:rPr>
                <w:t>Eleventh Amendment to Amended and Restated Credit and Guaranty Agreement, dated as of March 5, 2026, amending the</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Amended and Restated Credit and Guaranty Agreement, dated as of May 21, 2015, among American Airlines, Inc., American</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2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Airlines Group Inc., the lenders from time to time party thereto and Barclays Bank PLC, as administrative agent (incorporated by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reference to Exhibit 10.2 to American Airlines Group Inc.’s Current Report on Form 8-K filed on March 9, 2026 (Commission File</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No. 1-8400)).*</w:t>
              </w:r>
            </w:hyperlink>
          </w:p>
        </w:tc>
        <w:tc>
          <w:tcPr>
            <w:tcW w:w="9260" w:type="dxa"/>
            <w:vAlign w:val="bottom"/>
            <w:gridSpan w:val="20"/>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0560" w:type="dxa"/>
            <w:vAlign w:val="bottom"/>
            <w:gridSpan w:val="28"/>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Fourth Amendment to Credit and Guaranty Agreement, dated as of March 5, 2026, amending the Credit and Guaranty</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6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Agreement, dated as of December 4, 2023, among American Airlines, Inc., as the borrower, American Airlines Group Inc., as</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20" w:type="dxa"/>
            <w:vAlign w:val="bottom"/>
            <w:gridSpan w:val="26"/>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parent and guarantor, the lenders from time to time party thereto, Citibank, N.A., as administrative agent, and certain other</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parties from time to time party thereto (incorporated by reference to Exhibit 10.3 to American Airlines Group Inc.’s Current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on Form 8-K filed on March 9, 2026 (Commission File No. 1-8400)).*</w:t>
              </w:r>
            </w:hyperlink>
          </w:p>
        </w:tc>
        <w:tc>
          <w:tcPr>
            <w:tcW w:w="4980" w:type="dxa"/>
            <w:vAlign w:val="bottom"/>
            <w:tcBorders>
              <w:top w:val="single" w:sz="8" w:color="0000FF"/>
            </w:tcBorders>
            <w:gridSpan w:val="17"/>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c>
          <w:tcPr>
            <w:tcW w:w="10560" w:type="dxa"/>
            <w:vAlign w:val="bottom"/>
            <w:gridSpan w:val="28"/>
          </w:tcPr>
          <w:p>
            <w:pPr>
              <w:spacing w:after="0"/>
              <w:rPr>
                <w:sz w:val="20"/>
                <w:szCs w:val="20"/>
                <w:color w:val="auto"/>
              </w:rPr>
            </w:pPr>
            <w:r>
              <w:rPr>
                <w:rFonts w:ascii="Arial" w:cs="Arial" w:eastAsia="Arial" w:hAnsi="Arial"/>
                <w:sz w:val="18"/>
                <w:szCs w:val="18"/>
                <w:color w:val="0000FF"/>
              </w:rPr>
              <w:t>Supplemental Agreement No. 37, dated as of January 14, 2026, to Purchase Agreement No. 03735 dated as of February 1,</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0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2013, by and between American Airlines, Inc. and The Boeing Company.*</w:t>
            </w: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0"/>
                <w:szCs w:val="20"/>
                <w:color w:val="auto"/>
              </w:rPr>
            </w:pPr>
          </w:p>
        </w:tc>
        <w:tc>
          <w:tcPr>
            <w:tcW w:w="57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Certification of AAG Chief Executive Officer pursuant to Rule 13a-14(a).</w:t>
            </w:r>
          </w:p>
        </w:tc>
        <w:tc>
          <w:tcPr>
            <w:tcW w:w="140" w:type="dxa"/>
            <w:vAlign w:val="bottom"/>
            <w:tcBorders>
              <w:top w:val="single" w:sz="8" w:color="0000FF"/>
            </w:tcBorders>
            <w:gridSpan w:val="2"/>
          </w:tcPr>
          <w:p>
            <w:pPr>
              <w:spacing w:after="0"/>
              <w:rPr>
                <w:sz w:val="20"/>
                <w:szCs w:val="20"/>
                <w:color w:val="auto"/>
              </w:rPr>
            </w:pPr>
          </w:p>
        </w:tc>
        <w:tc>
          <w:tcPr>
            <w:tcW w:w="470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0"/>
                <w:szCs w:val="20"/>
                <w:color w:val="auto"/>
              </w:rPr>
            </w:pPr>
          </w:p>
        </w:tc>
        <w:tc>
          <w:tcPr>
            <w:tcW w:w="56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of AAG Chief Financial Officer pursuant to Rule 13a-14(a).</w:t>
            </w:r>
          </w:p>
        </w:tc>
        <w:tc>
          <w:tcPr>
            <w:tcW w:w="490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0"/>
                <w:szCs w:val="20"/>
                <w:color w:val="auto"/>
              </w:rPr>
            </w:pPr>
          </w:p>
        </w:tc>
        <w:tc>
          <w:tcPr>
            <w:tcW w:w="61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Certification of American Chief Executive Officer pursuant to Rule 13a-14(a).</w:t>
            </w:r>
          </w:p>
        </w:tc>
        <w:tc>
          <w:tcPr>
            <w:tcW w:w="446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0"/>
                <w:szCs w:val="20"/>
                <w:color w:val="auto"/>
              </w:rPr>
            </w:pPr>
          </w:p>
        </w:tc>
        <w:tc>
          <w:tcPr>
            <w:tcW w:w="60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Certification of American Chief Financial Officer pursuant to Rule 13a-14(a).</w:t>
            </w:r>
          </w:p>
        </w:tc>
        <w:tc>
          <w:tcPr>
            <w:tcW w:w="45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10560" w:type="dxa"/>
            <w:vAlign w:val="bottom"/>
            <w:gridSpan w:val="28"/>
          </w:tcPr>
          <w:p>
            <w:pPr>
              <w:spacing w:after="0"/>
              <w:rPr>
                <w:sz w:val="20"/>
                <w:szCs w:val="20"/>
                <w:color w:val="auto"/>
              </w:rPr>
            </w:pPr>
            <w:r>
              <w:rPr>
                <w:rFonts w:ascii="Arial" w:cs="Arial" w:eastAsia="Arial" w:hAnsi="Arial"/>
                <w:sz w:val="18"/>
                <w:szCs w:val="18"/>
                <w:color w:val="0000FF"/>
              </w:rPr>
              <w:t>AAG Certification pursuant to Rule 13a-14(b) and section 906 of the Sarbanes-Oxley Act of 2002 (subsections (a) and (b) of</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8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section 1350, chapter 63 of title 18, United States Code).</w:t>
            </w:r>
          </w:p>
        </w:tc>
        <w:tc>
          <w:tcPr>
            <w:tcW w:w="6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5920" w:type="dxa"/>
            <w:vAlign w:val="bottom"/>
            <w:gridSpan w:val="1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0"/>
                <w:szCs w:val="20"/>
                <w:color w:val="auto"/>
              </w:rPr>
            </w:pPr>
          </w:p>
        </w:tc>
        <w:tc>
          <w:tcPr>
            <w:tcW w:w="10560" w:type="dxa"/>
            <w:vAlign w:val="bottom"/>
            <w:gridSpan w:val="28"/>
          </w:tcPr>
          <w:p>
            <w:pPr>
              <w:spacing w:after="0"/>
              <w:rPr>
                <w:sz w:val="20"/>
                <w:szCs w:val="20"/>
                <w:color w:val="auto"/>
              </w:rPr>
            </w:pPr>
            <w:r>
              <w:rPr>
                <w:rFonts w:ascii="Arial" w:cs="Arial" w:eastAsia="Arial" w:hAnsi="Arial"/>
                <w:sz w:val="18"/>
                <w:szCs w:val="18"/>
                <w:color w:val="0000FF"/>
              </w:rPr>
              <w:t>American Certification pursuant to Rule 13a-14(b) and section 906 of the Sarbanes-Oxley Act of 2002 (subsections (a) and (b) of</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4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section 1350, chapter 63 of title 18, United States Code).</w:t>
            </w: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604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4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1"/>
                <w:szCs w:val="21"/>
                <w:color w:val="auto"/>
              </w:rPr>
            </w:pPr>
          </w:p>
        </w:tc>
        <w:tc>
          <w:tcPr>
            <w:tcW w:w="10560" w:type="dxa"/>
            <w:vAlign w:val="bottom"/>
            <w:gridSpan w:val="28"/>
          </w:tcPr>
          <w:p>
            <w:pPr>
              <w:spacing w:after="0"/>
              <w:rPr>
                <w:sz w:val="20"/>
                <w:szCs w:val="20"/>
                <w:color w:val="auto"/>
              </w:rPr>
            </w:pPr>
            <w:r>
              <w:rPr>
                <w:rFonts w:ascii="Arial" w:cs="Arial" w:eastAsia="Arial" w:hAnsi="Arial"/>
                <w:sz w:val="18"/>
                <w:szCs w:val="18"/>
                <w:color w:val="auto"/>
              </w:rPr>
              <w:t>Interactive data files pursuant to Rule 405 of Regulation S-T, formatted in Inline XBRL (eXtensible Business Reporting</w:t>
            </w: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60" w:type="dxa"/>
            <w:vAlign w:val="bottom"/>
            <w:gridSpan w:val="28"/>
          </w:tcPr>
          <w:p>
            <w:pPr>
              <w:spacing w:after="0"/>
              <w:rPr>
                <w:sz w:val="20"/>
                <w:szCs w:val="20"/>
                <w:color w:val="auto"/>
              </w:rPr>
            </w:pPr>
            <w:r>
              <w:rPr>
                <w:rFonts w:ascii="Arial" w:cs="Arial" w:eastAsia="Arial" w:hAnsi="Arial"/>
                <w:sz w:val="18"/>
                <w:szCs w:val="18"/>
                <w:color w:val="auto"/>
              </w:rPr>
              <w:t>Language).</w:t>
            </w:r>
          </w:p>
        </w:tc>
        <w:tc>
          <w:tcPr>
            <w:tcW w:w="0" w:type="dxa"/>
            <w:vAlign w:val="bottom"/>
          </w:tcPr>
          <w:p>
            <w:pPr>
              <w:spacing w:after="0"/>
              <w:rPr>
                <w:sz w:val="1"/>
                <w:szCs w:val="1"/>
                <w:color w:val="auto"/>
              </w:rPr>
            </w:pPr>
          </w:p>
        </w:tc>
      </w:tr>
      <w:tr>
        <w:trPr>
          <w:trHeight w:val="257"/>
        </w:trPr>
        <w:tc>
          <w:tcPr>
            <w:tcW w:w="540" w:type="dxa"/>
            <w:vAlign w:val="bottom"/>
          </w:tcPr>
          <w:p>
            <w:pPr>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2"/>
                <w:szCs w:val="22"/>
                <w:color w:val="auto"/>
              </w:rPr>
            </w:pPr>
          </w:p>
        </w:tc>
        <w:tc>
          <w:tcPr>
            <w:tcW w:w="10560" w:type="dxa"/>
            <w:vAlign w:val="bottom"/>
            <w:gridSpan w:val="28"/>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-3619500</wp:posOffset>
            </wp:positionV>
            <wp:extent cx="317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87" w:lineRule="exact"/>
        <w:rPr>
          <w:sz w:val="20"/>
          <w:szCs w:val="20"/>
          <w:color w:val="auto"/>
        </w:rPr>
      </w:pPr>
    </w:p>
    <w:p>
      <w:pPr>
        <w:ind w:left="640" w:hanging="250"/>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Portions of this exhibit have been omitted in accordance with Item 601(b)(10) of Regulation S-K.</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April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4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April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7" w:name="page58"/>
    <w:bookmarkEnd w:id="57"/>
    <w:p>
      <w:pPr>
        <w:ind w:left="10240"/>
        <w:spacing w:after="0"/>
        <w:rPr>
          <w:sz w:val="20"/>
          <w:szCs w:val="20"/>
          <w:color w:val="auto"/>
        </w:rPr>
      </w:pPr>
      <w:r>
        <w:rPr>
          <w:rFonts w:ascii="Arial" w:cs="Arial" w:eastAsia="Arial" w:hAnsi="Arial"/>
          <w:sz w:val="17"/>
          <w:szCs w:val="17"/>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325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67" w:lineRule="exact"/>
        <w:rPr>
          <w:sz w:val="20"/>
          <w:szCs w:val="20"/>
          <w:color w:val="auto"/>
        </w:rPr>
      </w:pPr>
    </w:p>
    <w:p>
      <w:pPr>
        <w:ind w:left="40" w:right="80"/>
        <w:spacing w:after="0" w:line="296"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37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This SUPPLEMENTAL AGREEMENT No. 37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37</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January </w:t>
      </w:r>
      <w:r>
        <w:rPr>
          <w:rFonts w:ascii="Arial" w:cs="Arial" w:eastAsia="Arial" w:hAnsi="Arial"/>
          <w:sz w:val="22"/>
          <w:szCs w:val="22"/>
          <w:u w:val="single" w:color="auto"/>
          <w:color w:val="auto"/>
        </w:rPr>
        <w:t>14</w:t>
      </w:r>
      <w:r>
        <w:rPr>
          <w:rFonts w:ascii="Arial" w:cs="Arial" w:eastAsia="Arial" w:hAnsi="Arial"/>
          <w:sz w:val="22"/>
          <w:szCs w:val="22"/>
          <w:color w:val="auto"/>
        </w:rPr>
        <w:t xml:space="preserve"> , 2026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00"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22"/>
          <w:szCs w:val="22"/>
          <w:color w:val="auto"/>
        </w:rPr>
        <w:t>WHEREAS, Boeing provided to Customer notice No. AAL-NM-2506297, dated December 1, 2025, [****] to Customer for [****] Aircraft, each capitalized term as defined in Letter Agreement No. AAL-PA-3735-LA-2306984 entitled “[****]” (the [****]);</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WHEREAS, Customer provided notice to Boeing, on December 16, 2025, [****] Aircraft and Boeing and Customer agree to [****] such [****] Aircraft (now a [****] Aircraft (as defined in the [****])) to the following [****] (as defined in the [****]) as shown below: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70" w:type="dxa"/>
        <w:tblCellMar>
          <w:top w:w="0" w:type="dxa"/>
          <w:left w:w="0" w:type="dxa"/>
          <w:bottom w:w="0" w:type="dxa"/>
          <w:right w:w="0" w:type="dxa"/>
        </w:tblCellMar>
      </w:tblPr>
      <w:tr>
        <w:trPr>
          <w:trHeight w:val="365"/>
        </w:trPr>
        <w:tc>
          <w:tcPr>
            <w:tcW w:w="2540" w:type="dxa"/>
            <w:vAlign w:val="bottom"/>
            <w:tcBorders>
              <w:top w:val="single" w:sz="8" w:color="auto"/>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top w:val="single" w:sz="8" w:color="auto"/>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top w:val="single" w:sz="8" w:color="auto"/>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1"/>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1"/>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SA-37</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22" w:right="339" w:bottom="1440" w:gutter="0" w:footer="0" w:header="0"/>
        </w:sectPr>
      </w:pPr>
    </w:p>
    <w:bookmarkStart w:id="58" w:name="page59"/>
    <w:bookmarkEnd w:id="58"/>
    <w:tbl>
      <w:tblPr>
        <w:tblLayout w:type="fixed"/>
        <w:tblInd w:w="1070" w:type="dxa"/>
        <w:tblCellMar>
          <w:top w:w="0" w:type="dxa"/>
          <w:left w:w="0" w:type="dxa"/>
          <w:bottom w:w="0" w:type="dxa"/>
          <w:right w:w="0" w:type="dxa"/>
        </w:tblCellMar>
      </w:tblPr>
      <w:tr>
        <w:trPr>
          <w:trHeight w:val="365"/>
        </w:trPr>
        <w:tc>
          <w:tcPr>
            <w:tcW w:w="2540" w:type="dxa"/>
            <w:vAlign w:val="bottom"/>
            <w:tcBorders>
              <w:top w:val="single" w:sz="8" w:color="auto"/>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top w:val="single" w:sz="8" w:color="auto"/>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top w:val="single" w:sz="8" w:color="auto"/>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2"/>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2"/>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1"/>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1"/>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2"/>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2"/>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1"/>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345"/>
        </w:trPr>
        <w:tc>
          <w:tcPr>
            <w:tcW w:w="2540" w:type="dxa"/>
            <w:vAlign w:val="bottom"/>
            <w:tcBorders>
              <w:left w:val="single" w:sz="8" w:color="auto"/>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256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c>
          <w:tcPr>
            <w:tcW w:w="2540" w:type="dxa"/>
            <w:vAlign w:val="bottom"/>
            <w:tcBorders>
              <w:right w:val="single" w:sz="8" w:color="auto"/>
            </w:tcBorders>
          </w:tcPr>
          <w:p>
            <w:pPr>
              <w:jc w:val="right"/>
              <w:ind w:right="1112"/>
              <w:spacing w:after="0"/>
              <w:rPr>
                <w:sz w:val="20"/>
                <w:szCs w:val="20"/>
                <w:color w:val="auto"/>
              </w:rPr>
            </w:pPr>
            <w:r>
              <w:rPr>
                <w:rFonts w:ascii="Arial" w:cs="Arial" w:eastAsia="Arial" w:hAnsi="Arial"/>
                <w:sz w:val="22"/>
                <w:szCs w:val="22"/>
                <w:color w:val="auto"/>
              </w:rPr>
              <w:t>[****]</w:t>
            </w:r>
          </w:p>
        </w:tc>
      </w:tr>
      <w:tr>
        <w:trPr>
          <w:trHeight w:val="161"/>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bl>
    <w:p>
      <w:pPr>
        <w:spacing w:after="0" w:line="325" w:lineRule="exact"/>
        <w:rPr>
          <w:sz w:val="20"/>
          <w:szCs w:val="20"/>
          <w:color w:val="auto"/>
        </w:rPr>
      </w:pPr>
    </w:p>
    <w:p>
      <w:pPr>
        <w:jc w:val="both"/>
        <w:ind w:firstLine="466"/>
        <w:spacing w:after="0" w:line="257" w:lineRule="auto"/>
        <w:rPr>
          <w:sz w:val="20"/>
          <w:szCs w:val="20"/>
          <w:color w:val="auto"/>
        </w:rPr>
      </w:pPr>
      <w:r>
        <w:rPr>
          <w:rFonts w:ascii="Arial" w:cs="Arial" w:eastAsia="Arial" w:hAnsi="Arial"/>
          <w:sz w:val="22"/>
          <w:szCs w:val="22"/>
          <w:color w:val="auto"/>
        </w:rPr>
        <w:t>WHEREAS, Customer and Boeing agree to [****], as defined in Letter Agreement No. AAL-PA-03735-LA-1106651R16 entitled “[****]” (the [****]), for [****] ([****]) [****] Aircraft, (as defined in the [****]) listed in Attachment B of the [****], to the [****]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152400</wp:posOffset>
            </wp:positionV>
            <wp:extent cx="2940050" cy="1346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940050" cy="1346200"/>
                    </a:xfrm>
                    <a:prstGeom prst="rect">
                      <a:avLst/>
                    </a:prstGeom>
                    <a:noFill/>
                  </pic:spPr>
                </pic:pic>
              </a:graphicData>
            </a:graphic>
          </wp:anchor>
        </w:drawing>
      </w:r>
    </w:p>
    <w:p>
      <w:pPr>
        <w:spacing w:after="0" w:line="301" w:lineRule="exact"/>
        <w:rPr>
          <w:sz w:val="20"/>
          <w:szCs w:val="20"/>
          <w:color w:val="auto"/>
        </w:rPr>
      </w:pPr>
    </w:p>
    <w:p>
      <w:pPr>
        <w:ind w:left="2760"/>
        <w:spacing w:after="0"/>
        <w:tabs>
          <w:tab w:leader="none" w:pos="50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2760"/>
        <w:spacing w:after="0"/>
        <w:tabs>
          <w:tab w:leader="none" w:pos="50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2760"/>
        <w:spacing w:after="0"/>
        <w:tabs>
          <w:tab w:leader="none" w:pos="50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74" w:lineRule="exact"/>
        <w:rPr>
          <w:sz w:val="20"/>
          <w:szCs w:val="20"/>
          <w:color w:val="auto"/>
        </w:rPr>
      </w:pPr>
    </w:p>
    <w:p>
      <w:pPr>
        <w:ind w:left="2760"/>
        <w:spacing w:after="0"/>
        <w:tabs>
          <w:tab w:leader="none" w:pos="50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314" w:lineRule="exact"/>
        <w:rPr>
          <w:sz w:val="20"/>
          <w:szCs w:val="20"/>
          <w:color w:val="auto"/>
        </w:rPr>
      </w:pPr>
    </w:p>
    <w:p>
      <w:pPr>
        <w:ind w:left="1040" w:hanging="384"/>
        <w:spacing w:after="0"/>
        <w:tabs>
          <w:tab w:leader="none" w:pos="104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Table of Contents.</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SA-36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SA-37 in the footer to reflect changes made to the Purchase Agreement by this SA-37. Such new Table of Contents is hereby incorporated into the Purchase Agreement in replacement of its predecessor.</w:t>
      </w:r>
    </w:p>
    <w:p>
      <w:pPr>
        <w:spacing w:after="0" w:line="297" w:lineRule="exact"/>
        <w:rPr>
          <w:sz w:val="20"/>
          <w:szCs w:val="20"/>
          <w:color w:val="auto"/>
        </w:rPr>
      </w:pPr>
    </w:p>
    <w:p>
      <w:pPr>
        <w:ind w:left="1040" w:hanging="384"/>
        <w:spacing w:after="0"/>
        <w:tabs>
          <w:tab w:leader="none" w:pos="10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Tables.</w:t>
      </w:r>
    </w:p>
    <w:p>
      <w:pPr>
        <w:spacing w:after="0" w:line="17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u w:val="single" w:color="auto"/>
          <w:color w:val="auto"/>
        </w:rPr>
        <w:t>Table 1-7.</w:t>
      </w:r>
      <w:r>
        <w:rPr>
          <w:rFonts w:ascii="Arial" w:cs="Arial" w:eastAsia="Arial" w:hAnsi="Arial"/>
          <w:sz w:val="22"/>
          <w:szCs w:val="22"/>
          <w:color w:val="auto"/>
        </w:rPr>
        <w:t xml:space="preserve"> Table 1-7 of the Purchase Agreement titled “[****] Aircraft Delivery Description, Price and Advance Payments,” is hereby deleted in its entirety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362" w:right="339" w:bottom="1145" w:gutter="0" w:footer="0" w:header="0"/>
        </w:sectPr>
      </w:pPr>
    </w:p>
    <w:bookmarkStart w:id="59" w:name="page60"/>
    <w:bookmarkEnd w:id="59"/>
    <w:p>
      <w:pPr>
        <w:spacing w:after="0" w:line="91"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replaced with a new Table 1-7 titled “[****] Aircraft Delivery Description, Price and Advance Payments,” attached hereto, referencing SA-37 in the footer.</w:t>
      </w:r>
      <w:r>
        <w:rPr>
          <w:rFonts w:ascii="Arial" w:cs="Arial" w:eastAsia="Arial" w:hAnsi="Arial"/>
          <w:sz w:val="28"/>
          <w:szCs w:val="28"/>
          <w:color w:val="auto"/>
          <w:vertAlign w:val="superscript"/>
        </w:rPr>
        <w:t>1</w:t>
      </w:r>
    </w:p>
    <w:p>
      <w:pPr>
        <w:spacing w:after="0" w:line="2" w:lineRule="exact"/>
        <w:rPr>
          <w:sz w:val="20"/>
          <w:szCs w:val="20"/>
          <w:color w:val="auto"/>
        </w:rPr>
      </w:pPr>
    </w:p>
    <w:p>
      <w:pPr>
        <w:ind w:left="1040" w:hanging="384"/>
        <w:spacing w:after="0"/>
        <w:tabs>
          <w:tab w:leader="none" w:pos="104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Letter Agreement.</w:t>
      </w:r>
    </w:p>
    <w:p>
      <w:pPr>
        <w:spacing w:after="0" w:line="51" w:lineRule="exact"/>
        <w:rPr>
          <w:sz w:val="20"/>
          <w:szCs w:val="20"/>
          <w:color w:val="auto"/>
        </w:rPr>
      </w:pPr>
    </w:p>
    <w:p>
      <w:pPr>
        <w:jc w:val="both"/>
        <w:ind w:left="1180" w:hanging="517"/>
        <w:spacing w:after="0" w:line="221" w:lineRule="auto"/>
        <w:tabs>
          <w:tab w:leader="none" w:pos="11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 xml:space="preserve">[****]. </w:t>
      </w:r>
      <w:r>
        <w:rPr>
          <w:rFonts w:ascii="Arial" w:cs="Arial" w:eastAsia="Arial" w:hAnsi="Arial"/>
          <w:sz w:val="21"/>
          <w:szCs w:val="21"/>
          <w:color w:val="auto"/>
        </w:rPr>
        <w:t>Letter Agreement No. AAL-PA-03735-LA-2306975R2 is hereby deleted in its entirety and replaced</w:t>
      </w:r>
      <w:r>
        <w:rPr>
          <w:rFonts w:ascii="Arial" w:cs="Arial" w:eastAsia="Arial" w:hAnsi="Arial"/>
          <w:sz w:val="21"/>
          <w:szCs w:val="21"/>
          <w:u w:val="single" w:color="auto"/>
          <w:color w:val="auto"/>
        </w:rPr>
        <w:t xml:space="preserve"> </w:t>
      </w:r>
      <w:r>
        <w:rPr>
          <w:rFonts w:ascii="Arial" w:cs="Arial" w:eastAsia="Arial" w:hAnsi="Arial"/>
          <w:sz w:val="21"/>
          <w:szCs w:val="21"/>
          <w:color w:val="auto"/>
        </w:rPr>
        <w:t>with Letter Agreement No. AAL-PA-03735-LA-2306975R3 (attached hereto) entitled “[****]”, (</w:t>
      </w:r>
      <w:r>
        <w:rPr>
          <w:rFonts w:ascii="Arial" w:cs="Arial" w:eastAsia="Arial" w:hAnsi="Arial"/>
          <w:sz w:val="21"/>
          <w:szCs w:val="21"/>
          <w:b w:val="1"/>
          <w:bCs w:val="1"/>
          <w:color w:val="auto"/>
        </w:rPr>
        <w:t>Revised</w:t>
      </w:r>
      <w:r>
        <w:rPr>
          <w:rFonts w:ascii="Arial" w:cs="Arial" w:eastAsia="Arial" w:hAnsi="Arial"/>
          <w:sz w:val="21"/>
          <w:szCs w:val="21"/>
          <w:color w:val="auto"/>
        </w:rPr>
        <w:t xml:space="preserve"> [****] </w:t>
      </w:r>
      <w:r>
        <w:rPr>
          <w:rFonts w:ascii="Arial" w:cs="Arial" w:eastAsia="Arial" w:hAnsi="Arial"/>
          <w:sz w:val="21"/>
          <w:szCs w:val="21"/>
          <w:b w:val="1"/>
          <w:bCs w:val="1"/>
          <w:color w:val="auto"/>
        </w:rPr>
        <w:t>Letter Agreement</w:t>
      </w:r>
      <w:r>
        <w:rPr>
          <w:rFonts w:ascii="Arial" w:cs="Arial" w:eastAsia="Arial" w:hAnsi="Arial"/>
          <w:sz w:val="21"/>
          <w:szCs w:val="21"/>
          <w:color w:val="auto"/>
        </w:rPr>
        <w:t>), referencing SA-37 in the footer, to [****] (as defined in the [****]) for each of the</w:t>
      </w:r>
    </w:p>
    <w:p>
      <w:pPr>
        <w:spacing w:after="0" w:line="1" w:lineRule="exact"/>
        <w:rPr>
          <w:sz w:val="20"/>
          <w:szCs w:val="20"/>
          <w:color w:val="auto"/>
        </w:rPr>
      </w:pPr>
    </w:p>
    <w:p>
      <w:pPr>
        <w:jc w:val="both"/>
        <w:ind w:left="1180"/>
        <w:spacing w:after="0" w:line="219" w:lineRule="auto"/>
        <w:rPr>
          <w:sz w:val="20"/>
          <w:szCs w:val="20"/>
          <w:color w:val="auto"/>
        </w:rPr>
      </w:pPr>
      <w:r>
        <w:rPr>
          <w:rFonts w:ascii="Arial" w:cs="Arial" w:eastAsia="Arial" w:hAnsi="Arial"/>
          <w:sz w:val="22"/>
          <w:szCs w:val="22"/>
          <w:color w:val="auto"/>
        </w:rPr>
        <w:t>[****] Aircraft listed in the table above and to memorialize the parties [****] in Section 2.2(iii) of the [****] related to the [****] for the [****] Aircraft. The Revised [****] Letter Agreement is hereby incorporated into the Purchase Agreement.</w:t>
      </w:r>
    </w:p>
    <w:p>
      <w:pPr>
        <w:spacing w:after="0" w:line="44" w:lineRule="exact"/>
        <w:rPr>
          <w:sz w:val="20"/>
          <w:szCs w:val="20"/>
          <w:color w:val="auto"/>
        </w:rPr>
      </w:pPr>
    </w:p>
    <w:p>
      <w:pPr>
        <w:jc w:val="both"/>
        <w:ind w:left="1180" w:hanging="517"/>
        <w:spacing w:after="0" w:line="217" w:lineRule="auto"/>
        <w:tabs>
          <w:tab w:leader="none" w:pos="1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u w:val="single" w:color="auto"/>
          <w:color w:val="auto"/>
        </w:rPr>
        <w:t xml:space="preserve">[****]. </w:t>
      </w:r>
      <w:r>
        <w:rPr>
          <w:rFonts w:ascii="Arial" w:cs="Arial" w:eastAsia="Arial" w:hAnsi="Arial"/>
          <w:sz w:val="22"/>
          <w:szCs w:val="22"/>
          <w:color w:val="auto"/>
        </w:rPr>
        <w:t>Letter Agreement No. AAL-PA-03735-LA-110665R16 is hereby deleted in its entirety and replaced</w:t>
      </w:r>
      <w:r>
        <w:rPr>
          <w:rFonts w:ascii="Arial" w:cs="Arial" w:eastAsia="Arial" w:hAnsi="Arial"/>
          <w:sz w:val="22"/>
          <w:szCs w:val="22"/>
          <w:u w:val="single" w:color="auto"/>
          <w:color w:val="auto"/>
        </w:rPr>
        <w:t xml:space="preserve"> </w:t>
      </w:r>
      <w:r>
        <w:rPr>
          <w:rFonts w:ascii="Arial" w:cs="Arial" w:eastAsia="Arial" w:hAnsi="Arial"/>
          <w:sz w:val="22"/>
          <w:szCs w:val="22"/>
          <w:color w:val="auto"/>
        </w:rPr>
        <w:t>with Letter Agreement No. AAL-PA-03735-LA-1106651R17 (attached hereto) entitled “[****]”, (</w:t>
      </w:r>
      <w:r>
        <w:rPr>
          <w:rFonts w:ascii="Arial" w:cs="Arial" w:eastAsia="Arial" w:hAnsi="Arial"/>
          <w:sz w:val="22"/>
          <w:szCs w:val="22"/>
          <w:b w:val="1"/>
          <w:bCs w:val="1"/>
          <w:color w:val="auto"/>
        </w:rPr>
        <w:t>Revised</w:t>
      </w:r>
      <w:r>
        <w:rPr>
          <w:rFonts w:ascii="Arial" w:cs="Arial" w:eastAsia="Arial" w:hAnsi="Arial"/>
          <w:sz w:val="22"/>
          <w:szCs w:val="22"/>
          <w:color w:val="auto"/>
        </w:rPr>
        <w:t xml:space="preserve"> [****]</w:t>
      </w:r>
      <w:r>
        <w:rPr>
          <w:rFonts w:ascii="Arial" w:cs="Arial" w:eastAsia="Arial" w:hAnsi="Arial"/>
          <w:sz w:val="22"/>
          <w:szCs w:val="22"/>
          <w:b w:val="1"/>
          <w:bCs w:val="1"/>
          <w:color w:val="auto"/>
        </w:rPr>
        <w:t>t Letter Agreement</w:t>
      </w:r>
      <w:r>
        <w:rPr>
          <w:rFonts w:ascii="Arial" w:cs="Arial" w:eastAsia="Arial" w:hAnsi="Arial"/>
          <w:sz w:val="22"/>
          <w:szCs w:val="22"/>
          <w:color w:val="auto"/>
        </w:rPr>
        <w:t>), referencing SA-37 in the footer, to reflect the [****] of [****] ([****]) [****] in Attachment B of the Revised [****] Letter Agreement. The Revised [****] Letter Agreement is hereby incorporated into the Purchase Agreement.</w:t>
      </w:r>
    </w:p>
    <w:p>
      <w:pPr>
        <w:spacing w:after="0" w:line="44"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u w:val="single" w:color="auto"/>
          <w:color w:val="auto"/>
        </w:rPr>
        <w:t xml:space="preserve">[****]. </w:t>
      </w:r>
      <w:r>
        <w:rPr>
          <w:rFonts w:ascii="Arial" w:cs="Arial" w:eastAsia="Arial" w:hAnsi="Arial"/>
          <w:sz w:val="22"/>
          <w:szCs w:val="22"/>
          <w:color w:val="auto"/>
        </w:rPr>
        <w:t>Letter Agreement No. AAL-PA-03735-LA-2306974 is hereby deleted in its entirety and replaced</w:t>
      </w:r>
      <w:r>
        <w:rPr>
          <w:rFonts w:ascii="Arial" w:cs="Arial" w:eastAsia="Arial" w:hAnsi="Arial"/>
          <w:sz w:val="22"/>
          <w:szCs w:val="22"/>
          <w:u w:val="single" w:color="auto"/>
          <w:color w:val="auto"/>
        </w:rPr>
        <w:t xml:space="preserve"> </w:t>
      </w:r>
      <w:r>
        <w:rPr>
          <w:rFonts w:ascii="Arial" w:cs="Arial" w:eastAsia="Arial" w:hAnsi="Arial"/>
          <w:sz w:val="22"/>
          <w:szCs w:val="22"/>
          <w:color w:val="auto"/>
        </w:rPr>
        <w:t>with Letter Agreement No. AAL-PA-03735-LA-2306974R1 (attached hereto) entitled “[****]”, (</w:t>
      </w:r>
      <w:r>
        <w:rPr>
          <w:rFonts w:ascii="Arial" w:cs="Arial" w:eastAsia="Arial" w:hAnsi="Arial"/>
          <w:sz w:val="22"/>
          <w:szCs w:val="22"/>
          <w:b w:val="1"/>
          <w:bCs w:val="1"/>
          <w:color w:val="auto"/>
        </w:rPr>
        <w:t>Revised</w:t>
      </w:r>
      <w:r>
        <w:rPr>
          <w:rFonts w:ascii="Arial" w:cs="Arial" w:eastAsia="Arial" w:hAnsi="Arial"/>
          <w:sz w:val="22"/>
          <w:szCs w:val="22"/>
          <w:color w:val="auto"/>
        </w:rPr>
        <w:t xml:space="preserve"> [****] </w:t>
      </w:r>
      <w:r>
        <w:rPr>
          <w:rFonts w:ascii="Arial" w:cs="Arial" w:eastAsia="Arial" w:hAnsi="Arial"/>
          <w:sz w:val="22"/>
          <w:szCs w:val="22"/>
          <w:b w:val="1"/>
          <w:bCs w:val="1"/>
          <w:color w:val="auto"/>
        </w:rPr>
        <w:t>Letter Agreement</w:t>
      </w:r>
      <w:r>
        <w:rPr>
          <w:rFonts w:ascii="Arial" w:cs="Arial" w:eastAsia="Arial" w:hAnsi="Arial"/>
          <w:sz w:val="22"/>
          <w:szCs w:val="22"/>
          <w:color w:val="auto"/>
        </w:rPr>
        <w:t>), referencing SA-37 in the footer, to reflect an administrative update. The Revised[****] Letter Agreement is hereby incorporated into the Purchase Agreement.</w:t>
      </w:r>
    </w:p>
    <w:p>
      <w:pPr>
        <w:spacing w:after="0" w:line="44" w:lineRule="exact"/>
        <w:rPr>
          <w:sz w:val="20"/>
          <w:szCs w:val="20"/>
          <w:color w:val="auto"/>
        </w:rPr>
      </w:pPr>
    </w:p>
    <w:p>
      <w:pPr>
        <w:jc w:val="both"/>
        <w:ind w:left="1180" w:hanging="517"/>
        <w:spacing w:after="0" w:line="221" w:lineRule="auto"/>
        <w:tabs>
          <w:tab w:leader="none" w:pos="11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Letter Agreement No. AAL-PA-03735-LA-1801206 is hereby deleted in its entirety and replaced</w:t>
      </w:r>
      <w:r>
        <w:rPr>
          <w:rFonts w:ascii="Arial" w:cs="Arial" w:eastAsia="Arial" w:hAnsi="Arial"/>
          <w:sz w:val="21"/>
          <w:szCs w:val="21"/>
          <w:u w:val="single" w:color="auto"/>
          <w:color w:val="auto"/>
        </w:rPr>
        <w:t xml:space="preserve"> </w:t>
      </w:r>
      <w:r>
        <w:rPr>
          <w:rFonts w:ascii="Arial" w:cs="Arial" w:eastAsia="Arial" w:hAnsi="Arial"/>
          <w:sz w:val="21"/>
          <w:szCs w:val="21"/>
          <w:color w:val="auto"/>
        </w:rPr>
        <w:t>with Letter Agreement No. AAL-PA-03735-LA-1801206R1 (attached hereto) entitled “[****]” (Revised [****] Letter Agreement), referencing SA-37 in the footer, to reflect an administrative update. The Revised</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 Agreement is hereby incorporated into the Purchase Agreement.</w:t>
      </w:r>
    </w:p>
    <w:p>
      <w:pPr>
        <w:spacing w:after="0" w:line="51" w:lineRule="exact"/>
        <w:rPr>
          <w:sz w:val="20"/>
          <w:szCs w:val="20"/>
          <w:color w:val="auto"/>
        </w:rPr>
      </w:pPr>
    </w:p>
    <w:p>
      <w:pPr>
        <w:ind w:left="1040" w:hanging="384"/>
        <w:spacing w:after="0"/>
        <w:tabs>
          <w:tab w:leader="none" w:pos="104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execution of this SA-37, [****]. [****] for the [****] Aircraft, [****] in this SA-37, will be [****] with the [****].</w:t>
      </w:r>
    </w:p>
    <w:p>
      <w:pPr>
        <w:spacing w:after="0" w:line="85" w:lineRule="exact"/>
        <w:rPr>
          <w:sz w:val="20"/>
          <w:szCs w:val="20"/>
          <w:color w:val="auto"/>
        </w:rPr>
      </w:pPr>
    </w:p>
    <w:p>
      <w:pPr>
        <w:ind w:left="1040" w:hanging="384"/>
        <w:spacing w:after="0"/>
        <w:tabs>
          <w:tab w:leader="none" w:pos="10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Revised [****] Letter Agreement, Revised [****] Agreement, Revised [****], Revised [****] Letter Agreement and the new Table 1-7. All other terms and conditions of the Purchase Agreement remain unchanged and are in full force and effect.</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5.2 References in the Purchase Agreement and any supplemental agreements and associated letter agreements to the letter agreement listed in the left column of the below table shall be deemed to refer to the corresponding revised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6459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6" w:lineRule="exact"/>
        <w:rPr>
          <w:sz w:val="20"/>
          <w:szCs w:val="20"/>
          <w:color w:val="auto"/>
        </w:rPr>
      </w:pPr>
    </w:p>
    <w:p>
      <w:pPr>
        <w:ind w:right="20" w:firstLine="8"/>
        <w:spacing w:after="0" w:line="231" w:lineRule="auto"/>
        <w:tabs>
          <w:tab w:leader="none" w:pos="115"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The parties note that the prior convention for updating tables has been for each new version to be labeled Table 1-XXRX; however, for ease of reference, the parties have decided to no longer add the RX to the end of the Table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SA-37</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3</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versions of the supplemental exhibits and letter agreement listed in the right column of the below table.</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40" w:type="dxa"/>
            <w:vAlign w:val="bottom"/>
            <w:tcBorders>
              <w:top w:val="single" w:sz="8" w:color="auto"/>
              <w:left w:val="single" w:sz="8" w:color="auto"/>
            </w:tcBorders>
          </w:tcPr>
          <w:p>
            <w:pPr>
              <w:spacing w:after="0"/>
              <w:rPr>
                <w:sz w:val="24"/>
                <w:szCs w:val="24"/>
                <w:color w:val="auto"/>
              </w:rPr>
            </w:pPr>
          </w:p>
        </w:tc>
        <w:tc>
          <w:tcPr>
            <w:tcW w:w="5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Reference</w:t>
            </w:r>
          </w:p>
        </w:tc>
        <w:tc>
          <w:tcPr>
            <w:tcW w:w="120" w:type="dxa"/>
            <w:vAlign w:val="bottom"/>
            <w:tcBorders>
              <w:top w:val="single" w:sz="8" w:color="auto"/>
            </w:tcBorders>
          </w:tcPr>
          <w:p>
            <w:pPr>
              <w:spacing w:after="0"/>
              <w:rPr>
                <w:sz w:val="24"/>
                <w:szCs w:val="24"/>
                <w:color w:val="auto"/>
              </w:rPr>
            </w:pPr>
          </w:p>
        </w:tc>
        <w:tc>
          <w:tcPr>
            <w:tcW w:w="5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Replacement Reference</w:t>
            </w:r>
          </w:p>
        </w:tc>
      </w:tr>
      <w:tr>
        <w:trPr>
          <w:trHeight w:val="196"/>
        </w:trPr>
        <w:tc>
          <w:tcPr>
            <w:tcW w:w="140" w:type="dxa"/>
            <w:vAlign w:val="bottom"/>
            <w:tcBorders>
              <w:left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45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spacing w:after="0"/>
              <w:rPr>
                <w:sz w:val="17"/>
                <w:szCs w:val="17"/>
                <w:color w:val="auto"/>
              </w:rPr>
            </w:pPr>
          </w:p>
        </w:tc>
      </w:tr>
      <w:tr>
        <w:trPr>
          <w:trHeight w:val="345"/>
        </w:trPr>
        <w:tc>
          <w:tcPr>
            <w:tcW w:w="140" w:type="dxa"/>
            <w:vAlign w:val="bottom"/>
            <w:tcBorders>
              <w:lef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 AAL-PA-</w:t>
            </w:r>
          </w:p>
        </w:tc>
        <w:tc>
          <w:tcPr>
            <w:tcW w:w="120" w:type="dxa"/>
            <w:vAlign w:val="bottom"/>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AAL-PA-03735-LA-2306975R3</w:t>
            </w:r>
          </w:p>
        </w:tc>
      </w:tr>
      <w:tr>
        <w:trPr>
          <w:trHeight w:val="378"/>
        </w:trPr>
        <w:tc>
          <w:tcPr>
            <w:tcW w:w="140" w:type="dxa"/>
            <w:vAlign w:val="bottom"/>
            <w:tcBorders>
              <w:lef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03735-LA-2306975R2</w:t>
            </w: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r>
      <w:tr>
        <w:trPr>
          <w:trHeight w:val="162"/>
        </w:trPr>
        <w:tc>
          <w:tcPr>
            <w:tcW w:w="140" w:type="dxa"/>
            <w:vAlign w:val="bottom"/>
            <w:tcBorders>
              <w:left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r>
      <w:tr>
        <w:trPr>
          <w:trHeight w:val="345"/>
        </w:trPr>
        <w:tc>
          <w:tcPr>
            <w:tcW w:w="140" w:type="dxa"/>
            <w:vAlign w:val="bottom"/>
            <w:tcBorders>
              <w:lef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AAL-PA-03735-LA-1106651R16</w:t>
            </w:r>
          </w:p>
        </w:tc>
        <w:tc>
          <w:tcPr>
            <w:tcW w:w="120" w:type="dxa"/>
            <w:vAlign w:val="bottom"/>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AAL-PA-03735-LA-1106651R17</w:t>
            </w:r>
          </w:p>
        </w:tc>
      </w:tr>
      <w:tr>
        <w:trPr>
          <w:trHeight w:val="161"/>
        </w:trPr>
        <w:tc>
          <w:tcPr>
            <w:tcW w:w="140" w:type="dxa"/>
            <w:vAlign w:val="bottom"/>
            <w:tcBorders>
              <w:left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r>
      <w:tr>
        <w:trPr>
          <w:trHeight w:val="345"/>
        </w:trPr>
        <w:tc>
          <w:tcPr>
            <w:tcW w:w="140" w:type="dxa"/>
            <w:vAlign w:val="bottom"/>
            <w:tcBorders>
              <w:lef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AAL-PA-03735-LA-2306974</w:t>
            </w:r>
          </w:p>
        </w:tc>
        <w:tc>
          <w:tcPr>
            <w:tcW w:w="120" w:type="dxa"/>
            <w:vAlign w:val="bottom"/>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AAL-PA-03735-LA-2306974R1</w:t>
            </w:r>
          </w:p>
        </w:tc>
      </w:tr>
      <w:tr>
        <w:trPr>
          <w:trHeight w:val="161"/>
        </w:trPr>
        <w:tc>
          <w:tcPr>
            <w:tcW w:w="140" w:type="dxa"/>
            <w:vAlign w:val="bottom"/>
            <w:tcBorders>
              <w:left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r>
      <w:tr>
        <w:trPr>
          <w:trHeight w:val="345"/>
        </w:trPr>
        <w:tc>
          <w:tcPr>
            <w:tcW w:w="140" w:type="dxa"/>
            <w:vAlign w:val="bottom"/>
            <w:tcBorders>
              <w:left w:val="single" w:sz="8" w:color="auto"/>
            </w:tcBorders>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AAL-PA-03735-LA-1801206</w:t>
            </w:r>
          </w:p>
        </w:tc>
        <w:tc>
          <w:tcPr>
            <w:tcW w:w="120" w:type="dxa"/>
            <w:vAlign w:val="bottom"/>
          </w:tcPr>
          <w:p>
            <w:pPr>
              <w:spacing w:after="0"/>
              <w:rPr>
                <w:sz w:val="24"/>
                <w:szCs w:val="24"/>
                <w:color w:val="auto"/>
              </w:rPr>
            </w:pPr>
          </w:p>
        </w:tc>
        <w:tc>
          <w:tcPr>
            <w:tcW w:w="550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Letter Agreement No. AAL-PA-03735-LA-1801206R1</w:t>
            </w:r>
          </w:p>
        </w:tc>
      </w:tr>
      <w:tr>
        <w:trPr>
          <w:trHeight w:val="162"/>
        </w:trPr>
        <w:tc>
          <w:tcPr>
            <w:tcW w:w="140" w:type="dxa"/>
            <w:vAlign w:val="bottom"/>
            <w:tcBorders>
              <w:left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r>
    </w:tbl>
    <w:p>
      <w:pPr>
        <w:spacing w:after="0" w:line="271"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2"/>
          <w:szCs w:val="22"/>
          <w:color w:val="auto"/>
        </w:rPr>
        <w:t>5.3 If Boeing or Customer determines that references described in Section 5.2 of this SA-37 should be further amended or other references in the Purchase Agreement and any supplemental agreements and associated letter agreements need to be amended as a result of this SA-37, then Boeing and Customer will work together for a mutually agreeable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4</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60"/>
          </w:cols>
          <w:pgMar w:left="320" w:top="1342" w:right="319" w:bottom="1440" w:gutter="0" w:footer="0" w:header="0"/>
        </w:sectPr>
      </w:pPr>
    </w:p>
    <w:bookmarkStart w:id="61" w:name="page62"/>
    <w:bookmarkEnd w:id="61"/>
    <w:p>
      <w:pPr>
        <w:spacing w:after="0" w:line="1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121920</wp:posOffset>
            </wp:positionV>
            <wp:extent cx="32575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121920</wp:posOffset>
            </wp:positionV>
            <wp:extent cx="32575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121920</wp:posOffset>
            </wp:positionV>
            <wp:extent cx="32575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121920</wp:posOffset>
            </wp:positionV>
            <wp:extent cx="32575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121920</wp:posOffset>
            </wp:positionV>
            <wp:extent cx="3531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121920</wp:posOffset>
            </wp:positionV>
            <wp:extent cx="3531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color w:val="auto"/>
        </w:rPr>
        <w:t>VP, Financial Planning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128905</wp:posOffset>
            </wp:positionV>
            <wp:extent cx="3531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60" w:space="720"/>
            <w:col w:w="435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SA-37</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5</w:t>
      </w:r>
    </w:p>
    <w:p>
      <w:pPr>
        <w:spacing w:after="0" w:line="10"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0139"/>
          </w:cols>
          <w:pgMar w:left="320" w:top="1440" w:right="1440" w:bottom="144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343"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58"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58"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58"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58"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58"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20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1R12</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1-2R1</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1-3R6</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1-4R7</w:t>
      </w:r>
    </w:p>
    <w:p>
      <w:pPr>
        <w:spacing w:after="0" w:line="24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1-5R3</w:t>
      </w:r>
    </w:p>
    <w:p>
      <w:pPr>
        <w:spacing w:after="0" w:line="247" w:lineRule="exact"/>
        <w:rPr>
          <w:sz w:val="20"/>
          <w:szCs w:val="20"/>
          <w:color w:val="auto"/>
        </w:rPr>
      </w:pPr>
    </w:p>
    <w:p>
      <w:pPr>
        <w:ind w:left="940"/>
        <w:spacing w:after="0"/>
        <w:rPr>
          <w:sz w:val="20"/>
          <w:szCs w:val="20"/>
          <w:color w:val="auto"/>
        </w:rPr>
      </w:pPr>
      <w:r>
        <w:rPr>
          <w:rFonts w:ascii="Arial" w:cs="Arial" w:eastAsia="Arial" w:hAnsi="Arial"/>
          <w:sz w:val="22"/>
          <w:szCs w:val="22"/>
          <w:color w:val="auto"/>
        </w:rPr>
        <w:t>1-6</w:t>
      </w:r>
    </w:p>
    <w:p>
      <w:pPr>
        <w:spacing w:after="0" w:line="260" w:lineRule="exact"/>
        <w:rPr>
          <w:sz w:val="20"/>
          <w:szCs w:val="20"/>
          <w:color w:val="auto"/>
        </w:rPr>
      </w:pPr>
    </w:p>
    <w:p>
      <w:pPr>
        <w:ind w:left="940"/>
        <w:spacing w:after="0"/>
        <w:rPr>
          <w:sz w:val="20"/>
          <w:szCs w:val="20"/>
          <w:color w:val="auto"/>
        </w:rPr>
      </w:pPr>
      <w:r>
        <w:rPr>
          <w:rFonts w:ascii="Arial" w:cs="Arial" w:eastAsia="Arial" w:hAnsi="Arial"/>
          <w:sz w:val="22"/>
          <w:szCs w:val="22"/>
          <w:color w:val="auto"/>
        </w:rPr>
        <w:t>1-7</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22"/>
          <w:szCs w:val="22"/>
          <w:color w:val="auto"/>
        </w:rPr>
        <w:t>Table 1-7 To</w:t>
      </w:r>
    </w:p>
    <w:p>
      <w:pPr>
        <w:spacing w:after="0" w:line="31" w:lineRule="exact"/>
        <w:rPr>
          <w:sz w:val="20"/>
          <w:szCs w:val="20"/>
          <w:color w:val="auto"/>
        </w:rPr>
      </w:pPr>
    </w:p>
    <w:p>
      <w:pPr>
        <w:jc w:val="center"/>
        <w:ind w:right="2220"/>
        <w:spacing w:after="0"/>
        <w:rPr>
          <w:sz w:val="20"/>
          <w:szCs w:val="20"/>
          <w:color w:val="auto"/>
        </w:rPr>
      </w:pPr>
      <w:r>
        <w:rPr>
          <w:rFonts w:ascii="Arial" w:cs="Arial" w:eastAsia="Arial" w:hAnsi="Arial"/>
          <w:sz w:val="22"/>
          <w:szCs w:val="22"/>
          <w:color w:val="auto"/>
        </w:rPr>
        <w:t>Purchase Agreement No. PA-03735</w:t>
      </w:r>
    </w:p>
    <w:p>
      <w:pPr>
        <w:spacing w:after="0" w:line="17" w:lineRule="exact"/>
        <w:rPr>
          <w:sz w:val="20"/>
          <w:szCs w:val="20"/>
          <w:color w:val="auto"/>
        </w:rPr>
      </w:pPr>
    </w:p>
    <w:p>
      <w:pPr>
        <w:jc w:val="center"/>
        <w:ind w:right="2220"/>
        <w:spacing w:after="0"/>
        <w:rPr>
          <w:sz w:val="20"/>
          <w:szCs w:val="20"/>
          <w:color w:val="auto"/>
        </w:rPr>
      </w:pPr>
      <w:r>
        <w:rPr>
          <w:rFonts w:ascii="Arial" w:cs="Arial" w:eastAsia="Arial" w:hAnsi="Arial"/>
          <w:sz w:val="21"/>
          <w:szCs w:val="21"/>
          <w:color w:val="auto"/>
        </w:rPr>
        <w:t>[****] Aircraft Delivery, Description, Price and Advance Payments</w:t>
      </w:r>
    </w:p>
    <w:p>
      <w:pPr>
        <w:spacing w:after="0" w:line="200" w:lineRule="exact"/>
        <w:rPr>
          <w:sz w:val="20"/>
          <w:szCs w:val="20"/>
          <w:color w:val="auto"/>
        </w:rPr>
      </w:pPr>
    </w:p>
    <w:p>
      <w:pPr>
        <w:spacing w:after="0" w:line="232"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40" w:type="dxa"/>
            <w:vAlign w:val="bottom"/>
          </w:tcPr>
          <w:p>
            <w:pPr>
              <w:spacing w:after="0"/>
              <w:rPr>
                <w:sz w:val="23"/>
                <w:szCs w:val="23"/>
                <w:color w:val="auto"/>
              </w:rPr>
            </w:pPr>
          </w:p>
        </w:tc>
        <w:tc>
          <w:tcPr>
            <w:tcW w:w="960" w:type="dxa"/>
            <w:vAlign w:val="bottom"/>
          </w:tcPr>
          <w:p>
            <w:pPr>
              <w:ind w:left="320"/>
              <w:spacing w:after="0"/>
              <w:rPr>
                <w:sz w:val="20"/>
                <w:szCs w:val="20"/>
                <w:color w:val="auto"/>
              </w:rPr>
            </w:pPr>
            <w:r>
              <w:rPr>
                <w:rFonts w:ascii="Arial" w:cs="Arial" w:eastAsia="Arial" w:hAnsi="Arial"/>
                <w:sz w:val="22"/>
                <w:szCs w:val="22"/>
                <w:b w:val="1"/>
                <w:bCs w:val="1"/>
                <w:color w:val="auto"/>
              </w:rPr>
              <w:t>SA</w:t>
            </w:r>
          </w:p>
        </w:tc>
        <w:tc>
          <w:tcPr>
            <w:tcW w:w="0" w:type="dxa"/>
            <w:vAlign w:val="bottom"/>
          </w:tcPr>
          <w:p>
            <w:pPr>
              <w:spacing w:after="0"/>
              <w:rPr>
                <w:sz w:val="1"/>
                <w:szCs w:val="1"/>
                <w:color w:val="auto"/>
              </w:rPr>
            </w:pPr>
          </w:p>
        </w:tc>
      </w:tr>
      <w:tr>
        <w:trPr>
          <w:trHeight w:val="231"/>
        </w:trPr>
        <w:tc>
          <w:tcPr>
            <w:tcW w:w="7540" w:type="dxa"/>
            <w:vAlign w:val="bottom"/>
          </w:tcPr>
          <w:p>
            <w:pPr>
              <w:spacing w:after="0"/>
              <w:rPr>
                <w:sz w:val="20"/>
                <w:szCs w:val="20"/>
                <w:color w:val="auto"/>
              </w:rPr>
            </w:pPr>
          </w:p>
        </w:tc>
        <w:tc>
          <w:tcPr>
            <w:tcW w:w="960" w:type="dxa"/>
            <w:vAlign w:val="bottom"/>
            <w:tcBorders>
              <w:bottom w:val="single" w:sz="8" w:color="auto"/>
            </w:tcBorders>
          </w:tcPr>
          <w:p>
            <w:pPr>
              <w:spacing w:after="0" w:line="231" w:lineRule="exact"/>
              <w:rPr>
                <w:sz w:val="20"/>
                <w:szCs w:val="20"/>
                <w:color w:val="auto"/>
              </w:rPr>
            </w:pPr>
            <w:r>
              <w:rPr>
                <w:rFonts w:ascii="Arial" w:cs="Arial" w:eastAsia="Arial" w:hAnsi="Arial"/>
                <w:sz w:val="22"/>
                <w:szCs w:val="22"/>
                <w:b w:val="1"/>
                <w:bCs w:val="1"/>
                <w:color w:val="auto"/>
                <w:w w:val="97"/>
              </w:rPr>
              <w:t>NUMBER</w:t>
            </w:r>
          </w:p>
        </w:tc>
        <w:tc>
          <w:tcPr>
            <w:tcW w:w="0" w:type="dxa"/>
            <w:vAlign w:val="bottom"/>
          </w:tcPr>
          <w:p>
            <w:pPr>
              <w:spacing w:after="0"/>
              <w:rPr>
                <w:sz w:val="1"/>
                <w:szCs w:val="1"/>
                <w:color w:val="auto"/>
              </w:rPr>
            </w:pPr>
          </w:p>
        </w:tc>
      </w:tr>
      <w:tr>
        <w:trPr>
          <w:trHeight w:val="386"/>
        </w:trPr>
        <w:tc>
          <w:tcPr>
            <w:tcW w:w="754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540" w:type="dxa"/>
            <w:vAlign w:val="bottom"/>
          </w:tcPr>
          <w:p>
            <w:pPr>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540" w:type="dxa"/>
            <w:vAlign w:val="bottom"/>
          </w:tcPr>
          <w:p>
            <w:pPr>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540" w:type="dxa"/>
            <w:vAlign w:val="bottom"/>
          </w:tcPr>
          <w:p>
            <w:pPr>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540" w:type="dxa"/>
            <w:vAlign w:val="bottom"/>
          </w:tcPr>
          <w:p>
            <w:pPr>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540" w:type="dxa"/>
            <w:vAlign w:val="bottom"/>
          </w:tcPr>
          <w:p>
            <w:pPr>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754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ind w:left="360"/>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0"/>
                <w:szCs w:val="20"/>
                <w:color w:val="auto"/>
              </w:rPr>
            </w:pPr>
            <w:r>
              <w:rPr>
                <w:rFonts w:ascii="Arial" w:cs="Arial" w:eastAsia="Arial" w:hAnsi="Arial"/>
                <w:sz w:val="22"/>
                <w:szCs w:val="22"/>
                <w:color w:val="auto"/>
              </w:rPr>
              <w:t>[****] Aircraft Information Table</w:t>
            </w:r>
          </w:p>
        </w:tc>
        <w:tc>
          <w:tcPr>
            <w:tcW w:w="960" w:type="dxa"/>
            <w:vAlign w:val="bottom"/>
          </w:tcPr>
          <w:p>
            <w:pPr>
              <w:ind w:left="360"/>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56"/>
        </w:trPr>
        <w:tc>
          <w:tcPr>
            <w:tcW w:w="7540" w:type="dxa"/>
            <w:vAlign w:val="bottom"/>
          </w:tcPr>
          <w:p>
            <w:pPr>
              <w:spacing w:after="0"/>
              <w:rPr>
                <w:sz w:val="20"/>
                <w:szCs w:val="20"/>
                <w:color w:val="auto"/>
              </w:rPr>
            </w:pPr>
            <w:r>
              <w:rPr>
                <w:rFonts w:ascii="Arial" w:cs="Arial" w:eastAsia="Arial" w:hAnsi="Arial"/>
                <w:sz w:val="22"/>
                <w:szCs w:val="22"/>
                <w:color w:val="auto"/>
              </w:rPr>
              <w:t>[****] Aircraft Delivery, Description, Price, and Advance Payments</w:t>
            </w:r>
          </w:p>
        </w:tc>
        <w:tc>
          <w:tcPr>
            <w:tcW w:w="960" w:type="dxa"/>
            <w:vAlign w:val="bottom"/>
          </w:tcPr>
          <w:p>
            <w:pPr>
              <w:ind w:left="360"/>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0"/>
                <w:szCs w:val="20"/>
                <w:color w:val="auto"/>
              </w:rPr>
            </w:pPr>
            <w:r>
              <w:rPr>
                <w:rFonts w:ascii="Arial" w:cs="Arial" w:eastAsia="Arial" w:hAnsi="Arial"/>
                <w:sz w:val="22"/>
                <w:szCs w:val="22"/>
                <w:color w:val="auto"/>
              </w:rPr>
              <w:t>737-8 [****] Aircraft Delivery, Description, Price, and Advance Payments</w:t>
            </w:r>
          </w:p>
        </w:tc>
        <w:tc>
          <w:tcPr>
            <w:tcW w:w="960" w:type="dxa"/>
            <w:vAlign w:val="bottom"/>
            <w:vMerge w:val="restart"/>
          </w:tcPr>
          <w:p>
            <w:pPr>
              <w:ind w:left="360"/>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0"/>
                <w:szCs w:val="20"/>
                <w:color w:val="auto"/>
              </w:rPr>
            </w:pPr>
            <w:r>
              <w:rPr>
                <w:rFonts w:ascii="Arial" w:cs="Arial" w:eastAsia="Arial" w:hAnsi="Arial"/>
                <w:sz w:val="22"/>
                <w:szCs w:val="22"/>
                <w:color w:val="auto"/>
              </w:rPr>
              <w:t>[****] 737-8 [****] Aircraft Delivery, Description, Price, and Advance</w:t>
            </w: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0"/>
                <w:szCs w:val="20"/>
                <w:color w:val="auto"/>
              </w:rPr>
            </w:pPr>
            <w:r>
              <w:rPr>
                <w:rFonts w:ascii="Arial" w:cs="Arial" w:eastAsia="Arial" w:hAnsi="Arial"/>
                <w:sz w:val="22"/>
                <w:szCs w:val="22"/>
                <w:color w:val="auto"/>
              </w:rPr>
              <w:t>Payments</w:t>
            </w:r>
          </w:p>
        </w:tc>
        <w:tc>
          <w:tcPr>
            <w:tcW w:w="960" w:type="dxa"/>
            <w:vAlign w:val="bottom"/>
            <w:vMerge w:val="restart"/>
          </w:tcPr>
          <w:p>
            <w:pPr>
              <w:ind w:left="360"/>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76"/>
        </w:trPr>
        <w:tc>
          <w:tcPr>
            <w:tcW w:w="7540" w:type="dxa"/>
            <w:vAlign w:val="bottom"/>
          </w:tcPr>
          <w:p>
            <w:pPr>
              <w:spacing w:after="0"/>
              <w:rPr>
                <w:sz w:val="20"/>
                <w:szCs w:val="20"/>
                <w:color w:val="auto"/>
              </w:rPr>
            </w:pPr>
            <w:r>
              <w:rPr>
                <w:rFonts w:ascii="Arial" w:cs="Arial" w:eastAsia="Arial" w:hAnsi="Arial"/>
                <w:sz w:val="22"/>
                <w:szCs w:val="22"/>
                <w:color w:val="auto"/>
              </w:rPr>
              <w:t>[****] Aircraft Delivery, Description, Price, and Advance Payments</w:t>
            </w: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auto"/>
        <w:rPr>
          <w:sz w:val="20"/>
          <w:szCs w:val="20"/>
          <w:color w:val="auto"/>
        </w:rPr>
      </w:pPr>
      <w:r>
        <w:rPr>
          <w:rFonts w:ascii="Arial" w:cs="Arial" w:eastAsia="Arial" w:hAnsi="Arial"/>
          <w:sz w:val="22"/>
          <w:szCs w:val="22"/>
          <w:color w:val="auto"/>
        </w:rPr>
        <w:t>[****] Aircraft Delivery, Description, Price, and Advance Payments</w:t>
      </w:r>
    </w:p>
    <w:p>
      <w:pPr>
        <w:ind w:left="7900"/>
        <w:spacing w:after="0"/>
        <w:rPr>
          <w:sz w:val="20"/>
          <w:szCs w:val="20"/>
          <w:color w:val="auto"/>
        </w:rPr>
      </w:pPr>
      <w:r>
        <w:rPr>
          <w:rFonts w:ascii="Arial" w:cs="Arial" w:eastAsia="Arial" w:hAnsi="Arial"/>
          <w:sz w:val="22"/>
          <w:szCs w:val="22"/>
          <w:color w:val="auto"/>
        </w:rPr>
        <w:t>32</w:t>
      </w:r>
    </w:p>
    <w:p>
      <w:pPr>
        <w:spacing w:after="0" w:line="238" w:lineRule="exact"/>
        <w:rPr>
          <w:sz w:val="20"/>
          <w:szCs w:val="20"/>
          <w:color w:val="auto"/>
        </w:rPr>
      </w:pPr>
    </w:p>
    <w:p>
      <w:pPr>
        <w:ind w:left="7900"/>
        <w:spacing w:after="0"/>
        <w:rPr>
          <w:sz w:val="20"/>
          <w:szCs w:val="20"/>
          <w:color w:val="auto"/>
        </w:rPr>
      </w:pPr>
      <w:r>
        <w:rPr>
          <w:rFonts w:ascii="Arial" w:cs="Arial" w:eastAsia="Arial" w:hAnsi="Arial"/>
          <w:sz w:val="22"/>
          <w:szCs w:val="22"/>
          <w:b w:val="1"/>
          <w:bCs w:val="1"/>
          <w:color w:val="auto"/>
        </w:rPr>
        <w:t>37</w:t>
      </w:r>
    </w:p>
    <w:p>
      <w:pPr>
        <w:spacing w:after="0" w:line="551" w:lineRule="exact"/>
        <w:rPr>
          <w:sz w:val="20"/>
          <w:szCs w:val="20"/>
          <w:color w:val="auto"/>
        </w:rPr>
      </w:pPr>
    </w:p>
    <w:p>
      <w:pPr>
        <w:sectPr>
          <w:pgSz w:w="11900" w:h="16838" w:orient="portrait"/>
          <w:cols w:equalWidth="0" w:num="2">
            <w:col w:w="1640" w:space="720"/>
            <w:col w:w="8500"/>
          </w:cols>
          <w:pgMar w:left="440" w:top="194" w:right="599" w:bottom="1440" w:gutter="0" w:footer="0" w:header="0"/>
        </w:sectPr>
      </w:pP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270"/>
        </w:trPr>
        <w:tc>
          <w:tcPr>
            <w:tcW w:w="940" w:type="dxa"/>
            <w:vAlign w:val="bottom"/>
          </w:tcPr>
          <w:p>
            <w:pPr>
              <w:jc w:val="center"/>
              <w:ind w:right="412"/>
              <w:spacing w:after="0"/>
              <w:rPr>
                <w:sz w:val="20"/>
                <w:szCs w:val="20"/>
                <w:color w:val="auto"/>
              </w:rPr>
            </w:pPr>
            <w:r>
              <w:rPr>
                <w:rFonts w:ascii="Arial" w:cs="Arial" w:eastAsia="Arial" w:hAnsi="Arial"/>
                <w:sz w:val="22"/>
                <w:szCs w:val="22"/>
                <w:color w:val="auto"/>
                <w:w w:val="98"/>
              </w:rPr>
              <w:t>AR1</w:t>
            </w:r>
          </w:p>
        </w:tc>
        <w:tc>
          <w:tcPr>
            <w:tcW w:w="6180" w:type="dxa"/>
            <w:vAlign w:val="bottom"/>
          </w:tcPr>
          <w:p>
            <w:pPr>
              <w:ind w:left="540"/>
              <w:spacing w:after="0"/>
              <w:rPr>
                <w:sz w:val="20"/>
                <w:szCs w:val="20"/>
                <w:color w:val="auto"/>
              </w:rPr>
            </w:pPr>
            <w:r>
              <w:rPr>
                <w:rFonts w:ascii="Arial" w:cs="Arial" w:eastAsia="Arial" w:hAnsi="Arial"/>
                <w:sz w:val="22"/>
                <w:szCs w:val="22"/>
                <w:color w:val="auto"/>
              </w:rPr>
              <w:t>Aircraft Configuration</w:t>
            </w:r>
          </w:p>
        </w:tc>
        <w:tc>
          <w:tcPr>
            <w:tcW w:w="2500" w:type="dxa"/>
            <w:vAlign w:val="bottom"/>
          </w:tcPr>
          <w:p>
            <w:pPr>
              <w:jc w:val="center"/>
              <w:ind w:left="2152"/>
              <w:spacing w:after="0"/>
              <w:rPr>
                <w:sz w:val="20"/>
                <w:szCs w:val="20"/>
                <w:color w:val="auto"/>
              </w:rPr>
            </w:pPr>
            <w:r>
              <w:rPr>
                <w:rFonts w:ascii="Arial" w:cs="Arial" w:eastAsia="Arial" w:hAnsi="Arial"/>
                <w:sz w:val="22"/>
                <w:szCs w:val="22"/>
                <w:color w:val="auto"/>
                <w:w w:val="97"/>
              </w:rPr>
              <w:t>6</w:t>
            </w:r>
          </w:p>
        </w:tc>
      </w:tr>
      <w:tr>
        <w:trPr>
          <w:trHeight w:val="257"/>
        </w:trPr>
        <w:tc>
          <w:tcPr>
            <w:tcW w:w="940" w:type="dxa"/>
            <w:vAlign w:val="bottom"/>
          </w:tcPr>
          <w:p>
            <w:pPr>
              <w:jc w:val="center"/>
              <w:ind w:right="412"/>
              <w:spacing w:after="0"/>
              <w:rPr>
                <w:sz w:val="20"/>
                <w:szCs w:val="20"/>
                <w:color w:val="auto"/>
              </w:rPr>
            </w:pPr>
            <w:r>
              <w:rPr>
                <w:rFonts w:ascii="Arial" w:cs="Arial" w:eastAsia="Arial" w:hAnsi="Arial"/>
                <w:sz w:val="22"/>
                <w:szCs w:val="22"/>
                <w:color w:val="auto"/>
                <w:w w:val="96"/>
              </w:rPr>
              <w:t>A2</w:t>
            </w:r>
          </w:p>
        </w:tc>
        <w:tc>
          <w:tcPr>
            <w:tcW w:w="6180" w:type="dxa"/>
            <w:vAlign w:val="bottom"/>
          </w:tcPr>
          <w:p>
            <w:pPr>
              <w:ind w:left="540"/>
              <w:spacing w:after="0"/>
              <w:rPr>
                <w:sz w:val="20"/>
                <w:szCs w:val="20"/>
                <w:color w:val="auto"/>
              </w:rPr>
            </w:pPr>
            <w:r>
              <w:rPr>
                <w:rFonts w:ascii="Arial" w:cs="Arial" w:eastAsia="Arial" w:hAnsi="Arial"/>
                <w:sz w:val="22"/>
                <w:szCs w:val="22"/>
                <w:color w:val="auto"/>
              </w:rPr>
              <w:t>[****] Delivery Aircraft Configuration</w:t>
            </w:r>
          </w:p>
        </w:tc>
        <w:tc>
          <w:tcPr>
            <w:tcW w:w="2500" w:type="dxa"/>
            <w:vAlign w:val="bottom"/>
          </w:tcPr>
          <w:p>
            <w:pPr>
              <w:jc w:val="center"/>
              <w:ind w:left="2152"/>
              <w:spacing w:after="0"/>
              <w:rPr>
                <w:sz w:val="20"/>
                <w:szCs w:val="20"/>
                <w:color w:val="auto"/>
              </w:rPr>
            </w:pPr>
            <w:r>
              <w:rPr>
                <w:rFonts w:ascii="Arial" w:cs="Arial" w:eastAsia="Arial" w:hAnsi="Arial"/>
                <w:sz w:val="22"/>
                <w:szCs w:val="22"/>
                <w:color w:val="auto"/>
                <w:w w:val="97"/>
              </w:rPr>
              <w:t>9</w:t>
            </w:r>
          </w:p>
        </w:tc>
      </w:tr>
      <w:tr>
        <w:trPr>
          <w:trHeight w:val="256"/>
        </w:trPr>
        <w:tc>
          <w:tcPr>
            <w:tcW w:w="940" w:type="dxa"/>
            <w:vAlign w:val="bottom"/>
          </w:tcPr>
          <w:p>
            <w:pPr>
              <w:jc w:val="center"/>
              <w:ind w:right="412"/>
              <w:spacing w:after="0"/>
              <w:rPr>
                <w:sz w:val="20"/>
                <w:szCs w:val="20"/>
                <w:color w:val="auto"/>
              </w:rPr>
            </w:pPr>
            <w:r>
              <w:rPr>
                <w:rFonts w:ascii="Arial" w:cs="Arial" w:eastAsia="Arial" w:hAnsi="Arial"/>
                <w:sz w:val="22"/>
                <w:szCs w:val="22"/>
                <w:color w:val="auto"/>
                <w:w w:val="96"/>
              </w:rPr>
              <w:t>A3</w:t>
            </w:r>
          </w:p>
        </w:tc>
        <w:tc>
          <w:tcPr>
            <w:tcW w:w="6180" w:type="dxa"/>
            <w:vAlign w:val="bottom"/>
          </w:tcPr>
          <w:p>
            <w:pPr>
              <w:ind w:left="540"/>
              <w:spacing w:after="0"/>
              <w:rPr>
                <w:sz w:val="20"/>
                <w:szCs w:val="20"/>
                <w:color w:val="auto"/>
              </w:rPr>
            </w:pPr>
            <w:r>
              <w:rPr>
                <w:rFonts w:ascii="Arial" w:cs="Arial" w:eastAsia="Arial" w:hAnsi="Arial"/>
                <w:sz w:val="22"/>
                <w:szCs w:val="22"/>
                <w:color w:val="auto"/>
              </w:rPr>
              <w:t>[****] Delivery Aircraft Configuration</w:t>
            </w:r>
          </w:p>
        </w:tc>
        <w:tc>
          <w:tcPr>
            <w:tcW w:w="2500" w:type="dxa"/>
            <w:vAlign w:val="bottom"/>
          </w:tcPr>
          <w:p>
            <w:pPr>
              <w:jc w:val="center"/>
              <w:ind w:left="2152"/>
              <w:spacing w:after="0"/>
              <w:rPr>
                <w:sz w:val="20"/>
                <w:szCs w:val="20"/>
                <w:color w:val="auto"/>
              </w:rPr>
            </w:pPr>
            <w:r>
              <w:rPr>
                <w:rFonts w:ascii="Arial" w:cs="Arial" w:eastAsia="Arial" w:hAnsi="Arial"/>
                <w:sz w:val="22"/>
                <w:szCs w:val="22"/>
                <w:color w:val="auto"/>
                <w:w w:val="97"/>
              </w:rPr>
              <w:t>29</w:t>
            </w:r>
          </w:p>
        </w:tc>
      </w:tr>
      <w:tr>
        <w:trPr>
          <w:trHeight w:val="283"/>
        </w:trPr>
        <w:tc>
          <w:tcPr>
            <w:tcW w:w="940" w:type="dxa"/>
            <w:vAlign w:val="bottom"/>
          </w:tcPr>
          <w:p>
            <w:pPr>
              <w:jc w:val="center"/>
              <w:ind w:right="412"/>
              <w:spacing w:after="0"/>
              <w:rPr>
                <w:sz w:val="20"/>
                <w:szCs w:val="20"/>
                <w:color w:val="auto"/>
              </w:rPr>
            </w:pPr>
            <w:r>
              <w:rPr>
                <w:rFonts w:ascii="Arial" w:cs="Arial" w:eastAsia="Arial" w:hAnsi="Arial"/>
                <w:sz w:val="22"/>
                <w:szCs w:val="22"/>
                <w:color w:val="auto"/>
                <w:w w:val="96"/>
              </w:rPr>
              <w:t>A4</w:t>
            </w:r>
          </w:p>
        </w:tc>
        <w:tc>
          <w:tcPr>
            <w:tcW w:w="6180" w:type="dxa"/>
            <w:vAlign w:val="bottom"/>
          </w:tcPr>
          <w:p>
            <w:pPr>
              <w:ind w:left="540"/>
              <w:spacing w:after="0"/>
              <w:rPr>
                <w:sz w:val="20"/>
                <w:szCs w:val="20"/>
                <w:color w:val="auto"/>
              </w:rPr>
            </w:pPr>
            <w:r>
              <w:rPr>
                <w:rFonts w:ascii="Arial" w:cs="Arial" w:eastAsia="Arial" w:hAnsi="Arial"/>
                <w:sz w:val="22"/>
                <w:szCs w:val="22"/>
                <w:color w:val="auto"/>
              </w:rPr>
              <w:t>[****] Aircraft Configuration</w:t>
            </w:r>
          </w:p>
        </w:tc>
        <w:tc>
          <w:tcPr>
            <w:tcW w:w="2500" w:type="dxa"/>
            <w:vAlign w:val="bottom"/>
          </w:tcPr>
          <w:p>
            <w:pPr>
              <w:jc w:val="center"/>
              <w:ind w:left="2152"/>
              <w:spacing w:after="0"/>
              <w:rPr>
                <w:sz w:val="20"/>
                <w:szCs w:val="20"/>
                <w:color w:val="auto"/>
              </w:rPr>
            </w:pPr>
            <w:r>
              <w:rPr>
                <w:rFonts w:ascii="Arial" w:cs="Arial" w:eastAsia="Arial" w:hAnsi="Arial"/>
                <w:sz w:val="22"/>
                <w:szCs w:val="22"/>
                <w:color w:val="auto"/>
                <w:w w:val="97"/>
              </w:rPr>
              <w:t>32</w:t>
            </w:r>
          </w:p>
        </w:tc>
      </w:tr>
    </w:tbl>
    <w:p>
      <w:pPr>
        <w:ind w:left="2360" w:hanging="1373"/>
        <w:spacing w:after="0"/>
        <w:tabs>
          <w:tab w:leader="none" w:pos="23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Aircraft Delivery Requirements and Responsibilities</w:t>
      </w:r>
    </w:p>
    <w:p>
      <w:pPr>
        <w:spacing w:after="0" w:line="57" w:lineRule="exact"/>
        <w:rPr>
          <w:rFonts w:ascii="Arial" w:cs="Arial" w:eastAsia="Arial" w:hAnsi="Arial"/>
          <w:sz w:val="22"/>
          <w:szCs w:val="22"/>
          <w:color w:val="auto"/>
        </w:rPr>
      </w:pPr>
    </w:p>
    <w:p>
      <w:pPr>
        <w:ind w:left="2360" w:hanging="1379"/>
        <w:spacing w:after="0"/>
        <w:tabs>
          <w:tab w:leader="none" w:pos="23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81" w:lineRule="exact"/>
        <w:rPr>
          <w:sz w:val="20"/>
          <w:szCs w:val="20"/>
          <w:color w:val="auto"/>
        </w:rPr>
      </w:pPr>
    </w:p>
    <w:tbl>
      <w:tblPr>
        <w:tblLayout w:type="fixed"/>
        <w:tblInd w:w="720" w:type="dxa"/>
        <w:tblCellMar>
          <w:top w:w="0" w:type="dxa"/>
          <w:left w:w="0" w:type="dxa"/>
          <w:bottom w:w="0" w:type="dxa"/>
          <w:right w:w="0" w:type="dxa"/>
        </w:tblCellMar>
      </w:tblPr>
      <w:tr>
        <w:trPr>
          <w:trHeight w:val="310"/>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AE1.</w:t>
            </w:r>
          </w:p>
        </w:tc>
        <w:tc>
          <w:tcPr>
            <w:tcW w:w="3700" w:type="dxa"/>
            <w:vAlign w:val="bottom"/>
          </w:tcPr>
          <w:p>
            <w:pPr>
              <w:ind w:left="440"/>
              <w:spacing w:after="0"/>
              <w:rPr>
                <w:sz w:val="20"/>
                <w:szCs w:val="20"/>
                <w:color w:val="auto"/>
              </w:rPr>
            </w:pPr>
            <w:r>
              <w:rPr>
                <w:rFonts w:ascii="Arial" w:cs="Arial" w:eastAsia="Arial" w:hAnsi="Arial"/>
                <w:sz w:val="22"/>
                <w:szCs w:val="22"/>
                <w:color w:val="auto"/>
              </w:rPr>
              <w:t>[****]</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0" w:type="dxa"/>
            <w:vAlign w:val="bottom"/>
          </w:tcPr>
          <w:p>
            <w:pPr>
              <w:jc w:val="center"/>
              <w:ind w:right="372"/>
              <w:spacing w:after="0"/>
              <w:rPr>
                <w:sz w:val="20"/>
                <w:szCs w:val="20"/>
                <w:color w:val="auto"/>
              </w:rPr>
            </w:pPr>
            <w:r>
              <w:rPr>
                <w:rFonts w:ascii="Arial" w:cs="Arial" w:eastAsia="Arial" w:hAnsi="Arial"/>
                <w:sz w:val="22"/>
                <w:szCs w:val="22"/>
                <w:color w:val="auto"/>
                <w:w w:val="98"/>
              </w:rPr>
              <w:t>BFE1.</w:t>
            </w:r>
          </w:p>
        </w:tc>
        <w:tc>
          <w:tcPr>
            <w:tcW w:w="3700" w:type="dxa"/>
            <w:vAlign w:val="bottom"/>
          </w:tcPr>
          <w:p>
            <w:pPr>
              <w:ind w:left="440"/>
              <w:spacing w:after="0"/>
              <w:rPr>
                <w:sz w:val="20"/>
                <w:szCs w:val="20"/>
                <w:color w:val="auto"/>
              </w:rPr>
            </w:pPr>
            <w:r>
              <w:rPr>
                <w:rFonts w:ascii="Arial" w:cs="Arial" w:eastAsia="Arial" w:hAnsi="Arial"/>
                <w:sz w:val="22"/>
                <w:szCs w:val="22"/>
                <w:color w:val="auto"/>
              </w:rPr>
              <w:t>BFE Variables – [****]</w:t>
            </w:r>
          </w:p>
        </w:tc>
        <w:tc>
          <w:tcPr>
            <w:tcW w:w="4880" w:type="dxa"/>
            <w:vAlign w:val="bottom"/>
            <w:vMerge w:val="restart"/>
          </w:tcPr>
          <w:p>
            <w:pPr>
              <w:jc w:val="center"/>
              <w:ind w:left="4532"/>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83"/>
        </w:trPr>
        <w:tc>
          <w:tcPr>
            <w:tcW w:w="1200" w:type="dxa"/>
            <w:vAlign w:val="bottom"/>
          </w:tcPr>
          <w:p>
            <w:pPr>
              <w:jc w:val="center"/>
              <w:ind w:right="372"/>
              <w:spacing w:after="0"/>
              <w:rPr>
                <w:sz w:val="20"/>
                <w:szCs w:val="20"/>
                <w:color w:val="auto"/>
              </w:rPr>
            </w:pPr>
            <w:r>
              <w:rPr>
                <w:rFonts w:ascii="Arial" w:cs="Arial" w:eastAsia="Arial" w:hAnsi="Arial"/>
                <w:sz w:val="22"/>
                <w:szCs w:val="22"/>
                <w:color w:val="auto"/>
                <w:w w:val="98"/>
              </w:rPr>
              <w:t>BFE2.</w:t>
            </w:r>
          </w:p>
        </w:tc>
        <w:tc>
          <w:tcPr>
            <w:tcW w:w="3700" w:type="dxa"/>
            <w:vAlign w:val="bottom"/>
          </w:tcPr>
          <w:p>
            <w:pPr>
              <w:ind w:left="440"/>
              <w:spacing w:after="0"/>
              <w:rPr>
                <w:sz w:val="20"/>
                <w:szCs w:val="20"/>
                <w:color w:val="auto"/>
              </w:rPr>
            </w:pPr>
            <w:r>
              <w:rPr>
                <w:rFonts w:ascii="Arial" w:cs="Arial" w:eastAsia="Arial" w:hAnsi="Arial"/>
                <w:sz w:val="22"/>
                <w:szCs w:val="22"/>
                <w:color w:val="auto"/>
              </w:rPr>
              <w:t>BFE Variables – [****]</w:t>
            </w: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CS1R1.</w:t>
            </w:r>
          </w:p>
        </w:tc>
        <w:tc>
          <w:tcPr>
            <w:tcW w:w="3700" w:type="dxa"/>
            <w:vAlign w:val="bottom"/>
          </w:tcPr>
          <w:p>
            <w:pPr>
              <w:ind w:left="440"/>
              <w:spacing w:after="0"/>
              <w:rPr>
                <w:sz w:val="20"/>
                <w:szCs w:val="20"/>
                <w:color w:val="auto"/>
              </w:rPr>
            </w:pPr>
            <w:r>
              <w:rPr>
                <w:rFonts w:ascii="Arial" w:cs="Arial" w:eastAsia="Arial" w:hAnsi="Arial"/>
                <w:sz w:val="22"/>
                <w:szCs w:val="22"/>
                <w:color w:val="auto"/>
              </w:rPr>
              <w:t>Customer Support Variables</w:t>
            </w:r>
          </w:p>
        </w:tc>
        <w:tc>
          <w:tcPr>
            <w:tcW w:w="4880" w:type="dxa"/>
            <w:vAlign w:val="bottom"/>
          </w:tcPr>
          <w:p>
            <w:pPr>
              <w:jc w:val="center"/>
              <w:ind w:left="4532"/>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83"/>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CS1-2.</w:t>
            </w:r>
          </w:p>
        </w:tc>
        <w:tc>
          <w:tcPr>
            <w:tcW w:w="3700" w:type="dxa"/>
            <w:vAlign w:val="bottom"/>
          </w:tcPr>
          <w:p>
            <w:pPr>
              <w:ind w:left="440"/>
              <w:spacing w:after="0"/>
              <w:rPr>
                <w:sz w:val="20"/>
                <w:szCs w:val="20"/>
                <w:color w:val="auto"/>
              </w:rPr>
            </w:pPr>
            <w:r>
              <w:rPr>
                <w:rFonts w:ascii="Arial" w:cs="Arial" w:eastAsia="Arial" w:hAnsi="Arial"/>
                <w:sz w:val="22"/>
                <w:szCs w:val="22"/>
                <w:color w:val="auto"/>
                <w:w w:val="98"/>
              </w:rPr>
              <w:t>Customer Support Variables [****]</w:t>
            </w:r>
          </w:p>
        </w:tc>
        <w:tc>
          <w:tcPr>
            <w:tcW w:w="4880" w:type="dxa"/>
            <w:vAlign w:val="bottom"/>
          </w:tcPr>
          <w:p>
            <w:pPr>
              <w:jc w:val="center"/>
              <w:ind w:left="4532"/>
              <w:spacing w:after="0"/>
              <w:rPr>
                <w:sz w:val="20"/>
                <w:szCs w:val="20"/>
                <w:color w:val="auto"/>
              </w:rPr>
            </w:pPr>
            <w:r>
              <w:rPr>
                <w:rFonts w:ascii="Arial" w:cs="Arial" w:eastAsia="Arial" w:hAnsi="Arial"/>
                <w:sz w:val="22"/>
                <w:szCs w:val="22"/>
                <w:color w:val="auto"/>
                <w:w w:val="97"/>
              </w:rPr>
              <w:t>33</w:t>
            </w:r>
          </w:p>
        </w:tc>
        <w:tc>
          <w:tcPr>
            <w:tcW w:w="0" w:type="dxa"/>
            <w:vAlign w:val="bottom"/>
          </w:tcPr>
          <w:p>
            <w:pPr>
              <w:spacing w:after="0"/>
              <w:rPr>
                <w:sz w:val="1"/>
                <w:szCs w:val="1"/>
                <w:color w:val="auto"/>
              </w:rPr>
            </w:pPr>
          </w:p>
        </w:tc>
      </w:tr>
      <w:tr>
        <w:trPr>
          <w:trHeight w:val="284"/>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EE1.</w:t>
            </w:r>
          </w:p>
        </w:tc>
        <w:tc>
          <w:tcPr>
            <w:tcW w:w="3700" w:type="dxa"/>
            <w:vAlign w:val="bottom"/>
          </w:tcPr>
          <w:p>
            <w:pPr>
              <w:ind w:left="440"/>
              <w:spacing w:after="0"/>
              <w:rPr>
                <w:sz w:val="20"/>
                <w:szCs w:val="20"/>
                <w:color w:val="auto"/>
              </w:rPr>
            </w:pPr>
            <w:r>
              <w:rPr>
                <w:rFonts w:ascii="Arial" w:cs="Arial" w:eastAsia="Arial" w:hAnsi="Arial"/>
                <w:sz w:val="22"/>
                <w:szCs w:val="22"/>
                <w:color w:val="auto"/>
              </w:rPr>
              <w:t>[****]</w:t>
            </w:r>
          </w:p>
        </w:tc>
        <w:tc>
          <w:tcPr>
            <w:tcW w:w="4880" w:type="dxa"/>
            <w:vAlign w:val="bottom"/>
            <w:vMerge w:val="restart"/>
          </w:tcPr>
          <w:p>
            <w:pPr>
              <w:jc w:val="center"/>
              <w:ind w:left="4532"/>
              <w:spacing w:after="0"/>
              <w:rPr>
                <w:sz w:val="20"/>
                <w:szCs w:val="20"/>
                <w:color w:val="auto"/>
              </w:rPr>
            </w:pPr>
            <w:r>
              <w:rPr>
                <w:rFonts w:ascii="Arial" w:cs="Arial" w:eastAsia="Arial" w:hAnsi="Arial"/>
                <w:sz w:val="22"/>
                <w:szCs w:val="22"/>
                <w:color w:val="auto"/>
                <w:w w:val="97"/>
              </w:rPr>
              <w:t>33</w:t>
            </w:r>
          </w:p>
        </w:tc>
        <w:tc>
          <w:tcPr>
            <w:tcW w:w="0" w:type="dxa"/>
            <w:vAlign w:val="bottom"/>
          </w:tcPr>
          <w:p>
            <w:pPr>
              <w:spacing w:after="0"/>
              <w:rPr>
                <w:sz w:val="1"/>
                <w:szCs w:val="1"/>
                <w:color w:val="auto"/>
              </w:rPr>
            </w:pPr>
          </w:p>
        </w:tc>
      </w:tr>
      <w:tr>
        <w:trPr>
          <w:trHeight w:val="270"/>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8"/>
              </w:rPr>
              <w:t>EE1-2.</w:t>
            </w:r>
          </w:p>
        </w:tc>
        <w:tc>
          <w:tcPr>
            <w:tcW w:w="3700" w:type="dxa"/>
            <w:vAlign w:val="bottom"/>
          </w:tcPr>
          <w:p>
            <w:pPr>
              <w:ind w:left="440"/>
              <w:spacing w:after="0"/>
              <w:rPr>
                <w:sz w:val="20"/>
                <w:szCs w:val="20"/>
                <w:color w:val="auto"/>
              </w:rPr>
            </w:pPr>
            <w:r>
              <w:rPr>
                <w:rFonts w:ascii="Arial" w:cs="Arial" w:eastAsia="Arial" w:hAnsi="Arial"/>
                <w:sz w:val="22"/>
                <w:szCs w:val="22"/>
                <w:color w:val="auto"/>
              </w:rPr>
              <w:t>[****]</w:t>
            </w:r>
          </w:p>
        </w:tc>
        <w:tc>
          <w:tcPr>
            <w:tcW w:w="4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SLP1.</w:t>
            </w:r>
          </w:p>
        </w:tc>
        <w:tc>
          <w:tcPr>
            <w:tcW w:w="3700" w:type="dxa"/>
            <w:vAlign w:val="bottom"/>
          </w:tcPr>
          <w:p>
            <w:pPr>
              <w:ind w:left="440"/>
              <w:spacing w:after="0"/>
              <w:rPr>
                <w:sz w:val="20"/>
                <w:szCs w:val="20"/>
                <w:color w:val="auto"/>
              </w:rPr>
            </w:pPr>
            <w:r>
              <w:rPr>
                <w:rFonts w:ascii="Arial" w:cs="Arial" w:eastAsia="Arial" w:hAnsi="Arial"/>
                <w:sz w:val="22"/>
                <w:szCs w:val="22"/>
                <w:color w:val="auto"/>
              </w:rPr>
              <w:t>[****]</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5"/>
        </w:trPr>
        <w:tc>
          <w:tcPr>
            <w:tcW w:w="1200" w:type="dxa"/>
            <w:vAlign w:val="bottom"/>
          </w:tcPr>
          <w:p>
            <w:pPr>
              <w:spacing w:after="0"/>
              <w:rPr>
                <w:sz w:val="24"/>
                <w:szCs w:val="24"/>
                <w:color w:val="auto"/>
              </w:rPr>
            </w:pPr>
          </w:p>
        </w:tc>
        <w:tc>
          <w:tcPr>
            <w:tcW w:w="3700" w:type="dxa"/>
            <w:vAlign w:val="bottom"/>
          </w:tcPr>
          <w:p>
            <w:pPr>
              <w:ind w:left="2320"/>
              <w:spacing w:after="0"/>
              <w:rPr>
                <w:sz w:val="20"/>
                <w:szCs w:val="20"/>
                <w:color w:val="auto"/>
              </w:rPr>
            </w:pPr>
            <w:r>
              <w:rPr>
                <w:rFonts w:ascii="Arial" w:cs="Arial" w:eastAsia="Arial" w:hAnsi="Arial"/>
                <w:sz w:val="22"/>
                <w:szCs w:val="22"/>
                <w:color w:val="auto"/>
              </w:rPr>
              <w:t>PA-03735</w:t>
            </w:r>
          </w:p>
        </w:tc>
        <w:tc>
          <w:tcPr>
            <w:tcW w:w="4880" w:type="dxa"/>
            <w:vAlign w:val="bottom"/>
          </w:tcPr>
          <w:p>
            <w:pPr>
              <w:ind w:left="40"/>
              <w:spacing w:after="0"/>
              <w:rPr>
                <w:sz w:val="20"/>
                <w:szCs w:val="20"/>
                <w:color w:val="auto"/>
              </w:rPr>
            </w:pPr>
            <w:r>
              <w:rPr>
                <w:rFonts w:ascii="Arial" w:cs="Arial" w:eastAsia="Arial" w:hAnsi="Arial"/>
                <w:sz w:val="22"/>
                <w:szCs w:val="22"/>
                <w:color w:val="auto"/>
              </w:rPr>
              <w:t>Page 1 of 3</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22"/>
          <w:szCs w:val="22"/>
          <w:b w:val="1"/>
          <w:bCs w:val="1"/>
          <w:color w:val="auto"/>
        </w:rPr>
        <w:t>SA-37</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BOEING AND AMERICAN PROPRIETARY</w:t>
      </w:r>
    </w:p>
    <w:p>
      <w:pPr>
        <w:sectPr>
          <w:pgSz w:w="11900" w:h="16838" w:orient="portrait"/>
          <w:cols w:equalWidth="0" w:num="1">
            <w:col w:w="10860"/>
          </w:cols>
          <w:pgMar w:left="440" w:top="194" w:right="599" w:bottom="1440" w:gutter="0" w:footer="0" w:header="0"/>
          <w:type w:val="continuous"/>
        </w:sectPr>
      </w:pPr>
    </w:p>
    <w:bookmarkStart w:id="63" w:name="page64"/>
    <w:bookmarkEnd w:id="63"/>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6"/>
        </w:trPr>
        <w:tc>
          <w:tcPr>
            <w:tcW w:w="9940" w:type="dxa"/>
            <w:vAlign w:val="bottom"/>
            <w:gridSpan w:val="5"/>
            <w:vMerge w:val="restart"/>
          </w:tcPr>
          <w:p>
            <w:pPr>
              <w:ind w:left="40"/>
              <w:spacing w:after="0"/>
              <w:rPr>
                <w:sz w:val="20"/>
                <w:szCs w:val="20"/>
                <w:color w:val="auto"/>
              </w:rPr>
            </w:pPr>
            <w:r>
              <w:rPr>
                <w:rFonts w:ascii="Arial" w:cs="Arial" w:eastAsia="Arial" w:hAnsi="Arial"/>
                <w:sz w:val="22"/>
                <w:szCs w:val="22"/>
                <w:b w:val="1"/>
                <w:bCs w:val="1"/>
                <w:color w:val="auto"/>
              </w:rPr>
              <w:t>LETTER AGREEMENTS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55"/>
        </w:trPr>
        <w:tc>
          <w:tcPr>
            <w:tcW w:w="9940" w:type="dxa"/>
            <w:vAlign w:val="bottom"/>
            <w:gridSpan w:val="5"/>
            <w:vMerge w:val="continue"/>
          </w:tcPr>
          <w:p>
            <w:pPr>
              <w:spacing w:after="0"/>
              <w:rPr>
                <w:sz w:val="4"/>
                <w:szCs w:val="4"/>
                <w:color w:val="auto"/>
              </w:rPr>
            </w:pPr>
          </w:p>
        </w:tc>
        <w:tc>
          <w:tcPr>
            <w:tcW w:w="960" w:type="dxa"/>
            <w:vAlign w:val="bottom"/>
            <w:vMerge w:val="restart"/>
          </w:tcPr>
          <w:p>
            <w:pPr>
              <w:jc w:val="center"/>
              <w:spacing w:after="0" w:line="231"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3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400" w:type="dxa"/>
            <w:vAlign w:val="bottom"/>
            <w:gridSpan w:val="2"/>
          </w:tcPr>
          <w:p>
            <w:pPr>
              <w:spacing w:after="0"/>
              <w:rPr>
                <w:sz w:val="20"/>
                <w:szCs w:val="20"/>
                <w:color w:val="auto"/>
              </w:rPr>
            </w:pPr>
            <w:r>
              <w:rPr>
                <w:rFonts w:ascii="Arial" w:cs="Arial" w:eastAsia="Arial" w:hAnsi="Arial"/>
                <w:sz w:val="22"/>
                <w:szCs w:val="22"/>
                <w:color w:val="auto"/>
              </w:rPr>
              <w:t>LA-1106648R1</w:t>
            </w:r>
          </w:p>
        </w:tc>
        <w:tc>
          <w:tcPr>
            <w:tcW w:w="7540" w:type="dxa"/>
            <w:vAlign w:val="bottom"/>
            <w:gridSpan w:val="3"/>
          </w:tcPr>
          <w:p>
            <w:pPr>
              <w:spacing w:after="0"/>
              <w:rPr>
                <w:sz w:val="20"/>
                <w:szCs w:val="20"/>
                <w:color w:val="auto"/>
              </w:rPr>
            </w:pPr>
            <w:r>
              <w:rPr>
                <w:rFonts w:ascii="Arial" w:cs="Arial" w:eastAsia="Arial" w:hAnsi="Arial"/>
                <w:sz w:val="22"/>
                <w:szCs w:val="22"/>
                <w:color w:val="auto"/>
              </w:rPr>
              <w:t>Special Matters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LA-1106649</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400" w:type="dxa"/>
            <w:vAlign w:val="bottom"/>
            <w:gridSpan w:val="2"/>
          </w:tcPr>
          <w:p>
            <w:pPr>
              <w:spacing w:after="0"/>
              <w:rPr>
                <w:sz w:val="20"/>
                <w:szCs w:val="20"/>
                <w:color w:val="auto"/>
              </w:rPr>
            </w:pPr>
            <w:r>
              <w:rPr>
                <w:rFonts w:ascii="Arial" w:cs="Arial" w:eastAsia="Arial" w:hAnsi="Arial"/>
                <w:sz w:val="22"/>
                <w:szCs w:val="22"/>
                <w:color w:val="auto"/>
              </w:rPr>
              <w:t>LA-1106650R8</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313"/>
        </w:trPr>
        <w:tc>
          <w:tcPr>
            <w:tcW w:w="2400" w:type="dxa"/>
            <w:vAlign w:val="bottom"/>
            <w:gridSpan w:val="2"/>
          </w:tcPr>
          <w:p>
            <w:pPr>
              <w:spacing w:after="0"/>
              <w:rPr>
                <w:sz w:val="20"/>
                <w:szCs w:val="20"/>
                <w:color w:val="auto"/>
              </w:rPr>
            </w:pPr>
            <w:r>
              <w:rPr>
                <w:rFonts w:ascii="Arial" w:cs="Arial" w:eastAsia="Arial" w:hAnsi="Arial"/>
                <w:sz w:val="22"/>
                <w:szCs w:val="22"/>
                <w:color w:val="auto"/>
              </w:rPr>
              <w:t>LA-1106651</w:t>
            </w:r>
            <w:r>
              <w:rPr>
                <w:rFonts w:ascii="Arial" w:cs="Arial" w:eastAsia="Arial" w:hAnsi="Arial"/>
                <w:sz w:val="22"/>
                <w:szCs w:val="22"/>
                <w:b w:val="1"/>
                <w:bCs w:val="1"/>
                <w:color w:val="auto"/>
              </w:rPr>
              <w:t>R17</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37</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LA-1106652R3</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LA-1106654R2</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36</w:t>
            </w:r>
          </w:p>
        </w:tc>
        <w:tc>
          <w:tcPr>
            <w:tcW w:w="0" w:type="dxa"/>
            <w:vAlign w:val="bottom"/>
          </w:tcPr>
          <w:p>
            <w:pPr>
              <w:spacing w:after="0"/>
              <w:rPr>
                <w:sz w:val="1"/>
                <w:szCs w:val="1"/>
                <w:color w:val="auto"/>
              </w:rPr>
            </w:pPr>
          </w:p>
        </w:tc>
      </w:tr>
      <w:tr>
        <w:trPr>
          <w:trHeight w:val="310"/>
        </w:trPr>
        <w:tc>
          <w:tcPr>
            <w:tcW w:w="2400" w:type="dxa"/>
            <w:vAlign w:val="bottom"/>
            <w:gridSpan w:val="2"/>
          </w:tcPr>
          <w:p>
            <w:pPr>
              <w:spacing w:after="0"/>
              <w:rPr>
                <w:sz w:val="20"/>
                <w:szCs w:val="20"/>
                <w:color w:val="auto"/>
              </w:rPr>
            </w:pPr>
            <w:r>
              <w:rPr>
                <w:rFonts w:ascii="Arial" w:cs="Arial" w:eastAsia="Arial" w:hAnsi="Arial"/>
                <w:sz w:val="22"/>
                <w:szCs w:val="22"/>
                <w:color w:val="auto"/>
                <w:strike w:val="1"/>
              </w:rPr>
              <w:t>LA-1106655</w:t>
            </w:r>
          </w:p>
        </w:tc>
        <w:tc>
          <w:tcPr>
            <w:tcW w:w="2440" w:type="dxa"/>
            <w:vAlign w:val="bottom"/>
            <w:gridSpan w:val="2"/>
          </w:tcPr>
          <w:p>
            <w:pPr>
              <w:spacing w:after="0"/>
              <w:rPr>
                <w:sz w:val="20"/>
                <w:szCs w:val="20"/>
                <w:color w:val="auto"/>
              </w:rPr>
            </w:pPr>
            <w:r>
              <w:rPr>
                <w:rFonts w:ascii="Arial" w:cs="Arial" w:eastAsia="Arial" w:hAnsi="Arial"/>
                <w:sz w:val="22"/>
                <w:szCs w:val="22"/>
                <w:color w:val="auto"/>
                <w:strike w:val="1"/>
                <w:w w:val="97"/>
              </w:rPr>
              <w:t>Open Matters – 737 MAX</w:t>
            </w:r>
          </w:p>
        </w:tc>
        <w:tc>
          <w:tcPr>
            <w:tcW w:w="5100" w:type="dxa"/>
            <w:vAlign w:val="bottom"/>
          </w:tcPr>
          <w:p>
            <w:pPr>
              <w:ind w:left="60"/>
              <w:spacing w:after="0"/>
              <w:rPr>
                <w:sz w:val="20"/>
                <w:szCs w:val="20"/>
                <w:color w:val="auto"/>
              </w:rPr>
            </w:pPr>
            <w:r>
              <w:rPr>
                <w:rFonts w:ascii="Arial" w:cs="Arial" w:eastAsia="Arial" w:hAnsi="Arial"/>
                <w:sz w:val="22"/>
                <w:szCs w:val="22"/>
                <w:color w:val="auto"/>
              </w:rPr>
              <w:t>Withdrawn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LA-1106663 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LA-1106664 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LA-1106658</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LA-1106659R4</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LA-1106660R1</w:t>
            </w:r>
          </w:p>
        </w:tc>
        <w:tc>
          <w:tcPr>
            <w:tcW w:w="7540" w:type="dxa"/>
            <w:vAlign w:val="bottom"/>
            <w:gridSpan w:val="3"/>
          </w:tcPr>
          <w:p>
            <w:pPr>
              <w:spacing w:after="0"/>
              <w:rPr>
                <w:sz w:val="20"/>
                <w:szCs w:val="20"/>
                <w:color w:val="auto"/>
              </w:rPr>
            </w:pPr>
            <w:r>
              <w:rPr>
                <w:rFonts w:ascii="Arial" w:cs="Arial" w:eastAsia="Arial" w:hAnsi="Arial"/>
                <w:sz w:val="22"/>
                <w:szCs w:val="22"/>
                <w:color w:val="auto"/>
              </w:rPr>
              <w:t>Spare Parts Initial Provisioning</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33</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LA-1106661R2</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LA-1106667</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LA-1106668R1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LA-1106669</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LA-1106670R1</w:t>
            </w:r>
          </w:p>
        </w:tc>
        <w:tc>
          <w:tcPr>
            <w:tcW w:w="7540" w:type="dxa"/>
            <w:vAlign w:val="bottom"/>
            <w:gridSpan w:val="3"/>
          </w:tcPr>
          <w:p>
            <w:pPr>
              <w:spacing w:after="0"/>
              <w:rPr>
                <w:sz w:val="20"/>
                <w:szCs w:val="20"/>
                <w:color w:val="auto"/>
              </w:rPr>
            </w:pPr>
            <w:r>
              <w:rPr>
                <w:rFonts w:ascii="Arial" w:cs="Arial" w:eastAsia="Arial" w:hAnsi="Arial"/>
                <w:sz w:val="22"/>
                <w:szCs w:val="22"/>
                <w:color w:val="auto"/>
              </w:rPr>
              <w:t>Confidentiality</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LA-1106671R2</w:t>
            </w:r>
          </w:p>
        </w:tc>
        <w:tc>
          <w:tcPr>
            <w:tcW w:w="7540" w:type="dxa"/>
            <w:vAlign w:val="bottom"/>
            <w:gridSpan w:val="3"/>
          </w:tcPr>
          <w:p>
            <w:pPr>
              <w:spacing w:after="0"/>
              <w:rPr>
                <w:sz w:val="20"/>
                <w:szCs w:val="20"/>
                <w:color w:val="auto"/>
              </w:rPr>
            </w:pPr>
            <w:r>
              <w:rPr>
                <w:rFonts w:ascii="Arial" w:cs="Arial" w:eastAsia="Arial" w:hAnsi="Arial"/>
                <w:sz w:val="22"/>
                <w:szCs w:val="22"/>
                <w:color w:val="auto"/>
              </w:rPr>
              <w:t>Miscellaneous Commitments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LA-1106672</w:t>
            </w:r>
          </w:p>
        </w:tc>
        <w:tc>
          <w:tcPr>
            <w:tcW w:w="7540" w:type="dxa"/>
            <w:vAlign w:val="bottom"/>
            <w:gridSpan w:val="3"/>
          </w:tcPr>
          <w:p>
            <w:pPr>
              <w:spacing w:after="0"/>
              <w:rPr>
                <w:sz w:val="20"/>
                <w:szCs w:val="20"/>
                <w:color w:val="auto"/>
              </w:rPr>
            </w:pPr>
            <w:r>
              <w:rPr>
                <w:rFonts w:ascii="Arial" w:cs="Arial" w:eastAsia="Arial" w:hAnsi="Arial"/>
                <w:sz w:val="22"/>
                <w:szCs w:val="22"/>
                <w:color w:val="auto"/>
              </w:rPr>
              <w:t>Extended Warranty Option</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LA-1106673R1*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LA-1106677</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LA-1600073</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LA-1600852</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LA-1603773</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5</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LA-1605402R1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23</w:t>
            </w:r>
          </w:p>
        </w:tc>
        <w:tc>
          <w:tcPr>
            <w:tcW w:w="0" w:type="dxa"/>
            <w:vAlign w:val="bottom"/>
          </w:tcPr>
          <w:p>
            <w:pPr>
              <w:spacing w:after="0"/>
              <w:rPr>
                <w:sz w:val="1"/>
                <w:szCs w:val="1"/>
                <w:color w:val="auto"/>
              </w:rPr>
            </w:pPr>
          </w:p>
        </w:tc>
      </w:tr>
      <w:tr>
        <w:trPr>
          <w:trHeight w:val="268"/>
        </w:trPr>
        <w:tc>
          <w:tcPr>
            <w:tcW w:w="2400" w:type="dxa"/>
            <w:vAlign w:val="bottom"/>
            <w:gridSpan w:val="2"/>
          </w:tcPr>
          <w:p>
            <w:pPr>
              <w:spacing w:after="0"/>
              <w:rPr>
                <w:sz w:val="20"/>
                <w:szCs w:val="20"/>
                <w:color w:val="auto"/>
              </w:rPr>
            </w:pPr>
            <w:r>
              <w:rPr>
                <w:rFonts w:ascii="Arial" w:cs="Arial" w:eastAsia="Arial" w:hAnsi="Arial"/>
                <w:sz w:val="22"/>
                <w:szCs w:val="22"/>
                <w:color w:val="auto"/>
              </w:rPr>
              <w:t>LA-1700919</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313"/>
        </w:trPr>
        <w:tc>
          <w:tcPr>
            <w:tcW w:w="2400" w:type="dxa"/>
            <w:vAlign w:val="bottom"/>
            <w:gridSpan w:val="2"/>
          </w:tcPr>
          <w:p>
            <w:pPr>
              <w:spacing w:after="0"/>
              <w:rPr>
                <w:sz w:val="20"/>
                <w:szCs w:val="20"/>
                <w:color w:val="auto"/>
              </w:rPr>
            </w:pPr>
            <w:r>
              <w:rPr>
                <w:rFonts w:ascii="Arial" w:cs="Arial" w:eastAsia="Arial" w:hAnsi="Arial"/>
                <w:sz w:val="22"/>
                <w:szCs w:val="22"/>
                <w:color w:val="auto"/>
              </w:rPr>
              <w:t>LA-1801206</w:t>
            </w:r>
            <w:r>
              <w:rPr>
                <w:rFonts w:ascii="Arial" w:cs="Arial" w:eastAsia="Arial" w:hAnsi="Arial"/>
                <w:sz w:val="22"/>
                <w:szCs w:val="22"/>
                <w:b w:val="1"/>
                <w:bCs w:val="1"/>
                <w:color w:val="auto"/>
              </w:rPr>
              <w:t>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37</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LA-2002704</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LA-2002743</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LA-2003342</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LA-2003486</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14</w:t>
            </w:r>
          </w:p>
        </w:tc>
        <w:tc>
          <w:tcPr>
            <w:tcW w:w="0" w:type="dxa"/>
            <w:vAlign w:val="bottom"/>
          </w:tcPr>
          <w:p>
            <w:pPr>
              <w:spacing w:after="0"/>
              <w:rPr>
                <w:sz w:val="1"/>
                <w:szCs w:val="1"/>
                <w:color w:val="auto"/>
              </w:rPr>
            </w:pPr>
          </w:p>
        </w:tc>
      </w:tr>
      <w:tr>
        <w:trPr>
          <w:trHeight w:val="268"/>
        </w:trPr>
        <w:tc>
          <w:tcPr>
            <w:tcW w:w="2400" w:type="dxa"/>
            <w:vAlign w:val="bottom"/>
            <w:gridSpan w:val="2"/>
          </w:tcPr>
          <w:p>
            <w:pPr>
              <w:spacing w:after="0"/>
              <w:rPr>
                <w:sz w:val="20"/>
                <w:szCs w:val="20"/>
                <w:color w:val="auto"/>
              </w:rPr>
            </w:pPr>
            <w:r>
              <w:rPr>
                <w:rFonts w:ascii="Arial" w:cs="Arial" w:eastAsia="Arial" w:hAnsi="Arial"/>
                <w:sz w:val="22"/>
                <w:szCs w:val="22"/>
                <w:color w:val="auto"/>
              </w:rPr>
              <w:t>LA-2204032R1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310"/>
        </w:trPr>
        <w:tc>
          <w:tcPr>
            <w:tcW w:w="2400" w:type="dxa"/>
            <w:vAlign w:val="bottom"/>
            <w:gridSpan w:val="2"/>
          </w:tcPr>
          <w:p>
            <w:pPr>
              <w:spacing w:after="0"/>
              <w:rPr>
                <w:sz w:val="20"/>
                <w:szCs w:val="20"/>
                <w:color w:val="auto"/>
              </w:rPr>
            </w:pPr>
            <w:r>
              <w:rPr>
                <w:rFonts w:ascii="Arial" w:cs="Arial" w:eastAsia="Arial" w:hAnsi="Arial"/>
                <w:sz w:val="22"/>
                <w:szCs w:val="22"/>
                <w:color w:val="auto"/>
              </w:rPr>
              <w:t>LA-2306974</w:t>
            </w:r>
            <w:r>
              <w:rPr>
                <w:rFonts w:ascii="Arial" w:cs="Arial" w:eastAsia="Arial" w:hAnsi="Arial"/>
                <w:sz w:val="22"/>
                <w:szCs w:val="22"/>
                <w:b w:val="1"/>
                <w:bCs w:val="1"/>
                <w:color w:val="auto"/>
              </w:rPr>
              <w:t>R1</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37</w:t>
            </w:r>
          </w:p>
        </w:tc>
        <w:tc>
          <w:tcPr>
            <w:tcW w:w="0" w:type="dxa"/>
            <w:vAlign w:val="bottom"/>
          </w:tcPr>
          <w:p>
            <w:pPr>
              <w:spacing w:after="0"/>
              <w:rPr>
                <w:sz w:val="1"/>
                <w:szCs w:val="1"/>
                <w:color w:val="auto"/>
              </w:rPr>
            </w:pPr>
          </w:p>
        </w:tc>
      </w:tr>
      <w:tr>
        <w:trPr>
          <w:trHeight w:val="313"/>
        </w:trPr>
        <w:tc>
          <w:tcPr>
            <w:tcW w:w="2400" w:type="dxa"/>
            <w:vAlign w:val="bottom"/>
            <w:gridSpan w:val="2"/>
          </w:tcPr>
          <w:p>
            <w:pPr>
              <w:spacing w:after="0"/>
              <w:rPr>
                <w:sz w:val="20"/>
                <w:szCs w:val="20"/>
                <w:color w:val="auto"/>
              </w:rPr>
            </w:pPr>
            <w:r>
              <w:rPr>
                <w:rFonts w:ascii="Arial" w:cs="Arial" w:eastAsia="Arial" w:hAnsi="Arial"/>
                <w:sz w:val="22"/>
                <w:szCs w:val="22"/>
                <w:color w:val="auto"/>
              </w:rPr>
              <w:t>LA-2306975</w:t>
            </w:r>
            <w:r>
              <w:rPr>
                <w:rFonts w:ascii="Arial" w:cs="Arial" w:eastAsia="Arial" w:hAnsi="Arial"/>
                <w:sz w:val="22"/>
                <w:szCs w:val="22"/>
                <w:b w:val="1"/>
                <w:bCs w:val="1"/>
                <w:color w:val="auto"/>
              </w:rPr>
              <w:t>R3</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37</w:t>
            </w:r>
          </w:p>
        </w:tc>
        <w:tc>
          <w:tcPr>
            <w:tcW w:w="0" w:type="dxa"/>
            <w:vAlign w:val="bottom"/>
          </w:tcPr>
          <w:p>
            <w:pPr>
              <w:spacing w:after="0"/>
              <w:rPr>
                <w:sz w:val="1"/>
                <w:szCs w:val="1"/>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22"/>
                <w:szCs w:val="22"/>
                <w:color w:val="auto"/>
              </w:rPr>
              <w:t>LA-2306976</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83"/>
        </w:trPr>
        <w:tc>
          <w:tcPr>
            <w:tcW w:w="2400" w:type="dxa"/>
            <w:vAlign w:val="bottom"/>
            <w:gridSpan w:val="2"/>
          </w:tcPr>
          <w:p>
            <w:pPr>
              <w:spacing w:after="0"/>
              <w:rPr>
                <w:sz w:val="20"/>
                <w:szCs w:val="20"/>
                <w:color w:val="auto"/>
              </w:rPr>
            </w:pPr>
            <w:r>
              <w:rPr>
                <w:rFonts w:ascii="Arial" w:cs="Arial" w:eastAsia="Arial" w:hAnsi="Arial"/>
                <w:sz w:val="22"/>
                <w:szCs w:val="22"/>
                <w:color w:val="auto"/>
              </w:rPr>
              <w:t>LA-2306977</w:t>
            </w:r>
          </w:p>
        </w:tc>
        <w:tc>
          <w:tcPr>
            <w:tcW w:w="24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80"/>
        <w:spacing w:after="0"/>
        <w:tabs>
          <w:tab w:leader="none" w:pos="5680" w:val="left"/>
        </w:tabs>
        <w:rPr>
          <w:sz w:val="20"/>
          <w:szCs w:val="20"/>
          <w:color w:val="auto"/>
        </w:rPr>
      </w:pPr>
      <w:r>
        <w:rPr>
          <w:rFonts w:ascii="Arial" w:cs="Arial" w:eastAsia="Arial" w:hAnsi="Arial"/>
          <w:sz w:val="22"/>
          <w:szCs w:val="22"/>
          <w:color w:val="auto"/>
        </w:rPr>
        <w:t>PA-03735</w:t>
      </w:r>
      <w:r>
        <w:rPr>
          <w:sz w:val="20"/>
          <w:szCs w:val="20"/>
          <w:color w:val="auto"/>
        </w:rPr>
        <w:tab/>
      </w:r>
      <w:r>
        <w:rPr>
          <w:rFonts w:ascii="Arial" w:cs="Arial" w:eastAsia="Arial" w:hAnsi="Arial"/>
          <w:sz w:val="21"/>
          <w:szCs w:val="21"/>
          <w:color w:val="auto"/>
        </w:rPr>
        <w:t>Page 2 of 3</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SA-37</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BOEING AND AMERICAN PROPRIETARY</w:t>
      </w:r>
    </w:p>
    <w:p>
      <w:pPr>
        <w:sectPr>
          <w:pgSz w:w="11900" w:h="16838" w:orient="portrait"/>
          <w:cols w:equalWidth="0" w:num="1">
            <w:col w:w="10900"/>
          </w:cols>
          <w:pgMar w:left="400" w:top="1440" w:right="599" w:bottom="1440" w:gutter="0" w:footer="0" w:header="0"/>
        </w:sectPr>
      </w:pPr>
    </w:p>
    <w:bookmarkStart w:id="64" w:name="page65"/>
    <w:bookmarkEnd w:id="64"/>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tbl>
      <w:tblPr>
        <w:tblLayout w:type="fixed"/>
        <w:tblInd w:w="72" w:type="dxa"/>
        <w:tblCellMar>
          <w:top w:w="0" w:type="dxa"/>
          <w:left w:w="0" w:type="dxa"/>
          <w:bottom w:w="0" w:type="dxa"/>
          <w:right w:w="0" w:type="dxa"/>
        </w:tblCellMar>
      </w:tblPr>
      <w:tr>
        <w:trPr>
          <w:trHeight w:val="256"/>
        </w:trPr>
        <w:tc>
          <w:tcPr>
            <w:tcW w:w="994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LETTER AGREEMENTS, continued</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55"/>
        </w:trPr>
        <w:tc>
          <w:tcPr>
            <w:tcW w:w="9940" w:type="dxa"/>
            <w:vAlign w:val="bottom"/>
            <w:gridSpan w:val="4"/>
            <w:vMerge w:val="continue"/>
          </w:tcPr>
          <w:p>
            <w:pPr>
              <w:spacing w:after="0"/>
              <w:rPr>
                <w:sz w:val="4"/>
                <w:szCs w:val="4"/>
                <w:color w:val="auto"/>
              </w:rPr>
            </w:pPr>
          </w:p>
        </w:tc>
        <w:tc>
          <w:tcPr>
            <w:tcW w:w="960" w:type="dxa"/>
            <w:vAlign w:val="bottom"/>
            <w:vMerge w:val="restart"/>
          </w:tcPr>
          <w:p>
            <w:pPr>
              <w:jc w:val="center"/>
              <w:spacing w:after="0" w:line="231"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632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1920" w:type="dxa"/>
            <w:vAlign w:val="bottom"/>
            <w:gridSpan w:val="2"/>
          </w:tcPr>
          <w:p>
            <w:pPr>
              <w:spacing w:after="0"/>
              <w:rPr>
                <w:sz w:val="20"/>
                <w:szCs w:val="20"/>
                <w:color w:val="auto"/>
              </w:rPr>
            </w:pPr>
            <w:r>
              <w:rPr>
                <w:rFonts w:ascii="Arial" w:cs="Arial" w:eastAsia="Arial" w:hAnsi="Arial"/>
                <w:sz w:val="22"/>
                <w:szCs w:val="22"/>
                <w:color w:val="auto"/>
              </w:rPr>
              <w:t>LA-2306978</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LA-2306979</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LA-2306980</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LA-2306981</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LA-2306982</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LA-2306983R1</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34</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LA-2306984</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LA-2306985</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rPr>
                <w:sz w:val="20"/>
                <w:szCs w:val="20"/>
                <w:color w:val="auto"/>
              </w:rPr>
            </w:pPr>
            <w:r>
              <w:rPr>
                <w:rFonts w:ascii="Arial" w:cs="Arial" w:eastAsia="Arial" w:hAnsi="Arial"/>
                <w:sz w:val="22"/>
                <w:szCs w:val="22"/>
                <w:color w:val="auto"/>
              </w:rPr>
              <w:t>LA-2306986</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32</w:t>
            </w:r>
          </w:p>
        </w:tc>
        <w:tc>
          <w:tcPr>
            <w:tcW w:w="0" w:type="dxa"/>
            <w:vAlign w:val="bottom"/>
          </w:tcPr>
          <w:p>
            <w:pPr>
              <w:spacing w:after="0"/>
              <w:rPr>
                <w:sz w:val="1"/>
                <w:szCs w:val="1"/>
                <w:color w:val="auto"/>
              </w:rPr>
            </w:pPr>
          </w:p>
        </w:tc>
      </w:tr>
      <w:tr>
        <w:trPr>
          <w:trHeight w:val="283"/>
        </w:trPr>
        <w:tc>
          <w:tcPr>
            <w:tcW w:w="1920" w:type="dxa"/>
            <w:vAlign w:val="bottom"/>
            <w:gridSpan w:val="2"/>
          </w:tcPr>
          <w:p>
            <w:pPr>
              <w:spacing w:after="0"/>
              <w:rPr>
                <w:sz w:val="20"/>
                <w:szCs w:val="20"/>
                <w:color w:val="auto"/>
              </w:rPr>
            </w:pPr>
            <w:r>
              <w:rPr>
                <w:rFonts w:ascii="Arial" w:cs="Arial" w:eastAsia="Arial" w:hAnsi="Arial"/>
                <w:sz w:val="22"/>
                <w:szCs w:val="22"/>
                <w:color w:val="auto"/>
              </w:rPr>
              <w:t>LA-2402910</w:t>
            </w:r>
          </w:p>
        </w:tc>
        <w:tc>
          <w:tcPr>
            <w:tcW w:w="17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63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33</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8" w:firstLine="8"/>
        <w:spacing w:after="0" w:line="272" w:lineRule="auto"/>
        <w:tabs>
          <w:tab w:leader="none" w:pos="136" w:val="left"/>
        </w:tabs>
        <w:numPr>
          <w:ilvl w:val="0"/>
          <w:numId w:val="49"/>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361" w:lineRule="exact"/>
        <w:rPr>
          <w:sz w:val="20"/>
          <w:szCs w:val="20"/>
          <w:color w:val="auto"/>
        </w:rPr>
      </w:pPr>
    </w:p>
    <w:p>
      <w:pPr>
        <w:ind w:left="4352"/>
        <w:spacing w:after="0"/>
        <w:tabs>
          <w:tab w:leader="none" w:pos="5752" w:val="left"/>
        </w:tabs>
        <w:rPr>
          <w:sz w:val="20"/>
          <w:szCs w:val="20"/>
          <w:color w:val="auto"/>
        </w:rPr>
      </w:pPr>
      <w:r>
        <w:rPr>
          <w:rFonts w:ascii="Arial" w:cs="Arial" w:eastAsia="Arial" w:hAnsi="Arial"/>
          <w:sz w:val="22"/>
          <w:szCs w:val="22"/>
          <w:color w:val="auto"/>
        </w:rPr>
        <w:t>PA-03735</w:t>
      </w:r>
      <w:r>
        <w:rPr>
          <w:sz w:val="20"/>
          <w:szCs w:val="20"/>
          <w:color w:val="auto"/>
        </w:rPr>
        <w:tab/>
      </w:r>
      <w:r>
        <w:rPr>
          <w:rFonts w:ascii="Arial" w:cs="Arial" w:eastAsia="Arial" w:hAnsi="Arial"/>
          <w:sz w:val="21"/>
          <w:szCs w:val="21"/>
          <w:color w:val="auto"/>
        </w:rPr>
        <w:t>Page 3 of 3</w:t>
      </w:r>
    </w:p>
    <w:p>
      <w:pPr>
        <w:spacing w:after="0" w:line="24" w:lineRule="exact"/>
        <w:rPr>
          <w:sz w:val="20"/>
          <w:szCs w:val="20"/>
          <w:color w:val="auto"/>
        </w:rPr>
      </w:pPr>
    </w:p>
    <w:p>
      <w:pPr>
        <w:ind w:left="232"/>
        <w:spacing w:after="0"/>
        <w:rPr>
          <w:sz w:val="20"/>
          <w:szCs w:val="20"/>
          <w:color w:val="auto"/>
        </w:rPr>
      </w:pPr>
      <w:r>
        <w:rPr>
          <w:rFonts w:ascii="Arial" w:cs="Arial" w:eastAsia="Arial" w:hAnsi="Arial"/>
          <w:sz w:val="22"/>
          <w:szCs w:val="22"/>
          <w:b w:val="1"/>
          <w:bCs w:val="1"/>
          <w:color w:val="auto"/>
        </w:rPr>
        <w:t>SA-37</w:t>
      </w:r>
    </w:p>
    <w:p>
      <w:pPr>
        <w:spacing w:after="0" w:line="4"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BOEING AND AMERICAN PROPRIETARY</w:t>
      </w:r>
    </w:p>
    <w:p>
      <w:pPr>
        <w:sectPr>
          <w:pgSz w:w="11900" w:h="16838" w:orient="portrait"/>
          <w:cols w:equalWidth="0" w:num="1">
            <w:col w:w="11012"/>
          </w:cols>
          <w:pgMar w:left="328" w:top="1440" w:right="559" w:bottom="1440" w:gutter="0" w:footer="0" w:header="0"/>
        </w:sectPr>
      </w:pPr>
    </w:p>
    <w:bookmarkStart w:id="65" w:name="page66"/>
    <w:bookmarkEnd w:id="65"/>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2440" w:type="dxa"/>
            <w:vAlign w:val="bottom"/>
            <w:gridSpan w:val="6"/>
          </w:tcPr>
          <w:p>
            <w:pPr>
              <w:ind w:left="120"/>
              <w:spacing w:after="0"/>
              <w:rPr>
                <w:sz w:val="20"/>
                <w:szCs w:val="20"/>
                <w:color w:val="auto"/>
              </w:rPr>
            </w:pPr>
            <w:r>
              <w:rPr>
                <w:rFonts w:ascii="Times New Roman" w:cs="Times New Roman" w:eastAsia="Times New Roman" w:hAnsi="Times New Roman"/>
                <w:sz w:val="15"/>
                <w:szCs w:val="15"/>
                <w:b w:val="1"/>
                <w:bCs w:val="1"/>
                <w:color w:val="auto"/>
              </w:rPr>
              <w:t>Airframe Model/MTOW:</w:t>
            </w: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737-10</w:t>
            </w:r>
          </w:p>
        </w:tc>
        <w:tc>
          <w:tcPr>
            <w:tcW w:w="220" w:type="dxa"/>
            <w:vAlign w:val="bottom"/>
          </w:tcPr>
          <w:p>
            <w:pPr>
              <w:spacing w:after="0"/>
              <w:rPr>
                <w:sz w:val="17"/>
                <w:szCs w:val="17"/>
                <w:color w:val="auto"/>
              </w:rPr>
            </w:pPr>
          </w:p>
        </w:tc>
        <w:tc>
          <w:tcPr>
            <w:tcW w:w="1510" w:type="dxa"/>
            <w:vAlign w:val="bottom"/>
            <w:gridSpan w:val="4"/>
          </w:tcPr>
          <w:p>
            <w:pPr>
              <w:ind w:left="480"/>
              <w:spacing w:after="0"/>
              <w:rPr>
                <w:sz w:val="20"/>
                <w:szCs w:val="20"/>
                <w:color w:val="auto"/>
              </w:rPr>
            </w:pPr>
            <w:r>
              <w:rPr>
                <w:rFonts w:ascii="Times New Roman" w:cs="Times New Roman" w:eastAsia="Times New Roman" w:hAnsi="Times New Roman"/>
                <w:sz w:val="15"/>
                <w:szCs w:val="15"/>
                <w:color w:val="auto"/>
              </w:rPr>
              <w:t>[****] pounds</w:t>
            </w:r>
          </w:p>
        </w:tc>
        <w:tc>
          <w:tcPr>
            <w:tcW w:w="530" w:type="dxa"/>
            <w:vAlign w:val="bottom"/>
          </w:tcPr>
          <w:p>
            <w:pPr>
              <w:spacing w:after="0"/>
              <w:rPr>
                <w:sz w:val="17"/>
                <w:szCs w:val="17"/>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Detail Specification:</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3"/>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0" w:type="dxa"/>
            <w:vAlign w:val="bottom"/>
          </w:tcPr>
          <w:p>
            <w:pPr>
              <w:spacing w:after="0"/>
              <w:rPr>
                <w:sz w:val="10"/>
                <w:szCs w:val="10"/>
                <w:color w:val="auto"/>
              </w:rPr>
            </w:pPr>
          </w:p>
        </w:tc>
        <w:tc>
          <w:tcPr>
            <w:tcW w:w="53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Engine Model/Thrust: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CFMLEAP-1B27</w:t>
            </w:r>
          </w:p>
        </w:tc>
        <w:tc>
          <w:tcPr>
            <w:tcW w:w="220" w:type="dxa"/>
            <w:vAlign w:val="bottom"/>
          </w:tcPr>
          <w:p>
            <w:pPr>
              <w:spacing w:after="0"/>
              <w:rPr>
                <w:sz w:val="24"/>
                <w:szCs w:val="24"/>
                <w:color w:val="auto"/>
              </w:rPr>
            </w:pPr>
          </w:p>
        </w:tc>
        <w:tc>
          <w:tcPr>
            <w:tcW w:w="1510" w:type="dxa"/>
            <w:vAlign w:val="bottom"/>
            <w:gridSpan w:val="4"/>
          </w:tcPr>
          <w:p>
            <w:pPr>
              <w:ind w:left="480"/>
              <w:spacing w:after="0"/>
              <w:rPr>
                <w:sz w:val="20"/>
                <w:szCs w:val="20"/>
                <w:color w:val="auto"/>
              </w:rPr>
            </w:pPr>
            <w:r>
              <w:rPr>
                <w:rFonts w:ascii="Times New Roman" w:cs="Times New Roman" w:eastAsia="Times New Roman" w:hAnsi="Times New Roman"/>
                <w:sz w:val="15"/>
                <w:szCs w:val="15"/>
                <w:color w:val="auto"/>
              </w:rPr>
              <w:t>[****]pounds</w:t>
            </w:r>
          </w:p>
        </w:tc>
        <w:tc>
          <w:tcPr>
            <w:tcW w:w="530" w:type="dxa"/>
            <w:vAlign w:val="bottom"/>
          </w:tcPr>
          <w:p>
            <w:pPr>
              <w:spacing w:after="0"/>
              <w:rPr>
                <w:sz w:val="24"/>
                <w:szCs w:val="24"/>
                <w:color w:val="auto"/>
              </w:rPr>
            </w:pPr>
          </w:p>
        </w:tc>
        <w:tc>
          <w:tcPr>
            <w:tcW w:w="3360" w:type="dxa"/>
            <w:vAlign w:val="bottom"/>
            <w:gridSpan w:val="8"/>
          </w:tcPr>
          <w:p>
            <w:pPr>
              <w:ind w:left="60"/>
              <w:spacing w:after="0"/>
              <w:rPr>
                <w:sz w:val="20"/>
                <w:szCs w:val="20"/>
                <w:color w:val="auto"/>
              </w:rPr>
            </w:pPr>
            <w:r>
              <w:rPr>
                <w:rFonts w:ascii="Times New Roman" w:cs="Times New Roman" w:eastAsia="Times New Roman" w:hAnsi="Times New Roman"/>
                <w:sz w:val="15"/>
                <w:szCs w:val="15"/>
                <w:b w:val="1"/>
                <w:bCs w:val="1"/>
                <w:color w:val="auto"/>
              </w:rPr>
              <w:t>Airframe Price Base Year/Escalation Formula:</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Airframe Price: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3"/>
          </w:tcPr>
          <w:p>
            <w:pPr>
              <w:jc w:val="center"/>
              <w:ind w:left="5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3360" w:type="dxa"/>
            <w:vAlign w:val="bottom"/>
            <w:gridSpan w:val="8"/>
          </w:tcPr>
          <w:p>
            <w:pPr>
              <w:ind w:left="60"/>
              <w:spacing w:after="0"/>
              <w:rPr>
                <w:sz w:val="20"/>
                <w:szCs w:val="20"/>
                <w:color w:val="auto"/>
              </w:rPr>
            </w:pPr>
            <w:r>
              <w:rPr>
                <w:rFonts w:ascii="Times New Roman" w:cs="Times New Roman" w:eastAsia="Times New Roman" w:hAnsi="Times New Roman"/>
                <w:sz w:val="15"/>
                <w:szCs w:val="15"/>
                <w:b w:val="1"/>
                <w:bCs w:val="1"/>
                <w:color w:val="auto"/>
              </w:rPr>
              <w:t>Engine Price Base Year/Escalation Formula:</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Optional Features: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3"/>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0" w:type="dxa"/>
            <w:vAlign w:val="bottom"/>
          </w:tcPr>
          <w:p>
            <w:pPr>
              <w:spacing w:after="0"/>
              <w:rPr>
                <w:sz w:val="24"/>
                <w:szCs w:val="24"/>
                <w:color w:val="auto"/>
              </w:rPr>
            </w:pPr>
          </w:p>
        </w:tc>
        <w:tc>
          <w:tcPr>
            <w:tcW w:w="3360" w:type="dxa"/>
            <w:vAlign w:val="bottom"/>
            <w:gridSpan w:val="7"/>
          </w:tcPr>
          <w:p>
            <w:pPr>
              <w:ind w:left="120"/>
              <w:spacing w:after="0"/>
              <w:rPr>
                <w:sz w:val="20"/>
                <w:szCs w:val="20"/>
                <w:color w:val="auto"/>
              </w:rPr>
            </w:pPr>
            <w:r>
              <w:rPr>
                <w:rFonts w:ascii="Times New Roman" w:cs="Times New Roman" w:eastAsia="Times New Roman" w:hAnsi="Times New Roman"/>
                <w:sz w:val="15"/>
                <w:szCs w:val="15"/>
                <w:b w:val="1"/>
                <w:bCs w:val="1"/>
                <w:color w:val="auto"/>
              </w:rPr>
              <w:t>Sub-Total of Airframe and Features:</w:t>
            </w:r>
          </w:p>
        </w:tc>
        <w:tc>
          <w:tcPr>
            <w:tcW w:w="1300" w:type="dxa"/>
            <w:vAlign w:val="bottom"/>
            <w:gridSpan w:val="3"/>
          </w:tcPr>
          <w:p>
            <w:pPr>
              <w:jc w:val="center"/>
              <w:ind w:left="5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5"/>
                <w:szCs w:val="15"/>
                <w:b w:val="1"/>
                <w:bCs w:val="1"/>
                <w:color w:val="auto"/>
              </w:rPr>
              <w:t>Airframe Escalation Data:</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00" w:type="dxa"/>
            <w:vAlign w:val="bottom"/>
          </w:tcPr>
          <w:p>
            <w:pPr>
              <w:spacing w:after="0"/>
              <w:rPr>
                <w:sz w:val="24"/>
                <w:szCs w:val="24"/>
                <w:color w:val="auto"/>
              </w:rPr>
            </w:pPr>
          </w:p>
        </w:tc>
        <w:tc>
          <w:tcPr>
            <w:tcW w:w="2440" w:type="dxa"/>
            <w:vAlign w:val="bottom"/>
            <w:gridSpan w:val="6"/>
          </w:tcPr>
          <w:p>
            <w:pPr>
              <w:ind w:left="120"/>
              <w:spacing w:after="0"/>
              <w:rPr>
                <w:sz w:val="20"/>
                <w:szCs w:val="20"/>
                <w:color w:val="auto"/>
              </w:rPr>
            </w:pPr>
            <w:r>
              <w:rPr>
                <w:rFonts w:ascii="Times New Roman" w:cs="Times New Roman" w:eastAsia="Times New Roman" w:hAnsi="Times New Roman"/>
                <w:sz w:val="15"/>
                <w:szCs w:val="15"/>
                <w:b w:val="1"/>
                <w:bCs w:val="1"/>
                <w:color w:val="auto"/>
              </w:rPr>
              <w:t>Engine Price (Per Aircraft):</w:t>
            </w:r>
          </w:p>
        </w:tc>
        <w:tc>
          <w:tcPr>
            <w:tcW w:w="920" w:type="dxa"/>
            <w:vAlign w:val="bottom"/>
          </w:tcPr>
          <w:p>
            <w:pPr>
              <w:spacing w:after="0"/>
              <w:rPr>
                <w:sz w:val="24"/>
                <w:szCs w:val="24"/>
                <w:color w:val="auto"/>
              </w:rPr>
            </w:pPr>
          </w:p>
        </w:tc>
        <w:tc>
          <w:tcPr>
            <w:tcW w:w="1300" w:type="dxa"/>
            <w:vAlign w:val="bottom"/>
            <w:gridSpan w:val="3"/>
          </w:tcPr>
          <w:p>
            <w:pPr>
              <w:jc w:val="center"/>
              <w:ind w:left="5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3360" w:type="dxa"/>
            <w:vAlign w:val="bottom"/>
            <w:gridSpan w:val="7"/>
          </w:tcPr>
          <w:p>
            <w:pPr>
              <w:ind w:left="120"/>
              <w:spacing w:after="0"/>
              <w:rPr>
                <w:sz w:val="20"/>
                <w:szCs w:val="20"/>
                <w:color w:val="auto"/>
              </w:rPr>
            </w:pPr>
            <w:r>
              <w:rPr>
                <w:rFonts w:ascii="Times New Roman" w:cs="Times New Roman" w:eastAsia="Times New Roman" w:hAnsi="Times New Roman"/>
                <w:sz w:val="15"/>
                <w:szCs w:val="15"/>
                <w:b w:val="1"/>
                <w:bCs w:val="1"/>
                <w:color w:val="auto"/>
              </w:rPr>
              <w:t>Aircraft Basic Price (Excluding BFE/SPE):</w:t>
            </w:r>
          </w:p>
        </w:tc>
        <w:tc>
          <w:tcPr>
            <w:tcW w:w="1300" w:type="dxa"/>
            <w:vAlign w:val="bottom"/>
            <w:gridSpan w:val="3"/>
          </w:tcPr>
          <w:p>
            <w:pPr>
              <w:jc w:val="center"/>
              <w:ind w:left="5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Base Year Index (ECI):</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0" w:type="dxa"/>
            <w:vAlign w:val="bottom"/>
          </w:tcPr>
          <w:p>
            <w:pPr>
              <w:spacing w:after="0"/>
              <w:rPr>
                <w:sz w:val="24"/>
                <w:szCs w:val="24"/>
                <w:color w:val="auto"/>
              </w:rPr>
            </w:pPr>
          </w:p>
        </w:tc>
        <w:tc>
          <w:tcPr>
            <w:tcW w:w="3360" w:type="dxa"/>
            <w:vAlign w:val="bottom"/>
            <w:gridSpan w:val="7"/>
          </w:tcPr>
          <w:p>
            <w:pPr>
              <w:ind w:left="120"/>
              <w:spacing w:after="0"/>
              <w:rPr>
                <w:sz w:val="20"/>
                <w:szCs w:val="20"/>
                <w:color w:val="auto"/>
              </w:rPr>
            </w:pPr>
            <w:r>
              <w:rPr>
                <w:rFonts w:ascii="Times New Roman" w:cs="Times New Roman" w:eastAsia="Times New Roman" w:hAnsi="Times New Roman"/>
                <w:sz w:val="15"/>
                <w:szCs w:val="15"/>
                <w:b w:val="1"/>
                <w:bCs w:val="1"/>
                <w:color w:val="auto"/>
              </w:rPr>
              <w:t>Buyer Furnished Equipment (BFE) Estimate:</w:t>
            </w:r>
          </w:p>
        </w:tc>
        <w:tc>
          <w:tcPr>
            <w:tcW w:w="1300" w:type="dxa"/>
            <w:vAlign w:val="bottom"/>
            <w:gridSpan w:val="3"/>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Base Year Index (ECI):</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4"/>
          </w:tcPr>
          <w:p>
            <w:pPr>
              <w:jc w:val="right"/>
              <w:ind w:right="11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3360" w:type="dxa"/>
            <w:vAlign w:val="bottom"/>
            <w:gridSpan w:val="7"/>
          </w:tcPr>
          <w:p>
            <w:pPr>
              <w:ind w:left="120"/>
              <w:spacing w:after="0"/>
              <w:rPr>
                <w:sz w:val="20"/>
                <w:szCs w:val="20"/>
                <w:color w:val="auto"/>
              </w:rPr>
            </w:pPr>
            <w:r>
              <w:rPr>
                <w:rFonts w:ascii="Times New Roman" w:cs="Times New Roman" w:eastAsia="Times New Roman" w:hAnsi="Times New Roman"/>
                <w:sz w:val="15"/>
                <w:szCs w:val="15"/>
                <w:b w:val="1"/>
                <w:bCs w:val="1"/>
                <w:color w:val="auto"/>
              </w:rPr>
              <w:t>In-Flight Entertainment (IFE) Estimate:</w:t>
            </w:r>
          </w:p>
        </w:tc>
        <w:tc>
          <w:tcPr>
            <w:tcW w:w="1300" w:type="dxa"/>
            <w:vAlign w:val="bottom"/>
            <w:gridSpan w:val="3"/>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3360" w:type="dxa"/>
            <w:vAlign w:val="bottom"/>
            <w:gridSpan w:val="7"/>
          </w:tcPr>
          <w:p>
            <w:pPr>
              <w:ind w:left="120"/>
              <w:spacing w:after="0"/>
              <w:rPr>
                <w:sz w:val="20"/>
                <w:szCs w:val="20"/>
                <w:color w:val="auto"/>
              </w:rPr>
            </w:pPr>
            <w:r>
              <w:rPr>
                <w:rFonts w:ascii="Times New Roman" w:cs="Times New Roman" w:eastAsia="Times New Roman" w:hAnsi="Times New Roman"/>
                <w:sz w:val="15"/>
                <w:szCs w:val="15"/>
                <w:b w:val="1"/>
                <w:bCs w:val="1"/>
                <w:color w:val="auto"/>
              </w:rPr>
              <w:t>LIFT Seats Provided by Boeing (Estimate):</w:t>
            </w:r>
          </w:p>
        </w:tc>
        <w:tc>
          <w:tcPr>
            <w:tcW w:w="1300" w:type="dxa"/>
            <w:vAlign w:val="bottom"/>
            <w:gridSpan w:val="3"/>
          </w:tcPr>
          <w:p>
            <w:pPr>
              <w:jc w:val="center"/>
              <w:ind w:left="5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Deposit per Aircraft: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3"/>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 w:type="dxa"/>
            <w:vAlign w:val="bottom"/>
            <w:tcBorders>
              <w:bottom w:val="single" w:sz="8" w:color="auto"/>
            </w:tcBorders>
          </w:tcPr>
          <w:p>
            <w:pPr>
              <w:spacing w:after="0"/>
              <w:rPr>
                <w:sz w:val="24"/>
                <w:szCs w:val="24"/>
                <w:color w:val="auto"/>
              </w:rPr>
            </w:pPr>
          </w:p>
        </w:tc>
        <w:tc>
          <w:tcPr>
            <w:tcW w:w="53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Escalation</w:t>
            </w:r>
          </w:p>
        </w:tc>
        <w:tc>
          <w:tcPr>
            <w:tcW w:w="220" w:type="dxa"/>
            <w:vAlign w:val="bottom"/>
          </w:tcPr>
          <w:p>
            <w:pPr>
              <w:spacing w:after="0"/>
              <w:rPr>
                <w:sz w:val="19"/>
                <w:szCs w:val="19"/>
                <w:color w:val="auto"/>
              </w:rPr>
            </w:pPr>
          </w:p>
        </w:tc>
        <w:tc>
          <w:tcPr>
            <w:tcW w:w="540" w:type="dxa"/>
            <w:vAlign w:val="bottom"/>
            <w:tcBorders>
              <w:right w:val="single" w:sz="8" w:color="auto"/>
            </w:tcBorders>
            <w:shd w:val="clear" w:color="auto" w:fill="C0C0C0"/>
          </w:tcPr>
          <w:p>
            <w:pPr>
              <w:spacing w:after="0"/>
              <w:rPr>
                <w:sz w:val="19"/>
                <w:szCs w:val="19"/>
                <w:color w:val="auto"/>
              </w:rPr>
            </w:pPr>
          </w:p>
        </w:tc>
        <w:tc>
          <w:tcPr>
            <w:tcW w:w="540" w:type="dxa"/>
            <w:vAlign w:val="bottom"/>
            <w:shd w:val="clear" w:color="auto" w:fill="C0C0C0"/>
          </w:tcPr>
          <w:p>
            <w:pP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60" w:type="dxa"/>
            <w:vAlign w:val="bottom"/>
            <w:shd w:val="clear" w:color="auto" w:fill="C0C0C0"/>
          </w:tcPr>
          <w:p>
            <w:pPr>
              <w:spacing w:after="0"/>
              <w:rPr>
                <w:sz w:val="19"/>
                <w:szCs w:val="19"/>
                <w:color w:val="auto"/>
              </w:rPr>
            </w:pPr>
          </w:p>
        </w:tc>
        <w:tc>
          <w:tcPr>
            <w:tcW w:w="14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680" w:type="dxa"/>
            <w:vAlign w:val="bottom"/>
            <w:tcBorders>
              <w:right w:val="single" w:sz="8" w:color="auto"/>
            </w:tcBorders>
            <w:gridSpan w:val="10"/>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59"/>
        </w:trPr>
        <w:tc>
          <w:tcPr>
            <w:tcW w:w="100" w:type="dxa"/>
            <w:vAlign w:val="bottom"/>
            <w:vMerge w:val="restart"/>
          </w:tcPr>
          <w:p>
            <w:pPr>
              <w:spacing w:after="0"/>
              <w:rPr>
                <w:sz w:val="13"/>
                <w:szCs w:val="13"/>
                <w:color w:val="auto"/>
              </w:rPr>
            </w:pPr>
          </w:p>
        </w:tc>
        <w:tc>
          <w:tcPr>
            <w:tcW w:w="800" w:type="dxa"/>
            <w:vAlign w:val="bottom"/>
            <w:tcBorders>
              <w:right w:val="single" w:sz="8" w:color="auto"/>
            </w:tcBorders>
            <w:gridSpan w:val="2"/>
            <w:vMerge w:val="restart"/>
          </w:tcPr>
          <w:p>
            <w:pPr>
              <w:jc w:val="center"/>
              <w:ind w:right="188"/>
              <w:spacing w:after="0"/>
              <w:rPr>
                <w:sz w:val="20"/>
                <w:szCs w:val="20"/>
                <w:color w:val="auto"/>
              </w:rPr>
            </w:pPr>
            <w:r>
              <w:rPr>
                <w:rFonts w:ascii="Times New Roman" w:cs="Times New Roman" w:eastAsia="Times New Roman" w:hAnsi="Times New Roman"/>
                <w:sz w:val="15"/>
                <w:szCs w:val="15"/>
                <w:b w:val="1"/>
                <w:bCs w:val="1"/>
                <w:color w:val="auto"/>
                <w:w w:val="92"/>
              </w:rPr>
              <w:t>Delivery</w:t>
            </w: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gridSpan w:val="2"/>
            <w:vMerge w:val="restart"/>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rPr>
              <w:t>of</w:t>
            </w:r>
          </w:p>
        </w:tc>
        <w:tc>
          <w:tcPr>
            <w:tcW w:w="920" w:type="dxa"/>
            <w:vAlign w:val="bottom"/>
            <w:vMerge w:val="restart"/>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Factor</w:t>
            </w:r>
          </w:p>
        </w:tc>
        <w:tc>
          <w:tcPr>
            <w:tcW w:w="220" w:type="dxa"/>
            <w:vAlign w:val="bottom"/>
          </w:tcPr>
          <w:p>
            <w:pPr>
              <w:spacing w:after="0"/>
              <w:rPr>
                <w:sz w:val="13"/>
                <w:szCs w:val="13"/>
                <w:color w:val="auto"/>
              </w:rPr>
            </w:pPr>
          </w:p>
        </w:tc>
        <w:tc>
          <w:tcPr>
            <w:tcW w:w="540" w:type="dxa"/>
            <w:vAlign w:val="bottom"/>
            <w:tcBorders>
              <w:bottom w:val="single" w:sz="8" w:color="C0C0C0"/>
              <w:right w:val="single" w:sz="8" w:color="auto"/>
            </w:tcBorders>
            <w:vMerge w:val="restart"/>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rPr>
              <w:t>Notes</w:t>
            </w:r>
          </w:p>
        </w:tc>
        <w:tc>
          <w:tcPr>
            <w:tcW w:w="54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w w:val="95"/>
              </w:rPr>
              <w:t>Delivery</w:t>
            </w:r>
          </w:p>
        </w:tc>
        <w:tc>
          <w:tcPr>
            <w:tcW w:w="160" w:type="dxa"/>
            <w:vAlign w:val="bottom"/>
            <w:tcBorders>
              <w:bottom w:val="single" w:sz="8" w:color="C0C0C0"/>
            </w:tcBorders>
            <w:shd w:val="clear" w:color="auto" w:fill="C0C0C0"/>
          </w:tcPr>
          <w:p>
            <w:pPr>
              <w:spacing w:after="0"/>
              <w:rPr>
                <w:sz w:val="13"/>
                <w:szCs w:val="13"/>
                <w:color w:val="auto"/>
              </w:rPr>
            </w:pPr>
          </w:p>
        </w:tc>
        <w:tc>
          <w:tcPr>
            <w:tcW w:w="144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rPr>
              <w:t>Adv Payment Base</w:t>
            </w: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00" w:type="dxa"/>
            <w:vAlign w:val="bottom"/>
            <w:vMerge w:val="continue"/>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right w:val="single" w:sz="8" w:color="auto"/>
            </w:tcBorders>
            <w:vMerge w:val="continue"/>
            <w:shd w:val="clear" w:color="auto" w:fill="C0C0C0"/>
          </w:tcPr>
          <w:p>
            <w:pPr>
              <w:spacing w:after="0"/>
              <w:rPr>
                <w:sz w:val="5"/>
                <w:szCs w:val="5"/>
                <w:color w:val="auto"/>
              </w:rPr>
            </w:pPr>
          </w:p>
        </w:tc>
        <w:tc>
          <w:tcPr>
            <w:tcW w:w="540" w:type="dxa"/>
            <w:vAlign w:val="bottom"/>
            <w:vMerge w:val="continue"/>
            <w:shd w:val="clear" w:color="auto" w:fill="C0C0C0"/>
          </w:tcPr>
          <w:p>
            <w:pPr>
              <w:spacing w:after="0"/>
              <w:rPr>
                <w:sz w:val="5"/>
                <w:szCs w:val="5"/>
                <w:color w:val="auto"/>
              </w:rPr>
            </w:pPr>
          </w:p>
        </w:tc>
        <w:tc>
          <w:tcPr>
            <w:tcW w:w="160" w:type="dxa"/>
            <w:vAlign w:val="bottom"/>
            <w:shd w:val="clear" w:color="auto" w:fill="C0C0C0"/>
          </w:tcPr>
          <w:p>
            <w:pPr>
              <w:spacing w:after="0"/>
              <w:rPr>
                <w:sz w:val="5"/>
                <w:szCs w:val="5"/>
                <w:color w:val="auto"/>
              </w:rPr>
            </w:pPr>
          </w:p>
        </w:tc>
        <w:tc>
          <w:tcPr>
            <w:tcW w:w="1440" w:type="dxa"/>
            <w:vAlign w:val="bottom"/>
            <w:tcBorders>
              <w:right w:val="single" w:sz="8" w:color="auto"/>
            </w:tcBorders>
            <w:gridSpan w:val="4"/>
            <w:vMerge w:val="continue"/>
          </w:tcPr>
          <w:p>
            <w:pPr>
              <w:spacing w:after="0"/>
              <w:rPr>
                <w:sz w:val="5"/>
                <w:szCs w:val="5"/>
                <w:color w:val="auto"/>
              </w:rPr>
            </w:pP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At Signing</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380" w:type="dxa"/>
            <w:vAlign w:val="bottom"/>
            <w:tcBorders>
              <w:right w:val="single" w:sz="8" w:color="auto"/>
            </w:tcBorders>
          </w:tcPr>
          <w:p>
            <w:pPr>
              <w:spacing w:after="0"/>
              <w:rPr>
                <w:sz w:val="5"/>
                <w:szCs w:val="5"/>
                <w:color w:val="auto"/>
              </w:rPr>
            </w:pPr>
          </w:p>
        </w:tc>
        <w:tc>
          <w:tcPr>
            <w:tcW w:w="620" w:type="dxa"/>
            <w:vAlign w:val="bottom"/>
            <w:vMerge w:val="restart"/>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right w:val="single" w:sz="8" w:color="auto"/>
            </w:tcBorders>
            <w:vMerge w:val="restart"/>
          </w:tcPr>
          <w:p>
            <w:pPr>
              <w:jc w:val="right"/>
              <w:ind w:right="76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vMerge w:val="continue"/>
            <w:shd w:val="clear" w:color="auto" w:fill="C0C0C0"/>
          </w:tcPr>
          <w:p>
            <w:pPr>
              <w:spacing w:after="0"/>
              <w:rPr>
                <w:sz w:val="12"/>
                <w:szCs w:val="12"/>
                <w:color w:val="auto"/>
              </w:rPr>
            </w:pPr>
          </w:p>
        </w:tc>
        <w:tc>
          <w:tcPr>
            <w:tcW w:w="540" w:type="dxa"/>
            <w:vAlign w:val="bottom"/>
            <w:vMerge w:val="continue"/>
            <w:shd w:val="clear" w:color="auto" w:fill="C0C0C0"/>
          </w:tcPr>
          <w:p>
            <w:pPr>
              <w:spacing w:after="0"/>
              <w:rPr>
                <w:sz w:val="12"/>
                <w:szCs w:val="12"/>
                <w:color w:val="auto"/>
              </w:rPr>
            </w:pPr>
          </w:p>
        </w:tc>
        <w:tc>
          <w:tcPr>
            <w:tcW w:w="160" w:type="dxa"/>
            <w:vAlign w:val="bottom"/>
            <w:shd w:val="clear" w:color="auto" w:fill="C0C0C0"/>
          </w:tcPr>
          <w:p>
            <w:pPr>
              <w:spacing w:after="0"/>
              <w:rPr>
                <w:sz w:val="12"/>
                <w:szCs w:val="12"/>
                <w:color w:val="auto"/>
              </w:rPr>
            </w:pPr>
          </w:p>
        </w:tc>
        <w:tc>
          <w:tcPr>
            <w:tcW w:w="1440" w:type="dxa"/>
            <w:vAlign w:val="bottom"/>
            <w:tcBorders>
              <w:right w:val="single" w:sz="8" w:color="auto"/>
            </w:tcBorders>
            <w:gridSpan w:val="4"/>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(if</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right w:val="single" w:sz="8" w:color="auto"/>
            </w:tcBorders>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270" w:type="dxa"/>
            <w:vAlign w:val="bottom"/>
          </w:tcPr>
          <w:p>
            <w:pPr>
              <w:spacing w:after="0"/>
              <w:rPr>
                <w:sz w:val="16"/>
                <w:szCs w:val="16"/>
                <w:color w:val="auto"/>
              </w:rPr>
            </w:pPr>
          </w:p>
        </w:tc>
        <w:tc>
          <w:tcPr>
            <w:tcW w:w="53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8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(Airframe)</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Price Per A/P</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Borders>
              <w:right w:val="single" w:sz="8" w:color="auto"/>
            </w:tcBorders>
            <w:gridSpan w:val="2"/>
          </w:tcPr>
          <w:p>
            <w:pPr>
              <w:jc w:val="center"/>
              <w:ind w:right="62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0000FF"/>
                <w:strike w:val="1"/>
                <w:w w:val="79"/>
              </w:rPr>
              <w:t>1</w:t>
            </w: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strike w:val="1"/>
              </w:rPr>
              <w:t>Yes</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0000FF"/>
                <w:strike w:val="1"/>
                <w:w w:val="79"/>
              </w:rPr>
              <w:t>2</w:t>
            </w: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strike w:val="1"/>
              </w:rPr>
              <w:t>Yes</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0000FF"/>
                <w:strike w:val="1"/>
                <w:w w:val="79"/>
              </w:rPr>
              <w:t>3</w:t>
            </w: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strike w:val="1"/>
                <w:w w:val="94"/>
              </w:rPr>
              <w:t>Yes</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0000FF"/>
                <w:strike w:val="1"/>
                <w:w w:val="79"/>
              </w:rPr>
              <w:t>3</w:t>
            </w: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strike w:val="1"/>
                <w:w w:val="94"/>
              </w:rPr>
              <w:t>Yes</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****]-2028</w:t>
            </w:r>
          </w:p>
        </w:tc>
        <w:tc>
          <w:tcPr>
            <w:tcW w:w="18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20" w:type="dxa"/>
            <w:vAlign w:val="bottom"/>
          </w:tcPr>
          <w:p>
            <w:pPr>
              <w:spacing w:after="0"/>
              <w:rPr>
                <w:sz w:val="21"/>
                <w:szCs w:val="21"/>
                <w:color w:val="auto"/>
              </w:rPr>
            </w:pPr>
          </w:p>
        </w:tc>
        <w:tc>
          <w:tcPr>
            <w:tcW w:w="54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270" w:type="dxa"/>
            <w:vAlign w:val="bottom"/>
          </w:tcPr>
          <w:p>
            <w:pPr>
              <w:spacing w:after="0"/>
              <w:rPr>
                <w:sz w:val="21"/>
                <w:szCs w:val="21"/>
                <w:color w:val="auto"/>
              </w:rPr>
            </w:pPr>
          </w:p>
        </w:tc>
        <w:tc>
          <w:tcPr>
            <w:tcW w:w="53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2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-3977005</wp:posOffset>
            </wp:positionV>
            <wp:extent cx="8255" cy="3977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8255" cy="397764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-3977005</wp:posOffset>
            </wp:positionV>
            <wp:extent cx="8255" cy="3977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8255" cy="3977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-3977005</wp:posOffset>
            </wp:positionV>
            <wp:extent cx="457200" cy="3977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457200" cy="3977640"/>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bookmarkStart w:id="66" w:name="page67"/>
    <w:bookmarkEnd w:id="66"/>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929005</wp:posOffset>
            </wp:positionV>
            <wp:extent cx="8255" cy="636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8255" cy="6369050"/>
                    </a:xfrm>
                    <a:prstGeom prst="rect">
                      <a:avLst/>
                    </a:prstGeom>
                    <a:noFill/>
                  </pic:spPr>
                </pic:pic>
              </a:graphicData>
            </a:graphic>
          </wp:anchor>
        </w:drawing>
        <w:drawing>
          <wp:anchor simplePos="0" relativeHeight="251657728" behindDoc="1" locked="0" layoutInCell="0" allowOverlap="1">
            <wp:simplePos x="0" y="0"/>
            <wp:positionH relativeFrom="page">
              <wp:posOffset>2479675</wp:posOffset>
            </wp:positionH>
            <wp:positionV relativeFrom="page">
              <wp:posOffset>929005</wp:posOffset>
            </wp:positionV>
            <wp:extent cx="8255" cy="636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8255" cy="6369050"/>
                    </a:xfrm>
                    <a:prstGeom prst="rect">
                      <a:avLst/>
                    </a:prstGeom>
                    <a:noFill/>
                  </pic:spPr>
                </pic:pic>
              </a:graphicData>
            </a:graphic>
          </wp:anchor>
        </w:drawing>
        <w:drawing>
          <wp:anchor simplePos="0" relativeHeight="251657728" behindDoc="1" locked="0" layoutInCell="0" allowOverlap="1">
            <wp:simplePos x="0" y="0"/>
            <wp:positionH relativeFrom="page">
              <wp:posOffset>139700</wp:posOffset>
            </wp:positionH>
            <wp:positionV relativeFrom="page">
              <wp:posOffset>929005</wp:posOffset>
            </wp:positionV>
            <wp:extent cx="565785" cy="636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565785" cy="636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Escalation</w:t>
            </w:r>
          </w:p>
        </w:tc>
        <w:tc>
          <w:tcPr>
            <w:tcW w:w="240" w:type="dxa"/>
            <w:vAlign w:val="bottom"/>
            <w:tcBorders>
              <w:top w:val="single" w:sz="8" w:color="auto"/>
              <w:right w:val="single" w:sz="8" w:color="C0C0C0"/>
            </w:tcBorders>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right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60" w:type="dxa"/>
            <w:vAlign w:val="bottom"/>
            <w:tcBorders>
              <w:top w:val="single" w:sz="8" w:color="auto"/>
            </w:tcBorders>
            <w:shd w:val="clear" w:color="auto" w:fill="C0C0C0"/>
          </w:tcPr>
          <w:p>
            <w:pPr>
              <w:spacing w:after="0"/>
              <w:rPr>
                <w:sz w:val="21"/>
                <w:szCs w:val="21"/>
                <w:color w:val="auto"/>
              </w:rPr>
            </w:pPr>
          </w:p>
        </w:tc>
        <w:tc>
          <w:tcPr>
            <w:tcW w:w="1440" w:type="dxa"/>
            <w:vAlign w:val="bottom"/>
            <w:tcBorders>
              <w:top w:val="single" w:sz="8" w:color="auto"/>
              <w:right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w w:val="96"/>
              </w:rPr>
              <w:t>Escalation Estimate</w:t>
            </w:r>
          </w:p>
        </w:tc>
        <w:tc>
          <w:tcPr>
            <w:tcW w:w="4680" w:type="dxa"/>
            <w:vAlign w:val="bottom"/>
            <w:tcBorders>
              <w:top w:val="single" w:sz="8" w:color="auto"/>
              <w:right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58"/>
        </w:trPr>
        <w:tc>
          <w:tcPr>
            <w:tcW w:w="100" w:type="dxa"/>
            <w:vAlign w:val="bottom"/>
            <w:vMerge w:val="restart"/>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of</w:t>
            </w:r>
          </w:p>
        </w:tc>
        <w:tc>
          <w:tcPr>
            <w:tcW w:w="920" w:type="dxa"/>
            <w:vAlign w:val="bottom"/>
            <w:vMerge w:val="restart"/>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Factor</w:t>
            </w:r>
          </w:p>
        </w:tc>
        <w:tc>
          <w:tcPr>
            <w:tcW w:w="240" w:type="dxa"/>
            <w:vAlign w:val="bottom"/>
            <w:tcBorders>
              <w:right w:val="single" w:sz="8" w:color="C0C0C0"/>
            </w:tcBorders>
          </w:tcPr>
          <w:p>
            <w:pPr>
              <w:spacing w:after="0"/>
              <w:rPr>
                <w:sz w:val="13"/>
                <w:szCs w:val="13"/>
                <w:color w:val="auto"/>
              </w:rPr>
            </w:pPr>
          </w:p>
        </w:tc>
        <w:tc>
          <w:tcPr>
            <w:tcW w:w="340" w:type="dxa"/>
            <w:vAlign w:val="bottom"/>
            <w:tcBorders>
              <w:bottom w:val="single" w:sz="8" w:color="C0C0C0"/>
            </w:tcBorders>
            <w:vMerge w:val="restart"/>
            <w:shd w:val="clear" w:color="auto" w:fill="C0C0C0"/>
          </w:tcPr>
          <w:p>
            <w:pPr>
              <w:jc w:val="right"/>
              <w:ind w:right="6"/>
              <w:spacing w:after="0"/>
              <w:rPr>
                <w:sz w:val="20"/>
                <w:szCs w:val="20"/>
                <w:color w:val="auto"/>
              </w:rPr>
            </w:pPr>
            <w:r>
              <w:rPr>
                <w:rFonts w:ascii="Times New Roman" w:cs="Times New Roman" w:eastAsia="Times New Roman" w:hAnsi="Times New Roman"/>
                <w:sz w:val="14"/>
                <w:szCs w:val="14"/>
                <w:b w:val="1"/>
                <w:bCs w:val="1"/>
                <w:color w:val="auto"/>
                <w:w w:val="71"/>
              </w:rPr>
              <w:t>Notes</w:t>
            </w: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w w:val="95"/>
              </w:rPr>
              <w:t>Delivery</w:t>
            </w:r>
          </w:p>
        </w:tc>
        <w:tc>
          <w:tcPr>
            <w:tcW w:w="160" w:type="dxa"/>
            <w:vAlign w:val="bottom"/>
            <w:tcBorders>
              <w:bottom w:val="single" w:sz="8" w:color="C0C0C0"/>
            </w:tcBorders>
            <w:shd w:val="clear" w:color="auto" w:fill="C0C0C0"/>
          </w:tcPr>
          <w:p>
            <w:pPr>
              <w:spacing w:after="0"/>
              <w:rPr>
                <w:sz w:val="13"/>
                <w:szCs w:val="13"/>
                <w:color w:val="auto"/>
              </w:rPr>
            </w:pPr>
          </w:p>
        </w:tc>
        <w:tc>
          <w:tcPr>
            <w:tcW w:w="1440" w:type="dxa"/>
            <w:vAlign w:val="bottom"/>
            <w:tcBorders>
              <w:right w:val="single" w:sz="8" w:color="auto"/>
            </w:tcBorders>
            <w:vMerge w:val="restart"/>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w w:val="95"/>
              </w:rPr>
              <w:t>Adv Payment Base</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Borders>
              <w:right w:val="single" w:sz="8" w:color="C0C0C0"/>
            </w:tcBorders>
          </w:tcPr>
          <w:p>
            <w:pPr>
              <w:spacing w:after="0"/>
              <w:rPr>
                <w:sz w:val="5"/>
                <w:szCs w:val="5"/>
                <w:color w:val="auto"/>
              </w:rPr>
            </w:pPr>
          </w:p>
        </w:tc>
        <w:tc>
          <w:tcPr>
            <w:tcW w:w="340" w:type="dxa"/>
            <w:vAlign w:val="bottom"/>
            <w:vMerge w:val="continue"/>
            <w:shd w:val="clear" w:color="auto" w:fill="C0C0C0"/>
          </w:tcPr>
          <w:p>
            <w:pPr>
              <w:spacing w:after="0"/>
              <w:rPr>
                <w:sz w:val="5"/>
                <w:szCs w:val="5"/>
                <w:color w:val="auto"/>
              </w:rPr>
            </w:pPr>
          </w:p>
        </w:tc>
        <w:tc>
          <w:tcPr>
            <w:tcW w:w="180" w:type="dxa"/>
            <w:vAlign w:val="bottom"/>
            <w:tcBorders>
              <w:right w:val="single" w:sz="8" w:color="auto"/>
            </w:tcBorders>
            <w:shd w:val="clear" w:color="auto" w:fill="C0C0C0"/>
          </w:tcPr>
          <w:p>
            <w:pPr>
              <w:spacing w:after="0"/>
              <w:rPr>
                <w:sz w:val="5"/>
                <w:szCs w:val="5"/>
                <w:color w:val="auto"/>
              </w:rPr>
            </w:pPr>
          </w:p>
        </w:tc>
        <w:tc>
          <w:tcPr>
            <w:tcW w:w="540" w:type="dxa"/>
            <w:vAlign w:val="bottom"/>
            <w:vMerge w:val="continue"/>
            <w:shd w:val="clear" w:color="auto" w:fill="C0C0C0"/>
          </w:tcPr>
          <w:p>
            <w:pPr>
              <w:spacing w:after="0"/>
              <w:rPr>
                <w:sz w:val="5"/>
                <w:szCs w:val="5"/>
                <w:color w:val="auto"/>
              </w:rPr>
            </w:pPr>
          </w:p>
        </w:tc>
        <w:tc>
          <w:tcPr>
            <w:tcW w:w="160" w:type="dxa"/>
            <w:vAlign w:val="bottom"/>
            <w:shd w:val="clear" w:color="auto" w:fill="C0C0C0"/>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At Signing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Borders>
              <w:right w:val="single" w:sz="8" w:color="auto"/>
            </w:tcBorders>
          </w:tcPr>
          <w:p>
            <w:pPr>
              <w:spacing w:after="0"/>
              <w:rPr>
                <w:sz w:val="5"/>
                <w:szCs w:val="5"/>
                <w:color w:val="auto"/>
              </w:rPr>
            </w:pPr>
          </w:p>
        </w:tc>
        <w:tc>
          <w:tcPr>
            <w:tcW w:w="620" w:type="dxa"/>
            <w:vAlign w:val="bottom"/>
            <w:vMerge w:val="restart"/>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48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Borders>
              <w:right w:val="single" w:sz="8" w:color="C0C0C0"/>
            </w:tcBorders>
          </w:tcPr>
          <w:p>
            <w:pPr>
              <w:spacing w:after="0"/>
              <w:rPr>
                <w:sz w:val="12"/>
                <w:szCs w:val="12"/>
                <w:color w:val="auto"/>
              </w:rPr>
            </w:pPr>
          </w:p>
        </w:tc>
        <w:tc>
          <w:tcPr>
            <w:tcW w:w="340" w:type="dxa"/>
            <w:vAlign w:val="bottom"/>
            <w:vMerge w:val="continue"/>
            <w:shd w:val="clear" w:color="auto" w:fill="C0C0C0"/>
          </w:tcPr>
          <w:p>
            <w:pPr>
              <w:spacing w:after="0"/>
              <w:rPr>
                <w:sz w:val="12"/>
                <w:szCs w:val="12"/>
                <w:color w:val="auto"/>
              </w:rPr>
            </w:pPr>
          </w:p>
        </w:tc>
        <w:tc>
          <w:tcPr>
            <w:tcW w:w="180" w:type="dxa"/>
            <w:vAlign w:val="bottom"/>
            <w:tcBorders>
              <w:right w:val="single" w:sz="8" w:color="auto"/>
            </w:tcBorders>
            <w:shd w:val="clear" w:color="auto" w:fill="C0C0C0"/>
          </w:tcPr>
          <w:p>
            <w:pPr>
              <w:spacing w:after="0"/>
              <w:rPr>
                <w:sz w:val="12"/>
                <w:szCs w:val="12"/>
                <w:color w:val="auto"/>
              </w:rPr>
            </w:pPr>
          </w:p>
        </w:tc>
        <w:tc>
          <w:tcPr>
            <w:tcW w:w="540" w:type="dxa"/>
            <w:vAlign w:val="bottom"/>
            <w:vMerge w:val="continue"/>
            <w:shd w:val="clear" w:color="auto" w:fill="C0C0C0"/>
          </w:tcPr>
          <w:p>
            <w:pPr>
              <w:spacing w:after="0"/>
              <w:rPr>
                <w:sz w:val="12"/>
                <w:szCs w:val="12"/>
                <w:color w:val="auto"/>
              </w:rPr>
            </w:pPr>
          </w:p>
        </w:tc>
        <w:tc>
          <w:tcPr>
            <w:tcW w:w="160" w:type="dxa"/>
            <w:vAlign w:val="bottom"/>
            <w:shd w:val="clear" w:color="auto" w:fill="C0C0C0"/>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620" w:type="dxa"/>
            <w:vAlign w:val="bottom"/>
            <w:vMerge w:val="continue"/>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(if</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right w:val="single" w:sz="8" w:color="C0C0C0"/>
            </w:tcBorders>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80" w:type="dxa"/>
            <w:vAlign w:val="bottom"/>
            <w:tcBorders>
              <w:right w:val="single" w:sz="8" w:color="auto"/>
            </w:tcBorders>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(Airframe)</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Price Per A/P</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4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0000FF"/>
                <w:strike w:val="1"/>
              </w:rPr>
              <w:t>2</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0000FF"/>
                <w:strike w:val="1"/>
              </w:rPr>
              <w:t>3</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0000FF"/>
                <w:strike w:val="1"/>
              </w:rPr>
              <w:t>3</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0000FF"/>
                <w:strike w:val="1"/>
              </w:rPr>
              <w:t>3</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9"/>
              </w:rPr>
              <w:t>****]-2028</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b w:val="1"/>
                <w:bCs w:val="1"/>
                <w:color w:val="auto"/>
                <w:strike w:val="1"/>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380" w:type="dxa"/>
            <w:vAlign w:val="bottom"/>
            <w:tcBorders>
              <w:right w:val="single" w:sz="8" w:color="auto"/>
            </w:tcBorders>
          </w:tcPr>
          <w:p>
            <w:pPr>
              <w:spacing w:after="0"/>
              <w:rPr>
                <w:sz w:val="21"/>
                <w:szCs w:val="2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48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Borders>
              <w:right w:val="single" w:sz="8" w:color="auto"/>
            </w:tcBorders>
          </w:tcPr>
          <w:p>
            <w:pPr>
              <w:jc w:val="center"/>
              <w:ind w:right="684"/>
              <w:spacing w:after="0"/>
              <w:rPr>
                <w:sz w:val="20"/>
                <w:szCs w:val="20"/>
                <w:color w:val="auto"/>
              </w:rPr>
            </w:pPr>
            <w:r>
              <w:rPr>
                <w:rFonts w:ascii="Times New Roman" w:cs="Times New Roman" w:eastAsia="Times New Roman" w:hAnsi="Times New Roman"/>
                <w:sz w:val="15"/>
                <w:szCs w:val="15"/>
                <w:b w:val="1"/>
                <w:bCs w:val="1"/>
                <w:color w:val="auto"/>
                <w:strike w:val="1"/>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****]-2028</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0000FF"/>
              </w:rPr>
              <w:t>1</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jc w:val="right"/>
              <w:ind w:right="146"/>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0000FF"/>
              </w:rPr>
              <w:t>1</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gridSpan w:val="2"/>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20" w:top="1440" w:right="659" w:bottom="1440" w:gutter="0" w:footer="0" w:header="0"/>
        </w:sectPr>
      </w:pPr>
    </w:p>
    <w:bookmarkStart w:id="67" w:name="page68"/>
    <w:bookmarkEnd w:id="67"/>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929005</wp:posOffset>
            </wp:positionV>
            <wp:extent cx="8255" cy="636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8255" cy="6369050"/>
                    </a:xfrm>
                    <a:prstGeom prst="rect">
                      <a:avLst/>
                    </a:prstGeom>
                    <a:noFill/>
                  </pic:spPr>
                </pic:pic>
              </a:graphicData>
            </a:graphic>
          </wp:anchor>
        </w:drawing>
        <w:drawing>
          <wp:anchor simplePos="0" relativeHeight="251657728" behindDoc="1" locked="0" layoutInCell="0" allowOverlap="1">
            <wp:simplePos x="0" y="0"/>
            <wp:positionH relativeFrom="page">
              <wp:posOffset>2479675</wp:posOffset>
            </wp:positionH>
            <wp:positionV relativeFrom="page">
              <wp:posOffset>929005</wp:posOffset>
            </wp:positionV>
            <wp:extent cx="8255" cy="636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8255" cy="63690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8890" cy="636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8890" cy="6369050"/>
                    </a:xfrm>
                    <a:prstGeom prst="rect">
                      <a:avLst/>
                    </a:prstGeom>
                    <a:noFill/>
                  </pic:spPr>
                </pic:pic>
              </a:graphicData>
            </a:graphic>
          </wp:anchor>
        </w:drawing>
        <w:drawing>
          <wp:anchor simplePos="0" relativeHeight="251657728" behindDoc="1" locked="0" layoutInCell="0" allowOverlap="1">
            <wp:simplePos x="0" y="0"/>
            <wp:positionH relativeFrom="page">
              <wp:posOffset>696595</wp:posOffset>
            </wp:positionH>
            <wp:positionV relativeFrom="page">
              <wp:posOffset>929005</wp:posOffset>
            </wp:positionV>
            <wp:extent cx="8890" cy="636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8890" cy="636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Escalation</w:t>
            </w:r>
          </w:p>
        </w:tc>
        <w:tc>
          <w:tcPr>
            <w:tcW w:w="240" w:type="dxa"/>
            <w:vAlign w:val="bottom"/>
            <w:tcBorders>
              <w:top w:val="single" w:sz="8" w:color="auto"/>
              <w:right w:val="single" w:sz="8" w:color="C0C0C0"/>
            </w:tcBorders>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right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60" w:type="dxa"/>
            <w:vAlign w:val="bottom"/>
            <w:tcBorders>
              <w:top w:val="single" w:sz="8" w:color="auto"/>
            </w:tcBorders>
            <w:shd w:val="clear" w:color="auto" w:fill="C0C0C0"/>
          </w:tcPr>
          <w:p>
            <w:pPr>
              <w:spacing w:after="0"/>
              <w:rPr>
                <w:sz w:val="21"/>
                <w:szCs w:val="21"/>
                <w:color w:val="auto"/>
              </w:rPr>
            </w:pPr>
          </w:p>
        </w:tc>
        <w:tc>
          <w:tcPr>
            <w:tcW w:w="14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68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58"/>
        </w:trPr>
        <w:tc>
          <w:tcPr>
            <w:tcW w:w="100" w:type="dxa"/>
            <w:vAlign w:val="bottom"/>
            <w:vMerge w:val="restart"/>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rPr>
              <w:t>of</w:t>
            </w:r>
          </w:p>
        </w:tc>
        <w:tc>
          <w:tcPr>
            <w:tcW w:w="920" w:type="dxa"/>
            <w:vAlign w:val="bottom"/>
            <w:vMerge w:val="restart"/>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Factor</w:t>
            </w:r>
          </w:p>
        </w:tc>
        <w:tc>
          <w:tcPr>
            <w:tcW w:w="240" w:type="dxa"/>
            <w:vAlign w:val="bottom"/>
            <w:tcBorders>
              <w:right w:val="single" w:sz="8" w:color="C0C0C0"/>
            </w:tcBorders>
          </w:tcPr>
          <w:p>
            <w:pPr>
              <w:spacing w:after="0"/>
              <w:rPr>
                <w:sz w:val="13"/>
                <w:szCs w:val="13"/>
                <w:color w:val="auto"/>
              </w:rPr>
            </w:pPr>
          </w:p>
        </w:tc>
        <w:tc>
          <w:tcPr>
            <w:tcW w:w="34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w w:val="89"/>
              </w:rPr>
              <w:t>Notes</w:t>
            </w: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C0C0C0"/>
            </w:tcBorders>
            <w:vMerge w:val="restart"/>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w w:val="95"/>
              </w:rPr>
              <w:t>Delivery</w:t>
            </w:r>
          </w:p>
        </w:tc>
        <w:tc>
          <w:tcPr>
            <w:tcW w:w="160" w:type="dxa"/>
            <w:vAlign w:val="bottom"/>
            <w:tcBorders>
              <w:bottom w:val="single" w:sz="8" w:color="C0C0C0"/>
            </w:tcBorders>
            <w:shd w:val="clear" w:color="auto" w:fill="C0C0C0"/>
          </w:tcPr>
          <w:p>
            <w:pPr>
              <w:spacing w:after="0"/>
              <w:rPr>
                <w:sz w:val="13"/>
                <w:szCs w:val="13"/>
                <w:color w:val="auto"/>
              </w:rPr>
            </w:pPr>
          </w:p>
        </w:tc>
        <w:tc>
          <w:tcPr>
            <w:tcW w:w="1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Adv Payment Base</w:t>
            </w:r>
          </w:p>
        </w:tc>
        <w:tc>
          <w:tcPr>
            <w:tcW w:w="10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Borders>
              <w:right w:val="single" w:sz="8" w:color="C0C0C0"/>
            </w:tcBorders>
          </w:tcPr>
          <w:p>
            <w:pPr>
              <w:spacing w:after="0"/>
              <w:rPr>
                <w:sz w:val="5"/>
                <w:szCs w:val="5"/>
                <w:color w:val="auto"/>
              </w:rPr>
            </w:pPr>
          </w:p>
        </w:tc>
        <w:tc>
          <w:tcPr>
            <w:tcW w:w="340" w:type="dxa"/>
            <w:vAlign w:val="bottom"/>
            <w:vMerge w:val="continue"/>
            <w:shd w:val="clear" w:color="auto" w:fill="C0C0C0"/>
          </w:tcPr>
          <w:p>
            <w:pPr>
              <w:spacing w:after="0"/>
              <w:rPr>
                <w:sz w:val="5"/>
                <w:szCs w:val="5"/>
                <w:color w:val="auto"/>
              </w:rPr>
            </w:pPr>
          </w:p>
        </w:tc>
        <w:tc>
          <w:tcPr>
            <w:tcW w:w="180" w:type="dxa"/>
            <w:vAlign w:val="bottom"/>
            <w:tcBorders>
              <w:right w:val="single" w:sz="8" w:color="auto"/>
            </w:tcBorders>
            <w:shd w:val="clear" w:color="auto" w:fill="C0C0C0"/>
          </w:tcPr>
          <w:p>
            <w:pPr>
              <w:spacing w:after="0"/>
              <w:rPr>
                <w:sz w:val="5"/>
                <w:szCs w:val="5"/>
                <w:color w:val="auto"/>
              </w:rPr>
            </w:pPr>
          </w:p>
        </w:tc>
        <w:tc>
          <w:tcPr>
            <w:tcW w:w="540" w:type="dxa"/>
            <w:vAlign w:val="bottom"/>
            <w:vMerge w:val="continue"/>
            <w:shd w:val="clear" w:color="auto" w:fill="C0C0C0"/>
          </w:tcPr>
          <w:p>
            <w:pPr>
              <w:spacing w:after="0"/>
              <w:rPr>
                <w:sz w:val="5"/>
                <w:szCs w:val="5"/>
                <w:color w:val="auto"/>
              </w:rPr>
            </w:pPr>
          </w:p>
        </w:tc>
        <w:tc>
          <w:tcPr>
            <w:tcW w:w="160" w:type="dxa"/>
            <w:vAlign w:val="bottom"/>
            <w:shd w:val="clear" w:color="auto" w:fill="C0C0C0"/>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At Signing</w:t>
            </w:r>
          </w:p>
        </w:tc>
        <w:tc>
          <w:tcPr>
            <w:tcW w:w="900" w:type="dxa"/>
            <w:vAlign w:val="bottom"/>
            <w:tcBorders>
              <w:right w:val="single" w:sz="8" w:color="auto"/>
            </w:tcBorders>
            <w:vMerge w:val="restart"/>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100" w:type="dxa"/>
            <w:vAlign w:val="bottom"/>
            <w:tcBorders>
              <w:right w:val="single" w:sz="8" w:color="auto"/>
            </w:tcBorders>
            <w:vMerge w:val="restart"/>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66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Borders>
              <w:right w:val="single" w:sz="8" w:color="C0C0C0"/>
            </w:tcBorders>
          </w:tcPr>
          <w:p>
            <w:pPr>
              <w:spacing w:after="0"/>
              <w:rPr>
                <w:sz w:val="12"/>
                <w:szCs w:val="12"/>
                <w:color w:val="auto"/>
              </w:rPr>
            </w:pPr>
          </w:p>
        </w:tc>
        <w:tc>
          <w:tcPr>
            <w:tcW w:w="340" w:type="dxa"/>
            <w:vAlign w:val="bottom"/>
            <w:vMerge w:val="continue"/>
            <w:shd w:val="clear" w:color="auto" w:fill="C0C0C0"/>
          </w:tcPr>
          <w:p>
            <w:pPr>
              <w:spacing w:after="0"/>
              <w:rPr>
                <w:sz w:val="12"/>
                <w:szCs w:val="12"/>
                <w:color w:val="auto"/>
              </w:rPr>
            </w:pPr>
          </w:p>
        </w:tc>
        <w:tc>
          <w:tcPr>
            <w:tcW w:w="180" w:type="dxa"/>
            <w:vAlign w:val="bottom"/>
            <w:tcBorders>
              <w:right w:val="single" w:sz="8" w:color="auto"/>
            </w:tcBorders>
            <w:shd w:val="clear" w:color="auto" w:fill="C0C0C0"/>
          </w:tcPr>
          <w:p>
            <w:pPr>
              <w:spacing w:after="0"/>
              <w:rPr>
                <w:sz w:val="12"/>
                <w:szCs w:val="12"/>
                <w:color w:val="auto"/>
              </w:rPr>
            </w:pPr>
          </w:p>
        </w:tc>
        <w:tc>
          <w:tcPr>
            <w:tcW w:w="540" w:type="dxa"/>
            <w:vAlign w:val="bottom"/>
            <w:vMerge w:val="continue"/>
            <w:shd w:val="clear" w:color="auto" w:fill="C0C0C0"/>
          </w:tcPr>
          <w:p>
            <w:pPr>
              <w:spacing w:after="0"/>
              <w:rPr>
                <w:sz w:val="12"/>
                <w:szCs w:val="12"/>
                <w:color w:val="auto"/>
              </w:rPr>
            </w:pPr>
          </w:p>
        </w:tc>
        <w:tc>
          <w:tcPr>
            <w:tcW w:w="160" w:type="dxa"/>
            <w:vAlign w:val="bottom"/>
            <w:shd w:val="clear" w:color="auto" w:fill="C0C0C0"/>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(if</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right w:val="single" w:sz="8" w:color="C0C0C0"/>
            </w:tcBorders>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80" w:type="dxa"/>
            <w:vAlign w:val="bottom"/>
            <w:tcBorders>
              <w:right w:val="single" w:sz="8" w:color="auto"/>
            </w:tcBorders>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(Airframe)</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rPr>
              <w:t>Price Per A/P</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0000FF"/>
              </w:rPr>
              <w:t>1</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0000FF"/>
              </w:rPr>
              <w:t>3</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2</w:t>
            </w: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0000FF"/>
              </w:rPr>
              <w:t>3</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jc w:val="center"/>
              <w:ind w:right="64"/>
              <w:spacing w:after="0"/>
              <w:rPr>
                <w:sz w:val="20"/>
                <w:szCs w:val="20"/>
                <w:color w:val="auto"/>
              </w:rPr>
            </w:pPr>
            <w:r>
              <w:rPr>
                <w:rFonts w:ascii="Times New Roman" w:cs="Times New Roman" w:eastAsia="Times New Roman" w:hAnsi="Times New Roman"/>
                <w:sz w:val="15"/>
                <w:szCs w:val="15"/>
                <w:color w:val="auto"/>
                <w:w w:val="88"/>
              </w:rPr>
              <w:t>1, 2</w:t>
            </w: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C0C0C0"/>
            </w:tcBorders>
            <w:shd w:val="clear" w:color="auto" w:fill="C0C0C0"/>
          </w:tcPr>
          <w:p>
            <w:pPr>
              <w:spacing w:after="0"/>
              <w:rPr>
                <w:sz w:val="13"/>
                <w:szCs w:val="13"/>
                <w:color w:val="auto"/>
              </w:rPr>
            </w:pPr>
          </w:p>
        </w:tc>
        <w:tc>
          <w:tcPr>
            <w:tcW w:w="180" w:type="dxa"/>
            <w:vAlign w:val="bottom"/>
            <w:tcBorders>
              <w:bottom w:val="single" w:sz="8" w:color="C0C0C0"/>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****]-2029 [****]-[****]</w:t>
            </w: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0000FF"/>
              </w:rPr>
              <w:t>1</w:t>
            </w: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60"/>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8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0C0C0"/>
            </w:tcBorders>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80" w:type="dxa"/>
            <w:vAlign w:val="bottom"/>
            <w:tcBorders>
              <w:right w:val="single" w:sz="8" w:color="auto"/>
            </w:tcBorders>
            <w:shd w:val="clear" w:color="auto" w:fill="C0C0C0"/>
          </w:tcPr>
          <w:p>
            <w:pPr>
              <w:spacing w:after="0"/>
              <w:rPr>
                <w:sz w:val="21"/>
                <w:szCs w:val="21"/>
                <w:color w:val="auto"/>
              </w:rPr>
            </w:pPr>
          </w:p>
        </w:tc>
        <w:tc>
          <w:tcPr>
            <w:tcW w:w="540" w:type="dxa"/>
            <w:vAlign w:val="bottom"/>
            <w:shd w:val="clear" w:color="auto" w:fill="C0C0C0"/>
          </w:tcPr>
          <w:p>
            <w:pPr>
              <w:ind w:left="80"/>
              <w:spacing w:after="0"/>
              <w:rPr>
                <w:sz w:val="20"/>
                <w:szCs w:val="20"/>
                <w:color w:val="auto"/>
              </w:rPr>
            </w:pPr>
            <w:r>
              <w:rPr>
                <w:rFonts w:ascii="Times New Roman" w:cs="Times New Roman" w:eastAsia="Times New Roman" w:hAnsi="Times New Roman"/>
                <w:sz w:val="15"/>
                <w:szCs w:val="15"/>
                <w:color w:val="auto"/>
              </w:rPr>
              <w:t>No</w:t>
            </w:r>
          </w:p>
        </w:tc>
        <w:tc>
          <w:tcPr>
            <w:tcW w:w="160" w:type="dxa"/>
            <w:vAlign w:val="bottom"/>
            <w:shd w:val="clear" w:color="auto" w:fill="C0C0C0"/>
          </w:tcPr>
          <w:p>
            <w:pPr>
              <w:spacing w:after="0"/>
              <w:rPr>
                <w:sz w:val="21"/>
                <w:szCs w:val="21"/>
                <w:color w:val="auto"/>
              </w:rPr>
            </w:pPr>
          </w:p>
        </w:tc>
        <w:tc>
          <w:tcPr>
            <w:tcW w:w="1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C0C0C0"/>
            </w:tcBorders>
          </w:tcPr>
          <w:p>
            <w:pPr>
              <w:spacing w:after="0"/>
              <w:rPr>
                <w:sz w:val="13"/>
                <w:szCs w:val="13"/>
                <w:color w:val="auto"/>
              </w:rPr>
            </w:pPr>
          </w:p>
        </w:tc>
        <w:tc>
          <w:tcPr>
            <w:tcW w:w="340" w:type="dxa"/>
            <w:vAlign w:val="bottom"/>
            <w:tcBorders>
              <w:bottom w:val="single" w:sz="8" w:color="auto"/>
            </w:tcBorders>
            <w:shd w:val="clear" w:color="auto" w:fill="C0C0C0"/>
          </w:tcPr>
          <w:p>
            <w:pPr>
              <w:spacing w:after="0"/>
              <w:rPr>
                <w:sz w:val="13"/>
                <w:szCs w:val="13"/>
                <w:color w:val="auto"/>
              </w:rPr>
            </w:pPr>
          </w:p>
        </w:tc>
        <w:tc>
          <w:tcPr>
            <w:tcW w:w="180" w:type="dxa"/>
            <w:vAlign w:val="bottom"/>
            <w:tcBorders>
              <w:bottom w:val="single" w:sz="8" w:color="auto"/>
              <w:right w:val="single" w:sz="8" w:color="auto"/>
            </w:tcBorders>
            <w:shd w:val="clear" w:color="auto" w:fill="C0C0C0"/>
          </w:tcPr>
          <w:p>
            <w:pPr>
              <w:spacing w:after="0"/>
              <w:rPr>
                <w:sz w:val="13"/>
                <w:szCs w:val="13"/>
                <w:color w:val="auto"/>
              </w:rPr>
            </w:pPr>
          </w:p>
        </w:tc>
        <w:tc>
          <w:tcPr>
            <w:tcW w:w="540" w:type="dxa"/>
            <w:vAlign w:val="bottom"/>
            <w:tcBorders>
              <w:bottom w:val="single" w:sz="8" w:color="auto"/>
            </w:tcBorders>
            <w:shd w:val="clear" w:color="auto" w:fill="C0C0C0"/>
          </w:tcPr>
          <w:p>
            <w:pPr>
              <w:spacing w:after="0"/>
              <w:rPr>
                <w:sz w:val="13"/>
                <w:szCs w:val="13"/>
                <w:color w:val="auto"/>
              </w:rPr>
            </w:pPr>
          </w:p>
        </w:tc>
        <w:tc>
          <w:tcPr>
            <w:tcW w:w="160" w:type="dxa"/>
            <w:vAlign w:val="bottom"/>
            <w:tcBorders>
              <w:bottom w:val="single" w:sz="8" w:color="auto"/>
            </w:tcBorders>
            <w:shd w:val="clear" w:color="auto" w:fill="C0C0C0"/>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20" w:top="1440" w:right="659" w:bottom="1440" w:gutter="0" w:footer="0" w:header="0"/>
        </w:sectPr>
      </w:pPr>
    </w:p>
    <w:bookmarkStart w:id="68" w:name="page69"/>
    <w:bookmarkEnd w:id="68"/>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4631690</wp:posOffset>
            </wp:positionH>
            <wp:positionV relativeFrom="page">
              <wp:posOffset>929005</wp:posOffset>
            </wp:positionV>
            <wp:extent cx="8890" cy="4775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8890" cy="4775200"/>
                    </a:xfrm>
                    <a:prstGeom prst="rect">
                      <a:avLst/>
                    </a:prstGeom>
                    <a:noFill/>
                  </pic:spPr>
                </pic:pic>
              </a:graphicData>
            </a:graphic>
          </wp:anchor>
        </w:drawing>
        <w:drawing>
          <wp:anchor simplePos="0" relativeHeight="251657728" behindDoc="1" locked="0" layoutInCell="0" allowOverlap="1">
            <wp:simplePos x="0" y="0"/>
            <wp:positionH relativeFrom="page">
              <wp:posOffset>3825875</wp:posOffset>
            </wp:positionH>
            <wp:positionV relativeFrom="page">
              <wp:posOffset>929005</wp:posOffset>
            </wp:positionV>
            <wp:extent cx="8255" cy="47752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8255" cy="4775200"/>
                    </a:xfrm>
                    <a:prstGeom prst="rect">
                      <a:avLst/>
                    </a:prstGeom>
                    <a:noFill/>
                  </pic:spPr>
                </pic:pic>
              </a:graphicData>
            </a:graphic>
          </wp:anchor>
        </w:drawing>
        <w:drawing>
          <wp:anchor simplePos="0" relativeHeight="251657728" behindDoc="1" locked="0" layoutInCell="0" allowOverlap="1">
            <wp:simplePos x="0" y="0"/>
            <wp:positionH relativeFrom="page">
              <wp:posOffset>3148330</wp:posOffset>
            </wp:positionH>
            <wp:positionV relativeFrom="page">
              <wp:posOffset>929005</wp:posOffset>
            </wp:positionV>
            <wp:extent cx="283210" cy="4775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283210" cy="47752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8890" cy="47752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8890" cy="4775200"/>
                    </a:xfrm>
                    <a:prstGeom prst="rect">
                      <a:avLst/>
                    </a:prstGeom>
                    <a:noFill/>
                  </pic:spPr>
                </pic:pic>
              </a:graphicData>
            </a:graphic>
          </wp:anchor>
        </w:drawing>
        <w:drawing>
          <wp:anchor simplePos="0" relativeHeight="251657728" behindDoc="1" locked="0" layoutInCell="0" allowOverlap="1">
            <wp:simplePos x="0" y="0"/>
            <wp:positionH relativeFrom="page">
              <wp:posOffset>662305</wp:posOffset>
            </wp:positionH>
            <wp:positionV relativeFrom="page">
              <wp:posOffset>929005</wp:posOffset>
            </wp:positionV>
            <wp:extent cx="8890" cy="47752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8890" cy="47752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94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20" w:type="dxa"/>
            <w:vAlign w:val="bottom"/>
            <w:tcBorders>
              <w:top w:val="single" w:sz="8" w:color="auto"/>
              <w:right w:val="single" w:sz="8" w:color="C0C0C0"/>
            </w:tcBorders>
          </w:tcPr>
          <w:p>
            <w:pPr>
              <w:spacing w:after="0"/>
              <w:rPr>
                <w:sz w:val="21"/>
                <w:szCs w:val="21"/>
                <w:color w:val="auto"/>
              </w:rPr>
            </w:pPr>
          </w:p>
        </w:tc>
        <w:tc>
          <w:tcPr>
            <w:tcW w:w="440" w:type="dxa"/>
            <w:vAlign w:val="bottom"/>
            <w:tcBorders>
              <w:top w:val="single" w:sz="8" w:color="auto"/>
              <w:right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72"/>
              </w:rPr>
              <w:t>Escalation EstimateAdvance</w:t>
            </w:r>
          </w:p>
        </w:tc>
        <w:tc>
          <w:tcPr>
            <w:tcW w:w="3960" w:type="dxa"/>
            <w:vAlign w:val="bottom"/>
            <w:tcBorders>
              <w:top w:val="single" w:sz="8" w:color="auto"/>
              <w:right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Payment Per Aircraft (Amts. Due/Mos. Prior to Delivery)*:</w:t>
            </w:r>
          </w:p>
        </w:tc>
      </w:tr>
      <w:tr>
        <w:trPr>
          <w:trHeight w:val="223"/>
        </w:trPr>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right w:val="single" w:sz="8" w:color="C0C0C0"/>
            </w:tcBorders>
          </w:tcPr>
          <w:p>
            <w:pPr>
              <w:spacing w:after="0"/>
              <w:rPr>
                <w:sz w:val="19"/>
                <w:szCs w:val="19"/>
                <w:color w:val="auto"/>
              </w:rPr>
            </w:pPr>
          </w:p>
        </w:tc>
        <w:tc>
          <w:tcPr>
            <w:tcW w:w="440" w:type="dxa"/>
            <w:vAlign w:val="bottom"/>
            <w:tcBorders>
              <w:bottom w:val="single" w:sz="8" w:color="C0C0C0"/>
              <w:right w:val="single" w:sz="8" w:color="auto"/>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147"/>
        </w:trPr>
        <w:tc>
          <w:tcPr>
            <w:tcW w:w="100" w:type="dxa"/>
            <w:vAlign w:val="bottom"/>
          </w:tcPr>
          <w:p>
            <w:pPr>
              <w:spacing w:after="0"/>
              <w:rPr>
                <w:sz w:val="12"/>
                <w:szCs w:val="12"/>
                <w:color w:val="auto"/>
              </w:rPr>
            </w:pPr>
          </w:p>
        </w:tc>
        <w:tc>
          <w:tcPr>
            <w:tcW w:w="740" w:type="dxa"/>
            <w:vAlign w:val="bottom"/>
          </w:tcPr>
          <w:p>
            <w:pPr>
              <w:jc w:val="right"/>
              <w:ind w:right="185"/>
              <w:spacing w:after="0" w:line="147" w:lineRule="exact"/>
              <w:rPr>
                <w:sz w:val="20"/>
                <w:szCs w:val="20"/>
                <w:color w:val="auto"/>
              </w:rPr>
            </w:pPr>
            <w:r>
              <w:rPr>
                <w:rFonts w:ascii="Times New Roman" w:cs="Times New Roman" w:eastAsia="Times New Roman" w:hAnsi="Times New Roman"/>
                <w:sz w:val="15"/>
                <w:szCs w:val="15"/>
                <w:b w:val="1"/>
                <w:bCs w:val="1"/>
                <w:color w:val="auto"/>
                <w:w w:val="84"/>
              </w:rPr>
              <w:t>Delivery</w:t>
            </w:r>
          </w:p>
        </w:tc>
        <w:tc>
          <w:tcPr>
            <w:tcW w:w="940" w:type="dxa"/>
            <w:vAlign w:val="bottom"/>
            <w:tcBorders>
              <w:right w:val="single" w:sz="8" w:color="auto"/>
            </w:tcBorders>
          </w:tcPr>
          <w:p>
            <w:pPr>
              <w:spacing w:after="0"/>
              <w:rPr>
                <w:sz w:val="12"/>
                <w:szCs w:val="12"/>
                <w:color w:val="auto"/>
              </w:rPr>
            </w:pPr>
          </w:p>
        </w:tc>
        <w:tc>
          <w:tcPr>
            <w:tcW w:w="158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b w:val="1"/>
                <w:bCs w:val="1"/>
                <w:color w:val="auto"/>
                <w:w w:val="95"/>
              </w:rPr>
              <w:t>of</w:t>
            </w:r>
          </w:p>
        </w:tc>
        <w:tc>
          <w:tcPr>
            <w:tcW w:w="400" w:type="dxa"/>
            <w:vAlign w:val="bottom"/>
            <w:tcBorders>
              <w:right w:val="single" w:sz="8" w:color="auto"/>
            </w:tcBorders>
          </w:tcPr>
          <w:p>
            <w:pPr>
              <w:spacing w:after="0"/>
              <w:rPr>
                <w:sz w:val="12"/>
                <w:szCs w:val="12"/>
                <w:color w:val="auto"/>
              </w:rPr>
            </w:pPr>
          </w:p>
        </w:tc>
        <w:tc>
          <w:tcPr>
            <w:tcW w:w="78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5"/>
                <w:szCs w:val="15"/>
                <w:b w:val="1"/>
                <w:bCs w:val="1"/>
                <w:color w:val="auto"/>
              </w:rPr>
              <w:t>Factor</w:t>
            </w:r>
          </w:p>
        </w:tc>
        <w:tc>
          <w:tcPr>
            <w:tcW w:w="660" w:type="dxa"/>
            <w:vAlign w:val="bottom"/>
            <w:tcBorders>
              <w:right w:val="single" w:sz="8" w:color="auto"/>
            </w:tcBorders>
            <w:gridSpan w:val="2"/>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rPr>
              <w:t>Notes</w:t>
            </w:r>
          </w:p>
        </w:tc>
        <w:tc>
          <w:tcPr>
            <w:tcW w:w="1760" w:type="dxa"/>
            <w:vAlign w:val="bottom"/>
            <w:gridSpan w:val="2"/>
          </w:tcPr>
          <w:p>
            <w:pPr>
              <w:spacing w:after="0" w:line="147" w:lineRule="exact"/>
              <w:rPr>
                <w:sz w:val="20"/>
                <w:szCs w:val="20"/>
                <w:color w:val="auto"/>
              </w:rPr>
            </w:pPr>
            <w:r>
              <w:rPr>
                <w:rFonts w:ascii="Times New Roman" w:cs="Times New Roman" w:eastAsia="Times New Roman" w:hAnsi="Times New Roman"/>
                <w:sz w:val="15"/>
                <w:szCs w:val="15"/>
                <w:b w:val="1"/>
                <w:bCs w:val="1"/>
                <w:color w:val="auto"/>
                <w:w w:val="97"/>
              </w:rPr>
              <w:t>Delivery Adv Payment Base</w:t>
            </w:r>
          </w:p>
        </w:tc>
        <w:tc>
          <w:tcPr>
            <w:tcW w:w="9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5"/>
                <w:szCs w:val="15"/>
                <w:b w:val="1"/>
                <w:bCs w:val="1"/>
                <w:color w:val="auto"/>
              </w:rPr>
              <w:t>At Signing</w:t>
            </w:r>
          </w:p>
        </w:tc>
        <w:tc>
          <w:tcPr>
            <w:tcW w:w="160" w:type="dxa"/>
            <w:vAlign w:val="bottom"/>
          </w:tcPr>
          <w:p>
            <w:pPr>
              <w:spacing w:after="0"/>
              <w:rPr>
                <w:sz w:val="12"/>
                <w:szCs w:val="12"/>
                <w:color w:val="auto"/>
              </w:rPr>
            </w:pPr>
          </w:p>
        </w:tc>
        <w:tc>
          <w:tcPr>
            <w:tcW w:w="780" w:type="dxa"/>
            <w:vAlign w:val="bottom"/>
            <w:tcBorders>
              <w:right w:val="single" w:sz="8" w:color="auto"/>
            </w:tcBorders>
          </w:tcPr>
          <w:p>
            <w:pPr>
              <w:jc w:val="center"/>
              <w:ind w:right="264"/>
              <w:spacing w:after="0" w:line="147" w:lineRule="exact"/>
              <w:rPr>
                <w:sz w:val="20"/>
                <w:szCs w:val="20"/>
                <w:color w:val="auto"/>
              </w:rPr>
            </w:pPr>
            <w:r>
              <w:rPr>
                <w:rFonts w:ascii="Times New Roman" w:cs="Times New Roman" w:eastAsia="Times New Roman" w:hAnsi="Times New Roman"/>
                <w:sz w:val="15"/>
                <w:szCs w:val="15"/>
                <w:b w:val="1"/>
                <w:bCs w:val="1"/>
                <w:color w:val="auto"/>
                <w:w w:val="99"/>
              </w:rPr>
              <w:t>[****]</w:t>
            </w:r>
          </w:p>
        </w:tc>
        <w:tc>
          <w:tcPr>
            <w:tcW w:w="920" w:type="dxa"/>
            <w:vAlign w:val="bottom"/>
            <w:tcBorders>
              <w:right w:val="single" w:sz="8" w:color="auto"/>
            </w:tcBorders>
          </w:tcPr>
          <w:p>
            <w:pPr>
              <w:jc w:val="center"/>
              <w:ind w:right="284"/>
              <w:spacing w:after="0" w:line="147" w:lineRule="exact"/>
              <w:rPr>
                <w:sz w:val="20"/>
                <w:szCs w:val="20"/>
                <w:color w:val="auto"/>
              </w:rPr>
            </w:pPr>
            <w:r>
              <w:rPr>
                <w:rFonts w:ascii="Times New Roman" w:cs="Times New Roman" w:eastAsia="Times New Roman" w:hAnsi="Times New Roman"/>
                <w:sz w:val="15"/>
                <w:szCs w:val="15"/>
                <w:b w:val="1"/>
                <w:bCs w:val="1"/>
                <w:color w:val="auto"/>
                <w:w w:val="99"/>
              </w:rPr>
              <w:t>[****]</w:t>
            </w:r>
          </w:p>
        </w:tc>
        <w:tc>
          <w:tcPr>
            <w:tcW w:w="1320" w:type="dxa"/>
            <w:vAlign w:val="bottom"/>
            <w:tcBorders>
              <w:right w:val="single" w:sz="8" w:color="auto"/>
            </w:tcBorders>
          </w:tcPr>
          <w:p>
            <w:pPr>
              <w:ind w:left="320"/>
              <w:spacing w:after="0" w:line="147"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190"/>
        </w:trPr>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(if</w:t>
            </w:r>
          </w:p>
        </w:tc>
        <w:tc>
          <w:tcPr>
            <w:tcW w:w="94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Applicable)^</w:t>
            </w:r>
          </w:p>
        </w:tc>
        <w:tc>
          <w:tcPr>
            <w:tcW w:w="15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r>
      <w:tr>
        <w:trPr>
          <w:trHeight w:val="245"/>
        </w:trPr>
        <w:tc>
          <w:tcPr>
            <w:tcW w:w="100" w:type="dxa"/>
            <w:vAlign w:val="bottom"/>
          </w:tcPr>
          <w:p>
            <w:pPr>
              <w:spacing w:after="0"/>
              <w:rPr>
                <w:sz w:val="21"/>
                <w:szCs w:val="21"/>
                <w:color w:val="auto"/>
              </w:rPr>
            </w:pP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Date</w:t>
            </w:r>
          </w:p>
        </w:tc>
        <w:tc>
          <w:tcPr>
            <w:tcW w:w="940" w:type="dxa"/>
            <w:vAlign w:val="bottom"/>
            <w:tcBorders>
              <w:right w:val="single" w:sz="8" w:color="auto"/>
            </w:tcBorders>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Aircraft</w:t>
            </w: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7"/>
              </w:rPr>
              <w:t>(Airframe)</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16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Price Per A/P</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60" w:type="dxa"/>
            <w:vAlign w:val="bottom"/>
          </w:tcPr>
          <w:p>
            <w:pPr>
              <w:spacing w:after="0"/>
              <w:rPr>
                <w:sz w:val="21"/>
                <w:szCs w:val="21"/>
                <w:color w:val="auto"/>
              </w:rPr>
            </w:pPr>
          </w:p>
        </w:tc>
        <w:tc>
          <w:tcPr>
            <w:tcW w:w="78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132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w:t>
            </w:r>
          </w:p>
        </w:tc>
        <w:tc>
          <w:tcPr>
            <w:tcW w:w="6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1</w:t>
            </w: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Yes</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r>
      <w:tr>
        <w:trPr>
          <w:trHeight w:val="156"/>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94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940" w:type="dxa"/>
            <w:vAlign w:val="bottom"/>
            <w:tcBorders>
              <w:right w:val="single" w:sz="8" w:color="auto"/>
            </w:tcBorders>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Yes</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r>
      <w:tr>
        <w:trPr>
          <w:trHeight w:val="156"/>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w:t>
            </w:r>
          </w:p>
        </w:tc>
        <w:tc>
          <w:tcPr>
            <w:tcW w:w="94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color w:val="auto"/>
              </w:rPr>
              <w:t>$[****]</w:t>
            </w:r>
          </w:p>
        </w:tc>
      </w:tr>
      <w:tr>
        <w:trPr>
          <w:trHeight w:val="156"/>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0000FF"/>
              </w:rPr>
              <w:t>3</w:t>
            </w: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6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1</w:t>
            </w: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Yes</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0000FF"/>
              </w:rPr>
              <w:t>3</w:t>
            </w: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6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1</w:t>
            </w: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Yes</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6"/>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0000FF"/>
              </w:rPr>
              <w:t>3</w:t>
            </w: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66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1</w:t>
            </w:r>
          </w:p>
        </w:tc>
        <w:tc>
          <w:tcPr>
            <w:tcW w:w="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Yes</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****]-2029[****]-[****]</w:t>
            </w:r>
          </w:p>
        </w:tc>
        <w:tc>
          <w:tcPr>
            <w:tcW w:w="15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w:t>
            </w:r>
          </w:p>
        </w:tc>
        <w:tc>
          <w:tcPr>
            <w:tcW w:w="2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No</w:t>
            </w: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right w:val="single" w:sz="8" w:color="auto"/>
            </w:tcBorders>
            <w:gridSpan w:val="2"/>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right w:val="single" w:sz="8" w:color="auto"/>
            </w:tcBorders>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57"/>
        </w:trPr>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242"/>
        </w:trPr>
        <w:tc>
          <w:tcPr>
            <w:tcW w:w="100" w:type="dxa"/>
            <w:vAlign w:val="bottom"/>
          </w:tcPr>
          <w:p>
            <w:pPr>
              <w:spacing w:after="0"/>
              <w:rPr>
                <w:sz w:val="21"/>
                <w:szCs w:val="21"/>
                <w:color w:val="auto"/>
              </w:rPr>
            </w:pPr>
          </w:p>
        </w:tc>
        <w:tc>
          <w:tcPr>
            <w:tcW w:w="1680" w:type="dxa"/>
            <w:vAlign w:val="bottom"/>
            <w:gridSpan w:val="2"/>
          </w:tcPr>
          <w:p>
            <w:pPr>
              <w:jc w:val="right"/>
              <w:ind w:right="1128"/>
              <w:spacing w:after="0"/>
              <w:rPr>
                <w:sz w:val="20"/>
                <w:szCs w:val="20"/>
                <w:color w:val="auto"/>
              </w:rPr>
            </w:pPr>
            <w:r>
              <w:rPr>
                <w:rFonts w:ascii="Times New Roman" w:cs="Times New Roman" w:eastAsia="Times New Roman" w:hAnsi="Times New Roman"/>
                <w:sz w:val="15"/>
                <w:szCs w:val="15"/>
                <w:color w:val="auto"/>
              </w:rPr>
              <w:t>Total:</w:t>
            </w:r>
          </w:p>
        </w:tc>
        <w:tc>
          <w:tcPr>
            <w:tcW w:w="158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30</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-4674870</wp:posOffset>
            </wp:positionV>
            <wp:extent cx="394335" cy="45091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394335" cy="4509135"/>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-4674870</wp:posOffset>
            </wp:positionV>
            <wp:extent cx="8255" cy="45180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8255" cy="451802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Notes: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1 - [****]</w:t>
      </w:r>
    </w:p>
    <w:p>
      <w:pPr>
        <w:spacing w:after="0" w:line="31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2 – [****]</w:t>
      </w:r>
    </w:p>
    <w:p>
      <w:pPr>
        <w:sectPr>
          <w:pgSz w:w="11900" w:h="16838" w:orient="portrait"/>
          <w:cols w:equalWidth="0" w:num="1">
            <w:col w:w="11040"/>
          </w:cols>
          <w:pgMar w:left="220" w:top="1440" w:right="639" w:bottom="1440" w:gutter="0" w:footer="0" w:header="0"/>
        </w:sectPr>
      </w:pPr>
    </w:p>
    <w:bookmarkStart w:id="69" w:name="page70"/>
    <w:bookmarkEnd w:id="69"/>
    <w:p>
      <w:pPr>
        <w:ind w:left="2933"/>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243205</wp:posOffset>
            </wp:positionV>
            <wp:extent cx="1491615" cy="3429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spacing w:after="0" w:line="25" w:lineRule="exact"/>
        <w:rPr>
          <w:sz w:val="20"/>
          <w:szCs w:val="20"/>
          <w:color w:val="auto"/>
        </w:rPr>
      </w:pPr>
    </w:p>
    <w:p>
      <w:pPr>
        <w:ind w:left="2933"/>
        <w:spacing w:after="0"/>
        <w:rPr>
          <w:sz w:val="20"/>
          <w:szCs w:val="20"/>
          <w:color w:val="auto"/>
        </w:rPr>
      </w:pPr>
      <w:r>
        <w:rPr>
          <w:rFonts w:ascii="Arial" w:cs="Arial" w:eastAsia="Arial" w:hAnsi="Arial"/>
          <w:sz w:val="13"/>
          <w:szCs w:val="13"/>
          <w:color w:val="808080"/>
        </w:rPr>
        <w:t>P.O. Box 3707</w:t>
      </w:r>
    </w:p>
    <w:p>
      <w:pPr>
        <w:spacing w:after="0" w:line="13" w:lineRule="exact"/>
        <w:rPr>
          <w:sz w:val="20"/>
          <w:szCs w:val="20"/>
          <w:color w:val="auto"/>
        </w:rPr>
      </w:pPr>
    </w:p>
    <w:p>
      <w:pPr>
        <w:ind w:left="2933"/>
        <w:spacing w:after="0"/>
        <w:rPr>
          <w:sz w:val="20"/>
          <w:szCs w:val="20"/>
          <w:color w:val="auto"/>
        </w:rPr>
      </w:pPr>
      <w:r>
        <w:rPr>
          <w:rFonts w:ascii="Arial" w:cs="Arial" w:eastAsia="Arial" w:hAnsi="Arial"/>
          <w:sz w:val="13"/>
          <w:szCs w:val="13"/>
          <w:color w:val="808080"/>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93980</wp:posOffset>
            </wp:positionV>
            <wp:extent cx="58635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3"/>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R17</w:t>
      </w:r>
    </w:p>
    <w:p>
      <w:pPr>
        <w:spacing w:after="0" w:line="330" w:lineRule="exact"/>
        <w:rPr>
          <w:sz w:val="20"/>
          <w:szCs w:val="20"/>
          <w:color w:val="auto"/>
        </w:rPr>
      </w:pPr>
    </w:p>
    <w:p>
      <w:pPr>
        <w:ind w:left="73"/>
        <w:spacing w:after="0"/>
        <w:rPr>
          <w:sz w:val="20"/>
          <w:szCs w:val="20"/>
          <w:color w:val="auto"/>
        </w:rPr>
      </w:pPr>
      <w:r>
        <w:rPr>
          <w:rFonts w:ascii="Arial" w:cs="Arial" w:eastAsia="Arial" w:hAnsi="Arial"/>
          <w:sz w:val="22"/>
          <w:szCs w:val="22"/>
          <w:color w:val="auto"/>
        </w:rPr>
        <w:t>American Airlines, Inc.</w:t>
      </w:r>
    </w:p>
    <w:p>
      <w:pPr>
        <w:spacing w:after="0" w:line="24" w:lineRule="exact"/>
        <w:rPr>
          <w:sz w:val="20"/>
          <w:szCs w:val="20"/>
          <w:color w:val="auto"/>
        </w:rPr>
      </w:pPr>
    </w:p>
    <w:p>
      <w:pPr>
        <w:ind w:left="73"/>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ind w:left="73"/>
        <w:spacing w:after="0"/>
        <w:rPr>
          <w:sz w:val="20"/>
          <w:szCs w:val="20"/>
          <w:color w:val="auto"/>
        </w:rPr>
      </w:pPr>
      <w:r>
        <w:rPr>
          <w:rFonts w:ascii="Arial" w:cs="Arial" w:eastAsia="Arial" w:hAnsi="Arial"/>
          <w:sz w:val="22"/>
          <w:szCs w:val="22"/>
          <w:color w:val="auto"/>
        </w:rPr>
        <w:t>Dallas-Fort Worth Airport, Texas 75261-9616</w:t>
      </w:r>
    </w:p>
    <w:p>
      <w:pPr>
        <w:spacing w:after="0" w:line="321" w:lineRule="exact"/>
        <w:rPr>
          <w:sz w:val="20"/>
          <w:szCs w:val="20"/>
          <w:color w:val="auto"/>
        </w:rPr>
      </w:pPr>
    </w:p>
    <w:p>
      <w:pPr>
        <w:ind w:left="73"/>
        <w:spacing w:after="0"/>
        <w:tabs>
          <w:tab w:leader="none" w:pos="1073" w:val="left"/>
        </w:tabs>
        <w:rPr>
          <w:sz w:val="20"/>
          <w:szCs w:val="20"/>
          <w:color w:val="auto"/>
        </w:rPr>
      </w:pPr>
      <w:r>
        <w:rPr>
          <w:rFonts w:ascii="Arial" w:cs="Arial" w:eastAsia="Arial" w:hAnsi="Arial"/>
          <w:sz w:val="22"/>
          <w:szCs w:val="22"/>
          <w:color w:val="auto"/>
        </w:rPr>
        <w:t>Subject:</w:t>
        <w:tab/>
        <w:t>[****]</w:t>
      </w:r>
    </w:p>
    <w:p>
      <w:pPr>
        <w:spacing w:after="0" w:line="220" w:lineRule="exact"/>
        <w:rPr>
          <w:sz w:val="20"/>
          <w:szCs w:val="20"/>
          <w:color w:val="auto"/>
        </w:rPr>
      </w:pPr>
    </w:p>
    <w:p>
      <w:pPr>
        <w:ind w:left="1413" w:hanging="1538"/>
        <w:spacing w:after="0" w:line="283" w:lineRule="auto"/>
        <w:tabs>
          <w:tab w:leader="none" w:pos="1393"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left="73" w:right="20" w:firstLine="648"/>
        <w:spacing w:after="0" w:line="272"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29" w:lineRule="exact"/>
        <w:rPr>
          <w:sz w:val="20"/>
          <w:szCs w:val="20"/>
          <w:color w:val="auto"/>
        </w:rPr>
      </w:pPr>
    </w:p>
    <w:p>
      <w:pPr>
        <w:ind w:left="393" w:hanging="393"/>
        <w:spacing w:after="0"/>
        <w:tabs>
          <w:tab w:leader="none" w:pos="39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p>
    <w:p>
      <w:pPr>
        <w:spacing w:after="0" w:line="206" w:lineRule="exact"/>
        <w:rPr>
          <w:sz w:val="20"/>
          <w:szCs w:val="20"/>
          <w:color w:val="auto"/>
        </w:rPr>
      </w:pPr>
    </w:p>
    <w:p>
      <w:pPr>
        <w:jc w:val="both"/>
        <w:ind w:left="73" w:firstLine="648"/>
        <w:spacing w:after="0" w:line="257"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 to the Purchase Agreement as of the date of execution of this Letter Agreement, [****] ([****]) and [****] ([****]). As of the Effective Date (as defined in Supplemental Agreement No. 34 to the Purchase Agreement (</w:t>
      </w:r>
      <w:r>
        <w:rPr>
          <w:rFonts w:ascii="Arial" w:cs="Arial" w:eastAsia="Arial" w:hAnsi="Arial"/>
          <w:sz w:val="22"/>
          <w:szCs w:val="22"/>
          <w:b w:val="1"/>
          <w:bCs w:val="1"/>
          <w:i w:val="1"/>
          <w:iCs w:val="1"/>
          <w:color w:val="auto"/>
        </w:rPr>
        <w:t>SA-34</w:t>
      </w:r>
      <w:r>
        <w:rPr>
          <w:rFonts w:ascii="Arial" w:cs="Arial" w:eastAsia="Arial" w:hAnsi="Arial"/>
          <w:sz w:val="22"/>
          <w:szCs w:val="22"/>
          <w:color w:val="auto"/>
        </w:rPr>
        <w:t>)) of SA-34 to the Purchase Agreement, there are [****].</w:t>
      </w:r>
    </w:p>
    <w:p>
      <w:pPr>
        <w:spacing w:after="0" w:line="145" w:lineRule="exact"/>
        <w:rPr>
          <w:sz w:val="20"/>
          <w:szCs w:val="20"/>
          <w:color w:val="auto"/>
        </w:rPr>
      </w:pPr>
    </w:p>
    <w:p>
      <w:pPr>
        <w:ind w:left="393" w:hanging="312"/>
        <w:spacing w:after="0"/>
        <w:tabs>
          <w:tab w:leader="none" w:pos="393"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sz w:val="20"/>
          <w:szCs w:val="20"/>
          <w:color w:val="auto"/>
        </w:rPr>
      </w:pPr>
    </w:p>
    <w:p>
      <w:pPr>
        <w:ind w:left="733"/>
        <w:spacing w:after="0"/>
        <w:tabs>
          <w:tab w:leader="none" w:pos="1353"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Intentionally Omitted.</w:t>
      </w:r>
    </w:p>
    <w:p>
      <w:pPr>
        <w:spacing w:after="0" w:line="71" w:lineRule="exact"/>
        <w:rPr>
          <w:sz w:val="20"/>
          <w:szCs w:val="20"/>
          <w:color w:val="auto"/>
        </w:rPr>
      </w:pPr>
    </w:p>
    <w:p>
      <w:pPr>
        <w:ind w:left="733"/>
        <w:spacing w:after="0"/>
        <w:tabs>
          <w:tab w:leader="none" w:pos="1353"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Intentionally Omitted.</w:t>
      </w:r>
    </w:p>
    <w:p>
      <w:pPr>
        <w:spacing w:after="0" w:line="71"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w:t>
      </w:r>
      <w:r>
        <w:rPr>
          <w:rFonts w:ascii="Arial" w:cs="Arial" w:eastAsia="Arial" w:hAnsi="Arial"/>
          <w:sz w:val="22"/>
          <w:szCs w:val="22"/>
          <w:color w:val="auto"/>
        </w:rPr>
        <w:t>. The [****] with [****] ([****]) in [****] ([****]) [****] for each [****] are listed in Attachment B to this Letter Agreement. No later than [****] to the [****] in each calendar [****] for years [****], Boeing will provide written notice setting forth [****] with a [****] in such calendar [****] ([****]). However, [****], the [****] for such [****] will be [****]. Such notice will constitute an amendment to Attachment B to this Letter Agreement.</w:t>
      </w:r>
    </w:p>
    <w:p>
      <w:pPr>
        <w:spacing w:after="0" w:line="152" w:lineRule="exact"/>
        <w:rPr>
          <w:sz w:val="20"/>
          <w:szCs w:val="20"/>
          <w:color w:val="auto"/>
        </w:rPr>
      </w:pPr>
    </w:p>
    <w:p>
      <w:pPr>
        <w:ind w:left="713" w:hanging="632"/>
        <w:spacing w:after="0"/>
        <w:tabs>
          <w:tab w:leader="none" w:pos="713"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179" w:lineRule="exact"/>
        <w:rPr>
          <w:sz w:val="20"/>
          <w:szCs w:val="20"/>
          <w:color w:val="auto"/>
        </w:rPr>
      </w:pPr>
    </w:p>
    <w:p>
      <w:pPr>
        <w:ind w:left="73" w:firstLine="648"/>
        <w:spacing w:after="0" w:line="236" w:lineRule="auto"/>
        <w:rPr>
          <w:sz w:val="20"/>
          <w:szCs w:val="20"/>
          <w:color w:val="auto"/>
        </w:rPr>
      </w:pPr>
      <w:r>
        <w:rPr>
          <w:rFonts w:ascii="Arial" w:cs="Arial" w:eastAsia="Arial" w:hAnsi="Arial"/>
          <w:sz w:val="22"/>
          <w:szCs w:val="22"/>
          <w:color w:val="auto"/>
        </w:rPr>
        <w:t>3.1 Subject to the provisions of Section 3.2 below, the [****] the Detail Specification for the Aircraft [****] at the time of [****] (as defined in Section 8 below). Such Detail Specification will be revised to include:</w:t>
      </w:r>
    </w:p>
    <w:p>
      <w:pPr>
        <w:spacing w:after="0" w:line="151" w:lineRule="exact"/>
        <w:rPr>
          <w:sz w:val="20"/>
          <w:szCs w:val="20"/>
          <w:color w:val="auto"/>
        </w:rPr>
      </w:pPr>
    </w:p>
    <w:tbl>
      <w:tblPr>
        <w:tblLayout w:type="fixed"/>
        <w:tblInd w:w="1373" w:type="dxa"/>
        <w:tblCellMar>
          <w:top w:w="0" w:type="dxa"/>
          <w:left w:w="0" w:type="dxa"/>
          <w:bottom w:w="0" w:type="dxa"/>
          <w:right w:w="0" w:type="dxa"/>
        </w:tblCellMar>
      </w:tblPr>
      <w:tr>
        <w:trPr>
          <w:trHeight w:val="283"/>
        </w:trPr>
        <w:tc>
          <w:tcPr>
            <w:tcW w:w="980" w:type="dxa"/>
            <w:vAlign w:val="bottom"/>
          </w:tcPr>
          <w:p>
            <w:pPr>
              <w:spacing w:after="0"/>
              <w:rPr>
                <w:sz w:val="20"/>
                <w:szCs w:val="20"/>
                <w:color w:val="auto"/>
              </w:rPr>
            </w:pPr>
            <w:r>
              <w:rPr>
                <w:rFonts w:ascii="Arial" w:cs="Arial" w:eastAsia="Arial" w:hAnsi="Arial"/>
                <w:sz w:val="22"/>
                <w:szCs w:val="22"/>
                <w:color w:val="auto"/>
              </w:rPr>
              <w:t>3.1.1.1.1</w:t>
            </w:r>
          </w:p>
        </w:tc>
        <w:tc>
          <w:tcPr>
            <w:tcW w:w="1240" w:type="dxa"/>
            <w:vAlign w:val="bottom"/>
          </w:tcPr>
          <w:p>
            <w:pPr>
              <w:ind w:left="320"/>
              <w:spacing w:after="0"/>
              <w:rPr>
                <w:sz w:val="20"/>
                <w:szCs w:val="20"/>
                <w:color w:val="auto"/>
              </w:rPr>
            </w:pPr>
            <w:r>
              <w:rPr>
                <w:rFonts w:ascii="Arial" w:cs="Arial" w:eastAsia="Arial" w:hAnsi="Arial"/>
                <w:sz w:val="22"/>
                <w:szCs w:val="22"/>
                <w:color w:val="auto"/>
              </w:rPr>
              <w:t>[****],</w:t>
            </w: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3.1.1.1.2</w:t>
            </w:r>
          </w:p>
        </w:tc>
        <w:tc>
          <w:tcPr>
            <w:tcW w:w="1240" w:type="dxa"/>
            <w:vAlign w:val="bottom"/>
          </w:tcPr>
          <w:p>
            <w:pPr>
              <w:ind w:left="320"/>
              <w:spacing w:after="0"/>
              <w:rPr>
                <w:sz w:val="20"/>
                <w:szCs w:val="20"/>
                <w:color w:val="auto"/>
              </w:rPr>
            </w:pPr>
            <w:r>
              <w:rPr>
                <w:rFonts w:ascii="Arial" w:cs="Arial" w:eastAsia="Arial" w:hAnsi="Arial"/>
                <w:sz w:val="22"/>
                <w:szCs w:val="22"/>
                <w:color w:val="auto"/>
                <w:w w:val="94"/>
              </w:rPr>
              <w:t>[****], and</w:t>
            </w:r>
          </w:p>
        </w:tc>
      </w:tr>
      <w:tr>
        <w:trPr>
          <w:trHeight w:val="324"/>
        </w:trPr>
        <w:tc>
          <w:tcPr>
            <w:tcW w:w="980" w:type="dxa"/>
            <w:vAlign w:val="bottom"/>
          </w:tcPr>
          <w:p>
            <w:pPr>
              <w:spacing w:after="0"/>
              <w:rPr>
                <w:sz w:val="20"/>
                <w:szCs w:val="20"/>
                <w:color w:val="auto"/>
              </w:rPr>
            </w:pPr>
            <w:r>
              <w:rPr>
                <w:rFonts w:ascii="Arial" w:cs="Arial" w:eastAsia="Arial" w:hAnsi="Arial"/>
                <w:sz w:val="22"/>
                <w:szCs w:val="22"/>
                <w:color w:val="auto"/>
              </w:rPr>
              <w:t>3.1.1 (iii)</w:t>
            </w:r>
          </w:p>
        </w:tc>
        <w:tc>
          <w:tcPr>
            <w:tcW w:w="1240" w:type="dxa"/>
            <w:vAlign w:val="bottom"/>
          </w:tcPr>
          <w:p>
            <w:pPr>
              <w:jc w:val="right"/>
              <w:ind w:right="47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3"/>
        <w:spacing w:after="0"/>
        <w:tabs>
          <w:tab w:leader="none" w:pos="3353"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R17</w:t>
      </w:r>
      <w:r>
        <w:rPr>
          <w:sz w:val="20"/>
          <w:szCs w:val="20"/>
          <w:color w:val="auto"/>
        </w:rPr>
        <w:tab/>
      </w:r>
      <w:r>
        <w:rPr>
          <w:rFonts w:ascii="Arial" w:cs="Arial" w:eastAsia="Arial" w:hAnsi="Arial"/>
          <w:sz w:val="21"/>
          <w:szCs w:val="21"/>
          <w:color w:val="auto"/>
        </w:rPr>
        <w:t>SA-</w:t>
      </w:r>
      <w:r>
        <w:rPr>
          <w:rFonts w:ascii="Arial" w:cs="Arial" w:eastAsia="Arial" w:hAnsi="Arial"/>
          <w:sz w:val="21"/>
          <w:szCs w:val="21"/>
          <w:b w:val="1"/>
          <w:bCs w:val="1"/>
          <w:color w:val="auto"/>
        </w:rPr>
        <w:t>37</w:t>
      </w:r>
    </w:p>
    <w:p>
      <w:pPr>
        <w:spacing w:after="0" w:line="26" w:lineRule="exact"/>
        <w:rPr>
          <w:sz w:val="20"/>
          <w:szCs w:val="20"/>
          <w:color w:val="auto"/>
        </w:rPr>
      </w:pPr>
    </w:p>
    <w:p>
      <w:pPr>
        <w:ind w:left="73"/>
        <w:spacing w:after="0"/>
        <w:tabs>
          <w:tab w:leader="none" w:pos="753" w:val="left"/>
        </w:tabs>
        <w:rPr>
          <w:sz w:val="20"/>
          <w:szCs w:val="20"/>
          <w:color w:val="auto"/>
        </w:rPr>
      </w:pPr>
      <w:r>
        <w:rPr>
          <w:rFonts w:ascii="Arial" w:cs="Arial" w:eastAsia="Arial" w:hAnsi="Arial"/>
          <w:sz w:val="22"/>
          <w:szCs w:val="22"/>
          <w:color w:val="auto"/>
        </w:rPr>
        <w:t>[****]</w:t>
        <w:tab/>
        <w:t>Page 1 of 3</w:t>
      </w:r>
    </w:p>
    <w:p>
      <w:pPr>
        <w:spacing w:after="0" w:line="4" w:lineRule="exact"/>
        <w:rPr>
          <w:sz w:val="20"/>
          <w:szCs w:val="20"/>
          <w:color w:val="auto"/>
        </w:rPr>
      </w:pPr>
    </w:p>
    <w:p>
      <w:pPr>
        <w:jc w:val="center"/>
        <w:ind w:right="-72"/>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313"/>
          </w:cols>
          <w:pgMar w:left="247" w:top="397"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3.2 [****] the right to [****] the [****] starting from a [****]; [****] which would result pursuant to the provisions of Section 3.1 above.</w:t>
      </w:r>
    </w:p>
    <w:p>
      <w:pPr>
        <w:spacing w:after="0" w:line="15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color w:val="auto"/>
        </w:rPr>
        <w:t>The [****] for each of the [****] to this Letter Agreement.</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for each of the [****] shall be [****] ([****]) [****].</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 shall be developed in accordance with the terms of the Purchase Agreement and determined at the time of [****].</w:t>
      </w:r>
    </w:p>
    <w:p>
      <w:pPr>
        <w:spacing w:after="0" w:line="15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179" w:lineRule="exact"/>
        <w:rPr>
          <w:rFonts w:ascii="Arial" w:cs="Arial" w:eastAsia="Arial" w:hAnsi="Arial"/>
          <w:sz w:val="22"/>
          <w:szCs w:val="22"/>
          <w:color w:val="auto"/>
        </w:rPr>
      </w:pPr>
    </w:p>
    <w:p>
      <w:pPr>
        <w:ind w:left="320" w:hanging="312"/>
        <w:spacing w:after="0"/>
        <w:tabs>
          <w:tab w:leader="none" w:pos="3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7.1.1  Intentionally Omitted.</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7.1.2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[****]t.</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Reserved.</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8.2.1  Reserved.</w:t>
      </w:r>
    </w:p>
    <w:p>
      <w:pPr>
        <w:spacing w:after="0" w:line="20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220"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193"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Assignment.</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R17</w:t>
      </w:r>
      <w:r>
        <w:rPr>
          <w:sz w:val="20"/>
          <w:szCs w:val="20"/>
          <w:color w:val="auto"/>
        </w:rPr>
        <w:tab/>
      </w:r>
      <w:r>
        <w:rPr>
          <w:rFonts w:ascii="Arial" w:cs="Arial" w:eastAsia="Arial" w:hAnsi="Arial"/>
          <w:sz w:val="21"/>
          <w:szCs w:val="21"/>
          <w:color w:val="auto"/>
        </w:rPr>
        <w:t>SA-</w:t>
      </w:r>
      <w:r>
        <w:rPr>
          <w:rFonts w:ascii="Arial" w:cs="Arial" w:eastAsia="Arial" w:hAnsi="Arial"/>
          <w:sz w:val="21"/>
          <w:szCs w:val="21"/>
          <w:b w:val="1"/>
          <w:bCs w:val="1"/>
          <w:color w:val="auto"/>
        </w:rPr>
        <w:t>37</w:t>
      </w:r>
    </w:p>
    <w:p>
      <w:pPr>
        <w:spacing w:after="0" w:line="2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2 of 3</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left="1040" w:hanging="384"/>
        <w:spacing w:after="0"/>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84"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ind w:left="120"/>
              <w:spacing w:after="0"/>
              <w:rPr>
                <w:sz w:val="20"/>
                <w:szCs w:val="20"/>
                <w:color w:val="auto"/>
              </w:rPr>
            </w:pPr>
            <w:r>
              <w:rPr>
                <w:rFonts w:ascii="Arial" w:cs="Arial" w:eastAsia="Arial" w:hAnsi="Arial"/>
                <w:sz w:val="22"/>
                <w:szCs w:val="22"/>
                <w:color w:val="auto"/>
              </w:rPr>
              <w:t>/s/ The Boeing Company</w:t>
            </w:r>
          </w:p>
        </w:tc>
      </w:tr>
      <w:tr>
        <w:trPr>
          <w:trHeight w:val="161"/>
        </w:trPr>
        <w:tc>
          <w:tcPr>
            <w:tcW w:w="620" w:type="dxa"/>
            <w:vAlign w:val="bottom"/>
          </w:tcPr>
          <w:p>
            <w:pPr>
              <w:spacing w:after="0"/>
              <w:rPr>
                <w:sz w:val="14"/>
                <w:szCs w:val="14"/>
                <w:color w:val="auto"/>
              </w:rPr>
            </w:pPr>
          </w:p>
        </w:tc>
        <w:tc>
          <w:tcPr>
            <w:tcW w:w="5260" w:type="dxa"/>
            <w:vAlign w:val="bottom"/>
            <w:tcBorders>
              <w:bottom w:val="single" w:sz="8" w:color="auto"/>
            </w:tcBorders>
          </w:tcPr>
          <w:p>
            <w:pPr>
              <w:spacing w:after="0"/>
              <w:rPr>
                <w:sz w:val="14"/>
                <w:szCs w:val="14"/>
                <w:color w:val="auto"/>
              </w:rPr>
            </w:pPr>
          </w:p>
        </w:tc>
      </w:tr>
      <w:tr>
        <w:trPr>
          <w:trHeight w:val="602"/>
        </w:trPr>
        <w:tc>
          <w:tcPr>
            <w:tcW w:w="62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20"/>
              <w:spacing w:after="0"/>
              <w:rPr>
                <w:sz w:val="20"/>
                <w:szCs w:val="20"/>
                <w:color w:val="auto"/>
              </w:rPr>
            </w:pPr>
            <w:r>
              <w:rPr>
                <w:rFonts w:ascii="Arial" w:cs="Arial" w:eastAsia="Arial" w:hAnsi="Arial"/>
                <w:sz w:val="22"/>
                <w:szCs w:val="22"/>
                <w:color w:val="auto"/>
              </w:rPr>
              <w:t>Attorney-In-Fact</w:t>
            </w:r>
          </w:p>
        </w:tc>
      </w:tr>
      <w:tr>
        <w:trPr>
          <w:trHeight w:val="162"/>
        </w:trPr>
        <w:tc>
          <w:tcPr>
            <w:tcW w:w="620" w:type="dxa"/>
            <w:vAlign w:val="bottom"/>
          </w:tcPr>
          <w:p>
            <w:pPr>
              <w:spacing w:after="0"/>
              <w:rPr>
                <w:sz w:val="14"/>
                <w:szCs w:val="14"/>
                <w:color w:val="auto"/>
              </w:rPr>
            </w:pPr>
          </w:p>
        </w:tc>
        <w:tc>
          <w:tcPr>
            <w:tcW w:w="5260" w:type="dxa"/>
            <w:vAlign w:val="bottom"/>
            <w:tcBorders>
              <w:bottom w:val="single" w:sz="8" w:color="auto"/>
            </w:tcBorders>
          </w:tcPr>
          <w:p>
            <w:pPr>
              <w:spacing w:after="0"/>
              <w:rPr>
                <w:sz w:val="14"/>
                <w:szCs w:val="14"/>
                <w:color w:val="auto"/>
              </w:rPr>
            </w:pPr>
          </w:p>
        </w:tc>
      </w:tr>
    </w:tbl>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330"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14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121920</wp:posOffset>
            </wp:positionV>
            <wp:extent cx="2588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ind w:left="120"/>
              <w:spacing w:after="0"/>
              <w:rPr>
                <w:sz w:val="20"/>
                <w:szCs w:val="20"/>
                <w:color w:val="auto"/>
              </w:rPr>
            </w:pPr>
            <w:r>
              <w:rPr>
                <w:rFonts w:ascii="Arial" w:cs="Arial" w:eastAsia="Arial" w:hAnsi="Arial"/>
                <w:sz w:val="22"/>
                <w:szCs w:val="22"/>
                <w:color w:val="auto"/>
              </w:rPr>
              <w:t>/s/ American Airlines, Inc.</w:t>
            </w:r>
          </w:p>
        </w:tc>
      </w:tr>
      <w:tr>
        <w:trPr>
          <w:trHeight w:val="162"/>
        </w:trPr>
        <w:tc>
          <w:tcPr>
            <w:tcW w:w="620" w:type="dxa"/>
            <w:vAlign w:val="bottom"/>
          </w:tcPr>
          <w:p>
            <w:pPr>
              <w:spacing w:after="0"/>
              <w:rPr>
                <w:sz w:val="14"/>
                <w:szCs w:val="14"/>
                <w:color w:val="auto"/>
              </w:rPr>
            </w:pPr>
          </w:p>
        </w:tc>
        <w:tc>
          <w:tcPr>
            <w:tcW w:w="5260" w:type="dxa"/>
            <w:vAlign w:val="bottom"/>
            <w:tcBorders>
              <w:bottom w:val="single" w:sz="8" w:color="auto"/>
            </w:tcBorders>
          </w:tcPr>
          <w:p>
            <w:pPr>
              <w:spacing w:after="0"/>
              <w:rPr>
                <w:sz w:val="14"/>
                <w:szCs w:val="14"/>
                <w:color w:val="auto"/>
              </w:rPr>
            </w:pPr>
          </w:p>
        </w:tc>
      </w:tr>
      <w:tr>
        <w:trPr>
          <w:trHeight w:val="602"/>
        </w:trPr>
        <w:tc>
          <w:tcPr>
            <w:tcW w:w="62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20"/>
              <w:spacing w:after="0"/>
              <w:rPr>
                <w:sz w:val="20"/>
                <w:szCs w:val="20"/>
                <w:color w:val="auto"/>
              </w:rPr>
            </w:pPr>
            <w:r>
              <w:rPr>
                <w:rFonts w:ascii="Arial" w:cs="Arial" w:eastAsia="Arial" w:hAnsi="Arial"/>
                <w:sz w:val="22"/>
                <w:szCs w:val="22"/>
                <w:color w:val="auto"/>
              </w:rPr>
              <w:t>VP, Financial Planning &amp; Analysis</w:t>
            </w:r>
          </w:p>
        </w:tc>
      </w:tr>
      <w:tr>
        <w:trPr>
          <w:trHeight w:val="161"/>
        </w:trPr>
        <w:tc>
          <w:tcPr>
            <w:tcW w:w="620" w:type="dxa"/>
            <w:vAlign w:val="bottom"/>
          </w:tcPr>
          <w:p>
            <w:pPr>
              <w:spacing w:after="0"/>
              <w:rPr>
                <w:sz w:val="14"/>
                <w:szCs w:val="14"/>
                <w:color w:val="auto"/>
              </w:rPr>
            </w:pPr>
          </w:p>
        </w:tc>
        <w:tc>
          <w:tcPr>
            <w:tcW w:w="526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Attachments: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Attachment A – Intentionally Omitted.</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Attachment B – 737-10 [****] Aircraft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R17</w:t>
      </w:r>
      <w:r>
        <w:rPr>
          <w:sz w:val="20"/>
          <w:szCs w:val="20"/>
          <w:color w:val="auto"/>
        </w:rPr>
        <w:tab/>
      </w:r>
      <w:r>
        <w:rPr>
          <w:rFonts w:ascii="Arial" w:cs="Arial" w:eastAsia="Arial" w:hAnsi="Arial"/>
          <w:sz w:val="21"/>
          <w:szCs w:val="21"/>
          <w:color w:val="auto"/>
        </w:rPr>
        <w:t>SA-</w:t>
      </w:r>
      <w:r>
        <w:rPr>
          <w:rFonts w:ascii="Arial" w:cs="Arial" w:eastAsia="Arial" w:hAnsi="Arial"/>
          <w:sz w:val="21"/>
          <w:szCs w:val="21"/>
          <w:b w:val="1"/>
          <w:bCs w:val="1"/>
          <w:color w:val="auto"/>
        </w:rPr>
        <w:t>37</w:t>
      </w:r>
    </w:p>
    <w:p>
      <w:pPr>
        <w:spacing w:after="0" w:line="3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3 of 3</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72" w:name="page73"/>
    <w:bookmarkEnd w:id="72"/>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840"/>
          </w:cols>
          <w:pgMar w:left="340" w:top="189" w:right="719" w:bottom="1440" w:gutter="0" w:footer="0" w:header="0"/>
        </w:sect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Airframe Model/MTOW:</w:t>
            </w:r>
          </w:p>
        </w:tc>
        <w:tc>
          <w:tcPr>
            <w:tcW w:w="10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737-10</w:t>
            </w:r>
          </w:p>
        </w:tc>
      </w:tr>
      <w:tr>
        <w:trPr>
          <w:trHeight w:val="311"/>
        </w:trPr>
        <w:tc>
          <w:tcPr>
            <w:tcW w:w="2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Engine Model/Thrust:</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CFMLEAP-1B27</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Airframe Price:</w:t>
            </w:r>
          </w:p>
        </w:tc>
        <w:tc>
          <w:tcPr>
            <w:tcW w:w="108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Optional Features Estimate:</w:t>
            </w:r>
          </w:p>
        </w:tc>
        <w:tc>
          <w:tcPr>
            <w:tcW w:w="1080" w:type="dxa"/>
            <w:vAlign w:val="bottom"/>
          </w:tcPr>
          <w:p>
            <w:pPr>
              <w:spacing w:after="0"/>
              <w:rPr>
                <w:sz w:val="24"/>
                <w:szCs w:val="24"/>
                <w:color w:val="auto"/>
              </w:rPr>
            </w:pPr>
          </w:p>
        </w:tc>
      </w:tr>
      <w:tr>
        <w:trPr>
          <w:trHeight w:val="284"/>
        </w:trPr>
        <w:tc>
          <w:tcPr>
            <w:tcW w:w="2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Sub-Total of Airframe and Features:</w:t>
            </w:r>
          </w:p>
        </w:tc>
        <w:tc>
          <w:tcPr>
            <w:tcW w:w="1080" w:type="dxa"/>
            <w:vAlign w:val="bottom"/>
          </w:tcPr>
          <w:p>
            <w:pPr>
              <w:spacing w:after="0"/>
              <w:rPr>
                <w:sz w:val="24"/>
                <w:szCs w:val="24"/>
                <w:color w:val="auto"/>
              </w:rPr>
            </w:pPr>
          </w:p>
        </w:tc>
      </w:tr>
      <w:tr>
        <w:trPr>
          <w:trHeight w:val="310"/>
        </w:trPr>
        <w:tc>
          <w:tcPr>
            <w:tcW w:w="2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Engine Price (Per Aircraft):</w:t>
            </w:r>
          </w:p>
        </w:tc>
        <w:tc>
          <w:tcPr>
            <w:tcW w:w="1080" w:type="dxa"/>
            <w:vAlign w:val="bottom"/>
          </w:tcPr>
          <w:p>
            <w:pPr>
              <w:spacing w:after="0"/>
              <w:rPr>
                <w:sz w:val="24"/>
                <w:szCs w:val="24"/>
                <w:color w:val="auto"/>
              </w:rPr>
            </w:pPr>
          </w:p>
        </w:tc>
      </w:t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Aircraft Basic Price (Excluding BFE/SPE):</w:t>
            </w:r>
          </w:p>
        </w:tc>
        <w:tc>
          <w:tcPr>
            <w:tcW w:w="1080" w:type="dxa"/>
            <w:vAlign w:val="bottom"/>
          </w:tcPr>
          <w:p>
            <w:pPr>
              <w:spacing w:after="0"/>
              <w:rPr>
                <w:sz w:val="24"/>
                <w:szCs w:val="24"/>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Buyer Furnished Equipment (BFE) Estimate:</w:t>
      </w:r>
    </w:p>
    <w:p>
      <w:pPr>
        <w:spacing w:after="0" w:line="166" w:lineRule="exact"/>
        <w:rPr>
          <w:sz w:val="20"/>
          <w:szCs w:val="20"/>
          <w:color w:val="auto"/>
        </w:rPr>
      </w:pPr>
    </w:p>
    <w:p>
      <w:pPr>
        <w:ind w:right="360"/>
        <w:spacing w:after="0" w:line="435" w:lineRule="auto"/>
        <w:rPr>
          <w:sz w:val="20"/>
          <w:szCs w:val="20"/>
          <w:color w:val="auto"/>
        </w:rPr>
      </w:pPr>
      <w:r>
        <w:rPr>
          <w:rFonts w:ascii="Times New Roman" w:cs="Times New Roman" w:eastAsia="Times New Roman" w:hAnsi="Times New Roman"/>
          <w:sz w:val="15"/>
          <w:szCs w:val="15"/>
          <w:b w:val="1"/>
          <w:bCs w:val="1"/>
          <w:color w:val="auto"/>
        </w:rPr>
        <w:t>Seller Purchased Equipment (SPE)/In-Flight Entert Non-Refundable Deposit/Aircraft: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right="540"/>
        <w:spacing w:after="0" w:line="339" w:lineRule="auto"/>
        <w:rPr>
          <w:sz w:val="20"/>
          <w:szCs w:val="20"/>
          <w:color w:val="auto"/>
        </w:rPr>
      </w:pPr>
      <w:r>
        <w:rPr>
          <w:rFonts w:ascii="Arial" w:cs="Arial" w:eastAsia="Arial" w:hAnsi="Arial"/>
          <w:sz w:val="15"/>
          <w:szCs w:val="15"/>
          <w:color w:val="auto"/>
        </w:rPr>
        <w:t>AAL-PA-03735-LA-1106651R17 122666-1O.txt 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060" w:type="dxa"/>
            <w:vAlign w:val="bottom"/>
            <w:gridSpan w:val="2"/>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35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Configuration Specification:</w:t>
            </w:r>
          </w:p>
        </w:tc>
        <w:tc>
          <w:tcPr>
            <w:tcW w:w="840" w:type="dxa"/>
            <w:vAlign w:val="bottom"/>
          </w:tcPr>
          <w:p>
            <w:pPr>
              <w:spacing w:after="0"/>
              <w:rPr>
                <w:sz w:val="17"/>
                <w:szCs w:val="17"/>
                <w:color w:val="auto"/>
              </w:rPr>
            </w:pPr>
          </w:p>
        </w:tc>
        <w:tc>
          <w:tcPr>
            <w:tcW w:w="1320" w:type="dxa"/>
            <w:vAlign w:val="bottom"/>
          </w:tcPr>
          <w:p>
            <w:pPr>
              <w:jc w:val="right"/>
              <w:ind w:right="7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43"/>
        </w:trPr>
        <w:tc>
          <w:tcPr>
            <w:tcW w:w="1060" w:type="dxa"/>
            <w:vAlign w:val="bottom"/>
            <w:gridSpan w:val="2"/>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1"/>
                <w:szCs w:val="21"/>
                <w:color w:val="auto"/>
              </w:rPr>
            </w:pPr>
          </w:p>
        </w:tc>
        <w:tc>
          <w:tcPr>
            <w:tcW w:w="35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Airframe Price Base Year/Escalation Formula:</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97"/>
        </w:trPr>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4"/>
                <w:szCs w:val="24"/>
                <w:color w:val="auto"/>
              </w:rPr>
            </w:pPr>
          </w:p>
        </w:tc>
        <w:tc>
          <w:tcPr>
            <w:tcW w:w="35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Engine Price Base Year/Escalation Formula:</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gridSpan w:val="5"/>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Airframe Escalation Data:</w:t>
            </w: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3"/>
                <w:szCs w:val="13"/>
                <w:color w:val="auto"/>
              </w:rPr>
            </w:pPr>
          </w:p>
        </w:tc>
        <w:tc>
          <w:tcPr>
            <w:tcW w:w="3500" w:type="dxa"/>
            <w:vAlign w:val="bottom"/>
            <w:gridSpan w:val="5"/>
            <w:vMerge w:val="continue"/>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0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3500" w:type="dxa"/>
            <w:vAlign w:val="bottom"/>
            <w:gridSpan w:val="5"/>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Base Year Index (ECI):</w:t>
            </w:r>
          </w:p>
        </w:tc>
        <w:tc>
          <w:tcPr>
            <w:tcW w:w="8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9"/>
                <w:szCs w:val="19"/>
                <w:color w:val="auto"/>
              </w:rPr>
            </w:pPr>
          </w:p>
        </w:tc>
        <w:tc>
          <w:tcPr>
            <w:tcW w:w="3500" w:type="dxa"/>
            <w:vAlign w:val="bottom"/>
            <w:gridSpan w:val="5"/>
            <w:vMerge w:val="continue"/>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0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500" w:type="dxa"/>
            <w:vAlign w:val="bottom"/>
            <w:gridSpan w:val="5"/>
            <w:vMerge w:val="continue"/>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3"/>
                <w:szCs w:val="23"/>
                <w:color w:val="auto"/>
              </w:rPr>
            </w:pPr>
          </w:p>
        </w:tc>
        <w:tc>
          <w:tcPr>
            <w:tcW w:w="35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Base Year Index (CPI):</w:t>
            </w:r>
          </w:p>
        </w:tc>
        <w:tc>
          <w:tcPr>
            <w:tcW w:w="8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400" w:type="dxa"/>
            <w:vAlign w:val="bottom"/>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80" w:type="dxa"/>
            <w:vAlign w:val="bottom"/>
          </w:tcPr>
          <w:p>
            <w:pPr>
              <w:spacing w:after="0"/>
              <w:rPr>
                <w:sz w:val="23"/>
                <w:szCs w:val="23"/>
                <w:color w:val="auto"/>
              </w:rPr>
            </w:pPr>
          </w:p>
        </w:tc>
        <w:tc>
          <w:tcPr>
            <w:tcW w:w="900" w:type="dxa"/>
            <w:vAlign w:val="bottom"/>
            <w:tcBorders>
              <w:right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tcBorders>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c>
          <w:tcPr>
            <w:tcW w:w="1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 w:type="dxa"/>
            <w:vAlign w:val="bottom"/>
            <w:tcBorders>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1000" w:type="dxa"/>
            <w:vAlign w:val="bottom"/>
            <w:tcBorders>
              <w:bottom w:val="single" w:sz="8" w:color="auto"/>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1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[****]-2029</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[****]-2029</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[****]-2029</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[****]-2029</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[****]-2029</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[****]-2029</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4"/>
              </w:rPr>
              <w:t>Yes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gridSpan w:val="2"/>
            <w:shd w:val="clear" w:color="auto" w:fill="C0C0C0"/>
          </w:tcPr>
          <w:p>
            <w:pPr>
              <w:jc w:val="center"/>
              <w:ind w:right="20"/>
              <w:spacing w:after="0"/>
              <w:rPr>
                <w:sz w:val="20"/>
                <w:szCs w:val="20"/>
                <w:color w:val="auto"/>
              </w:rPr>
            </w:pPr>
            <w:r>
              <w:rPr>
                <w:rFonts w:ascii="Times New Roman" w:cs="Times New Roman" w:eastAsia="Times New Roman" w:hAnsi="Times New Roman"/>
                <w:sz w:val="15"/>
                <w:szCs w:val="15"/>
                <w:color w:val="auto"/>
                <w:w w:val="97"/>
              </w:rPr>
              <w:t>No</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gridSpan w:val="3"/>
          </w:tcPr>
          <w:p>
            <w:pPr>
              <w:jc w:val="right"/>
              <w:ind w:right="2040"/>
              <w:spacing w:after="0"/>
              <w:rPr>
                <w:sz w:val="20"/>
                <w:szCs w:val="20"/>
                <w:color w:val="auto"/>
              </w:rPr>
            </w:pPr>
            <w:r>
              <w:rPr>
                <w:rFonts w:ascii="Arial" w:cs="Arial" w:eastAsia="Arial" w:hAnsi="Arial"/>
                <w:sz w:val="15"/>
                <w:szCs w:val="15"/>
                <w:b w:val="1"/>
                <w:bCs w:val="1"/>
                <w:color w:val="auto"/>
              </w:rPr>
              <w:t>SA-37</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gridSpan w:val="3"/>
          </w:tcPr>
          <w:p>
            <w:pPr>
              <w:jc w:val="right"/>
              <w:ind w:right="2040"/>
              <w:spacing w:after="0"/>
              <w:rPr>
                <w:sz w:val="20"/>
                <w:szCs w:val="20"/>
                <w:color w:val="auto"/>
              </w:rPr>
            </w:pPr>
            <w:r>
              <w:rPr>
                <w:rFonts w:ascii="Arial" w:cs="Arial" w:eastAsia="Arial" w:hAnsi="Arial"/>
                <w:sz w:val="15"/>
                <w:szCs w:val="15"/>
                <w:color w:val="auto"/>
                <w:w w:val="96"/>
              </w:rPr>
              <w:t>Page 1</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ectPr>
          <w:pgSz w:w="11900" w:h="16838" w:orient="portrait"/>
          <w:cols w:equalWidth="0" w:num="2">
            <w:col w:w="3740" w:space="40"/>
            <w:col w:w="7060"/>
          </w:cols>
          <w:pgMar w:left="340" w:top="189" w:right="719" w:bottom="1440" w:gutter="0" w:footer="0" w:header="0"/>
          <w:type w:val="continuous"/>
        </w:sectPr>
      </w:pPr>
    </w:p>
    <w:p>
      <w:pPr>
        <w:ind w:left="3640"/>
        <w:spacing w:after="0"/>
        <w:rPr>
          <w:sz w:val="20"/>
          <w:szCs w:val="20"/>
          <w:color w:val="auto"/>
        </w:rPr>
      </w:pPr>
      <w:r>
        <w:rPr>
          <w:rFonts w:ascii="Arial" w:cs="Arial" w:eastAsia="Arial" w:hAnsi="Arial"/>
          <w:sz w:val="18"/>
          <w:szCs w:val="18"/>
          <w:b w:val="1"/>
          <w:bCs w:val="1"/>
          <w:color w:val="auto"/>
        </w:rPr>
        <w:t>Boeing and American Proprietary</w:t>
      </w:r>
    </w:p>
    <w:p>
      <w:pPr>
        <w:sectPr>
          <w:pgSz w:w="11900" w:h="16838" w:orient="portrait"/>
          <w:cols w:equalWidth="0" w:num="1">
            <w:col w:w="10840"/>
          </w:cols>
          <w:pgMar w:left="340" w:top="189" w:right="719" w:bottom="1440" w:gutter="0" w:footer="0" w:header="0"/>
          <w:type w:val="continuous"/>
        </w:sectPr>
      </w:pPr>
    </w:p>
    <w:bookmarkStart w:id="73" w:name="page74"/>
    <w:bookmarkEnd w:id="73"/>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color w:val="auto"/>
        </w:rPr>
        <w:t>AAL-PA-03735-LA-1106651R17 122666-1O.txt 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1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r>
      <w:tr>
        <w:trPr>
          <w:trHeight w:val="202"/>
        </w:trPr>
        <w:tc>
          <w:tcPr>
            <w:tcW w:w="102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r>
      <w:tr>
        <w:trPr>
          <w:trHeight w:val="247"/>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[****]-2030</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3</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3</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2060"/>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[****]-2031</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bl>
    <w:p>
      <w:pPr>
        <w:spacing w:after="0" w:line="27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SA-37</w:t>
      </w:r>
    </w:p>
    <w:p>
      <w:pPr>
        <w:spacing w:after="0" w:line="38"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Page 2</w:t>
      </w:r>
    </w:p>
    <w:p>
      <w:pPr>
        <w:spacing w:after="0" w:line="230" w:lineRule="exact"/>
        <w:rPr>
          <w:sz w:val="20"/>
          <w:szCs w:val="20"/>
          <w:color w:val="auto"/>
        </w:rPr>
      </w:pPr>
    </w:p>
    <w:p>
      <w:pPr>
        <w:sectPr>
          <w:pgSz w:w="11900" w:h="16838" w:orient="portrait"/>
          <w:cols w:equalWidth="0" w:num="2">
            <w:col w:w="3420" w:space="720"/>
            <w:col w:w="5959"/>
          </w:cols>
          <w:pgMar w:left="360" w:top="189" w:right="1440" w:bottom="1440" w:gutter="0" w:footer="0" w:header="0"/>
          <w:type w:val="continuous"/>
        </w:sectPr>
      </w:pPr>
    </w:p>
    <w:p>
      <w:pPr>
        <w:jc w:val="center"/>
        <w:ind w:right="-140"/>
        <w:spacing w:after="0"/>
        <w:rPr>
          <w:sz w:val="20"/>
          <w:szCs w:val="20"/>
          <w:color w:val="auto"/>
        </w:rPr>
      </w:pPr>
      <w:r>
        <w:rPr>
          <w:rFonts w:ascii="Arial" w:cs="Arial" w:eastAsia="Arial" w:hAnsi="Arial"/>
          <w:sz w:val="18"/>
          <w:szCs w:val="18"/>
          <w:b w:val="1"/>
          <w:bCs w:val="1"/>
          <w:color w:val="auto"/>
        </w:rPr>
        <w:t>Boeing and American Proprietary</w:t>
      </w:r>
    </w:p>
    <w:p>
      <w:pPr>
        <w:sectPr>
          <w:pgSz w:w="11900" w:h="16838" w:orient="portrait"/>
          <w:cols w:equalWidth="0" w:num="1">
            <w:col w:w="10099"/>
          </w:cols>
          <w:pgMar w:left="360" w:top="189" w:right="1440" w:bottom="1440" w:gutter="0" w:footer="0" w:header="0"/>
          <w:type w:val="continuous"/>
        </w:sectPr>
      </w:pPr>
    </w:p>
    <w:bookmarkStart w:id="74" w:name="page75"/>
    <w:bookmarkEnd w:id="74"/>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color w:val="auto"/>
        </w:rPr>
        <w:t>AAL-PA-03735-LA-1106651R17 122666-1O.txt 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1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r>
      <w:tr>
        <w:trPr>
          <w:trHeight w:val="202"/>
        </w:trPr>
        <w:tc>
          <w:tcPr>
            <w:tcW w:w="102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r>
      <w:tr>
        <w:trPr>
          <w:trHeight w:val="247"/>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3</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bl>
    <w:p>
      <w:pPr>
        <w:spacing w:after="0" w:line="27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SA-37</w:t>
      </w:r>
    </w:p>
    <w:p>
      <w:pPr>
        <w:spacing w:after="0" w:line="38"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Page 3</w:t>
      </w:r>
    </w:p>
    <w:p>
      <w:pPr>
        <w:spacing w:after="0" w:line="230" w:lineRule="exact"/>
        <w:rPr>
          <w:sz w:val="20"/>
          <w:szCs w:val="20"/>
          <w:color w:val="auto"/>
        </w:rPr>
      </w:pPr>
    </w:p>
    <w:p>
      <w:pPr>
        <w:sectPr>
          <w:pgSz w:w="11900" w:h="16838" w:orient="portrait"/>
          <w:cols w:equalWidth="0" w:num="2">
            <w:col w:w="3420" w:space="720"/>
            <w:col w:w="5959"/>
          </w:cols>
          <w:pgMar w:left="360" w:top="189" w:right="1440" w:bottom="1440" w:gutter="0" w:footer="0" w:header="0"/>
          <w:type w:val="continuous"/>
        </w:sectPr>
      </w:pPr>
    </w:p>
    <w:p>
      <w:pPr>
        <w:jc w:val="center"/>
        <w:ind w:right="-140"/>
        <w:spacing w:after="0"/>
        <w:rPr>
          <w:sz w:val="20"/>
          <w:szCs w:val="20"/>
          <w:color w:val="auto"/>
        </w:rPr>
      </w:pPr>
      <w:r>
        <w:rPr>
          <w:rFonts w:ascii="Arial" w:cs="Arial" w:eastAsia="Arial" w:hAnsi="Arial"/>
          <w:sz w:val="18"/>
          <w:szCs w:val="18"/>
          <w:b w:val="1"/>
          <w:bCs w:val="1"/>
          <w:color w:val="auto"/>
        </w:rPr>
        <w:t>Boeing and American Proprietary</w:t>
      </w:r>
    </w:p>
    <w:p>
      <w:pPr>
        <w:sectPr>
          <w:pgSz w:w="11900" w:h="16838" w:orient="portrait"/>
          <w:cols w:equalWidth="0" w:num="1">
            <w:col w:w="10099"/>
          </w:cols>
          <w:pgMar w:left="360" w:top="189" w:right="1440" w:bottom="1440" w:gutter="0" w:footer="0" w:header="0"/>
          <w:type w:val="continuous"/>
        </w:sectPr>
      </w:pPr>
    </w:p>
    <w:bookmarkStart w:id="75" w:name="page76"/>
    <w:bookmarkEnd w:id="75"/>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color w:val="auto"/>
        </w:rPr>
        <w:t>AAL-PA-03735-LA-1106651R17 122666-1O.txt 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1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c>
          <w:tcPr>
            <w:tcW w:w="0" w:type="dxa"/>
            <w:vAlign w:val="bottom"/>
          </w:tcPr>
          <w:p>
            <w:pPr>
              <w:spacing w:after="0"/>
              <w:rPr>
                <w:sz w:val="1"/>
                <w:szCs w:val="1"/>
                <w:color w:val="auto"/>
              </w:rPr>
            </w:pPr>
          </w:p>
        </w:tc>
      </w:tr>
      <w:tr>
        <w:trPr>
          <w:trHeight w:val="202"/>
        </w:trPr>
        <w:tc>
          <w:tcPr>
            <w:tcW w:w="102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0" w:type="dxa"/>
            <w:vAlign w:val="bottom"/>
          </w:tcPr>
          <w:p>
            <w:pPr>
              <w:spacing w:after="0"/>
              <w:rPr>
                <w:sz w:val="1"/>
                <w:szCs w:val="1"/>
                <w:color w:val="auto"/>
              </w:rPr>
            </w:pPr>
          </w:p>
        </w:tc>
      </w:tr>
      <w:tr>
        <w:trPr>
          <w:trHeight w:val="247"/>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[****]-2033</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[****]-2033</w:t>
            </w:r>
          </w:p>
        </w:tc>
        <w:tc>
          <w:tcPr>
            <w:tcW w:w="980" w:type="dxa"/>
            <w:vAlign w:val="bottom"/>
            <w:tcBorders>
              <w:right w:val="single" w:sz="8" w:color="auto"/>
            </w:tcBorders>
            <w:vMerge w:val="restart"/>
          </w:tcPr>
          <w:p>
            <w:pPr>
              <w:jc w:val="right"/>
              <w:ind w:right="544"/>
              <w:spacing w:after="0"/>
              <w:rPr>
                <w:sz w:val="20"/>
                <w:szCs w:val="20"/>
                <w:color w:val="auto"/>
              </w:rPr>
            </w:pPr>
            <w:r>
              <w:rPr>
                <w:rFonts w:ascii="Arial" w:cs="Arial" w:eastAsia="Arial" w:hAnsi="Arial"/>
                <w:sz w:val="15"/>
                <w:szCs w:val="15"/>
                <w:b w:val="1"/>
                <w:bCs w:val="1"/>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w:t>
            </w:r>
          </w:p>
        </w:tc>
        <w:tc>
          <w:tcPr>
            <w:tcW w:w="0" w:type="dxa"/>
            <w:vAlign w:val="bottom"/>
          </w:tcPr>
          <w:p>
            <w:pPr>
              <w:spacing w:after="0"/>
              <w:rPr>
                <w:sz w:val="1"/>
                <w:szCs w:val="1"/>
                <w:color w:val="auto"/>
              </w:rPr>
            </w:pPr>
          </w:p>
        </w:tc>
      </w:tr>
      <w:tr>
        <w:trPr>
          <w:trHeight w:val="148"/>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[****]-2033</w:t>
            </w:r>
          </w:p>
        </w:tc>
        <w:tc>
          <w:tcPr>
            <w:tcW w:w="9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Yes</w:t>
            </w:r>
          </w:p>
        </w:tc>
        <w:tc>
          <w:tcPr>
            <w:tcW w:w="0" w:type="dxa"/>
            <w:vAlign w:val="bottom"/>
          </w:tcPr>
          <w:p>
            <w:pPr>
              <w:spacing w:after="0"/>
              <w:rPr>
                <w:sz w:val="1"/>
                <w:szCs w:val="1"/>
                <w:color w:val="auto"/>
              </w:rPr>
            </w:pPr>
          </w:p>
        </w:tc>
      </w:tr>
      <w:tr>
        <w:trPr>
          <w:trHeight w:val="67"/>
        </w:trPr>
        <w:tc>
          <w:tcPr>
            <w:tcW w:w="102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000" w:type="dxa"/>
            <w:vAlign w:val="bottom"/>
            <w:tcBorders>
              <w:bottom w:val="single" w:sz="8" w:color="auto"/>
              <w:right w:val="single" w:sz="8" w:color="auto"/>
            </w:tcBorders>
            <w:vMerge w:val="continue"/>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[****]-2033</w:t>
            </w: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w:t>
            </w:r>
          </w:p>
        </w:tc>
        <w:tc>
          <w:tcPr>
            <w:tcW w:w="0" w:type="dxa"/>
            <w:vAlign w:val="bottom"/>
          </w:tcPr>
          <w:p>
            <w:pPr>
              <w:spacing w:after="0"/>
              <w:rPr>
                <w:sz w:val="1"/>
                <w:szCs w:val="1"/>
                <w:color w:val="auto"/>
              </w:rPr>
            </w:pPr>
          </w:p>
        </w:tc>
      </w:tr>
      <w:tr>
        <w:trPr>
          <w:trHeight w:val="212"/>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[****]-2033</w:t>
            </w:r>
          </w:p>
        </w:tc>
        <w:tc>
          <w:tcPr>
            <w:tcW w:w="980" w:type="dxa"/>
            <w:vAlign w:val="bottom"/>
            <w:tcBorders>
              <w:right w:val="single" w:sz="8" w:color="auto"/>
            </w:tcBorders>
            <w:vMerge w:val="restart"/>
          </w:tcPr>
          <w:p>
            <w:pPr>
              <w:jc w:val="right"/>
              <w:ind w:right="544"/>
              <w:spacing w:after="0"/>
              <w:rPr>
                <w:sz w:val="20"/>
                <w:szCs w:val="20"/>
                <w:color w:val="auto"/>
              </w:rPr>
            </w:pPr>
            <w:r>
              <w:rPr>
                <w:rFonts w:ascii="Arial" w:cs="Arial" w:eastAsia="Arial" w:hAnsi="Arial"/>
                <w:sz w:val="15"/>
                <w:szCs w:val="15"/>
                <w:b w:val="1"/>
                <w:bCs w:val="1"/>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[****]-2033</w:t>
            </w:r>
          </w:p>
        </w:tc>
        <w:tc>
          <w:tcPr>
            <w:tcW w:w="980" w:type="dxa"/>
            <w:vAlign w:val="bottom"/>
            <w:tcBorders>
              <w:right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Yes</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[****]-2034</w:t>
            </w:r>
          </w:p>
        </w:tc>
        <w:tc>
          <w:tcPr>
            <w:tcW w:w="9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0" w:type="dxa"/>
            <w:vAlign w:val="bottom"/>
          </w:tcPr>
          <w:p>
            <w:pPr>
              <w:spacing w:after="0"/>
              <w:rPr>
                <w:sz w:val="1"/>
                <w:szCs w:val="1"/>
                <w:color w:val="auto"/>
              </w:rPr>
            </w:pPr>
          </w:p>
        </w:tc>
      </w:tr>
      <w:tr>
        <w:trPr>
          <w:trHeight w:val="480"/>
        </w:trPr>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jc w:val="right"/>
              <w:ind w:right="444"/>
              <w:spacing w:after="0"/>
              <w:rPr>
                <w:sz w:val="20"/>
                <w:szCs w:val="20"/>
                <w:color w:val="auto"/>
              </w:rPr>
            </w:pPr>
            <w:r>
              <w:rPr>
                <w:rFonts w:ascii="Arial" w:cs="Arial" w:eastAsia="Arial" w:hAnsi="Arial"/>
                <w:sz w:val="15"/>
                <w:szCs w:val="15"/>
                <w:b w:val="1"/>
                <w:bCs w:val="1"/>
                <w:color w:val="auto"/>
              </w:rPr>
              <w:t>SA-37</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jc w:val="right"/>
              <w:ind w:right="444"/>
              <w:spacing w:after="0"/>
              <w:rPr>
                <w:sz w:val="20"/>
                <w:szCs w:val="20"/>
                <w:color w:val="auto"/>
              </w:rPr>
            </w:pPr>
            <w:r>
              <w:rPr>
                <w:rFonts w:ascii="Arial" w:cs="Arial" w:eastAsia="Arial" w:hAnsi="Arial"/>
                <w:sz w:val="15"/>
                <w:szCs w:val="15"/>
                <w:color w:val="auto"/>
                <w:w w:val="96"/>
              </w:rPr>
              <w:t>Page 4</w:t>
            </w:r>
          </w:p>
        </w:tc>
        <w:tc>
          <w:tcPr>
            <w:tcW w:w="0" w:type="dxa"/>
            <w:vAlign w:val="bottom"/>
          </w:tcPr>
          <w:p>
            <w:pPr>
              <w:spacing w:after="0"/>
              <w:rPr>
                <w:sz w:val="1"/>
                <w:szCs w:val="1"/>
                <w:color w:val="auto"/>
              </w:rPr>
            </w:pPr>
          </w:p>
        </w:tc>
      </w:tr>
    </w:tbl>
    <w:p>
      <w:pPr>
        <w:spacing w:after="0" w:line="208" w:lineRule="exact"/>
        <w:rPr>
          <w:sz w:val="20"/>
          <w:szCs w:val="20"/>
          <w:color w:val="auto"/>
        </w:rPr>
      </w:pPr>
    </w:p>
    <w:p>
      <w:pPr>
        <w:sectPr>
          <w:pgSz w:w="11900" w:h="16838" w:orient="portrait"/>
          <w:cols w:equalWidth="0" w:num="2">
            <w:col w:w="3420" w:space="720"/>
            <w:col w:w="5959"/>
          </w:cols>
          <w:pgMar w:left="360" w:top="189" w:right="1440" w:bottom="1440" w:gutter="0" w:footer="0" w:header="0"/>
          <w:type w:val="continuous"/>
        </w:sectPr>
      </w:pPr>
    </w:p>
    <w:p>
      <w:pPr>
        <w:jc w:val="center"/>
        <w:ind w:right="-140"/>
        <w:spacing w:after="0"/>
        <w:rPr>
          <w:sz w:val="20"/>
          <w:szCs w:val="20"/>
          <w:color w:val="auto"/>
        </w:rPr>
      </w:pPr>
      <w:r>
        <w:rPr>
          <w:rFonts w:ascii="Arial" w:cs="Arial" w:eastAsia="Arial" w:hAnsi="Arial"/>
          <w:sz w:val="18"/>
          <w:szCs w:val="18"/>
          <w:b w:val="1"/>
          <w:bCs w:val="1"/>
          <w:color w:val="auto"/>
        </w:rPr>
        <w:t>Boeing and American Proprietary</w:t>
      </w:r>
    </w:p>
    <w:p>
      <w:pPr>
        <w:sectPr>
          <w:pgSz w:w="11900" w:h="16838" w:orient="portrait"/>
          <w:cols w:equalWidth="0" w:num="1">
            <w:col w:w="10099"/>
          </w:cols>
          <w:pgMar w:left="360" w:top="189" w:right="1440" w:bottom="1440" w:gutter="0" w:footer="0" w:header="0"/>
          <w:type w:val="continuous"/>
        </w:sectPr>
      </w:pPr>
    </w:p>
    <w:bookmarkStart w:id="76" w:name="page77"/>
    <w:bookmarkEnd w:id="76"/>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ectPr>
          <w:pgSz w:w="11900" w:h="16838" w:orient="portrait"/>
          <w:cols w:equalWidth="0" w:num="1">
            <w:col w:w="10099"/>
          </w:cols>
          <w:pgMar w:left="360" w:top="1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color w:val="auto"/>
        </w:rPr>
        <w:t>AAL-PA-03735-LA-1106651R17 122666-1O.txt Attachment B - [****]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16"/>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r>
      <w:tr>
        <w:trPr>
          <w:trHeight w:val="202"/>
        </w:trPr>
        <w:tc>
          <w:tcPr>
            <w:tcW w:w="102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r>
      <w:tr>
        <w:trPr>
          <w:trHeight w:val="247"/>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6"/>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[****]-2034</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09"/>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1</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3</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4"/>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bl>
    <w:p>
      <w:pPr>
        <w:spacing w:after="0" w:line="27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SA-37</w:t>
      </w:r>
    </w:p>
    <w:p>
      <w:pPr>
        <w:spacing w:after="0" w:line="38"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Page 5</w:t>
      </w:r>
    </w:p>
    <w:p>
      <w:pPr>
        <w:spacing w:after="0" w:line="230" w:lineRule="exact"/>
        <w:rPr>
          <w:sz w:val="20"/>
          <w:szCs w:val="20"/>
          <w:color w:val="auto"/>
        </w:rPr>
      </w:pPr>
    </w:p>
    <w:p>
      <w:pPr>
        <w:sectPr>
          <w:pgSz w:w="11900" w:h="16838" w:orient="portrait"/>
          <w:cols w:equalWidth="0" w:num="2">
            <w:col w:w="3420" w:space="720"/>
            <w:col w:w="5959"/>
          </w:cols>
          <w:pgMar w:left="360" w:top="189" w:right="1440" w:bottom="1440" w:gutter="0" w:footer="0" w:header="0"/>
          <w:type w:val="continuous"/>
        </w:sectPr>
      </w:pPr>
    </w:p>
    <w:p>
      <w:pPr>
        <w:jc w:val="center"/>
        <w:ind w:right="-140"/>
        <w:spacing w:after="0"/>
        <w:rPr>
          <w:sz w:val="20"/>
          <w:szCs w:val="20"/>
          <w:color w:val="auto"/>
        </w:rPr>
      </w:pPr>
      <w:r>
        <w:rPr>
          <w:rFonts w:ascii="Arial" w:cs="Arial" w:eastAsia="Arial" w:hAnsi="Arial"/>
          <w:sz w:val="18"/>
          <w:szCs w:val="18"/>
          <w:b w:val="1"/>
          <w:bCs w:val="1"/>
          <w:color w:val="auto"/>
        </w:rPr>
        <w:t>Boeing and American Proprietary</w:t>
      </w:r>
    </w:p>
    <w:p>
      <w:pPr>
        <w:sectPr>
          <w:pgSz w:w="11900" w:h="16838" w:orient="portrait"/>
          <w:cols w:equalWidth="0" w:num="1">
            <w:col w:w="10099"/>
          </w:cols>
          <w:pgMar w:left="360" w:top="189" w:right="1440" w:bottom="1440" w:gutter="0" w:footer="0" w:header="0"/>
          <w:type w:val="continuous"/>
        </w:sectPr>
      </w:pPr>
    </w:p>
    <w:bookmarkStart w:id="77" w:name="page78"/>
    <w:bookmarkEnd w:id="77"/>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Attachment B To</w:t>
      </w:r>
    </w:p>
    <w:p>
      <w:pPr>
        <w:spacing w:after="0" w:line="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Letter Agreement No. AAL-PA-03735-LA-1106651R15</w:t>
      </w:r>
    </w:p>
    <w:p>
      <w:pPr>
        <w:spacing w:after="0" w:line="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 xml:space="preserve">737-10 </w:t>
      </w:r>
      <w:r>
        <w:rPr>
          <w:rFonts w:ascii="Arial" w:cs="Arial" w:eastAsia="Arial" w:hAnsi="Arial"/>
          <w:sz w:val="21"/>
          <w:szCs w:val="21"/>
          <w:color w:val="auto"/>
        </w:rPr>
        <w:t>[****]</w:t>
      </w:r>
      <w:r>
        <w:rPr>
          <w:rFonts w:ascii="Times New Roman" w:cs="Times New Roman" w:eastAsia="Times New Roman" w:hAnsi="Times New Roman"/>
          <w:sz w:val="21"/>
          <w:szCs w:val="21"/>
          <w:b w:val="1"/>
          <w:bCs w:val="1"/>
          <w:color w:val="auto"/>
        </w:rPr>
        <w:t xml:space="preserve"> Aircraft Delivery, Description, Price and Advance Payments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4200" w:type="dxa"/>
            <w:vAlign w:val="bottom"/>
            <w:tcBorders>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Nominal</w:t>
            </w:r>
          </w:p>
        </w:tc>
      </w:tr>
      <w:tr>
        <w:trPr>
          <w:trHeight w:val="202"/>
        </w:trPr>
        <w:tc>
          <w:tcPr>
            <w:tcW w:w="4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Delivery</w:t>
            </w:r>
          </w:p>
        </w:tc>
      </w:tr>
      <w:tr>
        <w:trPr>
          <w:trHeight w:val="247"/>
        </w:trPr>
        <w:tc>
          <w:tcPr>
            <w:tcW w:w="4200" w:type="dxa"/>
            <w:vAlign w:val="bottom"/>
            <w:tcBorders>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Aircraft</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b w:val="1"/>
                <w:bCs w:val="1"/>
                <w:color w:val="auto"/>
              </w:rPr>
              <w:t>Month</w:t>
            </w:r>
          </w:p>
        </w:tc>
      </w:tr>
      <w:tr>
        <w:trPr>
          <w:trHeight w:val="210"/>
        </w:trPr>
        <w:tc>
          <w:tcPr>
            <w:tcW w:w="42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213"/>
        </w:trPr>
        <w:tc>
          <w:tcPr>
            <w:tcW w:w="420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r>
      <w:tr>
        <w:trPr>
          <w:trHeight w:val="205"/>
        </w:trPr>
        <w:tc>
          <w:tcPr>
            <w:tcW w:w="420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[****]-2035</w:t>
            </w:r>
          </w:p>
        </w:tc>
        <w:tc>
          <w:tcPr>
            <w:tcW w:w="9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r>
      <w:tr>
        <w:trPr>
          <w:trHeight w:val="300"/>
        </w:trPr>
        <w:tc>
          <w:tcPr>
            <w:tcW w:w="420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87</w:t>
            </w:r>
          </w:p>
        </w:tc>
        <w:tc>
          <w:tcPr>
            <w:tcW w:w="1000" w:type="dxa"/>
            <w:vAlign w:val="bottom"/>
          </w:tcPr>
          <w:p>
            <w:pPr>
              <w:spacing w:after="0"/>
              <w:rPr>
                <w:sz w:val="24"/>
                <w:szCs w:val="24"/>
                <w:color w:val="auto"/>
              </w:rPr>
            </w:pPr>
          </w:p>
        </w:tc>
      </w:tr>
      <w:tr>
        <w:trPr>
          <w:trHeight w:val="901"/>
        </w:trPr>
        <w:tc>
          <w:tcPr>
            <w:tcW w:w="5200" w:type="dxa"/>
            <w:vAlign w:val="bottom"/>
            <w:gridSpan w:val="2"/>
          </w:tcPr>
          <w:p>
            <w:pPr>
              <w:spacing w:after="0"/>
              <w:rPr>
                <w:sz w:val="20"/>
                <w:szCs w:val="20"/>
                <w:color w:val="auto"/>
              </w:rPr>
            </w:pPr>
            <w:r>
              <w:rPr>
                <w:rFonts w:ascii="Arial" w:cs="Arial" w:eastAsia="Arial" w:hAnsi="Arial"/>
                <w:sz w:val="15"/>
                <w:szCs w:val="15"/>
                <w:b w:val="1"/>
                <w:bCs w:val="1"/>
                <w:color w:val="auto"/>
              </w:rPr>
              <w:t>Note: [****] to Letter Agreement No. AAL-PA-3735-11066508R8</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6"/>
        </w:trPr>
        <w:tc>
          <w:tcPr>
            <w:tcW w:w="5200" w:type="dxa"/>
            <w:vAlign w:val="bottom"/>
            <w:gridSpan w:val="2"/>
          </w:tcPr>
          <w:p>
            <w:pPr>
              <w:ind w:left="40"/>
              <w:spacing w:after="0"/>
              <w:rPr>
                <w:sz w:val="20"/>
                <w:szCs w:val="20"/>
                <w:color w:val="auto"/>
              </w:rPr>
            </w:pPr>
            <w:r>
              <w:rPr>
                <w:rFonts w:ascii="Arial" w:cs="Arial" w:eastAsia="Arial" w:hAnsi="Arial"/>
                <w:sz w:val="15"/>
                <w:szCs w:val="15"/>
                <w:color w:val="auto"/>
              </w:rPr>
              <w:t>AAL-PA-03735-LA-1106651R17 122666-1O.txt</w:t>
            </w:r>
          </w:p>
        </w:tc>
        <w:tc>
          <w:tcPr>
            <w:tcW w:w="980" w:type="dxa"/>
            <w:vAlign w:val="bottom"/>
          </w:tcPr>
          <w:p>
            <w:pPr>
              <w:spacing w:after="0"/>
              <w:rPr>
                <w:sz w:val="24"/>
                <w:szCs w:val="24"/>
                <w:color w:val="auto"/>
              </w:rPr>
            </w:pPr>
          </w:p>
        </w:tc>
        <w:tc>
          <w:tcPr>
            <w:tcW w:w="1000" w:type="dxa"/>
            <w:vAlign w:val="bottom"/>
          </w:tcPr>
          <w:p>
            <w:pPr>
              <w:jc w:val="right"/>
              <w:ind w:right="444"/>
              <w:spacing w:after="0"/>
              <w:rPr>
                <w:sz w:val="20"/>
                <w:szCs w:val="20"/>
                <w:color w:val="auto"/>
              </w:rPr>
            </w:pPr>
            <w:r>
              <w:rPr>
                <w:rFonts w:ascii="Arial" w:cs="Arial" w:eastAsia="Arial" w:hAnsi="Arial"/>
                <w:sz w:val="15"/>
                <w:szCs w:val="15"/>
                <w:b w:val="1"/>
                <w:bCs w:val="1"/>
                <w:color w:val="auto"/>
              </w:rPr>
              <w:t>SA-37</w:t>
            </w:r>
          </w:p>
        </w:tc>
      </w:tr>
      <w:tr>
        <w:trPr>
          <w:trHeight w:val="200"/>
        </w:trPr>
        <w:tc>
          <w:tcPr>
            <w:tcW w:w="5200" w:type="dxa"/>
            <w:vAlign w:val="bottom"/>
            <w:gridSpan w:val="2"/>
          </w:tcPr>
          <w:p>
            <w:pPr>
              <w:ind w:left="40"/>
              <w:spacing w:after="0"/>
              <w:rPr>
                <w:sz w:val="20"/>
                <w:szCs w:val="20"/>
                <w:color w:val="auto"/>
              </w:rPr>
            </w:pPr>
            <w:r>
              <w:rPr>
                <w:rFonts w:ascii="Arial" w:cs="Arial" w:eastAsia="Arial" w:hAnsi="Arial"/>
                <w:sz w:val="15"/>
                <w:szCs w:val="15"/>
                <w:color w:val="auto"/>
              </w:rPr>
              <w:t>Attachment B - [****] Aircraft</w:t>
            </w:r>
          </w:p>
        </w:tc>
        <w:tc>
          <w:tcPr>
            <w:tcW w:w="980" w:type="dxa"/>
            <w:vAlign w:val="bottom"/>
          </w:tcPr>
          <w:p>
            <w:pPr>
              <w:spacing w:after="0"/>
              <w:rPr>
                <w:sz w:val="17"/>
                <w:szCs w:val="17"/>
                <w:color w:val="auto"/>
              </w:rPr>
            </w:pPr>
          </w:p>
        </w:tc>
        <w:tc>
          <w:tcPr>
            <w:tcW w:w="1000" w:type="dxa"/>
            <w:vAlign w:val="bottom"/>
          </w:tcPr>
          <w:p>
            <w:pPr>
              <w:jc w:val="right"/>
              <w:ind w:right="444"/>
              <w:spacing w:after="0"/>
              <w:rPr>
                <w:sz w:val="20"/>
                <w:szCs w:val="20"/>
                <w:color w:val="auto"/>
              </w:rPr>
            </w:pPr>
            <w:r>
              <w:rPr>
                <w:rFonts w:ascii="Arial" w:cs="Arial" w:eastAsia="Arial" w:hAnsi="Arial"/>
                <w:sz w:val="15"/>
                <w:szCs w:val="15"/>
                <w:color w:val="auto"/>
                <w:w w:val="96"/>
              </w:rPr>
              <w:t>Page 6</w:t>
            </w:r>
          </w:p>
        </w:tc>
      </w:tr>
    </w:tbl>
    <w:p>
      <w:pPr>
        <w:spacing w:after="0" w:line="208" w:lineRule="exact"/>
        <w:rPr>
          <w:sz w:val="20"/>
          <w:szCs w:val="20"/>
          <w:color w:val="auto"/>
        </w:rPr>
      </w:pPr>
    </w:p>
    <w:p>
      <w:pPr>
        <w:jc w:val="center"/>
        <w:ind w:right="-160"/>
        <w:spacing w:after="0"/>
        <w:rPr>
          <w:sz w:val="20"/>
          <w:szCs w:val="20"/>
          <w:color w:val="auto"/>
        </w:rPr>
      </w:pPr>
      <w:r>
        <w:rPr>
          <w:rFonts w:ascii="Arial" w:cs="Arial" w:eastAsia="Arial" w:hAnsi="Arial"/>
          <w:sz w:val="19"/>
          <w:szCs w:val="19"/>
          <w:b w:val="1"/>
          <w:bCs w:val="1"/>
          <w:color w:val="auto"/>
        </w:rPr>
        <w:t>Boeing and American Proprietary</w:t>
      </w:r>
    </w:p>
    <w:p>
      <w:pPr>
        <w:sectPr>
          <w:pgSz w:w="11900" w:h="16838" w:orient="portrait"/>
          <w:cols w:equalWidth="0" w:num="1">
            <w:col w:w="10139"/>
          </w:cols>
          <w:pgMar w:left="320" w:top="189" w:right="1440" w:bottom="1440" w:gutter="0" w:footer="0" w:header="0"/>
        </w:sectPr>
      </w:pPr>
    </w:p>
    <w:bookmarkStart w:id="78" w:name="page79"/>
    <w:bookmarkEnd w:id="78"/>
    <w:p>
      <w:pPr>
        <w:ind w:left="2540"/>
        <w:spacing w:after="0"/>
        <w:rPr>
          <w:sz w:val="20"/>
          <w:szCs w:val="20"/>
          <w:color w:val="auto"/>
        </w:rPr>
      </w:pPr>
      <w:r>
        <w:rPr>
          <w:rFonts w:ascii="Arial" w:cs="Arial" w:eastAsia="Arial" w:hAnsi="Arial"/>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560195" cy="3600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Seattle, WA 98124 22</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AAL-PA-03735-LA-2306975</w:t>
      </w:r>
      <w:r>
        <w:rPr>
          <w:rFonts w:ascii="Arial" w:cs="Arial" w:eastAsia="Arial" w:hAnsi="Arial"/>
          <w:sz w:val="22"/>
          <w:szCs w:val="22"/>
          <w:b w:val="1"/>
          <w:bCs w:val="1"/>
          <w:color w:val="auto"/>
        </w:rPr>
        <w:t>R3</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3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47" w:lineRule="exact"/>
        <w:rPr>
          <w:sz w:val="20"/>
          <w:szCs w:val="20"/>
          <w:color w:val="auto"/>
        </w:rPr>
      </w:pPr>
    </w:p>
    <w:p>
      <w:pPr>
        <w:ind w:left="1300" w:hanging="1295"/>
        <w:spacing w:after="0" w:line="283"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375"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will have the same meaning as in the Purchase Agreement.</w:t>
      </w:r>
    </w:p>
    <w:p>
      <w:pPr>
        <w:spacing w:after="0" w:line="7" w:lineRule="exact"/>
        <w:rPr>
          <w:sz w:val="20"/>
          <w:szCs w:val="20"/>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right="20" w:firstLine="648"/>
        <w:spacing w:after="0" w:line="272" w:lineRule="auto"/>
        <w:rPr>
          <w:sz w:val="20"/>
          <w:szCs w:val="20"/>
          <w:color w:val="auto"/>
        </w:rPr>
      </w:pP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 ([****]) and [****] pursuant to Letter Agreement No. AAL-PA-03735-LA-1106651R17 entitled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 pursuant to Letter Agreement No. AAL-PA-03735-LA-2306978 entitled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 to the Purchase Agreement as of the date of this Letter Agreement</w:t>
      </w:r>
      <w:r>
        <w:rPr>
          <w:rFonts w:ascii="Arial" w:cs="Arial" w:eastAsia="Arial" w:hAnsi="Arial"/>
          <w:sz w:val="14"/>
          <w:szCs w:val="14"/>
          <w:color w:val="auto"/>
        </w:rPr>
        <w:t>.</w:t>
      </w:r>
    </w:p>
    <w:p>
      <w:pPr>
        <w:spacing w:after="0" w:line="328" w:lineRule="exact"/>
        <w:rPr>
          <w:sz w:val="20"/>
          <w:szCs w:val="20"/>
          <w:color w:val="auto"/>
        </w:rPr>
      </w:pPr>
    </w:p>
    <w:p>
      <w:pPr>
        <w:ind w:right="20" w:firstLine="8"/>
        <w:spacing w:after="0" w:line="236" w:lineRule="auto"/>
        <w:tabs>
          <w:tab w:leader="none" w:pos="63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Section 2.1 of the Purchase Agreement, Boeing will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w:t>
      </w:r>
      <w:r>
        <w:rPr>
          <w:rFonts w:ascii="Arial" w:cs="Arial" w:eastAsia="Arial" w:hAnsi="Arial"/>
          <w:sz w:val="22"/>
          <w:szCs w:val="22"/>
          <w:color w:val="auto"/>
        </w:rPr>
        <w:t xml:space="preserve">. However, if Boeing </w:t>
      </w:r>
      <w:r>
        <w:rPr>
          <w:rFonts w:ascii="Arial" w:cs="Arial" w:eastAsia="Arial" w:hAnsi="Arial"/>
          <w:sz w:val="22"/>
          <w:szCs w:val="22"/>
          <w:u w:val="single" w:color="auto"/>
          <w:color w:val="auto"/>
        </w:rPr>
        <w:t>[****]</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w:t>
      </w:r>
      <w:r>
        <w:rPr>
          <w:rFonts w:ascii="Arial" w:cs="Arial" w:eastAsia="Arial" w:hAnsi="Arial"/>
          <w:sz w:val="22"/>
          <w:szCs w:val="22"/>
          <w:color w:val="auto"/>
        </w:rPr>
        <w:t xml:space="preserve"> as set forth in the proceeding sentence, the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42" w:lineRule="exact"/>
        <w:rPr>
          <w:rFonts w:ascii="Arial" w:cs="Arial" w:eastAsia="Arial" w:hAnsi="Arial"/>
          <w:sz w:val="22"/>
          <w:szCs w:val="22"/>
          <w:color w:val="auto"/>
        </w:rPr>
      </w:pPr>
    </w:p>
    <w:p>
      <w:pPr>
        <w:ind w:left="640" w:hanging="632"/>
        <w:spacing w:after="0"/>
        <w:tabs>
          <w:tab w:leader="none" w:pos="6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3.1   [****]</w:t>
      </w:r>
      <w:r>
        <w:rPr>
          <w:rFonts w:ascii="Arial" w:cs="Arial" w:eastAsia="Arial" w:hAnsi="Arial"/>
          <w:sz w:val="22"/>
          <w:szCs w:val="22"/>
          <w:u w:val="single" w:color="auto"/>
          <w:color w:val="auto"/>
        </w:rPr>
        <w:t>.</w:t>
      </w:r>
      <w:r>
        <w:rPr>
          <w:rFonts w:ascii="Arial" w:cs="Arial" w:eastAsia="Arial" w:hAnsi="Arial"/>
          <w:sz w:val="22"/>
          <w:szCs w:val="22"/>
          <w:color w:val="auto"/>
        </w:rPr>
        <w:t xml:space="preserve"> [****], Boeing will [****]:</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3.1.1  [****]. A [****] ([****]) in the [****] ([****]). The [****] ([****]) and will be [****].</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3.1.2  [****]</w:t>
      </w:r>
      <w:r>
        <w:rPr>
          <w:rFonts w:ascii="Arial" w:cs="Arial" w:eastAsia="Arial" w:hAnsi="Arial"/>
          <w:sz w:val="22"/>
          <w:szCs w:val="22"/>
          <w:u w:val="single" w:color="auto"/>
          <w:color w:val="auto"/>
        </w:rPr>
        <w:t>.</w:t>
      </w:r>
      <w:r>
        <w:rPr>
          <w:rFonts w:ascii="Arial" w:cs="Arial" w:eastAsia="Arial" w:hAnsi="Arial"/>
          <w:sz w:val="22"/>
          <w:szCs w:val="22"/>
          <w:color w:val="auto"/>
        </w:rPr>
        <w:t xml:space="preserve"> A [****] ([****]) in the [****] ([****]). Customer [****].</w:t>
      </w:r>
    </w:p>
    <w:p>
      <w:pPr>
        <w:spacing w:after="0" w:line="6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2"/>
          <w:szCs w:val="22"/>
          <w:color w:val="auto"/>
        </w:rPr>
        <w:t>3.1.3 [****]</w:t>
      </w:r>
      <w:r>
        <w:rPr>
          <w:rFonts w:ascii="Arial" w:cs="Arial" w:eastAsia="Arial" w:hAnsi="Arial"/>
          <w:sz w:val="22"/>
          <w:szCs w:val="22"/>
          <w:u w:val="single" w:color="auto"/>
          <w:color w:val="auto"/>
        </w:rPr>
        <w:t>.</w:t>
      </w:r>
      <w:r>
        <w:rPr>
          <w:rFonts w:ascii="Arial" w:cs="Arial" w:eastAsia="Arial" w:hAnsi="Arial"/>
          <w:sz w:val="22"/>
          <w:szCs w:val="22"/>
          <w:color w:val="auto"/>
        </w:rPr>
        <w:t xml:space="preserve"> A [****] ([****]) in the [****] ([****]), [****] (</w:t>
      </w:r>
      <w:r>
        <w:rPr>
          <w:rFonts w:ascii="Arial" w:cs="Arial" w:eastAsia="Arial" w:hAnsi="Arial"/>
          <w:sz w:val="22"/>
          <w:szCs w:val="22"/>
          <w:b w:val="1"/>
          <w:bCs w:val="1"/>
          <w:color w:val="auto"/>
        </w:rPr>
        <w:t>MTOW</w:t>
      </w:r>
      <w:r>
        <w:rPr>
          <w:rFonts w:ascii="Arial" w:cs="Arial" w:eastAsia="Arial" w:hAnsi="Arial"/>
          <w:sz w:val="22"/>
          <w:szCs w:val="22"/>
          <w:color w:val="auto"/>
        </w:rPr>
        <w:t>) of [****] [****]) of [****], and [****] ([****]) of [****], in [****]. The [****] ([****]) [****] to the Purchase Agreement in accordance with the terms and conditions of the Purchase Agreement. The [****] to the Purchase Agreement in accordance with the terms and conditions of the Purchase Agreement [****]. In the event Customer [****].</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3.1.4  [****]. An [****] ([****]) in the [****] ([****]). The [****].</w:t>
      </w:r>
    </w:p>
    <w:p>
      <w:pPr>
        <w:spacing w:after="0" w:line="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3.1.5 [****]</w:t>
      </w:r>
      <w:r>
        <w:rPr>
          <w:rFonts w:ascii="Arial" w:cs="Arial" w:eastAsia="Arial" w:hAnsi="Arial"/>
          <w:sz w:val="22"/>
          <w:szCs w:val="22"/>
          <w:u w:val="single" w:color="auto"/>
          <w:color w:val="auto"/>
        </w:rPr>
        <w:t>.</w:t>
      </w:r>
      <w:r>
        <w:rPr>
          <w:rFonts w:ascii="Arial" w:cs="Arial" w:eastAsia="Arial" w:hAnsi="Arial"/>
          <w:sz w:val="22"/>
          <w:szCs w:val="22"/>
          <w:color w:val="auto"/>
        </w:rPr>
        <w:t xml:space="preserve"> For [****] noted in [****] (as defined in the [****] LA, as defined below), Boeing will [****] in accordance with and as described in [****] of Letter</w:t>
      </w:r>
    </w:p>
    <w:p>
      <w:pPr>
        <w:spacing w:after="0" w:line="200" w:lineRule="exact"/>
        <w:rPr>
          <w:sz w:val="20"/>
          <w:szCs w:val="20"/>
          <w:color w:val="auto"/>
        </w:rPr>
      </w:pPr>
    </w:p>
    <w:p>
      <w:pPr>
        <w:spacing w:after="0" w:line="394"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AAL-PA-03735-LA-2306975</w:t>
      </w:r>
      <w:r>
        <w:rPr>
          <w:rFonts w:ascii="Arial" w:cs="Arial" w:eastAsia="Arial" w:hAnsi="Arial"/>
          <w:sz w:val="22"/>
          <w:szCs w:val="22"/>
          <w:b w:val="1"/>
          <w:bCs w:val="1"/>
          <w:color w:val="auto"/>
        </w:rPr>
        <w:t>R3</w:t>
      </w:r>
      <w:r>
        <w:rPr>
          <w:sz w:val="20"/>
          <w:szCs w:val="20"/>
          <w:color w:val="auto"/>
        </w:rPr>
        <w:tab/>
      </w:r>
      <w:r>
        <w:rPr>
          <w:rFonts w:ascii="Arial" w:cs="Arial" w:eastAsia="Arial" w:hAnsi="Arial"/>
          <w:sz w:val="21"/>
          <w:szCs w:val="21"/>
          <w:color w:val="auto"/>
        </w:rPr>
        <w:t>SA-</w:t>
      </w:r>
      <w:r>
        <w:rPr>
          <w:rFonts w:ascii="Arial" w:cs="Arial" w:eastAsia="Arial" w:hAnsi="Arial"/>
          <w:sz w:val="21"/>
          <w:szCs w:val="21"/>
          <w:b w:val="1"/>
          <w:bCs w:val="1"/>
          <w:color w:val="auto"/>
        </w:rPr>
        <w:t>37</w:t>
      </w:r>
    </w:p>
    <w:p>
      <w:pPr>
        <w:spacing w:after="0" w:line="2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75" w:right="339" w:bottom="1440" w:gutter="0" w:footer="0" w:header="0"/>
        </w:sectPr>
      </w:pPr>
    </w:p>
    <w:bookmarkStart w:id="79" w:name="page80"/>
    <w:bookmarkEnd w:id="79"/>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22"/>
          <w:szCs w:val="22"/>
          <w:color w:val="auto"/>
        </w:rPr>
        <w:t xml:space="preserve">Agreement No. AAL-PA-3735-2306984, as amended, entitled “[****]” (the [****] </w:t>
      </w:r>
      <w:r>
        <w:rPr>
          <w:rFonts w:ascii="Arial" w:cs="Arial" w:eastAsia="Arial" w:hAnsi="Arial"/>
          <w:sz w:val="22"/>
          <w:szCs w:val="22"/>
          <w:b w:val="1"/>
          <w:bCs w:val="1"/>
          <w:i w:val="1"/>
          <w:iCs w:val="1"/>
          <w:color w:val="auto"/>
        </w:rPr>
        <w:t>LA</w:t>
      </w:r>
      <w:r>
        <w:rPr>
          <w:rFonts w:ascii="Arial" w:cs="Arial" w:eastAsia="Arial" w:hAnsi="Arial"/>
          <w:sz w:val="22"/>
          <w:szCs w:val="22"/>
          <w:color w:val="auto"/>
        </w:rPr>
        <w:t>) in the [****] ([****]) on [****] (as defined in the [****] LA) as shown below:</w:t>
      </w:r>
    </w:p>
    <w:p>
      <w:pPr>
        <w:spacing w:after="0" w:line="89" w:lineRule="exact"/>
        <w:rPr>
          <w:sz w:val="20"/>
          <w:szCs w:val="20"/>
          <w:color w:val="auto"/>
        </w:rPr>
      </w:pPr>
    </w:p>
    <w:tbl>
      <w:tblPr>
        <w:tblLayout w:type="fixed"/>
        <w:tblInd w:w="1810" w:type="dxa"/>
        <w:tblCellMar>
          <w:top w:w="0" w:type="dxa"/>
          <w:left w:w="0" w:type="dxa"/>
          <w:bottom w:w="0" w:type="dxa"/>
          <w:right w:w="0" w:type="dxa"/>
        </w:tblCellMar>
      </w:tblPr>
      <w:tr>
        <w:trPr>
          <w:trHeight w:val="377"/>
        </w:trPr>
        <w:tc>
          <w:tcPr>
            <w:tcW w:w="3000" w:type="dxa"/>
            <w:vAlign w:val="bottom"/>
            <w:tcBorders>
              <w:top w:val="single" w:sz="8" w:color="auto"/>
              <w:left w:val="single" w:sz="8" w:color="auto"/>
              <w:right w:val="single" w:sz="8" w:color="auto"/>
            </w:tcBorders>
          </w:tcPr>
          <w:p>
            <w:pPr>
              <w:jc w:val="center"/>
              <w:ind w:right="212"/>
              <w:spacing w:after="0"/>
              <w:rPr>
                <w:sz w:val="20"/>
                <w:szCs w:val="20"/>
                <w:color w:val="auto"/>
              </w:rPr>
            </w:pPr>
            <w:r>
              <w:rPr>
                <w:rFonts w:ascii="Arial" w:cs="Arial" w:eastAsia="Arial" w:hAnsi="Arial"/>
                <w:sz w:val="22"/>
                <w:szCs w:val="22"/>
                <w:b w:val="1"/>
                <w:bCs w:val="1"/>
                <w:color w:val="auto"/>
                <w:w w:val="98"/>
              </w:rPr>
              <w:t>[****]</w:t>
            </w:r>
          </w:p>
        </w:tc>
        <w:tc>
          <w:tcPr>
            <w:tcW w:w="2900" w:type="dxa"/>
            <w:vAlign w:val="bottom"/>
            <w:tcBorders>
              <w:top w:val="single" w:sz="8" w:color="auto"/>
              <w:right w:val="single" w:sz="8" w:color="auto"/>
            </w:tcBorders>
          </w:tcPr>
          <w:p>
            <w:pPr>
              <w:jc w:val="center"/>
              <w:ind w:right="232"/>
              <w:spacing w:after="0"/>
              <w:rPr>
                <w:sz w:val="20"/>
                <w:szCs w:val="20"/>
                <w:color w:val="auto"/>
              </w:rPr>
            </w:pPr>
            <w:r>
              <w:rPr>
                <w:rFonts w:ascii="Arial" w:cs="Arial" w:eastAsia="Arial" w:hAnsi="Arial"/>
                <w:sz w:val="22"/>
                <w:szCs w:val="22"/>
                <w:b w:val="1"/>
                <w:bCs w:val="1"/>
                <w:color w:val="auto"/>
                <w:w w:val="98"/>
              </w:rPr>
              <w:t>[****]</w:t>
            </w:r>
          </w:p>
        </w:tc>
      </w:tr>
      <w:tr>
        <w:trPr>
          <w:trHeight w:val="149"/>
        </w:trPr>
        <w:tc>
          <w:tcPr>
            <w:tcW w:w="3000" w:type="dxa"/>
            <w:vAlign w:val="bottom"/>
            <w:tcBorders>
              <w:left w:val="single" w:sz="8" w:color="auto"/>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spacing w:after="0"/>
              <w:rPr>
                <w:sz w:val="13"/>
                <w:szCs w:val="13"/>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1"/>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1"/>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1"/>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2"/>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1"/>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1"/>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r>
        <w:trPr>
          <w:trHeight w:val="345"/>
        </w:trPr>
        <w:tc>
          <w:tcPr>
            <w:tcW w:w="3000" w:type="dxa"/>
            <w:vAlign w:val="bottom"/>
            <w:tcBorders>
              <w:left w:val="single" w:sz="8" w:color="auto"/>
              <w:right w:val="single" w:sz="8" w:color="auto"/>
            </w:tcBorders>
          </w:tcPr>
          <w:p>
            <w:pPr>
              <w:jc w:val="center"/>
              <w:ind w:right="192"/>
              <w:spacing w:after="0"/>
              <w:rPr>
                <w:sz w:val="20"/>
                <w:szCs w:val="20"/>
                <w:color w:val="auto"/>
              </w:rPr>
            </w:pPr>
            <w:r>
              <w:rPr>
                <w:rFonts w:ascii="Arial" w:cs="Arial" w:eastAsia="Arial" w:hAnsi="Arial"/>
                <w:sz w:val="22"/>
                <w:szCs w:val="22"/>
                <w:color w:val="auto"/>
                <w:w w:val="98"/>
              </w:rPr>
              <w:t>[****]</w:t>
            </w:r>
          </w:p>
        </w:tc>
        <w:tc>
          <w:tcPr>
            <w:tcW w:w="2900" w:type="dxa"/>
            <w:vAlign w:val="bottom"/>
            <w:tcBorders>
              <w:right w:val="single" w:sz="8" w:color="auto"/>
            </w:tcBorders>
          </w:tcPr>
          <w:p>
            <w:pPr>
              <w:jc w:val="center"/>
              <w:ind w:right="212"/>
              <w:spacing w:after="0"/>
              <w:rPr>
                <w:sz w:val="20"/>
                <w:szCs w:val="20"/>
                <w:color w:val="auto"/>
              </w:rPr>
            </w:pPr>
            <w:r>
              <w:rPr>
                <w:rFonts w:ascii="Arial" w:cs="Arial" w:eastAsia="Arial" w:hAnsi="Arial"/>
                <w:sz w:val="22"/>
                <w:szCs w:val="22"/>
                <w:color w:val="auto"/>
                <w:w w:val="98"/>
              </w:rPr>
              <w:t>[****]</w:t>
            </w:r>
          </w:p>
        </w:tc>
      </w:tr>
      <w:tr>
        <w:trPr>
          <w:trHeight w:val="161"/>
        </w:trPr>
        <w:tc>
          <w:tcPr>
            <w:tcW w:w="3000" w:type="dxa"/>
            <w:vAlign w:val="bottom"/>
            <w:tcBorders>
              <w:left w:val="single" w:sz="8" w:color="auto"/>
              <w:bottom w:val="single" w:sz="8" w:color="auto"/>
              <w:right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3.1.6  [****]. The [****] for any and all [****] will be [****] in accordance with Article 2.2(iii) of the [****] LA.</w:t>
      </w:r>
    </w:p>
    <w:p>
      <w:pPr>
        <w:spacing w:after="0" w:line="83"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 –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4.1   [****]. At the [****], Boeing will [****]:</w:t>
      </w:r>
    </w:p>
    <w:p>
      <w:pPr>
        <w:spacing w:after="0" w:line="7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4.1.1 [****]. An [****] ([****]) in the [****] ([****]). The [****] ([****]) and will be [****] set forth in the Purchase Agreement and in accordance with the terms and conditions of the Purchase Agreement for the [****].</w:t>
      </w:r>
    </w:p>
    <w:p>
      <w:pPr>
        <w:spacing w:after="0" w:line="4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4.1.2 [****]. An [****] ([****]) in the [****] ([****]), [****], [****], [****]. The [****] set forth in the Purchase Agreement and in accordance with the terms and conditions of the Purchase Agreement for the [****]. The [****], [****], and [****] ([****]) [****] set forth in the Purchase Agreement and in accordance with the terms and conditions of the Purchase Agreement for the [****]. In the event [****], [****] and [****], the [****].</w:t>
      </w:r>
    </w:p>
    <w:p>
      <w:pPr>
        <w:spacing w:after="0" w:line="44"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4.1.3 [****]. A [****] ([****]) in the [****] ([****]). The [****] set forth in the Purchase Agreement and in accordance with the terms and conditions of the Purchase Agreement for the [****].</w:t>
      </w:r>
    </w:p>
    <w:p>
      <w:pPr>
        <w:sectPr>
          <w:pgSz w:w="11900" w:h="16838" w:orient="portrait"/>
          <w:cols w:equalWidth="0" w:num="1">
            <w:col w:w="11240"/>
          </w:cols>
          <w:pgMar w:left="320" w:top="1440" w:right="339" w:bottom="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Arial" w:cs="Arial" w:eastAsia="Arial" w:hAnsi="Arial"/>
                <w:sz w:val="22"/>
                <w:szCs w:val="22"/>
                <w:color w:val="auto"/>
              </w:rPr>
              <w:t>AAL-PA-03735-LA-2306975</w:t>
            </w:r>
            <w:r>
              <w:rPr>
                <w:rFonts w:ascii="Arial" w:cs="Arial" w:eastAsia="Arial" w:hAnsi="Arial"/>
                <w:sz w:val="22"/>
                <w:szCs w:val="22"/>
                <w:b w:val="1"/>
                <w:bCs w:val="1"/>
                <w:color w:val="auto"/>
              </w:rPr>
              <w:t>R3</w:t>
            </w:r>
          </w:p>
        </w:tc>
        <w:tc>
          <w:tcPr>
            <w:tcW w:w="4480" w:type="dxa"/>
            <w:vAlign w:val="bottom"/>
          </w:tcPr>
          <w:p>
            <w:pPr>
              <w:ind w:left="1760"/>
              <w:spacing w:after="0"/>
              <w:rPr>
                <w:sz w:val="20"/>
                <w:szCs w:val="20"/>
                <w:color w:val="auto"/>
              </w:rPr>
            </w:pPr>
            <w:r>
              <w:rPr>
                <w:rFonts w:ascii="Arial" w:cs="Arial" w:eastAsia="Arial" w:hAnsi="Arial"/>
                <w:sz w:val="22"/>
                <w:szCs w:val="22"/>
                <w:color w:val="auto"/>
              </w:rPr>
              <w:t>SA-</w:t>
            </w:r>
            <w:r>
              <w:rPr>
                <w:rFonts w:ascii="Arial" w:cs="Arial" w:eastAsia="Arial" w:hAnsi="Arial"/>
                <w:sz w:val="22"/>
                <w:szCs w:val="22"/>
                <w:b w:val="1"/>
                <w:bCs w:val="1"/>
                <w:color w:val="auto"/>
              </w:rPr>
              <w:t>37</w:t>
            </w: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0"/>
                <w:szCs w:val="20"/>
                <w:color w:val="auto"/>
              </w:rPr>
            </w:pPr>
            <w:r>
              <w:rPr>
                <w:rFonts w:ascii="Arial" w:cs="Arial" w:eastAsia="Arial" w:hAnsi="Arial"/>
                <w:sz w:val="22"/>
                <w:szCs w:val="22"/>
                <w:color w:val="auto"/>
              </w:rPr>
              <w:t>[****]  Page 2</w:t>
            </w:r>
          </w:p>
        </w:tc>
        <w:tc>
          <w:tcPr>
            <w:tcW w:w="4480" w:type="dxa"/>
            <w:vAlign w:val="bottom"/>
            <w:vMerge w:val="restart"/>
          </w:tcPr>
          <w:p>
            <w:pPr>
              <w:ind w:left="280"/>
              <w:spacing w:after="0"/>
              <w:rPr>
                <w:sz w:val="20"/>
                <w:szCs w:val="20"/>
                <w:color w:val="auto"/>
              </w:rPr>
            </w:pPr>
            <w:r>
              <w:rPr>
                <w:rFonts w:ascii="Arial" w:cs="Arial" w:eastAsia="Arial" w:hAnsi="Arial"/>
                <w:sz w:val="22"/>
                <w:szCs w:val="22"/>
                <w:b w:val="1"/>
                <w:bCs w:val="1"/>
                <w:color w:val="auto"/>
                <w:w w:val="97"/>
              </w:rPr>
              <w:t>BOEING AND AMERICAN PROPRIETARY</w:t>
            </w:r>
          </w:p>
        </w:tc>
        <w:tc>
          <w:tcPr>
            <w:tcW w:w="0" w:type="dxa"/>
            <w:vAlign w:val="bottom"/>
          </w:tcPr>
          <w:p>
            <w:pPr>
              <w:spacing w:after="0"/>
              <w:rPr>
                <w:sz w:val="1"/>
                <w:szCs w:val="1"/>
                <w:color w:val="auto"/>
              </w:rPr>
            </w:pPr>
          </w:p>
        </w:tc>
      </w:tr>
      <w:tr>
        <w:trPr>
          <w:trHeight w:val="268"/>
        </w:trPr>
        <w:tc>
          <w:tcPr>
            <w:tcW w:w="3240" w:type="dxa"/>
            <w:vAlign w:val="bottom"/>
          </w:tcPr>
          <w:p>
            <w:pPr>
              <w:spacing w:after="0"/>
              <w:rPr>
                <w:sz w:val="23"/>
                <w:szCs w:val="23"/>
                <w:color w:val="auto"/>
              </w:rPr>
            </w:pPr>
          </w:p>
        </w:tc>
        <w:tc>
          <w:tcPr>
            <w:tcW w:w="4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570" w:right="1440" w:bottom="1440" w:gutter="0" w:footer="0" w:header="0"/>
        </w:sectPr>
      </w:pPr>
    </w:p>
    <w:bookmarkStart w:id="81" w:name="page82"/>
    <w:bookmarkEnd w:id="81"/>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jc w:val="both"/>
        <w:ind w:right="20" w:firstLine="1296"/>
        <w:spacing w:after="0" w:line="236" w:lineRule="auto"/>
        <w:rPr>
          <w:sz w:val="20"/>
          <w:szCs w:val="20"/>
          <w:color w:val="auto"/>
        </w:rPr>
      </w:pPr>
      <w:r>
        <w:rPr>
          <w:rFonts w:ascii="Arial" w:cs="Arial" w:eastAsia="Arial" w:hAnsi="Arial"/>
          <w:sz w:val="22"/>
          <w:szCs w:val="22"/>
          <w:color w:val="auto"/>
        </w:rPr>
        <w:t>4.1.4 [****]. A [****] ([****]) in the [****] ([****]). The [****] set forth in the Purchase Agreement and in accordance with the terms and conditions of the Purchase Agreement for the [****].</w:t>
      </w:r>
    </w:p>
    <w:p>
      <w:pPr>
        <w:spacing w:after="0" w:line="4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4.1.5 [****]. In [****] ([****]) in the [****] ([****]). The [****] set forth in the Purchase Agreement and in accordance with the terms and conditions of the Purchase Agreement for the [****].</w:t>
      </w:r>
    </w:p>
    <w:p>
      <w:pPr>
        <w:spacing w:after="0" w:line="4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4.1.6 [****]. In [****] ([****]) in the [****] ([****]). The [****] set forth in the Purchase Agreement and in accordance with the terms and conditions of the Purchase Agreement for the [****].</w:t>
      </w:r>
    </w:p>
    <w:p>
      <w:pPr>
        <w:spacing w:after="0" w:line="43"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4.1.7 [****]. A [****] ([****]) in the [****] ([****]). The [****] set forth in the Purchase Agreement and in accordance with the terms and conditions of the Purchase Agreement for the [****].</w:t>
      </w:r>
    </w:p>
    <w:p>
      <w:pPr>
        <w:spacing w:after="0" w:line="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 At the [****], Boeing [****]:</w:t>
      </w:r>
    </w:p>
    <w:p>
      <w:pPr>
        <w:spacing w:after="0" w:line="71"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4.2.1 [****]. [****] ([****]) in the [****] ([****]). The [****] set forth in the Purchase Agreement and in accordance with the terms and conditions of the Purchase Agreement for the [****].</w:t>
      </w:r>
    </w:p>
    <w:p>
      <w:pPr>
        <w:spacing w:after="0" w:line="4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4.2.2 [****]. [****] ([****]) in the [****] ([****]), [****], and [****], in [****]. The [****] set forth in the Purchase Agreement and in accordance with the terms and conditions of the Purchase Agreement for the [****]. The [****], the [****], and the [****] ([****]) [****] set forth in the Purchase Agreement and in accordance with the terms and conditions of the Purchase Agreement. In the event [****], [****] and [****], the [****].</w:t>
      </w:r>
    </w:p>
    <w:p>
      <w:pPr>
        <w:spacing w:after="0" w:line="44"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4.2.3 [****]. A [****] ([****]) in the [****] ([****]). The [****] set forth in the Purchase Agreement and in accordance with the terms and conditions of the Purchase Agreement for the [****].</w:t>
      </w:r>
    </w:p>
    <w:p>
      <w:pPr>
        <w:spacing w:after="0" w:line="43"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4.2.4 [****]. A [****] ([****]) in the [****] ([****]). The [****] set forth in the Purchase Agreement and in accordance with the terms and conditions of the Purchase Agreement for the for the [****].</w:t>
      </w:r>
    </w:p>
    <w:p>
      <w:pPr>
        <w:spacing w:after="0" w:line="4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4.2.5 [****]. In [****], a [****] ([****]) in the [****] ([****]). The [****] set forth in the Purchase Agreement and in accordance with the terms and conditions of the Purchase Agreement for the [****].</w:t>
      </w:r>
    </w:p>
    <w:p>
      <w:pPr>
        <w:spacing w:after="0" w:line="43"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4.2.6 [****]. A [****] ([****]) in the [****] ([****]). The [****] set forth in the Purchase Agreement and in accordance with the terms and conditions of the Purchase Agreement for the [****].</w:t>
      </w:r>
    </w:p>
    <w:p>
      <w:pPr>
        <w:spacing w:after="0" w:line="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 At the [****], Boeing will [****]:</w:t>
      </w:r>
    </w:p>
    <w:p>
      <w:pPr>
        <w:spacing w:after="0" w:line="71"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4.3.1 [****]. A [****] ([****]) in the [****] ([****]). The [****] set forth in the Purchase Agreement and in accordance with the terms and conditions of the Purchase Agreement for the [****].</w:t>
      </w:r>
    </w:p>
    <w:p>
      <w:pPr>
        <w:spacing w:after="0" w:line="4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4.3.2 [****]. A [****] ([****]) in the [****] ([****]), [****], [****], and [****], in [****]. The [****] set forth in the Purchase Agreement and in accordance with the terms and conditions of the Purchase Agreement for the [****]. In the event [****], [****] and [****], the [****]. The [****], the [****], and the [****] ([****]) [****] set forth in the Purchase Agreement and in accordance with the terms and conditions of the Purchase Agreement for the [****].</w:t>
      </w:r>
    </w:p>
    <w:p>
      <w:pPr>
        <w:spacing w:after="0" w:line="44"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4.3.3 [****]. A [****] ([****]) in the [****] ([****]). The [****] set forth in the Purchase Agreement and in accordance with the terms and conditions of the Purchase Agreement for the [****].</w:t>
      </w:r>
    </w:p>
    <w:p>
      <w:pPr>
        <w:spacing w:after="0" w:line="200" w:lineRule="exact"/>
        <w:rPr>
          <w:sz w:val="20"/>
          <w:szCs w:val="20"/>
          <w:color w:val="auto"/>
        </w:rPr>
      </w:pPr>
    </w:p>
    <w:p>
      <w:pPr>
        <w:spacing w:after="0" w:line="380"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AAL-PA-03735-LA-2306975</w:t>
      </w:r>
      <w:r>
        <w:rPr>
          <w:rFonts w:ascii="Arial" w:cs="Arial" w:eastAsia="Arial" w:hAnsi="Arial"/>
          <w:sz w:val="22"/>
          <w:szCs w:val="22"/>
          <w:b w:val="1"/>
          <w:bCs w:val="1"/>
          <w:color w:val="auto"/>
        </w:rPr>
        <w:t>R3</w:t>
      </w:r>
      <w:r>
        <w:rPr>
          <w:sz w:val="20"/>
          <w:szCs w:val="20"/>
          <w:color w:val="auto"/>
        </w:rPr>
        <w:tab/>
      </w:r>
      <w:r>
        <w:rPr>
          <w:rFonts w:ascii="Arial" w:cs="Arial" w:eastAsia="Arial" w:hAnsi="Arial"/>
          <w:sz w:val="21"/>
          <w:szCs w:val="21"/>
          <w:color w:val="auto"/>
        </w:rPr>
        <w:t>SA-</w:t>
      </w:r>
      <w:r>
        <w:rPr>
          <w:rFonts w:ascii="Arial" w:cs="Arial" w:eastAsia="Arial" w:hAnsi="Arial"/>
          <w:sz w:val="21"/>
          <w:szCs w:val="21"/>
          <w:b w:val="1"/>
          <w:bCs w:val="1"/>
          <w:color w:val="auto"/>
        </w:rPr>
        <w:t>37</w:t>
      </w:r>
    </w:p>
    <w:p>
      <w:pPr>
        <w:spacing w:after="0" w:line="3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82" w:name="page83"/>
    <w:bookmarkEnd w:id="82"/>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right="20" w:firstLine="1296"/>
        <w:spacing w:after="0" w:line="236" w:lineRule="auto"/>
        <w:rPr>
          <w:sz w:val="20"/>
          <w:szCs w:val="20"/>
          <w:color w:val="auto"/>
        </w:rPr>
      </w:pPr>
      <w:r>
        <w:rPr>
          <w:rFonts w:ascii="Arial" w:cs="Arial" w:eastAsia="Arial" w:hAnsi="Arial"/>
          <w:sz w:val="22"/>
          <w:szCs w:val="22"/>
          <w:color w:val="auto"/>
        </w:rPr>
        <w:t>4.3.4 [****]. A [****] ([****]) in the [****] ([****]). The [****] set forth in the Purchase Agreement and in accordance with the terms and conditions of the Purchase Agreement for the [****].</w:t>
      </w:r>
    </w:p>
    <w:p>
      <w:pPr>
        <w:spacing w:after="0" w:line="43"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tab/>
        <w:t>If [****] of the following [****] Aircraft that is to be delivered by Boeing to Customer, [****] Aircraft [****],</w:t>
      </w:r>
    </w:p>
    <w:p>
      <w:pPr>
        <w:spacing w:after="0"/>
        <w:rPr>
          <w:sz w:val="20"/>
          <w:szCs w:val="20"/>
          <w:color w:val="auto"/>
        </w:rPr>
      </w:pPr>
      <w:r>
        <w:rPr>
          <w:rFonts w:ascii="Arial" w:cs="Arial" w:eastAsia="Arial" w:hAnsi="Arial"/>
          <w:sz w:val="22"/>
          <w:szCs w:val="22"/>
          <w:color w:val="auto"/>
        </w:rPr>
        <w:t>Boeing [****] ([****]) in the [****] ([****]):</w:t>
      </w:r>
    </w:p>
    <w:p>
      <w:pPr>
        <w:spacing w:after="0" w:line="78"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and</w:t>
      </w:r>
    </w:p>
    <w:p>
      <w:pPr>
        <w:spacing w:after="0" w:line="23" w:lineRule="exact"/>
        <w:rPr>
          <w:rFonts w:ascii="Arial" w:cs="Arial" w:eastAsia="Arial" w:hAnsi="Arial"/>
          <w:sz w:val="22"/>
          <w:szCs w:val="22"/>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and</w:t>
      </w:r>
    </w:p>
    <w:p>
      <w:pPr>
        <w:spacing w:after="0" w:line="3" w:lineRule="exact"/>
        <w:rPr>
          <w:rFonts w:ascii="Arial" w:cs="Arial" w:eastAsia="Arial" w:hAnsi="Arial"/>
          <w:sz w:val="22"/>
          <w:szCs w:val="22"/>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The [****] [****]).</w:t>
      </w:r>
    </w:p>
    <w:p>
      <w:pPr>
        <w:spacing w:after="0" w:line="71"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 [****] ([****]) in the [****] ([****]). Customer [****] for [****].</w:t>
      </w:r>
    </w:p>
    <w:p>
      <w:pPr>
        <w:spacing w:after="0" w:line="71" w:lineRule="exact"/>
        <w:rPr>
          <w:rFonts w:ascii="Arial" w:cs="Arial" w:eastAsia="Arial" w:hAnsi="Arial"/>
          <w:sz w:val="22"/>
          <w:szCs w:val="22"/>
          <w:color w:val="auto"/>
        </w:rPr>
      </w:pPr>
    </w:p>
    <w:p>
      <w:pPr>
        <w:ind w:left="640" w:hanging="632"/>
        <w:spacing w:after="0"/>
        <w:tabs>
          <w:tab w:leader="none" w:pos="6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rFonts w:ascii="Arial" w:cs="Arial" w:eastAsia="Arial" w:hAnsi="Arial"/>
          <w:sz w:val="22"/>
          <w:szCs w:val="22"/>
          <w:color w:val="auto"/>
        </w:rPr>
      </w:pPr>
    </w:p>
    <w:p>
      <w:pPr>
        <w:jc w:val="both"/>
        <w:ind w:left="1040" w:hanging="384"/>
        <w:spacing w:after="0" w:line="226" w:lineRule="auto"/>
        <w:tabs>
          <w:tab w:leader="none" w:pos="13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Unless otherwise noted above, [****] pursuant to Article 3, Article 4, and Article 5 above may, [****], be [****] (i) [****], or (ii) [****] ([****]). For the avoidance of doubt and notwithstanding the foregoing, the [****] described in Article 3.1.5, above, [****]. </w:t>
      </w:r>
      <w:r>
        <w:rPr>
          <w:rFonts w:ascii="Arial" w:cs="Arial" w:eastAsia="Arial" w:hAnsi="Arial"/>
          <w:sz w:val="22"/>
          <w:szCs w:val="22"/>
          <w:u w:val="single" w:color="auto"/>
          <w:color w:val="auto"/>
        </w:rPr>
        <w:t>Assignment.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The Credit Memoranda described in this Letter Agreement are provided as a financial accommodation to Customer and in consideration of Customer becoming the operator of the Aircraft. This Letter Agreement cannot be assigned, in whole or in part, without the prior written consent of Boeing.</w:t>
      </w:r>
    </w:p>
    <w:p>
      <w:pPr>
        <w:spacing w:after="0" w:line="38" w:lineRule="exact"/>
        <w:rPr>
          <w:sz w:val="20"/>
          <w:szCs w:val="20"/>
          <w:color w:val="auto"/>
        </w:rPr>
      </w:pPr>
    </w:p>
    <w:p>
      <w:pPr>
        <w:ind w:left="1040" w:hanging="384"/>
        <w:spacing w:after="0"/>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AAL-PA-03735-LA-2306975</w:t>
      </w:r>
      <w:r>
        <w:rPr>
          <w:rFonts w:ascii="Arial" w:cs="Arial" w:eastAsia="Arial" w:hAnsi="Arial"/>
          <w:sz w:val="22"/>
          <w:szCs w:val="22"/>
          <w:b w:val="1"/>
          <w:bCs w:val="1"/>
          <w:color w:val="auto"/>
        </w:rPr>
        <w:t>R3</w:t>
      </w:r>
      <w:r>
        <w:rPr>
          <w:sz w:val="20"/>
          <w:szCs w:val="20"/>
          <w:color w:val="auto"/>
        </w:rPr>
        <w:tab/>
      </w:r>
      <w:r>
        <w:rPr>
          <w:rFonts w:ascii="Arial" w:cs="Arial" w:eastAsia="Arial" w:hAnsi="Arial"/>
          <w:sz w:val="21"/>
          <w:szCs w:val="21"/>
          <w:color w:val="auto"/>
        </w:rPr>
        <w:t>SA-</w:t>
      </w:r>
      <w:r>
        <w:rPr>
          <w:rFonts w:ascii="Arial" w:cs="Arial" w:eastAsia="Arial" w:hAnsi="Arial"/>
          <w:sz w:val="21"/>
          <w:szCs w:val="21"/>
          <w:b w:val="1"/>
          <w:bCs w:val="1"/>
          <w:color w:val="auto"/>
        </w:rPr>
        <w:t>37</w:t>
      </w:r>
    </w:p>
    <w:p>
      <w:pPr>
        <w:spacing w:after="0" w:line="3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360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83"/>
        </w:trPr>
        <w:tc>
          <w:tcPr>
            <w:tcW w:w="5060" w:type="dxa"/>
            <w:vAlign w:val="bottom"/>
            <w:gridSpan w:val="2"/>
          </w:tcPr>
          <w:p>
            <w:pPr>
              <w:spacing w:after="0"/>
              <w:rPr>
                <w:sz w:val="20"/>
                <w:szCs w:val="20"/>
                <w:color w:val="auto"/>
              </w:rPr>
            </w:pPr>
            <w:r>
              <w:rPr>
                <w:rFonts w:ascii="Arial" w:cs="Arial" w:eastAsia="Arial" w:hAnsi="Arial"/>
                <w:sz w:val="22"/>
                <w:szCs w:val="22"/>
                <w:color w:val="auto"/>
              </w:rPr>
              <w:t>ACCEPTED AND AGREED TO this</w:t>
            </w: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608"/>
        </w:trPr>
        <w:tc>
          <w:tcPr>
            <w:tcW w:w="940" w:type="dxa"/>
            <w:vAlign w:val="bottom"/>
          </w:tcPr>
          <w:p>
            <w:pPr>
              <w:spacing w:after="0"/>
              <w:rPr>
                <w:sz w:val="20"/>
                <w:szCs w:val="20"/>
                <w:color w:val="auto"/>
              </w:rPr>
            </w:pPr>
            <w:r>
              <w:rPr>
                <w:rFonts w:ascii="Arial" w:cs="Arial" w:eastAsia="Arial" w:hAnsi="Arial"/>
                <w:sz w:val="22"/>
                <w:szCs w:val="22"/>
                <w:color w:val="auto"/>
              </w:rPr>
              <w:t>Date:</w:t>
            </w:r>
          </w:p>
        </w:tc>
        <w:tc>
          <w:tcPr>
            <w:tcW w:w="4120" w:type="dxa"/>
            <w:vAlign w:val="bottom"/>
          </w:tcPr>
          <w:p>
            <w:pPr>
              <w:ind w:left="20"/>
              <w:spacing w:after="0"/>
              <w:rPr>
                <w:sz w:val="20"/>
                <w:szCs w:val="20"/>
                <w:color w:val="auto"/>
              </w:rPr>
            </w:pPr>
            <w:r>
              <w:rPr>
                <w:rFonts w:ascii="Arial" w:cs="Arial" w:eastAsia="Arial" w:hAnsi="Arial"/>
                <w:sz w:val="22"/>
                <w:szCs w:val="22"/>
                <w:color w:val="auto"/>
              </w:rPr>
              <w:t>14 January 2026</w:t>
            </w: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6080" w:type="dxa"/>
            <w:vAlign w:val="bottom"/>
            <w:gridSpan w:val="2"/>
          </w:tcPr>
          <w:p>
            <w:pPr>
              <w:spacing w:after="0"/>
              <w:rPr>
                <w:sz w:val="2"/>
                <w:szCs w:val="2"/>
                <w:color w:val="auto"/>
              </w:rPr>
            </w:pPr>
          </w:p>
        </w:tc>
      </w:tr>
      <w:tr>
        <w:trPr>
          <w:trHeight w:val="561"/>
        </w:trPr>
        <w:tc>
          <w:tcPr>
            <w:tcW w:w="5060" w:type="dxa"/>
            <w:vAlign w:val="bottom"/>
            <w:gridSpan w:val="2"/>
          </w:tcPr>
          <w:p>
            <w:pPr>
              <w:spacing w:after="0"/>
              <w:rPr>
                <w:sz w:val="20"/>
                <w:szCs w:val="20"/>
                <w:color w:val="auto"/>
              </w:rPr>
            </w:pPr>
            <w:r>
              <w:rPr>
                <w:rFonts w:ascii="Arial" w:cs="Arial" w:eastAsia="Arial" w:hAnsi="Arial"/>
                <w:sz w:val="22"/>
                <w:szCs w:val="22"/>
                <w:color w:val="auto"/>
              </w:rPr>
              <w:t>AMERICAN AIRLINES, INC.</w:t>
            </w:r>
          </w:p>
        </w:tc>
        <w:tc>
          <w:tcPr>
            <w:tcW w:w="6080" w:type="dxa"/>
            <w:vAlign w:val="bottom"/>
            <w:gridSpan w:val="2"/>
          </w:tcPr>
          <w:p>
            <w:pPr>
              <w:ind w:left="440"/>
              <w:spacing w:after="0"/>
              <w:rPr>
                <w:sz w:val="20"/>
                <w:szCs w:val="20"/>
                <w:color w:val="auto"/>
              </w:rPr>
            </w:pPr>
            <w:r>
              <w:rPr>
                <w:rFonts w:ascii="Arial" w:cs="Arial" w:eastAsia="Arial" w:hAnsi="Arial"/>
                <w:sz w:val="22"/>
                <w:szCs w:val="22"/>
                <w:color w:val="auto"/>
              </w:rPr>
              <w:t>THE BOEING COMPANY</w:t>
            </w:r>
          </w:p>
        </w:tc>
      </w:tr>
      <w:tr>
        <w:trPr>
          <w:trHeight w:val="608"/>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20"/>
              <w:spacing w:after="0"/>
              <w:rPr>
                <w:sz w:val="20"/>
                <w:szCs w:val="20"/>
                <w:color w:val="auto"/>
              </w:rPr>
            </w:pPr>
            <w:r>
              <w:rPr>
                <w:rFonts w:ascii="Arial" w:cs="Arial" w:eastAsia="Arial" w:hAnsi="Arial"/>
                <w:sz w:val="22"/>
                <w:szCs w:val="22"/>
                <w:color w:val="auto"/>
              </w:rPr>
              <w:t>/s/ American Airlines, Inc.</w:t>
            </w:r>
          </w:p>
        </w:tc>
        <w:tc>
          <w:tcPr>
            <w:tcW w:w="1400" w:type="dxa"/>
            <w:vAlign w:val="bottom"/>
          </w:tcPr>
          <w:p>
            <w:pPr>
              <w:ind w:left="440"/>
              <w:spacing w:after="0"/>
              <w:rPr>
                <w:sz w:val="20"/>
                <w:szCs w:val="20"/>
                <w:color w:val="auto"/>
              </w:rPr>
            </w:pPr>
            <w:r>
              <w:rPr>
                <w:rFonts w:ascii="Arial" w:cs="Arial" w:eastAsia="Arial" w:hAnsi="Arial"/>
                <w:sz w:val="22"/>
                <w:szCs w:val="22"/>
                <w:color w:val="auto"/>
              </w:rPr>
              <w:t>By:</w:t>
            </w:r>
          </w:p>
        </w:tc>
        <w:tc>
          <w:tcPr>
            <w:tcW w:w="4680" w:type="dxa"/>
            <w:vAlign w:val="bottom"/>
          </w:tcPr>
          <w:p>
            <w:pPr>
              <w:ind w:left="20"/>
              <w:spacing w:after="0"/>
              <w:rPr>
                <w:sz w:val="20"/>
                <w:szCs w:val="20"/>
                <w:color w:val="auto"/>
              </w:rPr>
            </w:pPr>
            <w:r>
              <w:rPr>
                <w:rFonts w:ascii="Arial" w:cs="Arial" w:eastAsia="Arial" w:hAnsi="Arial"/>
                <w:sz w:val="22"/>
                <w:szCs w:val="22"/>
                <w:color w:val="auto"/>
              </w:rPr>
              <w:t>/s/ The Boeing Company</w:t>
            </w:r>
          </w:p>
        </w:tc>
      </w:tr>
      <w:tr>
        <w:trPr>
          <w:trHeight w:val="26"/>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56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4120" w:type="dxa"/>
            <w:vAlign w:val="bottom"/>
          </w:tcPr>
          <w:p>
            <w:pPr>
              <w:ind w:left="20"/>
              <w:spacing w:after="0"/>
              <w:rPr>
                <w:sz w:val="20"/>
                <w:szCs w:val="20"/>
                <w:color w:val="auto"/>
              </w:rPr>
            </w:pPr>
            <w:r>
              <w:rPr>
                <w:rFonts w:ascii="Arial" w:cs="Arial" w:eastAsia="Arial" w:hAnsi="Arial"/>
                <w:sz w:val="22"/>
                <w:szCs w:val="22"/>
                <w:color w:val="auto"/>
              </w:rPr>
              <w:t>American Airlines, Inc.</w:t>
            </w:r>
          </w:p>
        </w:tc>
        <w:tc>
          <w:tcPr>
            <w:tcW w:w="1400" w:type="dxa"/>
            <w:vAlign w:val="bottom"/>
          </w:tcPr>
          <w:p>
            <w:pPr>
              <w:ind w:left="440"/>
              <w:spacing w:after="0"/>
              <w:rPr>
                <w:sz w:val="20"/>
                <w:szCs w:val="20"/>
                <w:color w:val="auto"/>
              </w:rPr>
            </w:pPr>
            <w:r>
              <w:rPr>
                <w:rFonts w:ascii="Arial" w:cs="Arial" w:eastAsia="Arial" w:hAnsi="Arial"/>
                <w:sz w:val="22"/>
                <w:szCs w:val="22"/>
                <w:color w:val="auto"/>
              </w:rPr>
              <w:t>Name:</w:t>
            </w:r>
          </w:p>
        </w:tc>
        <w:tc>
          <w:tcPr>
            <w:tcW w:w="4680" w:type="dxa"/>
            <w:vAlign w:val="bottom"/>
          </w:tcPr>
          <w:p>
            <w:pPr>
              <w:ind w:left="20"/>
              <w:spacing w:after="0"/>
              <w:rPr>
                <w:sz w:val="20"/>
                <w:szCs w:val="20"/>
                <w:color w:val="auto"/>
              </w:rPr>
            </w:pPr>
            <w:r>
              <w:rPr>
                <w:rFonts w:ascii="Arial" w:cs="Arial" w:eastAsia="Arial" w:hAnsi="Arial"/>
                <w:sz w:val="22"/>
                <w:szCs w:val="22"/>
                <w:color w:val="auto"/>
              </w:rPr>
              <w:t>The Boeing Company</w:t>
            </w:r>
          </w:p>
        </w:tc>
      </w:tr>
      <w:tr>
        <w:trPr>
          <w:trHeight w:val="26"/>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561"/>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20"/>
              <w:spacing w:after="0"/>
              <w:rPr>
                <w:sz w:val="20"/>
                <w:szCs w:val="20"/>
                <w:color w:val="auto"/>
              </w:rPr>
            </w:pPr>
            <w:r>
              <w:rPr>
                <w:rFonts w:ascii="Arial" w:cs="Arial" w:eastAsia="Arial" w:hAnsi="Arial"/>
                <w:sz w:val="22"/>
                <w:szCs w:val="22"/>
                <w:color w:val="auto"/>
              </w:rPr>
              <w:t>VP, Financial Planning &amp; Analysis</w:t>
            </w:r>
          </w:p>
        </w:tc>
        <w:tc>
          <w:tcPr>
            <w:tcW w:w="1400" w:type="dxa"/>
            <w:vAlign w:val="bottom"/>
          </w:tcPr>
          <w:p>
            <w:pPr>
              <w:ind w:left="440"/>
              <w:spacing w:after="0"/>
              <w:rPr>
                <w:sz w:val="20"/>
                <w:szCs w:val="20"/>
                <w:color w:val="auto"/>
              </w:rPr>
            </w:pPr>
            <w:r>
              <w:rPr>
                <w:rFonts w:ascii="Arial" w:cs="Arial" w:eastAsia="Arial" w:hAnsi="Arial"/>
                <w:sz w:val="22"/>
                <w:szCs w:val="22"/>
                <w:color w:val="auto"/>
              </w:rPr>
              <w:t>Title:</w:t>
            </w:r>
          </w:p>
        </w:tc>
        <w:tc>
          <w:tcPr>
            <w:tcW w:w="4680" w:type="dxa"/>
            <w:vAlign w:val="bottom"/>
          </w:tcPr>
          <w:p>
            <w:pPr>
              <w:ind w:left="20"/>
              <w:spacing w:after="0"/>
              <w:rPr>
                <w:sz w:val="20"/>
                <w:szCs w:val="20"/>
                <w:color w:val="auto"/>
              </w:rPr>
            </w:pPr>
            <w:r>
              <w:rPr>
                <w:rFonts w:ascii="Arial" w:cs="Arial" w:eastAsia="Arial" w:hAnsi="Arial"/>
                <w:sz w:val="22"/>
                <w:szCs w:val="22"/>
                <w:color w:val="auto"/>
              </w:rPr>
              <w:t>Attorney-In-Fact</w:t>
            </w:r>
          </w:p>
        </w:tc>
      </w:tr>
      <w:tr>
        <w:trPr>
          <w:trHeight w:val="26"/>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40" w:type="dxa"/>
            <w:vAlign w:val="bottom"/>
          </w:tcPr>
          <w:p>
            <w:pPr>
              <w:spacing w:after="0"/>
              <w:rPr>
                <w:sz w:val="20"/>
                <w:szCs w:val="20"/>
                <w:color w:val="auto"/>
              </w:rPr>
            </w:pPr>
            <w:r>
              <w:rPr>
                <w:rFonts w:ascii="Arial" w:cs="Arial" w:eastAsia="Arial" w:hAnsi="Arial"/>
                <w:sz w:val="22"/>
                <w:szCs w:val="22"/>
                <w:color w:val="auto"/>
              </w:rPr>
              <w:t>AAL-PA-03735-LA-2306975</w:t>
            </w:r>
            <w:r>
              <w:rPr>
                <w:rFonts w:ascii="Arial" w:cs="Arial" w:eastAsia="Arial" w:hAnsi="Arial"/>
                <w:sz w:val="22"/>
                <w:szCs w:val="22"/>
                <w:b w:val="1"/>
                <w:bCs w:val="1"/>
                <w:color w:val="auto"/>
              </w:rPr>
              <w:t>R3</w:t>
            </w:r>
          </w:p>
        </w:tc>
        <w:tc>
          <w:tcPr>
            <w:tcW w:w="4480" w:type="dxa"/>
            <w:vAlign w:val="bottom"/>
          </w:tcPr>
          <w:p>
            <w:pPr>
              <w:ind w:left="1760"/>
              <w:spacing w:after="0"/>
              <w:rPr>
                <w:sz w:val="20"/>
                <w:szCs w:val="20"/>
                <w:color w:val="auto"/>
              </w:rPr>
            </w:pPr>
            <w:r>
              <w:rPr>
                <w:rFonts w:ascii="Arial" w:cs="Arial" w:eastAsia="Arial" w:hAnsi="Arial"/>
                <w:sz w:val="22"/>
                <w:szCs w:val="22"/>
                <w:color w:val="auto"/>
              </w:rPr>
              <w:t>SA-</w:t>
            </w:r>
            <w:r>
              <w:rPr>
                <w:rFonts w:ascii="Arial" w:cs="Arial" w:eastAsia="Arial" w:hAnsi="Arial"/>
                <w:sz w:val="22"/>
                <w:szCs w:val="22"/>
                <w:b w:val="1"/>
                <w:bCs w:val="1"/>
                <w:color w:val="auto"/>
              </w:rPr>
              <w:t>37</w:t>
            </w: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0"/>
                <w:szCs w:val="20"/>
                <w:color w:val="auto"/>
              </w:rPr>
            </w:pPr>
            <w:r>
              <w:rPr>
                <w:rFonts w:ascii="Arial" w:cs="Arial" w:eastAsia="Arial" w:hAnsi="Arial"/>
                <w:sz w:val="22"/>
                <w:szCs w:val="22"/>
                <w:color w:val="auto"/>
              </w:rPr>
              <w:t>[****]  Page 5</w:t>
            </w:r>
          </w:p>
        </w:tc>
        <w:tc>
          <w:tcPr>
            <w:tcW w:w="4480" w:type="dxa"/>
            <w:vAlign w:val="bottom"/>
            <w:vMerge w:val="restart"/>
          </w:tcPr>
          <w:p>
            <w:pPr>
              <w:ind w:left="280"/>
              <w:spacing w:after="0"/>
              <w:rPr>
                <w:sz w:val="20"/>
                <w:szCs w:val="20"/>
                <w:color w:val="auto"/>
              </w:rPr>
            </w:pPr>
            <w:r>
              <w:rPr>
                <w:rFonts w:ascii="Arial" w:cs="Arial" w:eastAsia="Arial" w:hAnsi="Arial"/>
                <w:sz w:val="22"/>
                <w:szCs w:val="22"/>
                <w:b w:val="1"/>
                <w:bCs w:val="1"/>
                <w:color w:val="auto"/>
                <w:w w:val="97"/>
              </w:rPr>
              <w:t>BOEING AND AMERICAN PROPRIETARY</w:t>
            </w:r>
          </w:p>
        </w:tc>
        <w:tc>
          <w:tcPr>
            <w:tcW w:w="0" w:type="dxa"/>
            <w:vAlign w:val="bottom"/>
          </w:tcPr>
          <w:p>
            <w:pPr>
              <w:spacing w:after="0"/>
              <w:rPr>
                <w:sz w:val="1"/>
                <w:szCs w:val="1"/>
                <w:color w:val="auto"/>
              </w:rPr>
            </w:pPr>
          </w:p>
        </w:tc>
      </w:tr>
      <w:tr>
        <w:trPr>
          <w:trHeight w:val="268"/>
        </w:trPr>
        <w:tc>
          <w:tcPr>
            <w:tcW w:w="3240" w:type="dxa"/>
            <w:vAlign w:val="bottom"/>
          </w:tcPr>
          <w:p>
            <w:pPr>
              <w:spacing w:after="0"/>
              <w:rPr>
                <w:sz w:val="23"/>
                <w:szCs w:val="23"/>
                <w:color w:val="auto"/>
              </w:rPr>
            </w:pPr>
          </w:p>
        </w:tc>
        <w:tc>
          <w:tcPr>
            <w:tcW w:w="4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440" w:right="419" w:bottom="1440" w:gutter="0" w:footer="0" w:header="0"/>
        </w:sectPr>
      </w:pPr>
    </w:p>
    <w:bookmarkStart w:id="84" w:name="page85"/>
    <w:bookmarkEnd w:id="84"/>
    <w:p>
      <w:pPr>
        <w:ind w:left="2840"/>
        <w:spacing w:after="0"/>
        <w:rPr>
          <w:sz w:val="20"/>
          <w:szCs w:val="20"/>
          <w:color w:val="auto"/>
        </w:rPr>
      </w:pPr>
      <w:r>
        <w:rPr>
          <w:rFonts w:ascii="Arial" w:cs="Arial" w:eastAsia="Arial" w:hAnsi="Arial"/>
          <w:sz w:val="14"/>
          <w:szCs w:val="14"/>
          <w:color w:val="auto"/>
        </w:rPr>
        <w:t>The Boeing Company 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560195" cy="3600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2"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P.O. Box 3707</w:t>
      </w:r>
    </w:p>
    <w:p>
      <w:pPr>
        <w:spacing w:after="0" w:line="55"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Seattle, WA 98124 2207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AAL-PA-03735-LA-2306974R1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3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45" w:lineRule="exact"/>
        <w:rPr>
          <w:sz w:val="20"/>
          <w:szCs w:val="20"/>
          <w:color w:val="auto"/>
        </w:rPr>
      </w:pPr>
    </w:p>
    <w:p>
      <w:pPr>
        <w:ind w:left="1300" w:hanging="1295"/>
        <w:spacing w:after="0" w:line="285"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737-10 MAX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371"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will have the same meaning as in the Purchase Agreement.</w:t>
      </w:r>
    </w:p>
    <w:p>
      <w:pPr>
        <w:spacing w:after="0" w:line="4" w:lineRule="exact"/>
        <w:rPr>
          <w:sz w:val="20"/>
          <w:szCs w:val="20"/>
          <w:color w:val="auto"/>
        </w:rPr>
      </w:pPr>
    </w:p>
    <w:p>
      <w:pPr>
        <w:ind w:left="1040" w:hanging="1032"/>
        <w:spacing w:after="0"/>
        <w:tabs>
          <w:tab w:leader="none" w:pos="10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204" w:lineRule="exact"/>
        <w:rPr>
          <w:sz w:val="20"/>
          <w:szCs w:val="20"/>
          <w:color w:val="auto"/>
        </w:rPr>
      </w:pPr>
    </w:p>
    <w:p>
      <w:pPr>
        <w:ind w:firstLine="648"/>
        <w:spacing w:after="0" w:line="273" w:lineRule="auto"/>
        <w:rPr>
          <w:sz w:val="20"/>
          <w:szCs w:val="20"/>
          <w:color w:val="auto"/>
        </w:rPr>
      </w:pPr>
      <w:r>
        <w:rPr>
          <w:rFonts w:ascii="Arial" w:cs="Arial" w:eastAsia="Arial" w:hAnsi="Arial"/>
          <w:sz w:val="22"/>
          <w:szCs w:val="22"/>
          <w:b w:val="1"/>
          <w:bCs w:val="1"/>
          <w:color w:val="auto"/>
        </w:rPr>
        <w:t xml:space="preserve">Airframe </w:t>
      </w:r>
      <w:r>
        <w:rPr>
          <w:rFonts w:ascii="Times New Roman" w:cs="Times New Roman" w:eastAsia="Times New Roman" w:hAnsi="Times New Roman"/>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airframe</w:t>
      </w:r>
      <w:r>
        <w:rPr>
          <w:rFonts w:ascii="Arial" w:cs="Arial" w:eastAsia="Arial" w:hAnsi="Arial"/>
          <w:sz w:val="22"/>
          <w:szCs w:val="22"/>
          <w:b w:val="1"/>
          <w:bCs w:val="1"/>
          <w:color w:val="auto"/>
        </w:rPr>
        <w:t xml:space="preserve"> </w:t>
      </w:r>
      <w:r>
        <w:rPr>
          <w:rFonts w:ascii="Times New Roman" w:cs="Times New Roman" w:eastAsia="Times New Roman" w:hAnsi="Times New Roman"/>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Purchase Agreement and subject to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of the Purchase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the [****] and [****].</w:t>
      </w:r>
    </w:p>
    <w:p>
      <w:pPr>
        <w:spacing w:after="0" w:line="21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in</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and</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that is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in accordance to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set forth in</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Purchase Agreement where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such as, but not limited to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from Boeing to Customer in accordance with Article 3 of this Letter Agreement.</w:t>
      </w:r>
    </w:p>
    <w:p>
      <w:pPr>
        <w:spacing w:after="0" w:line="24" w:lineRule="exact"/>
        <w:rPr>
          <w:sz w:val="20"/>
          <w:szCs w:val="20"/>
          <w:color w:val="auto"/>
        </w:rPr>
      </w:pPr>
    </w:p>
    <w:p>
      <w:pPr>
        <w:ind w:firstLine="389"/>
        <w:spacing w:after="0" w:line="251" w:lineRule="auto"/>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for a</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in accordance with the terms and conditions of the Purchase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Agreement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are defined in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to the Purchase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will have the meaning specified in Letter Agreement Number AAL-PA-03735-LA-1106651R14 relating to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 each</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as defined in Letter Agreement No. AAL-PA-03735-LA-2306978 entitled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 for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a</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listed under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column as set forth in Attachment B</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to this Letter Agreement.</w:t>
      </w: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84" w:right="339" w:bottom="1440" w:gutter="0" w:footer="0" w:header="0"/>
        </w:sectPr>
      </w:pPr>
    </w:p>
    <w:bookmarkStart w:id="85" w:name="page86"/>
    <w:bookmarkEnd w:id="85"/>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means, for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a</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listed under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as set forth in Attachment B to this</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Letter Agreement.</w:t>
      </w:r>
    </w:p>
    <w:p>
      <w:pPr>
        <w:spacing w:after="0" w:line="22" w:lineRule="exact"/>
        <w:rPr>
          <w:sz w:val="20"/>
          <w:szCs w:val="20"/>
          <w:color w:val="auto"/>
        </w:rPr>
      </w:pPr>
    </w:p>
    <w:p>
      <w:pPr>
        <w:ind w:left="1040" w:hanging="384"/>
        <w:spacing w:after="0"/>
        <w:tabs>
          <w:tab w:leader="none" w:pos="10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Applicability.</w:t>
      </w:r>
    </w:p>
    <w:p>
      <w:pPr>
        <w:spacing w:after="0" w:line="205" w:lineRule="exact"/>
        <w:rPr>
          <w:sz w:val="20"/>
          <w:szCs w:val="20"/>
          <w:color w:val="auto"/>
        </w:rPr>
      </w:pPr>
    </w:p>
    <w:p>
      <w:pPr>
        <w:ind w:firstLine="648"/>
        <w:spacing w:after="0" w:line="284" w:lineRule="auto"/>
        <w:rPr>
          <w:sz w:val="20"/>
          <w:szCs w:val="20"/>
          <w:color w:val="auto"/>
        </w:rPr>
      </w:pPr>
      <w:r>
        <w:rPr>
          <w:rFonts w:ascii="Arial" w:cs="Arial" w:eastAsia="Arial" w:hAnsi="Arial"/>
          <w:sz w:val="22"/>
          <w:szCs w:val="22"/>
          <w:color w:val="auto"/>
        </w:rPr>
        <w:t xml:space="preserve">Notwithstanding any other provision of the Purchase Agreement,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for each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with a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during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will be determined in accordance with this Letter Agreement.</w:t>
      </w:r>
    </w:p>
    <w:p>
      <w:pPr>
        <w:spacing w:after="0" w:line="34"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w:t>
      </w:r>
      <w:r>
        <w:rPr>
          <w:rFonts w:ascii="Arial" w:cs="Arial" w:eastAsia="Arial" w:hAnsi="Arial"/>
          <w:sz w:val="22"/>
          <w:szCs w:val="22"/>
          <w:u w:val="single" w:color="auto"/>
          <w:color w:val="auto"/>
        </w:rPr>
        <w:t>.</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 xml:space="preserve">3.1 Boeing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and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to Customer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for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as set forth in Attachment A to this Letter Agreement.</w:t>
      </w:r>
    </w:p>
    <w:p>
      <w:pPr>
        <w:spacing w:after="0" w:line="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3.2 If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that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will be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for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of a </w:t>
      </w:r>
      <w:r>
        <w:rPr>
          <w:rFonts w:ascii="Times New Roman" w:cs="Times New Roman" w:eastAsia="Times New Roman" w:hAnsi="Times New Roman"/>
          <w:sz w:val="22"/>
          <w:szCs w:val="22"/>
          <w:color w:val="auto"/>
        </w:rPr>
        <w:t>[****]</w:t>
      </w:r>
      <w:r>
        <w:rPr>
          <w:rFonts w:ascii="Arial" w:cs="Arial" w:eastAsia="Arial" w:hAnsi="Arial"/>
          <w:sz w:val="22"/>
          <w:szCs w:val="22"/>
          <w:color w:val="auto"/>
        </w:rPr>
        <w:t>t (an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then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Customer with an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accordance with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listed in Attachment A to this Letter Agreement.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will, in </w:t>
      </w:r>
      <w:r>
        <w:rPr>
          <w:rFonts w:ascii="Times New Roman" w:cs="Times New Roman" w:eastAsia="Times New Roman" w:hAnsi="Times New Roman"/>
          <w:sz w:val="22"/>
          <w:szCs w:val="22"/>
          <w:color w:val="auto"/>
        </w:rPr>
        <w:t>[****]</w:t>
      </w:r>
      <w:r>
        <w:rPr>
          <w:rFonts w:ascii="Arial" w:cs="Arial" w:eastAsia="Arial" w:hAnsi="Arial"/>
          <w:sz w:val="22"/>
          <w:szCs w:val="22"/>
          <w:color w:val="auto"/>
        </w:rPr>
        <w:t>, either:</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3.2.1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that Boeing will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for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lieu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22"/>
          <w:szCs w:val="22"/>
          <w:color w:val="auto"/>
        </w:rPr>
        <w:t>; or</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3.2.2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Customer with the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111" w:lineRule="exact"/>
        <w:rPr>
          <w:sz w:val="20"/>
          <w:szCs w:val="20"/>
          <w:color w:val="auto"/>
        </w:rPr>
      </w:pPr>
    </w:p>
    <w:p>
      <w:pPr>
        <w:ind w:left="1940" w:hanging="312"/>
        <w:spacing w:after="0"/>
        <w:tabs>
          <w:tab w:leader="none" w:pos="1940"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2"/>
          <w:szCs w:val="22"/>
          <w:color w:val="auto"/>
        </w:rPr>
        <w:t>[****]</w:t>
      </w:r>
      <w:r>
        <w:rPr>
          <w:rFonts w:ascii="Arial" w:cs="Arial" w:eastAsia="Arial" w:hAnsi="Arial"/>
          <w:sz w:val="22"/>
          <w:szCs w:val="22"/>
          <w:color w:val="auto"/>
        </w:rPr>
        <w:t>; or</w:t>
      </w:r>
    </w:p>
    <w:p>
      <w:pPr>
        <w:spacing w:after="0" w:line="124" w:lineRule="exact"/>
        <w:rPr>
          <w:rFonts w:ascii="Arial" w:cs="Arial" w:eastAsia="Arial" w:hAnsi="Arial"/>
          <w:sz w:val="22"/>
          <w:szCs w:val="22"/>
          <w:color w:val="auto"/>
        </w:rPr>
      </w:pPr>
    </w:p>
    <w:p>
      <w:pPr>
        <w:ind w:left="1940" w:hanging="312"/>
        <w:spacing w:after="0"/>
        <w:tabs>
          <w:tab w:leader="none" w:pos="1940"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3.3 If Boeing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Customer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described in Article 3.2.2 above, then Customer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Boeing in </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of its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3.3.1 If Customer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described in Article 3.2.2(ii) above, then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from the </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r>
        <w:rPr>
          <w:rFonts w:ascii="Arial" w:cs="Arial" w:eastAsia="Arial" w:hAnsi="Arial"/>
          <w:sz w:val="22"/>
          <w:szCs w:val="22"/>
          <w:color w:val="auto"/>
        </w:rPr>
        <w:t>). If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 an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then</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w:t>
      </w:r>
      <w:r>
        <w:rPr>
          <w:rFonts w:ascii="Times New Roman" w:cs="Times New Roman" w:eastAsia="Times New Roman" w:hAnsi="Times New Roman"/>
          <w:sz w:val="22"/>
          <w:szCs w:val="22"/>
          <w:color w:val="auto"/>
        </w:rPr>
        <w:t>[****]</w:t>
      </w:r>
      <w:r>
        <w:rPr>
          <w:rFonts w:ascii="Arial" w:cs="Arial" w:eastAsia="Arial" w:hAnsi="Arial"/>
          <w:sz w:val="22"/>
          <w:szCs w:val="22"/>
          <w:color w:val="auto"/>
        </w:rPr>
        <w:t>). If</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in accordance with this</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Article 3.3.1 (</w:t>
      </w:r>
      <w:r>
        <w:rPr>
          <w:rFonts w:ascii="Times New Roman" w:cs="Times New Roman" w:eastAsia="Times New Roman" w:hAnsi="Times New Roman"/>
          <w:sz w:val="22"/>
          <w:szCs w:val="22"/>
          <w:color w:val="auto"/>
        </w:rPr>
        <w:t>[****]</w:t>
      </w:r>
      <w:r>
        <w:rPr>
          <w:rFonts w:ascii="Arial" w:cs="Arial" w:eastAsia="Arial" w:hAnsi="Arial"/>
          <w:sz w:val="22"/>
          <w:szCs w:val="22"/>
          <w:color w:val="auto"/>
        </w:rPr>
        <w:t>), then:</w:t>
      </w:r>
    </w:p>
    <w:p>
      <w:pPr>
        <w:spacing w:after="0" w:line="56" w:lineRule="exact"/>
        <w:rPr>
          <w:sz w:val="20"/>
          <w:szCs w:val="20"/>
          <w:color w:val="auto"/>
        </w:rPr>
      </w:pPr>
    </w:p>
    <w:p>
      <w:pPr>
        <w:jc w:val="right"/>
        <w:ind w:left="1300" w:right="8660" w:firstLine="328"/>
        <w:spacing w:after="0" w:line="360" w:lineRule="auto"/>
        <w:tabs>
          <w:tab w:leader="none" w:pos="1937" w:val="left"/>
        </w:tabs>
        <w:numPr>
          <w:ilvl w:val="0"/>
          <w:numId w:val="70"/>
        </w:numPr>
        <w:rPr>
          <w:rFonts w:ascii="Arial" w:cs="Arial" w:eastAsia="Arial" w:hAnsi="Arial"/>
          <w:sz w:val="21"/>
          <w:szCs w:val="21"/>
          <w:color w:val="auto"/>
        </w:rPr>
      </w:pPr>
      <w:r>
        <w:rPr>
          <w:rFonts w:ascii="Times New Roman" w:cs="Times New Roman" w:eastAsia="Times New Roman" w:hAnsi="Times New Roman"/>
          <w:sz w:val="21"/>
          <w:szCs w:val="21"/>
          <w:color w:val="auto"/>
        </w:rPr>
        <w:t>[****]</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 xml:space="preserve">3.3.2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1"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1"/>
          <w:szCs w:val="21"/>
          <w:color w:val="auto"/>
        </w:rPr>
        <w:t xml:space="preserve">3.3.3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under Section 3.3.1 of this Letter Agreement, and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in accordance with Article 3.2.2(i)</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above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103" w:lineRule="exact"/>
        <w:rPr>
          <w:sz w:val="20"/>
          <w:szCs w:val="20"/>
          <w:color w:val="auto"/>
        </w:rPr>
      </w:pPr>
    </w:p>
    <w:p>
      <w:pPr>
        <w:ind w:right="20" w:firstLine="648"/>
        <w:spacing w:after="0" w:line="272" w:lineRule="auto"/>
        <w:rPr>
          <w:sz w:val="20"/>
          <w:szCs w:val="20"/>
          <w:color w:val="auto"/>
        </w:rPr>
      </w:pPr>
      <w:r>
        <w:rPr>
          <w:rFonts w:ascii="Arial" w:cs="Arial" w:eastAsia="Arial" w:hAnsi="Arial"/>
          <w:sz w:val="22"/>
          <w:szCs w:val="22"/>
          <w:color w:val="auto"/>
        </w:rPr>
        <w:t xml:space="preserve">3.4 If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that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for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of a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then an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at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with Article 4 of this Letter Agreement.</w:t>
      </w:r>
    </w:p>
    <w:p>
      <w:pPr>
        <w:spacing w:after="0" w:line="47"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w:t>
      </w:r>
      <w:r>
        <w:rPr>
          <w:rFonts w:ascii="Arial" w:cs="Arial" w:eastAsia="Arial" w:hAnsi="Arial"/>
          <w:sz w:val="22"/>
          <w:szCs w:val="22"/>
          <w:u w:val="single" w:color="auto"/>
          <w:color w:val="auto"/>
        </w:rPr>
        <w:t>.</w:t>
      </w:r>
    </w:p>
    <w:p>
      <w:pPr>
        <w:spacing w:after="0" w:line="21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If an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to Article 3.4 of this Letter Agreement, then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as follows:</w:t>
      </w:r>
    </w:p>
    <w:p>
      <w:pPr>
        <w:spacing w:after="0" w:line="11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4.1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as follows:</w:t>
      </w:r>
    </w:p>
    <w:p>
      <w:pPr>
        <w:spacing w:after="0" w:line="11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4.1.1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124"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4.1.2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AAL-PA-03735-LA-2306974R1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86" w:name="page87"/>
    <w:bookmarkEnd w:id="86"/>
    <w:p>
      <w:pPr>
        <w:spacing w:after="0" w:line="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Times New Roman" w:cs="Times New Roman" w:eastAsia="Times New Roman" w:hAnsi="Times New Roman"/>
          <w:sz w:val="21"/>
          <w:szCs w:val="21"/>
          <w:color w:val="auto"/>
        </w:rPr>
        <w:t>[****]</w:t>
      </w:r>
      <w:r>
        <w:rPr>
          <w:rFonts w:ascii="Arial" w:cs="Arial" w:eastAsia="Arial" w:hAnsi="Arial"/>
          <w:sz w:val="21"/>
          <w:szCs w:val="21"/>
          <w:color w:val="auto"/>
        </w:rPr>
        <w:t>. If the</w:t>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w:t>
      </w:r>
    </w:p>
    <w:p>
      <w:pPr>
        <w:spacing w:after="0" w:line="112"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w:t>
      </w:r>
      <w:r>
        <w:rPr>
          <w:rFonts w:ascii="Arial" w:cs="Arial" w:eastAsia="Arial" w:hAnsi="Arial"/>
          <w:sz w:val="22"/>
          <w:szCs w:val="22"/>
          <w:u w:val="single" w:color="auto"/>
          <w:color w:val="auto"/>
        </w:rPr>
        <w:t>.</w:t>
      </w:r>
    </w:p>
    <w:p>
      <w:pPr>
        <w:spacing w:after="0" w:line="219" w:lineRule="exact"/>
        <w:rPr>
          <w:sz w:val="20"/>
          <w:szCs w:val="20"/>
          <w:color w:val="auto"/>
        </w:rPr>
      </w:pPr>
    </w:p>
    <w:p>
      <w:pPr>
        <w:ind w:firstLine="648"/>
        <w:spacing w:after="0" w:line="284" w:lineRule="auto"/>
        <w:rPr>
          <w:sz w:val="20"/>
          <w:szCs w:val="20"/>
          <w:color w:val="auto"/>
        </w:rPr>
      </w:pPr>
      <w:r>
        <w:rPr>
          <w:rFonts w:ascii="Arial" w:cs="Arial" w:eastAsia="Arial" w:hAnsi="Arial"/>
          <w:sz w:val="22"/>
          <w:szCs w:val="22"/>
          <w:color w:val="auto"/>
        </w:rPr>
        <w:t xml:space="preserve">If any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terms and conditions set forth in the Purchase Agreement and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per the terms of the Purchase Agreement, then the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34"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w:t>
      </w:r>
      <w:r>
        <w:rPr>
          <w:rFonts w:ascii="Arial" w:cs="Arial" w:eastAsia="Arial" w:hAnsi="Arial"/>
          <w:sz w:val="22"/>
          <w:szCs w:val="22"/>
          <w:u w:val="single" w:color="auto"/>
          <w:color w:val="auto"/>
        </w:rPr>
        <w:t>.</w:t>
      </w:r>
    </w:p>
    <w:p>
      <w:pPr>
        <w:spacing w:after="0" w:line="219" w:lineRule="exact"/>
        <w:rPr>
          <w:sz w:val="20"/>
          <w:szCs w:val="20"/>
          <w:color w:val="auto"/>
        </w:rPr>
      </w:pPr>
    </w:p>
    <w:p>
      <w:pPr>
        <w:ind w:right="20" w:firstLine="648"/>
        <w:spacing w:after="0" w:line="271" w:lineRule="auto"/>
        <w:rPr>
          <w:sz w:val="20"/>
          <w:szCs w:val="20"/>
          <w:color w:val="auto"/>
        </w:rPr>
      </w:pPr>
      <w:r>
        <w:rPr>
          <w:rFonts w:ascii="Arial" w:cs="Arial" w:eastAsia="Arial" w:hAnsi="Arial"/>
          <w:sz w:val="22"/>
          <w:szCs w:val="22"/>
          <w:color w:val="auto"/>
        </w:rPr>
        <w:t xml:space="preserve">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the Purchase Agreement as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will, subject to the terms and conditions of the Purchase Agreement, be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2" w:lineRule="exact"/>
        <w:rPr>
          <w:sz w:val="20"/>
          <w:szCs w:val="20"/>
          <w:color w:val="auto"/>
        </w:rPr>
      </w:pPr>
    </w:p>
    <w:p>
      <w:pPr>
        <w:ind w:left="640" w:hanging="616"/>
        <w:spacing w:after="0"/>
        <w:tabs>
          <w:tab w:leader="none" w:pos="6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Assignment.</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pacing w:after="0" w:line="29" w:lineRule="exact"/>
        <w:rPr>
          <w:sz w:val="20"/>
          <w:szCs w:val="20"/>
          <w:color w:val="auto"/>
        </w:rPr>
      </w:pPr>
    </w:p>
    <w:p>
      <w:pPr>
        <w:ind w:left="1040" w:hanging="384"/>
        <w:spacing w:after="0"/>
        <w:tabs>
          <w:tab w:leader="none" w:pos="10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“Confidentiality”.</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 this</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940" w:type="dxa"/>
            <w:vAlign w:val="bottom"/>
          </w:tcPr>
          <w:p>
            <w:pPr>
              <w:spacing w:after="0"/>
              <w:rPr>
                <w:sz w:val="20"/>
                <w:szCs w:val="20"/>
                <w:color w:val="auto"/>
              </w:rPr>
            </w:pPr>
            <w:r>
              <w:rPr>
                <w:rFonts w:ascii="Arial" w:cs="Arial" w:eastAsia="Arial" w:hAnsi="Arial"/>
                <w:sz w:val="22"/>
                <w:szCs w:val="22"/>
                <w:color w:val="auto"/>
              </w:rPr>
              <w:t>Date:</w:t>
            </w:r>
          </w:p>
        </w:tc>
        <w:tc>
          <w:tcPr>
            <w:tcW w:w="4120" w:type="dxa"/>
            <w:vAlign w:val="bottom"/>
          </w:tcPr>
          <w:p>
            <w:pPr>
              <w:ind w:left="20"/>
              <w:spacing w:after="0"/>
              <w:rPr>
                <w:sz w:val="20"/>
                <w:szCs w:val="20"/>
                <w:color w:val="auto"/>
              </w:rPr>
            </w:pPr>
            <w:r>
              <w:rPr>
                <w:rFonts w:ascii="Arial" w:cs="Arial" w:eastAsia="Arial" w:hAnsi="Arial"/>
                <w:sz w:val="22"/>
                <w:szCs w:val="22"/>
                <w:color w:val="auto"/>
              </w:rPr>
              <w:t>14 January 2026</w:t>
            </w: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6"/>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6080" w:type="dxa"/>
            <w:vAlign w:val="bottom"/>
            <w:gridSpan w:val="2"/>
          </w:tcPr>
          <w:p>
            <w:pPr>
              <w:spacing w:after="0"/>
              <w:rPr>
                <w:sz w:val="2"/>
                <w:szCs w:val="2"/>
                <w:color w:val="auto"/>
              </w:rPr>
            </w:pPr>
          </w:p>
        </w:tc>
      </w:tr>
      <w:tr>
        <w:trPr>
          <w:trHeight w:val="561"/>
        </w:trPr>
        <w:tc>
          <w:tcPr>
            <w:tcW w:w="5060" w:type="dxa"/>
            <w:vAlign w:val="bottom"/>
            <w:gridSpan w:val="2"/>
          </w:tcPr>
          <w:p>
            <w:pPr>
              <w:spacing w:after="0"/>
              <w:rPr>
                <w:sz w:val="20"/>
                <w:szCs w:val="20"/>
                <w:color w:val="auto"/>
              </w:rPr>
            </w:pPr>
            <w:r>
              <w:rPr>
                <w:rFonts w:ascii="Arial" w:cs="Arial" w:eastAsia="Arial" w:hAnsi="Arial"/>
                <w:sz w:val="22"/>
                <w:szCs w:val="22"/>
                <w:color w:val="auto"/>
              </w:rPr>
              <w:t>AMERICAN AIRLINES, INC.</w:t>
            </w:r>
          </w:p>
        </w:tc>
        <w:tc>
          <w:tcPr>
            <w:tcW w:w="6080" w:type="dxa"/>
            <w:vAlign w:val="bottom"/>
            <w:gridSpan w:val="2"/>
          </w:tcPr>
          <w:p>
            <w:pPr>
              <w:ind w:left="440"/>
              <w:spacing w:after="0"/>
              <w:rPr>
                <w:sz w:val="20"/>
                <w:szCs w:val="20"/>
                <w:color w:val="auto"/>
              </w:rPr>
            </w:pPr>
            <w:r>
              <w:rPr>
                <w:rFonts w:ascii="Arial" w:cs="Arial" w:eastAsia="Arial" w:hAnsi="Arial"/>
                <w:sz w:val="22"/>
                <w:szCs w:val="22"/>
                <w:color w:val="auto"/>
              </w:rPr>
              <w:t>THE BOEING COMPANY</w:t>
            </w:r>
          </w:p>
        </w:tc>
      </w:tr>
      <w:tr>
        <w:trPr>
          <w:trHeight w:val="607"/>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120" w:type="dxa"/>
            <w:vAlign w:val="bottom"/>
          </w:tcPr>
          <w:p>
            <w:pPr>
              <w:ind w:left="20"/>
              <w:spacing w:after="0"/>
              <w:rPr>
                <w:sz w:val="20"/>
                <w:szCs w:val="20"/>
                <w:color w:val="auto"/>
              </w:rPr>
            </w:pPr>
            <w:r>
              <w:rPr>
                <w:rFonts w:ascii="Arial" w:cs="Arial" w:eastAsia="Arial" w:hAnsi="Arial"/>
                <w:sz w:val="22"/>
                <w:szCs w:val="22"/>
                <w:color w:val="auto"/>
              </w:rPr>
              <w:t>/s/ American Airlines, Inc.</w:t>
            </w:r>
          </w:p>
        </w:tc>
        <w:tc>
          <w:tcPr>
            <w:tcW w:w="1400" w:type="dxa"/>
            <w:vAlign w:val="bottom"/>
          </w:tcPr>
          <w:p>
            <w:pPr>
              <w:ind w:left="440"/>
              <w:spacing w:after="0"/>
              <w:rPr>
                <w:sz w:val="20"/>
                <w:szCs w:val="20"/>
                <w:color w:val="auto"/>
              </w:rPr>
            </w:pPr>
            <w:r>
              <w:rPr>
                <w:rFonts w:ascii="Arial" w:cs="Arial" w:eastAsia="Arial" w:hAnsi="Arial"/>
                <w:sz w:val="22"/>
                <w:szCs w:val="22"/>
                <w:color w:val="auto"/>
              </w:rPr>
              <w:t>By:</w:t>
            </w:r>
          </w:p>
        </w:tc>
        <w:tc>
          <w:tcPr>
            <w:tcW w:w="4680" w:type="dxa"/>
            <w:vAlign w:val="bottom"/>
          </w:tcPr>
          <w:p>
            <w:pPr>
              <w:ind w:left="20"/>
              <w:spacing w:after="0"/>
              <w:rPr>
                <w:sz w:val="20"/>
                <w:szCs w:val="20"/>
                <w:color w:val="auto"/>
              </w:rPr>
            </w:pPr>
            <w:r>
              <w:rPr>
                <w:rFonts w:ascii="Arial" w:cs="Arial" w:eastAsia="Arial" w:hAnsi="Arial"/>
                <w:sz w:val="22"/>
                <w:szCs w:val="22"/>
                <w:color w:val="auto"/>
              </w:rPr>
              <w:t>/s/ The Boeing Company</w:t>
            </w: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561"/>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4120" w:type="dxa"/>
            <w:vAlign w:val="bottom"/>
          </w:tcPr>
          <w:p>
            <w:pPr>
              <w:ind w:left="20"/>
              <w:spacing w:after="0"/>
              <w:rPr>
                <w:sz w:val="20"/>
                <w:szCs w:val="20"/>
                <w:color w:val="auto"/>
              </w:rPr>
            </w:pPr>
            <w:r>
              <w:rPr>
                <w:rFonts w:ascii="Arial" w:cs="Arial" w:eastAsia="Arial" w:hAnsi="Arial"/>
                <w:sz w:val="22"/>
                <w:szCs w:val="22"/>
                <w:color w:val="auto"/>
              </w:rPr>
              <w:t>American Airlines, Inc.</w:t>
            </w:r>
          </w:p>
        </w:tc>
        <w:tc>
          <w:tcPr>
            <w:tcW w:w="1400" w:type="dxa"/>
            <w:vAlign w:val="bottom"/>
          </w:tcPr>
          <w:p>
            <w:pPr>
              <w:ind w:left="440"/>
              <w:spacing w:after="0"/>
              <w:rPr>
                <w:sz w:val="20"/>
                <w:szCs w:val="20"/>
                <w:color w:val="auto"/>
              </w:rPr>
            </w:pPr>
            <w:r>
              <w:rPr>
                <w:rFonts w:ascii="Arial" w:cs="Arial" w:eastAsia="Arial" w:hAnsi="Arial"/>
                <w:sz w:val="22"/>
                <w:szCs w:val="22"/>
                <w:color w:val="auto"/>
              </w:rPr>
              <w:t>Name:</w:t>
            </w:r>
          </w:p>
        </w:tc>
        <w:tc>
          <w:tcPr>
            <w:tcW w:w="4680" w:type="dxa"/>
            <w:vAlign w:val="bottom"/>
          </w:tcPr>
          <w:p>
            <w:pPr>
              <w:ind w:left="20"/>
              <w:spacing w:after="0"/>
              <w:rPr>
                <w:sz w:val="20"/>
                <w:szCs w:val="20"/>
                <w:color w:val="auto"/>
              </w:rPr>
            </w:pPr>
            <w:r>
              <w:rPr>
                <w:rFonts w:ascii="Arial" w:cs="Arial" w:eastAsia="Arial" w:hAnsi="Arial"/>
                <w:sz w:val="22"/>
                <w:szCs w:val="22"/>
                <w:color w:val="auto"/>
              </w:rPr>
              <w:t>The Boeing Company</w:t>
            </w: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561"/>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120" w:type="dxa"/>
            <w:vAlign w:val="bottom"/>
          </w:tcPr>
          <w:p>
            <w:pPr>
              <w:ind w:left="20"/>
              <w:spacing w:after="0"/>
              <w:rPr>
                <w:sz w:val="20"/>
                <w:szCs w:val="20"/>
                <w:color w:val="auto"/>
              </w:rPr>
            </w:pPr>
            <w:r>
              <w:rPr>
                <w:rFonts w:ascii="Arial" w:cs="Arial" w:eastAsia="Arial" w:hAnsi="Arial"/>
                <w:sz w:val="22"/>
                <w:szCs w:val="22"/>
                <w:color w:val="auto"/>
              </w:rPr>
              <w:t>VP, Financial Planning &amp; Analysis</w:t>
            </w:r>
          </w:p>
        </w:tc>
        <w:tc>
          <w:tcPr>
            <w:tcW w:w="1400" w:type="dxa"/>
            <w:vAlign w:val="bottom"/>
          </w:tcPr>
          <w:p>
            <w:pPr>
              <w:ind w:left="440"/>
              <w:spacing w:after="0"/>
              <w:rPr>
                <w:sz w:val="20"/>
                <w:szCs w:val="20"/>
                <w:color w:val="auto"/>
              </w:rPr>
            </w:pPr>
            <w:r>
              <w:rPr>
                <w:rFonts w:ascii="Arial" w:cs="Arial" w:eastAsia="Arial" w:hAnsi="Arial"/>
                <w:sz w:val="22"/>
                <w:szCs w:val="22"/>
                <w:color w:val="auto"/>
              </w:rPr>
              <w:t>Title:</w:t>
            </w:r>
          </w:p>
        </w:tc>
        <w:tc>
          <w:tcPr>
            <w:tcW w:w="4680" w:type="dxa"/>
            <w:vAlign w:val="bottom"/>
          </w:tcPr>
          <w:p>
            <w:pPr>
              <w:ind w:left="20"/>
              <w:spacing w:after="0"/>
              <w:rPr>
                <w:sz w:val="20"/>
                <w:szCs w:val="20"/>
                <w:color w:val="auto"/>
              </w:rPr>
            </w:pPr>
            <w:r>
              <w:rPr>
                <w:rFonts w:ascii="Arial" w:cs="Arial" w:eastAsia="Arial" w:hAnsi="Arial"/>
                <w:sz w:val="22"/>
                <w:szCs w:val="22"/>
                <w:color w:val="auto"/>
              </w:rPr>
              <w:t>Attorney-In-Fact</w:t>
            </w:r>
          </w:p>
        </w:tc>
      </w:tr>
      <w:tr>
        <w:trPr>
          <w:trHeight w:val="27"/>
        </w:trPr>
        <w:tc>
          <w:tcPr>
            <w:tcW w:w="9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AAL-PA-03735-LA-2306974R1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1240"/>
          </w:cols>
          <w:pgMar w:left="320" w:top="1440" w:right="339" w:bottom="1440" w:gutter="0" w:footer="0" w:header="0"/>
        </w:sectPr>
      </w:pPr>
    </w:p>
    <w:bookmarkStart w:id="87" w:name="page88"/>
    <w:bookmarkEnd w:id="87"/>
    <w:tbl>
      <w:tblPr>
        <w:tblLayout w:type="fixed"/>
        <w:tblInd w:w="870" w:type="dxa"/>
        <w:tblCellMar>
          <w:top w:w="0" w:type="dxa"/>
          <w:left w:w="0" w:type="dxa"/>
          <w:bottom w:w="0" w:type="dxa"/>
          <w:right w:w="0" w:type="dxa"/>
        </w:tblCellMar>
      </w:tblPr>
      <w:tr>
        <w:trPr>
          <w:trHeight w:val="297"/>
        </w:trPr>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2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ATTACHMENT A</w:t>
            </w:r>
          </w:p>
        </w:tc>
        <w:tc>
          <w:tcPr>
            <w:tcW w:w="1880" w:type="dxa"/>
            <w:vAlign w:val="bottom"/>
          </w:tcPr>
          <w:p>
            <w:pPr>
              <w:spacing w:after="0"/>
              <w:rPr>
                <w:sz w:val="24"/>
                <w:szCs w:val="24"/>
                <w:color w:val="auto"/>
              </w:rPr>
            </w:pPr>
          </w:p>
        </w:tc>
      </w:tr>
      <w:tr>
        <w:trPr>
          <w:trHeight w:val="499"/>
        </w:trPr>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20" w:type="dxa"/>
            <w:vAlign w:val="bottom"/>
          </w:tcPr>
          <w:p>
            <w:pPr>
              <w:jc w:val="right"/>
              <w:ind w:right="1312"/>
              <w:spacing w:after="0"/>
              <w:rPr>
                <w:sz w:val="20"/>
                <w:szCs w:val="20"/>
                <w:color w:val="auto"/>
              </w:rPr>
            </w:pPr>
            <w:r>
              <w:rPr>
                <w:rFonts w:ascii="Arial" w:cs="Arial" w:eastAsia="Arial" w:hAnsi="Arial"/>
                <w:sz w:val="22"/>
                <w:szCs w:val="22"/>
                <w:b w:val="1"/>
                <w:bCs w:val="1"/>
                <w:color w:val="auto"/>
              </w:rPr>
              <w:t>[****]</w:t>
            </w:r>
          </w:p>
        </w:tc>
        <w:tc>
          <w:tcPr>
            <w:tcW w:w="1880" w:type="dxa"/>
            <w:vAlign w:val="bottom"/>
          </w:tcPr>
          <w:p>
            <w:pPr>
              <w:spacing w:after="0"/>
              <w:rPr>
                <w:sz w:val="24"/>
                <w:szCs w:val="24"/>
                <w:color w:val="auto"/>
              </w:rPr>
            </w:pPr>
          </w:p>
        </w:tc>
      </w:tr>
      <w:tr>
        <w:trPr>
          <w:trHeight w:val="244"/>
        </w:trPr>
        <w:tc>
          <w:tcPr>
            <w:tcW w:w="16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r>
      <w:tr>
        <w:trPr>
          <w:trHeight w:val="357"/>
        </w:trPr>
        <w:tc>
          <w:tcPr>
            <w:tcW w:w="1620" w:type="dxa"/>
            <w:vAlign w:val="bottom"/>
            <w:tcBorders>
              <w:left w:val="single" w:sz="8" w:color="auto"/>
              <w:right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w:t>
            </w:r>
          </w:p>
        </w:tc>
        <w:tc>
          <w:tcPr>
            <w:tcW w:w="1280" w:type="dxa"/>
            <w:vAlign w:val="bottom"/>
          </w:tcPr>
          <w:p>
            <w:pPr>
              <w:spacing w:after="0"/>
              <w:rPr>
                <w:sz w:val="24"/>
                <w:szCs w:val="24"/>
                <w:color w:val="auto"/>
              </w:rPr>
            </w:pPr>
          </w:p>
        </w:tc>
        <w:tc>
          <w:tcPr>
            <w:tcW w:w="3520" w:type="dxa"/>
            <w:vAlign w:val="bottom"/>
            <w:tcBorders>
              <w:right w:val="single" w:sz="8" w:color="auto"/>
            </w:tcBorders>
          </w:tcPr>
          <w:p>
            <w:pPr>
              <w:jc w:val="right"/>
              <w:ind w:right="2232"/>
              <w:spacing w:after="0"/>
              <w:rPr>
                <w:sz w:val="20"/>
                <w:szCs w:val="20"/>
                <w:color w:val="auto"/>
              </w:rPr>
            </w:pPr>
            <w:r>
              <w:rPr>
                <w:rFonts w:ascii="Arial" w:cs="Arial" w:eastAsia="Arial" w:hAnsi="Arial"/>
                <w:sz w:val="22"/>
                <w:szCs w:val="22"/>
                <w:b w:val="1"/>
                <w:bCs w:val="1"/>
                <w:color w:val="auto"/>
              </w:rPr>
              <w:t>[****]</w:t>
            </w:r>
          </w:p>
        </w:tc>
        <w:tc>
          <w:tcPr>
            <w:tcW w:w="1880" w:type="dxa"/>
            <w:vAlign w:val="bottom"/>
            <w:tcBorders>
              <w:right w:val="single" w:sz="8" w:color="auto"/>
            </w:tcBorders>
          </w:tcPr>
          <w:p>
            <w:pPr>
              <w:jc w:val="right"/>
              <w:ind w:right="772"/>
              <w:spacing w:after="0"/>
              <w:rPr>
                <w:sz w:val="20"/>
                <w:szCs w:val="20"/>
                <w:color w:val="auto"/>
              </w:rPr>
            </w:pPr>
            <w:r>
              <w:rPr>
                <w:rFonts w:ascii="Arial" w:cs="Arial" w:eastAsia="Arial" w:hAnsi="Arial"/>
                <w:sz w:val="22"/>
                <w:szCs w:val="22"/>
                <w:b w:val="1"/>
                <w:bCs w:val="1"/>
                <w:color w:val="auto"/>
              </w:rPr>
              <w:t>[****]</w:t>
            </w:r>
          </w:p>
        </w:tc>
      </w:tr>
      <w:tr>
        <w:trPr>
          <w:trHeight w:val="150"/>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3520" w:type="dxa"/>
            <w:vAlign w:val="bottom"/>
            <w:tcBorders>
              <w:bottom w:val="single" w:sz="8" w:color="auto"/>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spacing w:after="0"/>
              <w:rPr>
                <w:sz w:val="13"/>
                <w:szCs w:val="13"/>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2"/>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2"/>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2"/>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2"/>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2"/>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2"/>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r>
        <w:trPr>
          <w:trHeight w:val="345"/>
        </w:trPr>
        <w:tc>
          <w:tcPr>
            <w:tcW w:w="1620" w:type="dxa"/>
            <w:vAlign w:val="bottom"/>
            <w:tcBorders>
              <w:left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35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162"/>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AAL-PA-03735-LA-2306974R1</w:t>
      </w:r>
      <w:r>
        <w:rPr>
          <w:sz w:val="20"/>
          <w:szCs w:val="20"/>
          <w:color w:val="auto"/>
        </w:rPr>
        <w:tab/>
      </w:r>
      <w:r>
        <w:rPr>
          <w:rFonts w:ascii="Arial" w:cs="Arial" w:eastAsia="Arial" w:hAnsi="Arial"/>
          <w:sz w:val="21"/>
          <w:szCs w:val="21"/>
          <w:color w:val="auto"/>
        </w:rPr>
        <w:t>SA-37</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4</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0139"/>
          </w:cols>
          <w:pgMar w:left="320" w:top="1421" w:right="1440" w:bottom="1440" w:gutter="0" w:footer="0" w:header="0"/>
        </w:sectPr>
      </w:pPr>
    </w:p>
    <w:bookmarkStart w:id="88" w:name="page89"/>
    <w:bookmarkEnd w:id="88"/>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00" w:type="dxa"/>
            <w:vAlign w:val="bottom"/>
            <w:gridSpan w:val="4"/>
          </w:tcPr>
          <w:p>
            <w:pPr>
              <w:jc w:val="center"/>
              <w:ind w:right="2220"/>
              <w:spacing w:after="0"/>
              <w:rPr>
                <w:sz w:val="20"/>
                <w:szCs w:val="20"/>
                <w:color w:val="auto"/>
              </w:rPr>
            </w:pPr>
            <w:r>
              <w:rPr>
                <w:rFonts w:ascii="Arial" w:cs="Arial" w:eastAsia="Arial" w:hAnsi="Arial"/>
                <w:sz w:val="22"/>
                <w:szCs w:val="22"/>
                <w:b w:val="1"/>
                <w:bCs w:val="1"/>
                <w:color w:val="auto"/>
                <w:w w:val="96"/>
              </w:rPr>
              <w:t>ATTACHMENT B</w:t>
            </w:r>
          </w:p>
        </w:tc>
      </w:tr>
      <w:tr>
        <w:trPr>
          <w:trHeight w:val="499"/>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8"/>
              </w:rPr>
              <w:t>[****]</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0"/>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8"/>
              </w:rPr>
              <w:t>[****]</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8"/>
        </w:trPr>
        <w:tc>
          <w:tcPr>
            <w:tcW w:w="6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90"/>
        </w:trPr>
        <w:tc>
          <w:tcPr>
            <w:tcW w:w="1100" w:type="dxa"/>
            <w:vAlign w:val="bottom"/>
            <w:tcBorders>
              <w:left w:val="single" w:sz="8" w:color="auto"/>
            </w:tcBorders>
            <w:gridSpan w:val="2"/>
          </w:tcPr>
          <w:p>
            <w:pPr>
              <w:jc w:val="center"/>
              <w:ind w:left="512"/>
              <w:spacing w:after="0"/>
              <w:rPr>
                <w:sz w:val="20"/>
                <w:szCs w:val="20"/>
                <w:color w:val="auto"/>
              </w:rPr>
            </w:pPr>
            <w:r>
              <w:rPr>
                <w:rFonts w:ascii="Arial" w:cs="Arial" w:eastAsia="Arial" w:hAnsi="Arial"/>
                <w:sz w:val="22"/>
                <w:szCs w:val="22"/>
                <w:b w:val="1"/>
                <w:bCs w:val="1"/>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92"/>
              <w:spacing w:after="0"/>
              <w:rPr>
                <w:sz w:val="20"/>
                <w:szCs w:val="20"/>
                <w:color w:val="auto"/>
              </w:rPr>
            </w:pPr>
            <w:r>
              <w:rPr>
                <w:rFonts w:ascii="Arial" w:cs="Arial" w:eastAsia="Arial" w:hAnsi="Arial"/>
                <w:sz w:val="22"/>
                <w:szCs w:val="22"/>
                <w:b w:val="1"/>
                <w:bCs w:val="1"/>
                <w:color w:val="auto"/>
                <w:w w:val="98"/>
              </w:rPr>
              <w:t>[****]</w:t>
            </w:r>
          </w:p>
        </w:tc>
        <w:tc>
          <w:tcPr>
            <w:tcW w:w="1240" w:type="dxa"/>
            <w:vAlign w:val="bottom"/>
            <w:tcBorders>
              <w:right w:val="single" w:sz="8" w:color="auto"/>
            </w:tcBorders>
          </w:tcPr>
          <w:p>
            <w:pPr>
              <w:spacing w:after="0"/>
              <w:rPr>
                <w:sz w:val="24"/>
                <w:szCs w:val="24"/>
                <w:color w:val="auto"/>
              </w:rPr>
            </w:pPr>
          </w:p>
        </w:tc>
      </w:tr>
      <w:tr>
        <w:trPr>
          <w:trHeight w:val="196"/>
        </w:trPr>
        <w:tc>
          <w:tcPr>
            <w:tcW w:w="620" w:type="dxa"/>
            <w:vAlign w:val="bottom"/>
            <w:tcBorders>
              <w:left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1"/>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r>
        <w:trPr>
          <w:trHeight w:val="345"/>
        </w:trPr>
        <w:tc>
          <w:tcPr>
            <w:tcW w:w="1100" w:type="dxa"/>
            <w:vAlign w:val="bottom"/>
            <w:tcBorders>
              <w:left w:val="single" w:sz="8" w:color="auto"/>
            </w:tcBorders>
            <w:gridSpan w:val="2"/>
          </w:tcPr>
          <w:p>
            <w:pPr>
              <w:jc w:val="center"/>
              <w:ind w:left="492"/>
              <w:spacing w:after="0"/>
              <w:rPr>
                <w:sz w:val="20"/>
                <w:szCs w:val="20"/>
                <w:color w:val="auto"/>
              </w:rPr>
            </w:pPr>
            <w:r>
              <w:rPr>
                <w:rFonts w:ascii="Arial" w:cs="Arial" w:eastAsia="Arial" w:hAnsi="Arial"/>
                <w:sz w:val="22"/>
                <w:szCs w:val="22"/>
                <w:color w:val="auto"/>
                <w:w w:val="98"/>
              </w:rPr>
              <w:t>[****]</w:t>
            </w:r>
          </w:p>
        </w:tc>
        <w:tc>
          <w:tcPr>
            <w:tcW w:w="920" w:type="dxa"/>
            <w:vAlign w:val="bottom"/>
            <w:tcBorders>
              <w:right w:val="single" w:sz="8" w:color="auto"/>
            </w:tcBorders>
          </w:tcPr>
          <w:p>
            <w:pPr>
              <w:spacing w:after="0"/>
              <w:rPr>
                <w:sz w:val="24"/>
                <w:szCs w:val="24"/>
                <w:color w:val="auto"/>
              </w:rPr>
            </w:pPr>
          </w:p>
        </w:tc>
        <w:tc>
          <w:tcPr>
            <w:tcW w:w="1620" w:type="dxa"/>
            <w:vAlign w:val="bottom"/>
            <w:gridSpan w:val="2"/>
          </w:tcPr>
          <w:p>
            <w:pPr>
              <w:jc w:val="center"/>
              <w:ind w:left="1052"/>
              <w:spacing w:after="0"/>
              <w:rPr>
                <w:sz w:val="20"/>
                <w:szCs w:val="20"/>
                <w:color w:val="auto"/>
              </w:rPr>
            </w:pPr>
            <w:r>
              <w:rPr>
                <w:rFonts w:ascii="Arial" w:cs="Arial" w:eastAsia="Arial" w:hAnsi="Arial"/>
                <w:sz w:val="22"/>
                <w:szCs w:val="22"/>
                <w:color w:val="auto"/>
                <w:w w:val="98"/>
              </w:rPr>
              <w:t>[****]</w:t>
            </w:r>
          </w:p>
        </w:tc>
        <w:tc>
          <w:tcPr>
            <w:tcW w:w="1480" w:type="dxa"/>
            <w:vAlign w:val="bottom"/>
            <w:tcBorders>
              <w:right w:val="single" w:sz="8" w:color="auto"/>
            </w:tcBorders>
          </w:tcPr>
          <w:p>
            <w:pPr>
              <w:spacing w:after="0"/>
              <w:rPr>
                <w:sz w:val="24"/>
                <w:szCs w:val="24"/>
                <w:color w:val="auto"/>
              </w:rPr>
            </w:pPr>
          </w:p>
        </w:tc>
        <w:tc>
          <w:tcPr>
            <w:tcW w:w="1380" w:type="dxa"/>
            <w:vAlign w:val="bottom"/>
            <w:gridSpan w:val="2"/>
          </w:tcPr>
          <w:p>
            <w:pPr>
              <w:jc w:val="center"/>
              <w:ind w:left="772"/>
              <w:spacing w:after="0"/>
              <w:rPr>
                <w:sz w:val="20"/>
                <w:szCs w:val="20"/>
                <w:color w:val="auto"/>
              </w:rPr>
            </w:pPr>
            <w:r>
              <w:rPr>
                <w:rFonts w:ascii="Arial" w:cs="Arial" w:eastAsia="Arial" w:hAnsi="Arial"/>
                <w:sz w:val="22"/>
                <w:szCs w:val="22"/>
                <w:color w:val="auto"/>
                <w:w w:val="98"/>
              </w:rPr>
              <w:t>[****]</w:t>
            </w:r>
          </w:p>
        </w:tc>
        <w:tc>
          <w:tcPr>
            <w:tcW w:w="1240" w:type="dxa"/>
            <w:vAlign w:val="bottom"/>
            <w:tcBorders>
              <w:right w:val="single" w:sz="8" w:color="auto"/>
            </w:tcBorders>
          </w:tcPr>
          <w:p>
            <w:pPr>
              <w:spacing w:after="0"/>
              <w:rPr>
                <w:sz w:val="24"/>
                <w:szCs w:val="24"/>
                <w:color w:val="auto"/>
              </w:rPr>
            </w:pPr>
          </w:p>
        </w:tc>
      </w:tr>
      <w:tr>
        <w:trPr>
          <w:trHeight w:val="162"/>
        </w:trPr>
        <w:tc>
          <w:tcPr>
            <w:tcW w:w="6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-8255</wp:posOffset>
            </wp:positionV>
            <wp:extent cx="8255"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8255" cy="2286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8255"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8255" cy="228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wp:posOffset>
            </wp:positionV>
            <wp:extent cx="8890"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8890" cy="2286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-8255</wp:posOffset>
            </wp:positionV>
            <wp:extent cx="8890"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8890" cy="22860"/>
                    </a:xfrm>
                    <a:prstGeom prst="rect">
                      <a:avLst/>
                    </a:prstGeom>
                    <a:noFill/>
                  </pic:spPr>
                </pic:pic>
              </a:graphicData>
            </a:graphic>
          </wp:anchor>
        </w:drawing>
      </w:r>
    </w:p>
    <w:p>
      <w:pPr>
        <w:sectPr>
          <w:pgSz w:w="11900" w:h="16878" w:orient="portrait"/>
          <w:cols w:equalWidth="0" w:num="1">
            <w:col w:w="9099"/>
          </w:cols>
          <w:pgMar w:left="1360" w:top="1421" w:right="1440" w:bottom="0" w:gutter="0" w:footer="0" w:header="0"/>
        </w:sectPr>
      </w:pPr>
    </w:p>
    <w:bookmarkStart w:id="89" w:name="page90"/>
    <w:bookmarkEnd w:id="89"/>
    <w:tbl>
      <w:tblPr>
        <w:tblLayout w:type="fixed"/>
        <w:tblInd w:w="1050" w:type="dxa"/>
        <w:tblCellMar>
          <w:top w:w="0" w:type="dxa"/>
          <w:left w:w="0" w:type="dxa"/>
          <w:bottom w:w="0" w:type="dxa"/>
          <w:right w:w="0" w:type="dxa"/>
        </w:tblCellMar>
      </w:tblPr>
      <w:tr>
        <w:trPr>
          <w:trHeight w:val="311"/>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AAL-PA-03735-LA-2306974R1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5</w:t>
      </w:r>
    </w:p>
    <w:p>
      <w:pPr>
        <w:spacing w:after="0" w:line="4"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0139"/>
          </w:cols>
          <w:pgMar w:left="320" w:top="140" w:right="1440" w:bottom="1440" w:gutter="0" w:footer="0" w:header="0"/>
        </w:sectPr>
      </w:pPr>
    </w:p>
    <w:bookmarkStart w:id="90" w:name="page91"/>
    <w:bookmarkEnd w:id="90"/>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2020" w:type="dxa"/>
            <w:vAlign w:val="bottom"/>
            <w:tcBorders>
              <w:top w:val="single" w:sz="8" w:color="auto"/>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top w:val="single" w:sz="8" w:color="auto"/>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top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30"/>
        </w:trPr>
        <w:tc>
          <w:tcPr>
            <w:tcW w:w="2020" w:type="dxa"/>
            <w:vAlign w:val="bottom"/>
            <w:tcBorders>
              <w:left w:val="single" w:sz="8" w:color="auto"/>
              <w:right w:val="single" w:sz="8" w:color="auto"/>
            </w:tcBorders>
          </w:tcPr>
          <w:p>
            <w:pPr>
              <w:spacing w:after="0"/>
              <w:rPr>
                <w:sz w:val="11"/>
                <w:szCs w:val="11"/>
                <w:color w:val="auto"/>
              </w:rPr>
            </w:pPr>
          </w:p>
        </w:tc>
        <w:tc>
          <w:tcPr>
            <w:tcW w:w="310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r>
    </w:tbl>
    <w:p>
      <w:pPr>
        <w:sectPr>
          <w:pgSz w:w="11900" w:h="16900" w:orient="portrait"/>
          <w:cols w:equalWidth="0" w:num="1">
            <w:col w:w="9099"/>
          </w:cols>
          <w:pgMar w:left="1360" w:top="1440" w:right="1440" w:bottom="0" w:gutter="0" w:footer="0" w:header="0"/>
        </w:sectPr>
      </w:pPr>
    </w:p>
    <w:bookmarkStart w:id="91" w:name="page92"/>
    <w:bookmarkEnd w:id="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5763260</wp:posOffset>
            </wp:positionH>
            <wp:positionV relativeFrom="page">
              <wp:posOffset>88900</wp:posOffset>
            </wp:positionV>
            <wp:extent cx="82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4100195</wp:posOffset>
            </wp:positionH>
            <wp:positionV relativeFrom="page">
              <wp:posOffset>88900</wp:posOffset>
            </wp:positionV>
            <wp:extent cx="825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88900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2136775</wp:posOffset>
            </wp:positionH>
            <wp:positionV relativeFrom="page">
              <wp:posOffset>88900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tbl>
      <w:tblPr>
        <w:tblLayout w:type="fixed"/>
        <w:tblInd w:w="1050" w:type="dxa"/>
        <w:tblCellMar>
          <w:top w:w="0" w:type="dxa"/>
          <w:left w:w="0" w:type="dxa"/>
          <w:bottom w:w="0" w:type="dxa"/>
          <w:right w:w="0" w:type="dxa"/>
        </w:tblCellMar>
      </w:tblPr>
      <w:tr>
        <w:trPr>
          <w:trHeight w:val="365"/>
        </w:trPr>
        <w:tc>
          <w:tcPr>
            <w:tcW w:w="2020" w:type="dxa"/>
            <w:vAlign w:val="bottom"/>
            <w:tcBorders>
              <w:top w:val="single" w:sz="8" w:color="auto"/>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top w:val="single" w:sz="8" w:color="auto"/>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top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AAL-PA-03735-LA-2306974R1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6</w:t>
      </w:r>
    </w:p>
    <w:p>
      <w:pPr>
        <w:spacing w:after="0" w:line="4"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0139"/>
          </w:cols>
          <w:pgMar w:left="320" w:top="133" w:right="1440" w:bottom="1440" w:gutter="0" w:footer="0" w:header="0"/>
        </w:sectPr>
      </w:pPr>
    </w:p>
    <w:bookmarkStart w:id="92" w:name="page93"/>
    <w:bookmarkEnd w:id="92"/>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2020" w:type="dxa"/>
            <w:vAlign w:val="bottom"/>
            <w:tcBorders>
              <w:top w:val="single" w:sz="8" w:color="auto"/>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top w:val="single" w:sz="8" w:color="auto"/>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top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30"/>
        </w:trPr>
        <w:tc>
          <w:tcPr>
            <w:tcW w:w="2020" w:type="dxa"/>
            <w:vAlign w:val="bottom"/>
            <w:tcBorders>
              <w:left w:val="single" w:sz="8" w:color="auto"/>
              <w:right w:val="single" w:sz="8" w:color="auto"/>
            </w:tcBorders>
          </w:tcPr>
          <w:p>
            <w:pPr>
              <w:spacing w:after="0"/>
              <w:rPr>
                <w:sz w:val="11"/>
                <w:szCs w:val="11"/>
                <w:color w:val="auto"/>
              </w:rPr>
            </w:pPr>
          </w:p>
        </w:tc>
        <w:tc>
          <w:tcPr>
            <w:tcW w:w="310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r>
    </w:tbl>
    <w:p>
      <w:pPr>
        <w:sectPr>
          <w:pgSz w:w="11900" w:h="16900" w:orient="portrait"/>
          <w:cols w:equalWidth="0" w:num="1">
            <w:col w:w="9099"/>
          </w:cols>
          <w:pgMar w:left="1360" w:top="1440" w:right="1440" w:bottom="0" w:gutter="0" w:footer="0" w:header="0"/>
        </w:sectPr>
      </w:pPr>
    </w:p>
    <w:bookmarkStart w:id="93" w:name="page94"/>
    <w:bookmarkEnd w:id="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5763260</wp:posOffset>
            </wp:positionH>
            <wp:positionV relativeFrom="page">
              <wp:posOffset>88900</wp:posOffset>
            </wp:positionV>
            <wp:extent cx="82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4100195</wp:posOffset>
            </wp:positionH>
            <wp:positionV relativeFrom="page">
              <wp:posOffset>88900</wp:posOffset>
            </wp:positionV>
            <wp:extent cx="82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88900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page">
              <wp:posOffset>2136775</wp:posOffset>
            </wp:positionH>
            <wp:positionV relativeFrom="page">
              <wp:posOffset>88900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tbl>
      <w:tblPr>
        <w:tblLayout w:type="fixed"/>
        <w:tblInd w:w="1050" w:type="dxa"/>
        <w:tblCellMar>
          <w:top w:w="0" w:type="dxa"/>
          <w:left w:w="0" w:type="dxa"/>
          <w:bottom w:w="0" w:type="dxa"/>
          <w:right w:w="0" w:type="dxa"/>
        </w:tblCellMar>
      </w:tblPr>
      <w:tr>
        <w:trPr>
          <w:trHeight w:val="365"/>
        </w:trPr>
        <w:tc>
          <w:tcPr>
            <w:tcW w:w="2020" w:type="dxa"/>
            <w:vAlign w:val="bottom"/>
            <w:tcBorders>
              <w:top w:val="single" w:sz="8" w:color="auto"/>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top w:val="single" w:sz="8" w:color="auto"/>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top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AAL-PA-03735-LA-2306974R1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7</w:t>
      </w:r>
    </w:p>
    <w:p>
      <w:pPr>
        <w:spacing w:after="0" w:line="4"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0139"/>
          </w:cols>
          <w:pgMar w:left="320" w:top="133" w:right="1440" w:bottom="1440" w:gutter="0" w:footer="0" w:header="0"/>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365"/>
        </w:trPr>
        <w:tc>
          <w:tcPr>
            <w:tcW w:w="2020" w:type="dxa"/>
            <w:vAlign w:val="bottom"/>
            <w:tcBorders>
              <w:top w:val="single" w:sz="8" w:color="auto"/>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top w:val="single" w:sz="8" w:color="auto"/>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top w:val="single" w:sz="8" w:color="auto"/>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2"/>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345"/>
        </w:trPr>
        <w:tc>
          <w:tcPr>
            <w:tcW w:w="2020" w:type="dxa"/>
            <w:vAlign w:val="bottom"/>
            <w:tcBorders>
              <w:left w:val="single" w:sz="8" w:color="auto"/>
              <w:right w:val="single" w:sz="8" w:color="auto"/>
            </w:tcBorders>
          </w:tcPr>
          <w:p>
            <w:pPr>
              <w:jc w:val="right"/>
              <w:ind w:right="8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c>
          <w:tcPr>
            <w:tcW w:w="262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r>
      <w:tr>
        <w:trPr>
          <w:trHeight w:val="161"/>
        </w:trPr>
        <w:tc>
          <w:tcPr>
            <w:tcW w:w="2020" w:type="dxa"/>
            <w:vAlign w:val="bottom"/>
            <w:tcBorders>
              <w:left w:val="single" w:sz="8" w:color="auto"/>
              <w:bottom w:val="single" w:sz="8" w:color="auto"/>
              <w:right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9099"/>
          </w:cols>
          <w:pgMar w:left="1360" w:top="146" w:right="1440" w:bottom="298" w:gutter="0" w:footer="0" w:header="0"/>
        </w:sectPr>
      </w:pPr>
    </w:p>
    <w:bookmarkStart w:id="96" w:name="page97"/>
    <w:bookmarkEnd w:id="96"/>
    <w:p>
      <w:pPr>
        <w:spacing w:after="0"/>
        <w:tabs>
          <w:tab w:leader="none" w:pos="3180" w:val="left"/>
        </w:tabs>
        <w:rPr>
          <w:sz w:val="20"/>
          <w:szCs w:val="20"/>
          <w:color w:val="auto"/>
        </w:rPr>
      </w:pPr>
      <w:r>
        <w:rPr>
          <w:rFonts w:ascii="Arial" w:cs="Arial" w:eastAsia="Arial" w:hAnsi="Arial"/>
          <w:sz w:val="22"/>
          <w:szCs w:val="22"/>
          <w:color w:val="auto"/>
        </w:rPr>
        <w:t>AAL-PA-03735-LA-2306974R1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8</w:t>
      </w:r>
    </w:p>
    <w:p>
      <w:pPr>
        <w:spacing w:after="0" w:line="4" w:lineRule="exact"/>
        <w:rPr>
          <w:sz w:val="20"/>
          <w:szCs w:val="20"/>
          <w:color w:val="auto"/>
        </w:rPr>
      </w:pPr>
    </w:p>
    <w:p>
      <w:pPr>
        <w:jc w:val="right"/>
        <w:ind w:right="2419"/>
        <w:spacing w:after="0"/>
        <w:rPr>
          <w:sz w:val="20"/>
          <w:szCs w:val="20"/>
          <w:color w:val="auto"/>
        </w:rPr>
      </w:pPr>
      <w:r>
        <w:rPr>
          <w:rFonts w:ascii="Arial" w:cs="Arial" w:eastAsia="Arial" w:hAnsi="Arial"/>
          <w:sz w:val="22"/>
          <w:szCs w:val="22"/>
          <w:b w:val="1"/>
          <w:bCs w:val="1"/>
          <w:color w:val="auto"/>
        </w:rPr>
        <w:t>BOEING AND AMERICAN PROPRIETARY</w:t>
      </w:r>
    </w:p>
    <w:p>
      <w:pPr>
        <w:sectPr>
          <w:pgSz w:w="11900" w:h="16838" w:orient="portrait"/>
          <w:cols w:equalWidth="0" w:num="1">
            <w:col w:w="10139"/>
          </w:cols>
          <w:pgMar w:left="320" w:top="478" w:right="1440" w:bottom="1440" w:gutter="0" w:footer="0" w:header="0"/>
        </w:sectPr>
      </w:pPr>
    </w:p>
    <w:bookmarkStart w:id="97" w:name="page98"/>
    <w:bookmarkEnd w:id="97"/>
    <w:p>
      <w:pPr>
        <w:ind w:left="2840"/>
        <w:spacing w:after="0"/>
        <w:rPr>
          <w:sz w:val="20"/>
          <w:szCs w:val="20"/>
          <w:color w:val="auto"/>
        </w:rPr>
      </w:pPr>
      <w:r>
        <w:rPr>
          <w:rFonts w:ascii="Arial" w:cs="Arial" w:eastAsia="Arial" w:hAnsi="Arial"/>
          <w:sz w:val="14"/>
          <w:szCs w:val="14"/>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560195" cy="3600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2"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P.O. Box 3707</w:t>
      </w:r>
    </w:p>
    <w:p>
      <w:pPr>
        <w:spacing w:after="0" w:line="55"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Seattle, WA 98124 2207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AAL-PA-03735-LA-1801206R1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3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4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Reference:</w:t>
        <w:tab/>
        <w:t>Purchase Agreement No. PA-3735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w:t>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737-8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will have the same meaning as in the Purchase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21"/>
          <w:szCs w:val="21"/>
          <w:color w:val="auto"/>
        </w:rPr>
        <w:t>The terms and conditions described in this Letter Agreement are applicable only to the aircraft described in Section</w:t>
      </w:r>
    </w:p>
    <w:p>
      <w:pPr>
        <w:spacing w:after="0" w:line="35"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below.</w:t>
      </w:r>
    </w:p>
    <w:p>
      <w:pPr>
        <w:spacing w:after="0" w:line="226" w:lineRule="exact"/>
        <w:rPr>
          <w:rFonts w:ascii="Arial" w:cs="Arial" w:eastAsia="Arial" w:hAnsi="Arial"/>
          <w:sz w:val="22"/>
          <w:szCs w:val="22"/>
          <w:color w:val="auto"/>
        </w:rPr>
      </w:pPr>
    </w:p>
    <w:p>
      <w:pPr>
        <w:ind w:left="980" w:hanging="324"/>
        <w:spacing w:after="0"/>
        <w:tabs>
          <w:tab w:leader="none" w:pos="980"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 Delivery Schedule</w:t>
      </w:r>
      <w:r>
        <w:rPr>
          <w:rFonts w:ascii="Arial" w:cs="Arial" w:eastAsia="Arial" w:hAnsi="Arial"/>
          <w:sz w:val="22"/>
          <w:szCs w:val="22"/>
          <w:color w:val="auto"/>
        </w:rPr>
        <w:t>.</w:t>
      </w:r>
    </w:p>
    <w:p>
      <w:pPr>
        <w:spacing w:after="0" w:line="247" w:lineRule="exact"/>
        <w:rPr>
          <w:sz w:val="20"/>
          <w:szCs w:val="20"/>
          <w:color w:val="auto"/>
        </w:rPr>
      </w:pPr>
    </w:p>
    <w:p>
      <w:pPr>
        <w:jc w:val="both"/>
        <w:ind w:firstLine="972"/>
        <w:spacing w:after="0" w:line="251" w:lineRule="auto"/>
        <w:rPr>
          <w:sz w:val="20"/>
          <w:szCs w:val="20"/>
          <w:color w:val="auto"/>
        </w:rPr>
      </w:pPr>
      <w:r>
        <w:rPr>
          <w:rFonts w:ascii="Arial" w:cs="Arial" w:eastAsia="Arial" w:hAnsi="Arial"/>
          <w:sz w:val="22"/>
          <w:szCs w:val="22"/>
          <w:color w:val="auto"/>
        </w:rPr>
        <w:t xml:space="preserve">This Letter Agreement [****] the Scheduled Delivery Month of [****] ([****]) Aircraft currently scheduled to deliver in calendar years [****] ([****] </w:t>
      </w:r>
      <w:r>
        <w:rPr>
          <w:rFonts w:ascii="Arial" w:cs="Arial" w:eastAsia="Arial" w:hAnsi="Arial"/>
          <w:sz w:val="22"/>
          <w:szCs w:val="22"/>
          <w:b w:val="1"/>
          <w:bCs w:val="1"/>
          <w:color w:val="auto"/>
        </w:rPr>
        <w:t>Delivery Aircraft</w:t>
      </w:r>
      <w:r>
        <w:rPr>
          <w:rFonts w:ascii="Arial" w:cs="Arial" w:eastAsia="Arial" w:hAnsi="Arial"/>
          <w:sz w:val="22"/>
          <w:szCs w:val="22"/>
          <w:color w:val="auto"/>
        </w:rPr>
        <w:t xml:space="preserve">) and [****] the Scheduled Delivery Months to calendar years [****]. For avoidance of doubt, [****] Delivery Aircraft remain Aircraft under the Purchase Agreement. Attachment A of this Letter Agreement identifies the [****] Delivery Aircraft by the [****] delivery month ([****] </w:t>
      </w:r>
      <w:r>
        <w:rPr>
          <w:rFonts w:ascii="Arial" w:cs="Arial" w:eastAsia="Arial" w:hAnsi="Arial"/>
          <w:sz w:val="22"/>
          <w:szCs w:val="22"/>
          <w:b w:val="1"/>
          <w:bCs w:val="1"/>
          <w:color w:val="auto"/>
        </w:rPr>
        <w:t>Delivery Month</w:t>
      </w:r>
      <w:r>
        <w:rPr>
          <w:rFonts w:ascii="Arial" w:cs="Arial" w:eastAsia="Arial" w:hAnsi="Arial"/>
          <w:sz w:val="22"/>
          <w:szCs w:val="22"/>
          <w:color w:val="auto"/>
        </w:rPr>
        <w:t xml:space="preserve">) and sets forth the [****] delivery month ([****] </w:t>
      </w:r>
      <w:r>
        <w:rPr>
          <w:rFonts w:ascii="Arial" w:cs="Arial" w:eastAsia="Arial" w:hAnsi="Arial"/>
          <w:sz w:val="22"/>
          <w:szCs w:val="22"/>
          <w:b w:val="1"/>
          <w:bCs w:val="1"/>
          <w:color w:val="auto"/>
        </w:rPr>
        <w:t>Delivery Month</w:t>
      </w:r>
      <w:r>
        <w:rPr>
          <w:rFonts w:ascii="Arial" w:cs="Arial" w:eastAsia="Arial" w:hAnsi="Arial"/>
          <w:sz w:val="22"/>
          <w:szCs w:val="22"/>
          <w:color w:val="auto"/>
        </w:rPr>
        <w:t>) for the [****] Delivery Aircraft. Additionally, Table 1-2R1 of the Purchase Agreement includes the [****] Delivery Aircraft per the revisions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-913130</wp:posOffset>
            </wp:positionV>
            <wp:extent cx="463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188"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Boeing agrees that it is [****] the delivery schedule of the [****] Delivery Aircraft.</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Delivery [****]</w:t>
      </w:r>
      <w:r>
        <w:rPr>
          <w:rFonts w:ascii="Arial" w:cs="Arial" w:eastAsia="Arial" w:hAnsi="Arial"/>
          <w:sz w:val="22"/>
          <w:szCs w:val="22"/>
          <w:color w:val="auto"/>
        </w:rPr>
        <w:t>.</w:t>
      </w:r>
    </w:p>
    <w:p>
      <w:pPr>
        <w:spacing w:after="0" w:line="247" w:lineRule="exact"/>
        <w:rPr>
          <w:sz w:val="20"/>
          <w:szCs w:val="20"/>
          <w:color w:val="auto"/>
        </w:rPr>
      </w:pPr>
    </w:p>
    <w:p>
      <w:pPr>
        <w:ind w:right="20" w:firstLine="972"/>
        <w:spacing w:after="0" w:line="272" w:lineRule="auto"/>
        <w:rPr>
          <w:sz w:val="20"/>
          <w:szCs w:val="20"/>
          <w:color w:val="auto"/>
        </w:rPr>
      </w:pPr>
      <w:r>
        <w:rPr>
          <w:rFonts w:ascii="Arial" w:cs="Arial" w:eastAsia="Arial" w:hAnsi="Arial"/>
          <w:sz w:val="22"/>
          <w:szCs w:val="22"/>
          <w:color w:val="auto"/>
        </w:rPr>
        <w:t>3.1 The Aircraft Basic Price for each of the [****] Delivery Aircraft [****]. For the avoidance of doubt, Boeing agrees to [****] the Aircraft Basic Price for [****].</w:t>
      </w:r>
    </w:p>
    <w:p>
      <w:pPr>
        <w:spacing w:after="0" w:line="183" w:lineRule="exact"/>
        <w:rPr>
          <w:sz w:val="20"/>
          <w:szCs w:val="20"/>
          <w:color w:val="auto"/>
        </w:rPr>
      </w:pPr>
    </w:p>
    <w:p>
      <w:pPr>
        <w:ind w:firstLine="972"/>
        <w:spacing w:after="0" w:line="285" w:lineRule="auto"/>
        <w:rPr>
          <w:sz w:val="20"/>
          <w:szCs w:val="20"/>
          <w:color w:val="auto"/>
        </w:rPr>
      </w:pPr>
      <w:r>
        <w:rPr>
          <w:rFonts w:ascii="Arial" w:cs="Arial" w:eastAsia="Arial" w:hAnsi="Arial"/>
          <w:sz w:val="22"/>
          <w:szCs w:val="22"/>
          <w:color w:val="auto"/>
        </w:rPr>
        <w:t>3.2 If the delivery of the [****] Delivery Aircraft [****] in the [****] Delivery Month, then [****] in accordance with and subject to the terms and conditions of the Purchase Agreement (that is, if the Purchase Agreement [****]).</w:t>
      </w:r>
    </w:p>
    <w:p>
      <w:pPr>
        <w:spacing w:after="0" w:line="200" w:lineRule="exact"/>
        <w:rPr>
          <w:sz w:val="20"/>
          <w:szCs w:val="20"/>
          <w:color w:val="auto"/>
        </w:rPr>
      </w:pPr>
    </w:p>
    <w:p>
      <w:pPr>
        <w:spacing w:after="0" w:line="239"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AAL-PA-03735-LA-1801206R1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1 of 3</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84" w:right="339" w:bottom="1440" w:gutter="0" w:footer="0" w:header="0"/>
        </w:sectPr>
      </w:pPr>
    </w:p>
    <w:bookmarkStart w:id="98" w:name="page99"/>
    <w:bookmarkEnd w:id="98"/>
    <w:p>
      <w:pPr>
        <w:spacing w:after="0" w:line="226" w:lineRule="exact"/>
        <w:rPr>
          <w:sz w:val="20"/>
          <w:szCs w:val="20"/>
          <w:color w:val="auto"/>
        </w:rPr>
      </w:pPr>
    </w:p>
    <w:p>
      <w:pPr>
        <w:ind w:right="20" w:firstLine="972"/>
        <w:spacing w:after="0" w:line="272" w:lineRule="auto"/>
        <w:rPr>
          <w:sz w:val="20"/>
          <w:szCs w:val="20"/>
          <w:color w:val="auto"/>
        </w:rPr>
      </w:pPr>
      <w:r>
        <w:rPr>
          <w:rFonts w:ascii="Arial" w:cs="Arial" w:eastAsia="Arial" w:hAnsi="Arial"/>
          <w:sz w:val="22"/>
          <w:szCs w:val="22"/>
          <w:color w:val="auto"/>
        </w:rPr>
        <w:t>3.3. The delivery [****] for the [****] Delivery Aircraft will [****] the Aircraft Basic Price in accordance with Sections 3.1 and 3.2, above.</w:t>
      </w:r>
    </w:p>
    <w:p>
      <w:pPr>
        <w:spacing w:after="0" w:line="183"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Advance Payments</w:t>
      </w:r>
      <w:r>
        <w:rPr>
          <w:rFonts w:ascii="Arial" w:cs="Arial" w:eastAsia="Arial" w:hAnsi="Arial"/>
          <w:sz w:val="22"/>
          <w:szCs w:val="22"/>
          <w:color w:val="auto"/>
        </w:rPr>
        <w:t>.</w:t>
      </w:r>
    </w:p>
    <w:p>
      <w:pPr>
        <w:spacing w:after="0" w:line="26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22"/>
          <w:szCs w:val="22"/>
          <w:color w:val="auto"/>
        </w:rPr>
        <w:t>Advance Payments for the [****] Delivery Aircraft are [****] Letter Agreement AAL-PA-03735-LA-1106650R8 entitled “[****]</w:t>
      </w:r>
      <w:r>
        <w:rPr>
          <w:rFonts w:ascii="Arial" w:cs="Arial" w:eastAsia="Arial" w:hAnsi="Arial"/>
          <w:sz w:val="22"/>
          <w:szCs w:val="22"/>
          <w:u w:val="single" w:color="auto"/>
          <w:color w:val="auto"/>
        </w:rPr>
        <w:t>”</w:t>
      </w:r>
      <w:r>
        <w:rPr>
          <w:rFonts w:ascii="Arial" w:cs="Arial" w:eastAsia="Arial" w:hAnsi="Arial"/>
          <w:sz w:val="22"/>
          <w:szCs w:val="22"/>
          <w:color w:val="auto"/>
        </w:rPr>
        <w:t>. The Advance Payments for the [****] Delivery Aircraft will be paid per the Advance Payment Base Price as found on Table 1-2R1 [****] as set forth in Section 3.1 of this Letter Agreement.</w:t>
      </w:r>
    </w:p>
    <w:p>
      <w:pPr>
        <w:spacing w:after="0" w:line="200"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4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as may be amended from time to time,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99"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4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pacing w:after="0" w:line="200" w:lineRule="exact"/>
        <w:rPr>
          <w:sz w:val="20"/>
          <w:szCs w:val="20"/>
          <w:color w:val="auto"/>
        </w:rPr>
      </w:pPr>
    </w:p>
    <w:p>
      <w:pPr>
        <w:spacing w:after="0" w:line="269"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AAL-PA-03735-LA-1801206R1</w:t>
      </w:r>
      <w:r>
        <w:rPr>
          <w:sz w:val="20"/>
          <w:szCs w:val="20"/>
          <w:color w:val="auto"/>
        </w:rPr>
        <w:tab/>
      </w:r>
      <w:r>
        <w:rPr>
          <w:rFonts w:ascii="Arial" w:cs="Arial" w:eastAsia="Arial" w:hAnsi="Arial"/>
          <w:sz w:val="21"/>
          <w:szCs w:val="21"/>
          <w:color w:val="auto"/>
        </w:rPr>
        <w:t>SA-37</w:t>
      </w:r>
    </w:p>
    <w:p>
      <w:pPr>
        <w:spacing w:after="0" w:line="31"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2 of 3</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BOEING COMPANY</w:t>
      </w: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14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121920</wp:posOffset>
            </wp:positionV>
            <wp:extent cx="31375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5280" w:type="dxa"/>
            <w:vAlign w:val="bottom"/>
          </w:tcPr>
          <w:p>
            <w:pPr>
              <w:ind w:left="20"/>
              <w:spacing w:after="0"/>
              <w:rPr>
                <w:sz w:val="20"/>
                <w:szCs w:val="20"/>
                <w:color w:val="auto"/>
              </w:rPr>
            </w:pPr>
            <w:r>
              <w:rPr>
                <w:rFonts w:ascii="Arial" w:cs="Arial" w:eastAsia="Arial" w:hAnsi="Arial"/>
                <w:sz w:val="22"/>
                <w:szCs w:val="22"/>
                <w:color w:val="auto"/>
              </w:rPr>
              <w:t>/s/ American Airlines</w:t>
            </w:r>
          </w:p>
        </w:tc>
      </w:tr>
      <w:tr>
        <w:trPr>
          <w:trHeight w:val="162"/>
        </w:trPr>
        <w:tc>
          <w:tcPr>
            <w:tcW w:w="640" w:type="dxa"/>
            <w:vAlign w:val="bottom"/>
          </w:tcPr>
          <w:p>
            <w:pPr>
              <w:spacing w:after="0"/>
              <w:rPr>
                <w:sz w:val="14"/>
                <w:szCs w:val="14"/>
                <w:color w:val="auto"/>
              </w:rPr>
            </w:pPr>
          </w:p>
        </w:tc>
        <w:tc>
          <w:tcPr>
            <w:tcW w:w="5280" w:type="dxa"/>
            <w:vAlign w:val="bottom"/>
            <w:tcBorders>
              <w:bottom w:val="single" w:sz="8" w:color="auto"/>
            </w:tcBorders>
          </w:tcPr>
          <w:p>
            <w:pPr>
              <w:spacing w:after="0"/>
              <w:rPr>
                <w:sz w:val="14"/>
                <w:szCs w:val="14"/>
                <w:color w:val="auto"/>
              </w:rPr>
            </w:pPr>
          </w:p>
        </w:tc>
      </w:tr>
      <w:tr>
        <w:trPr>
          <w:trHeight w:val="601"/>
        </w:trPr>
        <w:tc>
          <w:tcPr>
            <w:tcW w:w="640" w:type="dxa"/>
            <w:vAlign w:val="bottom"/>
          </w:tcPr>
          <w:p>
            <w:pPr>
              <w:spacing w:after="0"/>
              <w:rPr>
                <w:sz w:val="20"/>
                <w:szCs w:val="20"/>
                <w:color w:val="auto"/>
              </w:rPr>
            </w:pPr>
            <w:r>
              <w:rPr>
                <w:rFonts w:ascii="Arial" w:cs="Arial" w:eastAsia="Arial" w:hAnsi="Arial"/>
                <w:sz w:val="22"/>
                <w:szCs w:val="22"/>
                <w:color w:val="auto"/>
              </w:rPr>
              <w:t>Its</w:t>
            </w:r>
          </w:p>
        </w:tc>
        <w:tc>
          <w:tcPr>
            <w:tcW w:w="5280" w:type="dxa"/>
            <w:vAlign w:val="bottom"/>
          </w:tcPr>
          <w:p>
            <w:pPr>
              <w:ind w:left="20"/>
              <w:spacing w:after="0"/>
              <w:rPr>
                <w:sz w:val="20"/>
                <w:szCs w:val="20"/>
                <w:color w:val="auto"/>
              </w:rPr>
            </w:pPr>
            <w:r>
              <w:rPr>
                <w:rFonts w:ascii="Arial" w:cs="Arial" w:eastAsia="Arial" w:hAnsi="Arial"/>
                <w:sz w:val="22"/>
                <w:szCs w:val="22"/>
                <w:color w:val="auto"/>
              </w:rPr>
              <w:t>VP, Financial Planning &amp; Analysis</w:t>
            </w:r>
          </w:p>
        </w:tc>
      </w:tr>
      <w:tr>
        <w:trPr>
          <w:trHeight w:val="162"/>
        </w:trPr>
        <w:tc>
          <w:tcPr>
            <w:tcW w:w="640" w:type="dxa"/>
            <w:vAlign w:val="bottom"/>
          </w:tcPr>
          <w:p>
            <w:pPr>
              <w:spacing w:after="0"/>
              <w:rPr>
                <w:sz w:val="14"/>
                <w:szCs w:val="14"/>
                <w:color w:val="auto"/>
              </w:rPr>
            </w:pPr>
          </w:p>
        </w:tc>
        <w:tc>
          <w:tcPr>
            <w:tcW w:w="528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AAL-PA-03735-LA-1801206R1</w:t>
      </w:r>
      <w:r>
        <w:rPr>
          <w:sz w:val="20"/>
          <w:szCs w:val="20"/>
          <w:color w:val="auto"/>
        </w:rPr>
        <w:tab/>
      </w:r>
      <w:r>
        <w:rPr>
          <w:rFonts w:ascii="Arial" w:cs="Arial" w:eastAsia="Arial" w:hAnsi="Arial"/>
          <w:sz w:val="21"/>
          <w:szCs w:val="21"/>
          <w:color w:val="auto"/>
        </w:rPr>
        <w:t>SA-37</w:t>
      </w:r>
    </w:p>
    <w:p>
      <w:pPr>
        <w:spacing w:after="0" w:line="2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tab/>
        <w:t>Page 3 of 3</w:t>
      </w:r>
    </w:p>
    <w:p>
      <w:pPr>
        <w:spacing w:after="0" w:line="1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6635115" cy="32746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6635115" cy="3274695"/>
                    </a:xfrm>
                    <a:prstGeom prst="rect">
                      <a:avLst/>
                    </a:prstGeom>
                    <a:noFill/>
                  </pic:spPr>
                </pic:pic>
              </a:graphicData>
            </a:graphic>
          </wp:anchor>
        </w:drawing>
        <w:t>Attachment A to AAL-PA-03735-LA-1801206R1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3240" w:type="dxa"/>
            <w:vAlign w:val="bottom"/>
            <w:tcBorders>
              <w:top w:val="single" w:sz="8" w:color="auto"/>
              <w:right w:val="single" w:sz="8" w:color="auto"/>
            </w:tcBorders>
          </w:tcPr>
          <w:p>
            <w:pPr>
              <w:spacing w:after="0"/>
              <w:rPr>
                <w:sz w:val="24"/>
                <w:szCs w:val="24"/>
                <w:color w:val="auto"/>
              </w:rPr>
            </w:pPr>
          </w:p>
        </w:tc>
        <w:tc>
          <w:tcPr>
            <w:tcW w:w="3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 xml:space="preserve">[****] </w:t>
            </w:r>
            <w:r>
              <w:rPr>
                <w:rFonts w:ascii="Times New Roman" w:cs="Times New Roman" w:eastAsia="Times New Roman" w:hAnsi="Times New Roman"/>
                <w:sz w:val="22"/>
                <w:szCs w:val="22"/>
                <w:b w:val="1"/>
                <w:bCs w:val="1"/>
                <w:color w:val="auto"/>
                <w:w w:val="98"/>
              </w:rPr>
              <w:t>Delivery Month</w:t>
            </w: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7"/>
              </w:rPr>
              <w:t xml:space="preserve">[****] </w:t>
            </w:r>
            <w:r>
              <w:rPr>
                <w:rFonts w:ascii="Times New Roman" w:cs="Times New Roman" w:eastAsia="Times New Roman" w:hAnsi="Times New Roman"/>
                <w:sz w:val="22"/>
                <w:szCs w:val="22"/>
                <w:b w:val="1"/>
                <w:bCs w:val="1"/>
                <w:color w:val="auto"/>
                <w:w w:val="97"/>
              </w:rPr>
              <w:t>Delivery Month</w:t>
            </w:r>
          </w:p>
        </w:tc>
      </w:tr>
      <w:tr>
        <w:trPr>
          <w:trHeight w:val="286"/>
        </w:trPr>
        <w:tc>
          <w:tcPr>
            <w:tcW w:w="324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(Nominal Delivery Month)</w:t>
            </w:r>
          </w:p>
        </w:tc>
      </w:tr>
      <w:tr>
        <w:trPr>
          <w:trHeight w:val="55"/>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30"/>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5"/>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30"/>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5"/>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30"/>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3</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5"/>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30"/>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5"/>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29"/>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5</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29"/>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6</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29"/>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7</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29"/>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8</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29"/>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9</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329"/>
        </w:trPr>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10</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4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w:t>
            </w:r>
          </w:p>
        </w:tc>
      </w:tr>
      <w:tr>
        <w:trPr>
          <w:trHeight w:val="56"/>
        </w:trPr>
        <w:tc>
          <w:tcPr>
            <w:tcW w:w="32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460" w:type="dxa"/>
            <w:vAlign w:val="bottom"/>
          </w:tcPr>
          <w:p>
            <w:pPr>
              <w:spacing w:after="0"/>
              <w:rPr>
                <w:sz w:val="20"/>
                <w:szCs w:val="20"/>
                <w:color w:val="auto"/>
              </w:rPr>
            </w:pPr>
            <w:r>
              <w:rPr>
                <w:rFonts w:ascii="Arial" w:cs="Arial" w:eastAsia="Arial" w:hAnsi="Arial"/>
                <w:sz w:val="22"/>
                <w:szCs w:val="22"/>
                <w:color w:val="auto"/>
              </w:rPr>
              <w:t>PA No. 3219</w:t>
            </w:r>
          </w:p>
        </w:tc>
        <w:tc>
          <w:tcPr>
            <w:tcW w:w="840" w:type="dxa"/>
            <w:vAlign w:val="bottom"/>
          </w:tcPr>
          <w:p>
            <w:pPr>
              <w:ind w:left="240"/>
              <w:spacing w:after="0"/>
              <w:rPr>
                <w:sz w:val="20"/>
                <w:szCs w:val="20"/>
                <w:color w:val="auto"/>
              </w:rPr>
            </w:pPr>
            <w:r>
              <w:rPr>
                <w:rFonts w:ascii="Arial" w:cs="Arial" w:eastAsia="Arial" w:hAnsi="Arial"/>
                <w:sz w:val="22"/>
                <w:szCs w:val="22"/>
                <w:color w:val="auto"/>
                <w:w w:val="94"/>
              </w:rPr>
              <w:t>SA-37</w:t>
            </w:r>
          </w:p>
        </w:tc>
      </w:tr>
    </w:tbl>
    <w:p>
      <w:pPr>
        <w:spacing w:after="0"/>
        <w:rPr>
          <w:sz w:val="20"/>
          <w:szCs w:val="20"/>
          <w:color w:val="auto"/>
        </w:rPr>
      </w:pPr>
      <w:r>
        <w:rPr>
          <w:rFonts w:ascii="Arial" w:cs="Arial" w:eastAsia="Arial" w:hAnsi="Arial"/>
          <w:sz w:val="22"/>
          <w:szCs w:val="22"/>
          <w:color w:val="auto"/>
        </w:rPr>
        <w:t>Attachment A to AAL-PA-03735-LA-1801206R1</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460"/>
          </w:cols>
          <w:pgMar w:left="320" w:top="894" w:right="11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2026</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Date:April 23, 2026</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2026</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2026</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2026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23, 2026</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23, 2026</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2026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23, 2026</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23, 2026</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1."/>
      <w:numFmt w:val="decimal"/>
      <w:start w:val="4"/>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1."/>
      <w:numFmt w:val="decimal"/>
      <w:start w:val="3"/>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6"/>
    </w:lvl>
  </w:abstractNum>
  <w:abstractNum w:abstractNumId="40">
    <w:nsid w:val="579BE4F1"/>
    <w:multiLevelType w:val="hybridMultilevel"/>
    <w:lvl w:ilvl="0">
      <w:lvlJc w:val="left"/>
      <w:lvlText w:val="†"/>
      <w:numFmt w:val="bullet"/>
      <w:start w:val="1"/>
    </w:lvl>
    <w:lvl w:ilvl="1">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2"/>
    </w:lvl>
  </w:abstractNum>
  <w:abstractNum w:abstractNumId="43">
    <w:nsid w:val="2F305DEF"/>
    <w:multiLevelType w:val="hybridMultilevel"/>
    <w:lvl w:ilvl="0">
      <w:lvlJc w:val="left"/>
      <w:lvlText w:val="%1."/>
      <w:numFmt w:val="decimal"/>
      <w:start w:val="3"/>
    </w:lvl>
  </w:abstractNum>
  <w:abstractNum w:abstractNumId="44">
    <w:nsid w:val="25A70BF7"/>
    <w:multiLevelType w:val="hybridMultilevel"/>
    <w:lvl w:ilvl="0">
      <w:lvlJc w:val="left"/>
      <w:lvlText w:val="%1."/>
      <w:numFmt w:val="decimal"/>
      <w:start w:val="4"/>
    </w:lvl>
  </w:abstractNum>
  <w:abstractNum w:abstractNumId="45">
    <w:nsid w:val="1DBABF00"/>
    <w:multiLevelType w:val="hybridMultilevel"/>
    <w:lvl w:ilvl="0">
      <w:lvlJc w:val="left"/>
      <w:lvlText w:val="%1."/>
      <w:numFmt w:val="decimal"/>
      <w:start w:val="5"/>
    </w:lvl>
  </w:abstractNum>
  <w:abstractNum w:abstractNumId="46">
    <w:nsid w:val="4AD084E9"/>
    <w:multiLevelType w:val="hybridMultilevel"/>
    <w:lvl w:ilvl="0">
      <w:lvlJc w:val="left"/>
      <w:lvlText w:val="1"/>
      <w:numFmt w:val="bullet"/>
      <w:start w:val="1"/>
    </w:lvl>
  </w:abstractNum>
  <w:abstractNum w:abstractNumId="47">
    <w:nsid w:val="1F48EAA1"/>
    <w:multiLevelType w:val="hybridMultilevel"/>
    <w:lvl w:ilvl="0">
      <w:lvlJc w:val="left"/>
      <w:lvlText w:val="%1."/>
      <w:numFmt w:val="upperLetter"/>
      <w:start w:val="2"/>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decimal"/>
      <w:start w:val="2"/>
    </w:lvl>
  </w:abstractNum>
  <w:abstractNum w:abstractNumId="51">
    <w:nsid w:val="6590700B"/>
    <w:multiLevelType w:val="hybridMultilevel"/>
    <w:lvl w:ilvl="0">
      <w:lvlJc w:val="left"/>
      <w:lvlText w:val="%1."/>
      <w:numFmt w:val="decimal"/>
      <w:start w:val="3"/>
    </w:lvl>
  </w:abstractNum>
  <w:abstractNum w:abstractNumId="52">
    <w:nsid w:val="15014ACB"/>
    <w:multiLevelType w:val="hybridMultilevel"/>
    <w:lvl w:ilvl="0">
      <w:lvlJc w:val="left"/>
      <w:lvlText w:val="%1."/>
      <w:numFmt w:val="decimal"/>
      <w:start w:val="4"/>
    </w:lvl>
  </w:abstractNum>
  <w:abstractNum w:abstractNumId="53">
    <w:nsid w:val="5F5E7FD0"/>
    <w:multiLevelType w:val="hybridMultilevel"/>
    <w:lvl w:ilvl="0">
      <w:lvlJc w:val="left"/>
      <w:lvlText w:val="%1."/>
      <w:numFmt w:val="decimal"/>
      <w:start w:val="5"/>
    </w:lvl>
  </w:abstractNum>
  <w:abstractNum w:abstractNumId="54">
    <w:nsid w:val="98A3148"/>
    <w:multiLevelType w:val="hybridMultilevel"/>
    <w:lvl w:ilvl="0">
      <w:lvlJc w:val="left"/>
      <w:lvlText w:val="%1."/>
      <w:numFmt w:val="decimal"/>
      <w:start w:val="6"/>
    </w:lvl>
  </w:abstractNum>
  <w:abstractNum w:abstractNumId="55">
    <w:nsid w:val="799D0247"/>
    <w:multiLevelType w:val="hybridMultilevel"/>
    <w:lvl w:ilvl="0">
      <w:lvlJc w:val="left"/>
      <w:lvlText w:val="%1."/>
      <w:numFmt w:val="decimal"/>
      <w:start w:val="8"/>
    </w:lvl>
  </w:abstractNum>
  <w:abstractNum w:abstractNumId="56">
    <w:nsid w:val="6B94764"/>
    <w:multiLevelType w:val="hybridMultilevel"/>
    <w:lvl w:ilvl="0">
      <w:lvlJc w:val="left"/>
      <w:lvlText w:val="%1."/>
      <w:numFmt w:val="decimal"/>
      <w:start w:val="9"/>
    </w:lvl>
  </w:abstractNum>
  <w:abstractNum w:abstractNumId="57">
    <w:nsid w:val="42C296BD"/>
    <w:multiLevelType w:val="hybridMultilevel"/>
    <w:lvl w:ilvl="0">
      <w:lvlJc w:val="left"/>
      <w:lvlText w:val="%1."/>
      <w:numFmt w:val="decimal"/>
      <w:start w:val="10"/>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2"/>
    </w:lvl>
  </w:abstractNum>
  <w:abstractNum w:abstractNumId="60">
    <w:nsid w:val="661E3F1E"/>
    <w:multiLevelType w:val="hybridMultilevel"/>
    <w:lvl w:ilvl="0">
      <w:lvlJc w:val="left"/>
      <w:lvlText w:val="%1."/>
      <w:numFmt w:val="decimal"/>
      <w:start w:val="4"/>
    </w:lvl>
  </w:abstractNum>
  <w:abstractNum w:abstractNumId="61">
    <w:nsid w:val="5DC79EA8"/>
    <w:multiLevelType w:val="hybridMultilevel"/>
    <w:lvl w:ilvl="0">
      <w:lvlJc w:val="left"/>
      <w:lvlText w:val="%1."/>
      <w:numFmt w:val="decimal"/>
      <w:start w:val="5"/>
    </w:lvl>
  </w:abstractNum>
  <w:abstractNum w:abstractNumId="62">
    <w:nsid w:val="540A471C"/>
    <w:multiLevelType w:val="hybridMultilevel"/>
    <w:lvl w:ilvl="0">
      <w:lvlJc w:val="left"/>
      <w:lvlText w:val="%1)"/>
      <w:numFmt w:val="lowerRoman"/>
      <w:start w:val="1"/>
    </w:lvl>
  </w:abstractNum>
  <w:abstractNum w:abstractNumId="63">
    <w:nsid w:val="7BD3EE7B"/>
    <w:multiLevelType w:val="hybridMultilevel"/>
    <w:lvl w:ilvl="0">
      <w:lvlJc w:val="left"/>
      <w:lvlText w:val="%1."/>
      <w:numFmt w:val="decimal"/>
      <w:start w:val="6"/>
    </w:lvl>
    <w:lvl w:ilvl="1">
      <w:lvlJc w:val="left"/>
      <w:lvlText w:val="%2."/>
      <w:numFmt w:val="decimal"/>
      <w:start w:val="8"/>
    </w:lvl>
  </w:abstractNum>
  <w:abstractNum w:abstractNumId="64">
    <w:nsid w:val="51D9C564"/>
    <w:multiLevelType w:val="hybridMultilevel"/>
    <w:lvl w:ilvl="0">
      <w:lvlJc w:val="left"/>
      <w:lvlText w:val="%1."/>
      <w:numFmt w:val="decimal"/>
      <w:start w:val="9"/>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1."/>
      <w:numFmt w:val="decimal"/>
      <w:start w:val="2"/>
    </w:lvl>
  </w:abstractNum>
  <w:abstractNum w:abstractNumId="67">
    <w:nsid w:val="11447B73"/>
    <w:multiLevelType w:val="hybridMultilevel"/>
    <w:lvl w:ilvl="0">
      <w:lvlJc w:val="left"/>
      <w:lvlText w:val="%1."/>
      <w:numFmt w:val="decimal"/>
      <w:start w:val="3"/>
    </w:lvl>
  </w:abstractNum>
  <w:abstractNum w:abstractNumId="68">
    <w:nsid w:val="42963E5A"/>
    <w:multiLevelType w:val="hybridMultilevel"/>
    <w:lvl w:ilvl="0">
      <w:lvlJc w:val="left"/>
      <w:lvlText w:val="(%1)"/>
      <w:numFmt w:val="lowerRoman"/>
      <w:start w:val="1"/>
    </w:lvl>
  </w:abstractNum>
  <w:abstractNum w:abstractNumId="69">
    <w:nsid w:val="A0382C5"/>
    <w:multiLevelType w:val="hybridMultilevel"/>
    <w:lvl w:ilvl="0">
      <w:lvlJc w:val="left"/>
      <w:lvlText w:val="(%1)"/>
      <w:numFmt w:val="lowerRoman"/>
      <w:start w:val="1"/>
    </w:lvl>
  </w:abstractNum>
  <w:abstractNum w:abstractNumId="70">
    <w:nsid w:val="8F2B15E"/>
    <w:multiLevelType w:val="hybridMultilevel"/>
    <w:lvl w:ilvl="0">
      <w:lvlJc w:val="left"/>
      <w:lvlText w:val="%1."/>
      <w:numFmt w:val="decimal"/>
      <w:start w:val="4"/>
    </w:lvl>
  </w:abstractNum>
  <w:abstractNum w:abstractNumId="71">
    <w:nsid w:val="1A32234B"/>
    <w:multiLevelType w:val="hybridMultilevel"/>
    <w:lvl w:ilvl="0">
      <w:lvlJc w:val="left"/>
      <w:lvlText w:val="%1."/>
      <w:numFmt w:val="decimal"/>
      <w:start w:val="5"/>
    </w:lvl>
  </w:abstractNum>
  <w:abstractNum w:abstractNumId="72">
    <w:nsid w:val="3B0FD379"/>
    <w:multiLevelType w:val="hybridMultilevel"/>
    <w:lvl w:ilvl="0">
      <w:lvlJc w:val="left"/>
      <w:lvlText w:val="%1."/>
      <w:numFmt w:val="decimal"/>
      <w:start w:val="6"/>
    </w:lvl>
  </w:abstractNum>
  <w:abstractNum w:abstractNumId="73">
    <w:nsid w:val="68EB2F63"/>
    <w:multiLevelType w:val="hybridMultilevel"/>
    <w:lvl w:ilvl="0">
      <w:lvlJc w:val="left"/>
      <w:lvlText w:val="%1."/>
      <w:numFmt w:val="decimal"/>
      <w:start w:val="7"/>
    </w:lvl>
  </w:abstractNum>
  <w:abstractNum w:abstractNumId="74">
    <w:nsid w:val="4962813B"/>
    <w:multiLevelType w:val="hybridMultilevel"/>
    <w:lvl w:ilvl="0">
      <w:lvlJc w:val="left"/>
      <w:lvlText w:val="%1."/>
      <w:numFmt w:val="decimal"/>
      <w:start w:val="8"/>
    </w:lvl>
  </w:abstractNum>
  <w:abstractNum w:abstractNumId="75">
    <w:nsid w:val="60B6DF70"/>
    <w:multiLevelType w:val="hybridMultilevel"/>
    <w:lvl w:ilvl="0">
      <w:lvlJc w:val="left"/>
      <w:lvlText w:val="1"/>
      <w:numFmt w:val="bullet"/>
      <w:start w:val="1"/>
    </w:lvl>
    <w:lvl w:ilvl="1">
      <w:lvlJc w:val="left"/>
      <w:lvlText w:val="%2."/>
      <w:numFmt w:val="decimal"/>
      <w:start w:val="1"/>
    </w:lvl>
  </w:abstractNum>
  <w:abstractNum w:abstractNumId="76">
    <w:nsid w:val="6A5EE64"/>
    <w:multiLevelType w:val="hybridMultilevel"/>
    <w:lvl w:ilvl="0">
      <w:lvlJc w:val="left"/>
      <w:lvlText w:val="%1."/>
      <w:numFmt w:val="decimal"/>
      <w:start w:val="2"/>
    </w:lvl>
  </w:abstractNum>
  <w:abstractNum w:abstractNumId="77">
    <w:nsid w:val="14330624"/>
    <w:multiLevelType w:val="hybridMultilevel"/>
    <w:lvl w:ilvl="0">
      <w:lvlJc w:val="left"/>
      <w:lvlText w:val="%1."/>
      <w:numFmt w:val="decimal"/>
      <w:start w:val="4"/>
    </w:lvl>
  </w:abstractNum>
  <w:abstractNum w:abstractNumId="78">
    <w:nsid w:val="7FFFCA11"/>
    <w:multiLevelType w:val="hybridMultilevel"/>
    <w:lvl w:ilvl="0">
      <w:lvlJc w:val="left"/>
      <w:lvlText w:val="%1."/>
      <w:numFmt w:val="decimal"/>
      <w:start w:val="5"/>
    </w:lvl>
  </w:abstractNum>
  <w:abstractNum w:abstractNumId="79">
    <w:nsid w:val="1A27709E"/>
    <w:multiLevelType w:val="hybridMultilevel"/>
    <w:lvl w:ilvl="0">
      <w:lvlJc w:val="left"/>
      <w:lvlText w:val="%1."/>
      <w:numFmt w:val="decimal"/>
      <w:start w:val="6"/>
    </w:lvl>
  </w:abstractNum>
  <w:abstractNum w:abstractNumId="80">
    <w:nsid w:val="71EA1109"/>
    <w:multiLevelType w:val="hybridMultilevel"/>
    <w:lvl w:ilvl="0">
      <w:lvlJc w:val="left"/>
      <w:lvlText w:val="%1."/>
      <w:numFmt w:val="decimal"/>
      <w:start w:val="1"/>
    </w:lvl>
    <w:lvl w:ilvl="1">
      <w:lvlJc w:val="left"/>
      <w:lvlText w:val="(%2)"/>
      <w:numFmt w:val="lowerLetter"/>
      <w:start w:val="1"/>
    </w:lvl>
  </w:abstractNum>
  <w:abstractNum w:abstractNumId="81">
    <w:nsid w:val="100F59DC"/>
    <w:multiLevelType w:val="hybridMultilevel"/>
    <w:lvl w:ilvl="0">
      <w:lvlJc w:val="left"/>
      <w:lvlText w:val="%1."/>
      <w:numFmt w:val="decimal"/>
      <w:start w:val="1"/>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jpeg"/><Relationship Id="rId137" Type="http://schemas.openxmlformats.org/officeDocument/2006/relationships/image" Target="media/image126.jpe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jpeg"/><Relationship Id="rId156" Type="http://schemas.openxmlformats.org/officeDocument/2006/relationships/image" Target="media/image145.jpeg"/><Relationship Id="rId157" Type="http://schemas.openxmlformats.org/officeDocument/2006/relationships/image" Target="media/image146.jpeg"/><Relationship Id="rId158" Type="http://schemas.openxmlformats.org/officeDocument/2006/relationships/image" Target="media/image147.jpeg"/><Relationship Id="rId159" Type="http://schemas.openxmlformats.org/officeDocument/2006/relationships/image" Target="media/image148.png"/><Relationship Id="rId160" Type="http://schemas.openxmlformats.org/officeDocument/2006/relationships/image" Target="media/image149.jpeg"/><Relationship Id="rId161" Type="http://schemas.openxmlformats.org/officeDocument/2006/relationships/image" Target="media/image150.jpeg"/><Relationship Id="rId162" Type="http://schemas.openxmlformats.org/officeDocument/2006/relationships/image" Target="media/image151.jpeg"/><Relationship Id="rId163" Type="http://schemas.openxmlformats.org/officeDocument/2006/relationships/image" Target="media/image152.jpeg"/><Relationship Id="rId164" Type="http://schemas.openxmlformats.org/officeDocument/2006/relationships/image" Target="media/image153.jpeg"/><Relationship Id="rId165" Type="http://schemas.openxmlformats.org/officeDocument/2006/relationships/image" Target="media/image154.jpe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jpe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18" Type="http://schemas.openxmlformats.org/officeDocument/2006/relationships/hyperlink" Target="https://www.sec.gov/Archives/edgar/data/6201/000000620126000014/a10153severanceagreement-p.htm" TargetMode="External"/><Relationship Id="rId119" Type="http://schemas.openxmlformats.org/officeDocument/2006/relationships/hyperlink" Target="https://www.sec.gov/Archives/edgar/data/6201/000119312526098647/d35934dex101.htm" TargetMode="External"/><Relationship Id="rId120" Type="http://schemas.openxmlformats.org/officeDocument/2006/relationships/hyperlink" Target="https://www.sec.gov/Archives/edgar/data/6201/000119312526098647/d35934dex102.htm" TargetMode="External"/><Relationship Id="rId121" Type="http://schemas.openxmlformats.org/officeDocument/2006/relationships/hyperlink" Target="https://www.sec.gov/Archives/edgar/data/6201/000119312526098647/d3593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2026-04-23T06:07:02Z</dcterms:created>
  <dcterms:modified xsi:type="dcterms:W3CDTF">2026-04-23T06:07:02Z</dcterms:modified>
</cp:coreProperties>
</file>