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83820</wp:posOffset>
            </wp:positionV>
            <wp:extent cx="2640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41"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108585</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99"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18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1066" w:right="339" w:bottom="0" w:gutter="0" w:footer="0" w:header="0"/>
        </w:sectPr>
      </w:pPr>
    </w:p>
    <w:p>
      <w:pPr>
        <w:spacing w:after="0" w:line="48"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480" w:space="720"/>
            <w:col w:w="4040"/>
          </w:cols>
          <w:pgMar w:left="320" w:top="1066" w:right="339" w:bottom="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100330</wp:posOffset>
            </wp:positionV>
            <wp:extent cx="3960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ectPr>
          <w:pgSz w:w="11900" w:h="16838" w:orient="portrait"/>
          <w:cols w:equalWidth="0" w:num="1">
            <w:col w:w="11240"/>
          </w:cols>
          <w:pgMar w:left="320" w:top="1066" w:right="339" w:bottom="0" w:gutter="0" w:footer="0" w:header="0"/>
          <w:type w:val="continuous"/>
        </w:sect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96520</wp:posOffset>
            </wp:positionV>
            <wp:extent cx="3960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ectPr>
          <w:pgSz w:w="11900" w:h="16838" w:orient="portrait"/>
          <w:cols w:equalWidth="0" w:num="1">
            <w:col w:w="11240"/>
          </w:cols>
          <w:pgMar w:left="320" w:top="1066" w:right="339" w:bottom="0" w:gutter="0" w:footer="0" w:header="0"/>
          <w:type w:val="continuous"/>
        </w:sectPr>
      </w:pPr>
    </w:p>
    <w:p>
      <w:pPr>
        <w:spacing w:after="0" w:line="200" w:lineRule="exact"/>
        <w:rPr>
          <w:sz w:val="24"/>
          <w:szCs w:val="24"/>
          <w:color w:val="auto"/>
        </w:rPr>
      </w:pPr>
    </w:p>
    <w:p>
      <w:pPr>
        <w:spacing w:after="0" w:line="366"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75-1825172</w:t>
      </w:r>
    </w:p>
    <w:p>
      <w:pPr>
        <w:spacing w:after="0" w:line="109" w:lineRule="exact"/>
        <w:rPr>
          <w:sz w:val="24"/>
          <w:szCs w:val="24"/>
          <w:color w:val="auto"/>
        </w:rPr>
      </w:pPr>
    </w:p>
    <w:p>
      <w:pPr>
        <w:sectPr>
          <w:pgSz w:w="11900" w:h="16838" w:orient="portrait"/>
          <w:cols w:equalWidth="0" w:num="2">
            <w:col w:w="6640" w:space="720"/>
            <w:col w:w="3880"/>
          </w:cols>
          <w:pgMar w:left="320" w:top="1066" w:right="339" w:bottom="0" w:gutter="0" w:footer="0" w:header="0"/>
          <w:type w:val="continuous"/>
        </w:sectPr>
      </w:pPr>
    </w:p>
    <w:p>
      <w:pPr>
        <w:ind w:left="8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4"/>
          <w:szCs w:val="14"/>
          <w:color w:val="auto"/>
        </w:rPr>
        <w:t>(I.R.S. Employer Identification No.)</w:t>
      </w:r>
    </w:p>
    <w:p>
      <w:pPr>
        <w:spacing w:after="0" w:line="86" w:lineRule="exact"/>
        <w:rPr>
          <w:sz w:val="24"/>
          <w:szCs w:val="24"/>
          <w:color w:val="auto"/>
        </w:rPr>
      </w:pPr>
    </w:p>
    <w:p>
      <w:pPr>
        <w:sectPr>
          <w:pgSz w:w="11900" w:h="16838" w:orient="portrait"/>
          <w:cols w:equalWidth="0" w:num="2">
            <w:col w:w="5960" w:space="720"/>
            <w:col w:w="4560"/>
          </w:cols>
          <w:pgMar w:left="320" w:top="1066" w:right="339" w:bottom="0" w:gutter="0" w:footer="0" w:header="0"/>
          <w:type w:val="continuous"/>
        </w:sectPr>
      </w:pPr>
    </w:p>
    <w:p>
      <w:pPr>
        <w:ind w:left="1340"/>
        <w:spacing w:after="0"/>
        <w:tabs>
          <w:tab w:leader="none" w:pos="3820" w:val="left"/>
          <w:tab w:leader="none" w:pos="4480" w:val="left"/>
        </w:tabs>
        <w:rPr>
          <w:sz w:val="20"/>
          <w:szCs w:val="20"/>
          <w:color w:val="auto"/>
        </w:rPr>
      </w:pPr>
      <w:r>
        <w:rPr>
          <w:rFonts w:ascii="Arial" w:cs="Arial" w:eastAsia="Arial" w:hAnsi="Arial"/>
          <w:sz w:val="16"/>
          <w:szCs w:val="16"/>
          <w:b w:val="1"/>
          <w:bCs w:val="1"/>
          <w:color w:val="auto"/>
        </w:rPr>
        <w:t>1 Skyview Drive, Fort Worth,</w:t>
      </w:r>
      <w:r>
        <w:rPr>
          <w:sz w:val="20"/>
          <w:szCs w:val="20"/>
          <w:color w:val="auto"/>
        </w:rPr>
        <w:tab/>
      </w:r>
      <w:r>
        <w:rPr>
          <w:rFonts w:ascii="Arial" w:cs="Arial" w:eastAsia="Arial" w:hAnsi="Arial"/>
          <w:sz w:val="16"/>
          <w:szCs w:val="16"/>
          <w:b w:val="1"/>
          <w:bCs w:val="1"/>
          <w:color w:val="auto"/>
        </w:rPr>
        <w:t>Texas</w:t>
      </w:r>
      <w:r>
        <w:rPr>
          <w:sz w:val="20"/>
          <w:szCs w:val="20"/>
          <w:color w:val="auto"/>
        </w:rPr>
        <w:tab/>
      </w:r>
      <w:r>
        <w:rPr>
          <w:rFonts w:ascii="Arial" w:cs="Arial" w:eastAsia="Arial" w:hAnsi="Arial"/>
          <w:sz w:val="15"/>
          <w:szCs w:val="15"/>
          <w:b w:val="1"/>
          <w:bCs w:val="1"/>
          <w:color w:val="auto"/>
        </w:rPr>
        <w:t>76155</w:t>
      </w:r>
    </w:p>
    <w:p>
      <w:pPr>
        <w:spacing w:after="0" w:line="20" w:lineRule="exact"/>
        <w:rPr>
          <w:sz w:val="24"/>
          <w:szCs w:val="24"/>
          <w:color w:val="auto"/>
        </w:rPr>
      </w:pPr>
      <w:r>
        <w:rPr>
          <w:sz w:val="24"/>
          <w:szCs w:val="24"/>
          <w:color w:val="auto"/>
        </w:rPr>
        <w:br w:type="column"/>
      </w:r>
    </w:p>
    <w:p>
      <w:pPr>
        <w:jc w:val="center"/>
        <w:ind w:right="2720"/>
        <w:spacing w:after="0"/>
        <w:rPr>
          <w:sz w:val="20"/>
          <w:szCs w:val="20"/>
          <w:color w:val="auto"/>
        </w:rPr>
      </w:pPr>
      <w:r>
        <w:rPr>
          <w:rFonts w:ascii="Arial" w:cs="Arial" w:eastAsia="Arial" w:hAnsi="Arial"/>
          <w:sz w:val="16"/>
          <w:szCs w:val="16"/>
          <w:b w:val="1"/>
          <w:bCs w:val="1"/>
          <w:color w:val="auto"/>
        </w:rPr>
        <w:t>(817) 963-1234</w:t>
      </w:r>
    </w:p>
    <w:p>
      <w:pPr>
        <w:spacing w:after="0" w:line="109" w:lineRule="exact"/>
        <w:rPr>
          <w:sz w:val="24"/>
          <w:szCs w:val="24"/>
          <w:color w:val="auto"/>
        </w:rPr>
      </w:pPr>
    </w:p>
    <w:p>
      <w:pPr>
        <w:sectPr>
          <w:pgSz w:w="11900" w:h="16838" w:orient="portrait"/>
          <w:cols w:equalWidth="0" w:num="2">
            <w:col w:w="6680" w:space="720"/>
            <w:col w:w="3840"/>
          </w:cols>
          <w:pgMar w:left="320" w:top="1066" w:right="339" w:bottom="0" w:gutter="0" w:footer="0" w:header="0"/>
          <w:type w:val="continuous"/>
        </w:sectPr>
      </w:pPr>
    </w:p>
    <w:p>
      <w:pPr>
        <w:ind w:left="84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ectPr>
          <w:pgSz w:w="11900" w:h="16838" w:orient="portrait"/>
          <w:cols w:equalWidth="0" w:num="2">
            <w:col w:w="5380" w:space="720"/>
            <w:col w:w="5140"/>
          </w:cols>
          <w:pgMar w:left="320" w:top="1066" w:right="339" w:bottom="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100330</wp:posOffset>
            </wp:positionV>
            <wp:extent cx="3960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ectPr>
          <w:pgSz w:w="11900" w:h="16838" w:orient="portrait"/>
          <w:cols w:equalWidth="0" w:num="1">
            <w:col w:w="11240"/>
          </w:cols>
          <w:pgMar w:left="320" w:top="1066" w:right="339" w:bottom="0" w:gutter="0" w:footer="0" w:header="0"/>
          <w:type w:val="continuous"/>
        </w:sect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96520</wp:posOffset>
            </wp:positionV>
            <wp:extent cx="3960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jc w:val="center"/>
              <w:ind w:left="1562"/>
              <w:spacing w:after="0"/>
              <w:rPr>
                <w:sz w:val="20"/>
                <w:szCs w:val="20"/>
                <w:color w:val="auto"/>
              </w:rPr>
            </w:pPr>
            <w:r>
              <w:rPr>
                <w:rFonts w:ascii="Arial" w:cs="Arial" w:eastAsia="Arial" w:hAnsi="Arial"/>
                <w:sz w:val="16"/>
                <w:szCs w:val="16"/>
                <w:b w:val="1"/>
                <w:bCs w:val="1"/>
                <w:color w:val="auto"/>
              </w:rPr>
              <w:t>Delaware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20" w:type="dxa"/>
            <w:vAlign w:val="bottom"/>
            <w:gridSpan w:val="3"/>
          </w:tcPr>
          <w:p>
            <w:pPr>
              <w:jc w:val="center"/>
              <w:ind w:right="2199"/>
              <w:spacing w:after="0"/>
              <w:rPr>
                <w:sz w:val="20"/>
                <w:szCs w:val="20"/>
                <w:color w:val="auto"/>
              </w:rPr>
            </w:pPr>
            <w:r>
              <w:rPr>
                <w:rFonts w:ascii="Arial" w:cs="Arial" w:eastAsia="Arial" w:hAnsi="Arial"/>
                <w:sz w:val="16"/>
                <w:szCs w:val="16"/>
                <w:b w:val="1"/>
                <w:bCs w:val="1"/>
                <w:color w:val="auto"/>
              </w:rPr>
              <w:t>13-1502798</w:t>
            </w:r>
          </w:p>
        </w:tc>
        <w:tc>
          <w:tcPr>
            <w:tcW w:w="0" w:type="dxa"/>
            <w:vAlign w:val="bottom"/>
          </w:tcPr>
          <w:p>
            <w:pPr>
              <w:spacing w:after="0"/>
              <w:rPr>
                <w:sz w:val="1"/>
                <w:szCs w:val="1"/>
                <w:color w:val="auto"/>
              </w:rPr>
            </w:pPr>
          </w:p>
        </w:tc>
      </w:tr>
      <w:tr>
        <w:trPr>
          <w:trHeight w:val="251"/>
        </w:trPr>
        <w:tc>
          <w:tcPr>
            <w:tcW w:w="5040" w:type="dxa"/>
            <w:vAlign w:val="bottom"/>
            <w:gridSpan w:val="4"/>
          </w:tcPr>
          <w:p>
            <w:pPr>
              <w:jc w:val="center"/>
              <w:ind w:left="242"/>
              <w:spacing w:after="0"/>
              <w:rPr>
                <w:sz w:val="20"/>
                <w:szCs w:val="20"/>
                <w:color w:val="auto"/>
              </w:rPr>
            </w:pPr>
            <w:r>
              <w:rPr>
                <w:rFonts w:ascii="Arial" w:cs="Arial" w:eastAsia="Arial" w:hAnsi="Arial"/>
                <w:sz w:val="14"/>
                <w:szCs w:val="14"/>
                <w:color w:val="auto"/>
              </w:rPr>
              <w:t>(State or other jurisdiction of incorporation or organization)</w:t>
            </w:r>
          </w:p>
        </w:tc>
        <w:tc>
          <w:tcPr>
            <w:tcW w:w="1580" w:type="dxa"/>
            <w:vAlign w:val="bottom"/>
          </w:tcPr>
          <w:p>
            <w:pPr>
              <w:spacing w:after="0"/>
              <w:rPr>
                <w:sz w:val="21"/>
                <w:szCs w:val="21"/>
                <w:color w:val="auto"/>
              </w:rPr>
            </w:pPr>
          </w:p>
        </w:tc>
        <w:tc>
          <w:tcPr>
            <w:tcW w:w="4620" w:type="dxa"/>
            <w:vAlign w:val="bottom"/>
            <w:gridSpan w:val="3"/>
            <w:vMerge w:val="restart"/>
          </w:tcPr>
          <w:p>
            <w:pPr>
              <w:jc w:val="center"/>
              <w:ind w:right="2199"/>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3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720" w:type="dxa"/>
            <w:vAlign w:val="bottom"/>
          </w:tcPr>
          <w:p>
            <w:pPr>
              <w:ind w:left="1340"/>
              <w:spacing w:after="0"/>
              <w:rPr>
                <w:sz w:val="20"/>
                <w:szCs w:val="20"/>
                <w:color w:val="auto"/>
              </w:rPr>
            </w:pPr>
            <w:r>
              <w:rPr>
                <w:rFonts w:ascii="Arial" w:cs="Arial" w:eastAsia="Arial" w:hAnsi="Arial"/>
                <w:sz w:val="16"/>
                <w:szCs w:val="16"/>
                <w:b w:val="1"/>
                <w:bCs w:val="1"/>
                <w:color w:val="auto"/>
              </w:rPr>
              <w:t>1 Skyview Drive, Fort Worth,</w:t>
            </w:r>
          </w:p>
        </w:tc>
        <w:tc>
          <w:tcPr>
            <w:tcW w:w="1320" w:type="dxa"/>
            <w:vAlign w:val="bottom"/>
            <w:gridSpan w:val="3"/>
          </w:tcPr>
          <w:p>
            <w:pPr>
              <w:ind w:left="120"/>
              <w:spacing w:after="0"/>
              <w:rPr>
                <w:sz w:val="20"/>
                <w:szCs w:val="20"/>
                <w:color w:val="auto"/>
              </w:rPr>
            </w:pPr>
            <w:r>
              <w:rPr>
                <w:rFonts w:ascii="Arial" w:cs="Arial" w:eastAsia="Arial" w:hAnsi="Arial"/>
                <w:sz w:val="16"/>
                <w:szCs w:val="16"/>
                <w:b w:val="1"/>
                <w:bCs w:val="1"/>
                <w:color w:val="auto"/>
              </w:rPr>
              <w:t>Texas  76155</w:t>
            </w:r>
          </w:p>
        </w:tc>
        <w:tc>
          <w:tcPr>
            <w:tcW w:w="1580" w:type="dxa"/>
            <w:vAlign w:val="bottom"/>
          </w:tcPr>
          <w:p>
            <w:pPr>
              <w:spacing w:after="0"/>
              <w:rPr>
                <w:sz w:val="20"/>
                <w:szCs w:val="20"/>
                <w:color w:val="auto"/>
              </w:rPr>
            </w:pPr>
          </w:p>
        </w:tc>
        <w:tc>
          <w:tcPr>
            <w:tcW w:w="4620" w:type="dxa"/>
            <w:vAlign w:val="bottom"/>
            <w:gridSpan w:val="3"/>
          </w:tcPr>
          <w:p>
            <w:pPr>
              <w:jc w:val="right"/>
              <w:ind w:right="2639"/>
              <w:spacing w:after="0"/>
              <w:rPr>
                <w:sz w:val="20"/>
                <w:szCs w:val="20"/>
                <w:color w:val="auto"/>
              </w:rPr>
            </w:pPr>
            <w:r>
              <w:rPr>
                <w:rFonts w:ascii="Arial" w:cs="Arial" w:eastAsia="Arial" w:hAnsi="Arial"/>
                <w:sz w:val="16"/>
                <w:szCs w:val="16"/>
                <w:b w:val="1"/>
                <w:bCs w:val="1"/>
                <w:color w:val="auto"/>
              </w:rPr>
              <w:t>(817) 963-1234</w:t>
            </w:r>
          </w:p>
        </w:tc>
        <w:tc>
          <w:tcPr>
            <w:tcW w:w="0" w:type="dxa"/>
            <w:vAlign w:val="bottom"/>
          </w:tcPr>
          <w:p>
            <w:pPr>
              <w:spacing w:after="0"/>
              <w:rPr>
                <w:sz w:val="1"/>
                <w:szCs w:val="1"/>
                <w:color w:val="auto"/>
              </w:rPr>
            </w:pPr>
          </w:p>
        </w:tc>
      </w:tr>
      <w:tr>
        <w:trPr>
          <w:trHeight w:val="251"/>
        </w:trPr>
        <w:tc>
          <w:tcPr>
            <w:tcW w:w="5040" w:type="dxa"/>
            <w:vAlign w:val="bottom"/>
            <w:gridSpan w:val="4"/>
          </w:tcPr>
          <w:p>
            <w:pPr>
              <w:jc w:val="center"/>
              <w:ind w:left="242"/>
              <w:spacing w:after="0"/>
              <w:rPr>
                <w:sz w:val="20"/>
                <w:szCs w:val="20"/>
                <w:color w:val="auto"/>
              </w:rPr>
            </w:pPr>
            <w:r>
              <w:rPr>
                <w:rFonts w:ascii="Arial" w:cs="Arial" w:eastAsia="Arial" w:hAnsi="Arial"/>
                <w:sz w:val="14"/>
                <w:szCs w:val="14"/>
                <w:color w:val="auto"/>
              </w:rPr>
              <w:t>(Address of principal executive offices, including zip code)</w:t>
            </w:r>
          </w:p>
        </w:tc>
        <w:tc>
          <w:tcPr>
            <w:tcW w:w="6200" w:type="dxa"/>
            <w:vAlign w:val="bottom"/>
            <w:gridSpan w:val="4"/>
          </w:tcPr>
          <w:p>
            <w:pPr>
              <w:jc w:val="center"/>
              <w:ind w:right="619"/>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424"/>
        </w:trPr>
        <w:tc>
          <w:tcPr>
            <w:tcW w:w="5040" w:type="dxa"/>
            <w:vAlign w:val="bottom"/>
            <w:gridSpan w:val="4"/>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720" w:type="dxa"/>
            <w:vAlign w:val="bottom"/>
            <w:tcBorders>
              <w:bottom w:val="single" w:sz="8" w:color="auto"/>
            </w:tcBorders>
          </w:tcPr>
          <w:p>
            <w:pPr>
              <w:jc w:val="center"/>
              <w:ind w:left="162"/>
              <w:spacing w:after="0"/>
              <w:rPr>
                <w:sz w:val="20"/>
                <w:szCs w:val="20"/>
                <w:color w:val="auto"/>
              </w:rPr>
            </w:pPr>
            <w:r>
              <w:rPr>
                <w:rFonts w:ascii="Arial" w:cs="Arial" w:eastAsia="Arial" w:hAnsi="Arial"/>
                <w:sz w:val="16"/>
                <w:szCs w:val="16"/>
                <w:b w:val="1"/>
                <w:bCs w:val="1"/>
                <w:color w:val="auto"/>
              </w:rPr>
              <w:t>Title of each class</w:t>
            </w:r>
          </w:p>
        </w:tc>
        <w:tc>
          <w:tcPr>
            <w:tcW w:w="2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23"/>
        </w:trPr>
        <w:tc>
          <w:tcPr>
            <w:tcW w:w="3720" w:type="dxa"/>
            <w:vAlign w:val="bottom"/>
          </w:tcPr>
          <w:p>
            <w:pPr>
              <w:jc w:val="center"/>
              <w:ind w:left="162"/>
              <w:spacing w:after="0"/>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7"/>
              </w:rPr>
              <w:t>AAL</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both"/>
        <w:ind w:firstLine="162"/>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40"/>
          </w:cols>
          <w:pgMar w:left="320" w:top="1066" w:right="339" w:bottom="0" w:gutter="0" w:footer="0" w:header="0"/>
          <w:type w:val="continuous"/>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9" w:lineRule="exact"/>
        <w:rPr>
          <w:sz w:val="24"/>
          <w:szCs w:val="24"/>
          <w:color w:val="auto"/>
        </w:rPr>
      </w:pPr>
    </w:p>
    <w:p>
      <w:pPr>
        <w:sectPr>
          <w:pgSz w:w="11900" w:h="16838" w:orient="portrait"/>
          <w:cols w:equalWidth="0" w:num="5">
            <w:col w:w="8640" w:space="720"/>
            <w:col w:w="140" w:space="460"/>
            <w:col w:w="260" w:space="160"/>
            <w:col w:w="160" w:space="460"/>
            <w:col w:w="240"/>
          </w:cols>
          <w:pgMar w:left="320" w:top="1066" w:right="339" w:bottom="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8640" w:space="720"/>
            <w:col w:w="140" w:space="460"/>
            <w:col w:w="260" w:space="160"/>
            <w:col w:w="160" w:space="460"/>
            <w:col w:w="240"/>
          </w:cols>
          <w:pgMar w:left="320" w:top="1066" w:right="339" w:bottom="0" w:gutter="0" w:footer="0" w:header="0"/>
          <w:type w:val="continuous"/>
        </w:sectPr>
      </w:pPr>
    </w:p>
    <w:p>
      <w:pPr>
        <w:ind w:firstLine="162"/>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11240"/>
          </w:cols>
          <w:pgMar w:left="320" w:top="1066" w:right="339" w:bottom="0" w:gutter="0" w:footer="0" w:header="0"/>
          <w:type w:val="continuous"/>
        </w:sectPr>
      </w:pPr>
    </w:p>
    <w:p>
      <w:pPr>
        <w:spacing w:after="0" w:line="141" w:lineRule="exact"/>
        <w:rPr>
          <w:sz w:val="24"/>
          <w:szCs w:val="24"/>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9" w:lineRule="exact"/>
        <w:rPr>
          <w:sz w:val="24"/>
          <w:szCs w:val="24"/>
          <w:color w:val="auto"/>
        </w:rPr>
      </w:pPr>
    </w:p>
    <w:p>
      <w:pPr>
        <w:sectPr>
          <w:pgSz w:w="11900" w:h="16838" w:orient="portrait"/>
          <w:cols w:equalWidth="0" w:num="5">
            <w:col w:w="8640" w:space="720"/>
            <w:col w:w="140" w:space="460"/>
            <w:col w:w="260" w:space="160"/>
            <w:col w:w="160" w:space="460"/>
            <w:col w:w="240"/>
          </w:cols>
          <w:pgMar w:left="320" w:top="1066" w:right="339" w:bottom="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8640" w:space="720"/>
            <w:col w:w="140" w:space="460"/>
            <w:col w:w="260" w:space="160"/>
            <w:col w:w="160" w:space="460"/>
            <w:col w:w="240"/>
          </w:cols>
          <w:pgMar w:left="320" w:top="1066" w:right="339" w:bottom="0" w:gutter="0" w:footer="0" w:header="0"/>
          <w:type w:val="continuous"/>
        </w:sectPr>
      </w:pPr>
    </w:p>
    <w:p>
      <w:pPr>
        <w:jc w:val="both"/>
        <w:ind w:firstLine="162"/>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066" w:right="339" w:bottom="0" w:gutter="0" w:footer="0" w:header="0"/>
          <w:type w:val="continuous"/>
        </w:sectPr>
      </w:pPr>
    </w:p>
    <w:p>
      <w:pPr>
        <w:spacing w:after="0" w:line="193" w:lineRule="exact"/>
        <w:rPr>
          <w:sz w:val="24"/>
          <w:szCs w:val="24"/>
          <w:color w:val="auto"/>
        </w:rPr>
      </w:pPr>
    </w:p>
    <w:p>
      <w:pPr>
        <w:ind w:left="40"/>
        <w:spacing w:after="0"/>
        <w:rPr>
          <w:sz w:val="20"/>
          <w:szCs w:val="20"/>
          <w:color w:val="auto"/>
        </w:rPr>
      </w:pPr>
      <w:r>
        <w:rPr>
          <w:rFonts w:ascii="Arial" w:cs="Arial" w:eastAsia="Arial" w:hAnsi="Arial"/>
          <w:sz w:val="12"/>
          <w:szCs w:val="12"/>
          <w:color w:val="auto"/>
        </w:rPr>
        <w:t>American Airlines Group Inc.</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2"/>
          <w:szCs w:val="12"/>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103" w:lineRule="exact"/>
        <w:rPr>
          <w:sz w:val="24"/>
          <w:szCs w:val="24"/>
          <w:color w:val="auto"/>
        </w:rPr>
      </w:pPr>
    </w:p>
    <w:p>
      <w:pPr>
        <w:sectPr>
          <w:pgSz w:w="11900" w:h="16838" w:orient="portrait"/>
          <w:cols w:equalWidth="0" w:num="10">
            <w:col w:w="1640" w:space="420"/>
            <w:col w:w="160" w:space="60"/>
            <w:col w:w="1260" w:space="340"/>
            <w:col w:w="160" w:space="60"/>
            <w:col w:w="900" w:space="340"/>
            <w:col w:w="1400" w:space="280"/>
            <w:col w:w="160" w:space="60"/>
            <w:col w:w="1500" w:space="400"/>
            <w:col w:w="160" w:space="60"/>
            <w:col w:w="1880"/>
          </w:cols>
          <w:pgMar w:left="320" w:top="1066" w:right="339" w:bottom="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2"/>
          <w:szCs w:val="12"/>
          <w:color w:val="auto"/>
        </w:rPr>
        <w:t>American Airlines, Inc.</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2"/>
          <w:szCs w:val="12"/>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17" w:lineRule="exact"/>
        <w:rPr>
          <w:sz w:val="24"/>
          <w:szCs w:val="24"/>
          <w:color w:val="auto"/>
        </w:rPr>
      </w:pPr>
    </w:p>
    <w:p>
      <w:pPr>
        <w:sectPr>
          <w:pgSz w:w="11900" w:h="16838" w:orient="portrait"/>
          <w:cols w:equalWidth="0" w:num="10">
            <w:col w:w="1340" w:space="720"/>
            <w:col w:w="160" w:space="60"/>
            <w:col w:w="1260" w:space="340"/>
            <w:col w:w="160" w:space="60"/>
            <w:col w:w="900" w:space="340"/>
            <w:col w:w="1400" w:space="280"/>
            <w:col w:w="160" w:space="60"/>
            <w:col w:w="1500" w:space="400"/>
            <w:col w:w="160" w:space="60"/>
            <w:col w:w="1880"/>
          </w:cols>
          <w:pgMar w:left="320" w:top="1066" w:right="339" w:bottom="0" w:gutter="0" w:footer="0" w:header="0"/>
          <w:type w:val="continuous"/>
        </w:sectPr>
      </w:pPr>
    </w:p>
    <w:p>
      <w:pPr>
        <w:spacing w:after="0" w:line="246" w:lineRule="exact"/>
        <w:rPr>
          <w:sz w:val="24"/>
          <w:szCs w:val="24"/>
          <w:color w:val="auto"/>
        </w:rPr>
      </w:pPr>
    </w:p>
    <w:p>
      <w:pPr>
        <w:ind w:firstLine="162"/>
        <w:spacing w:after="0" w:line="260" w:lineRule="auto"/>
        <w:rPr>
          <w:sz w:val="20"/>
          <w:szCs w:val="20"/>
          <w:color w:val="auto"/>
        </w:rPr>
      </w:pPr>
      <w:r>
        <w:rPr>
          <w:rFonts w:ascii="Arial" w:cs="Arial" w:eastAsia="Arial" w:hAnsi="Arial"/>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60"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8780" w:type="dxa"/>
            <w:vAlign w:val="bottom"/>
          </w:tcPr>
          <w:p>
            <w:pPr>
              <w:spacing w:after="0"/>
              <w:rPr>
                <w:sz w:val="20"/>
                <w:szCs w:val="20"/>
                <w:color w:val="auto"/>
              </w:rPr>
            </w:pPr>
            <w:r>
              <w:rPr>
                <w:rFonts w:ascii="Arial" w:cs="Arial" w:eastAsia="Arial" w:hAnsi="Arial"/>
                <w:sz w:val="16"/>
                <w:szCs w:val="16"/>
                <w:color w:val="auto"/>
              </w:rPr>
              <w:t>American Airlines Group Inc.</w:t>
            </w:r>
          </w:p>
        </w:tc>
        <w:tc>
          <w:tcPr>
            <w:tcW w:w="880" w:type="dxa"/>
            <w:vAlign w:val="bottom"/>
          </w:tcPr>
          <w:p>
            <w:pPr>
              <w:spacing w:after="0"/>
              <w:rPr>
                <w:sz w:val="23"/>
                <w:szCs w:val="23"/>
                <w:color w:val="auto"/>
              </w:rPr>
            </w:pPr>
          </w:p>
        </w:tc>
        <w:tc>
          <w:tcPr>
            <w:tcW w:w="6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83"/>
        </w:trPr>
        <w:tc>
          <w:tcPr>
            <w:tcW w:w="8780" w:type="dxa"/>
            <w:vAlign w:val="bottom"/>
          </w:tcPr>
          <w:p>
            <w:pPr>
              <w:spacing w:after="0"/>
              <w:rPr>
                <w:sz w:val="20"/>
                <w:szCs w:val="20"/>
                <w:color w:val="auto"/>
              </w:rPr>
            </w:pPr>
            <w:r>
              <w:rPr>
                <w:rFonts w:ascii="Arial" w:cs="Arial" w:eastAsia="Arial" w:hAnsi="Arial"/>
                <w:sz w:val="16"/>
                <w:szCs w:val="16"/>
                <w:color w:val="auto"/>
              </w:rPr>
              <w:t>American Airlines, Inc.</w:t>
            </w:r>
          </w:p>
        </w:tc>
        <w:tc>
          <w:tcPr>
            <w:tcW w:w="880" w:type="dxa"/>
            <w:vAlign w:val="bottom"/>
          </w:tcPr>
          <w:p>
            <w:pPr>
              <w:spacing w:after="0"/>
              <w:rPr>
                <w:sz w:val="24"/>
                <w:szCs w:val="24"/>
                <w:color w:val="auto"/>
              </w:rPr>
            </w:pPr>
          </w:p>
        </w:tc>
        <w:tc>
          <w:tcPr>
            <w:tcW w:w="6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52"/>
        </w:trPr>
        <w:tc>
          <w:tcPr>
            <w:tcW w:w="8780" w:type="dxa"/>
            <w:vAlign w:val="bottom"/>
          </w:tcPr>
          <w:p>
            <w:pPr>
              <w:ind w:left="1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9"/>
        </w:trPr>
        <w:tc>
          <w:tcPr>
            <w:tcW w:w="8780" w:type="dxa"/>
            <w:vAlign w:val="bottom"/>
          </w:tcPr>
          <w:p>
            <w:pPr>
              <w:spacing w:after="0"/>
              <w:rPr>
                <w:sz w:val="20"/>
                <w:szCs w:val="20"/>
                <w:color w:val="auto"/>
              </w:rPr>
            </w:pPr>
            <w:r>
              <w:rPr>
                <w:rFonts w:ascii="Arial" w:cs="Arial" w:eastAsia="Arial" w:hAnsi="Arial"/>
                <w:sz w:val="16"/>
                <w:szCs w:val="16"/>
                <w:color w:val="auto"/>
              </w:rPr>
              <w:t>American Airlines Group Inc.</w:t>
            </w:r>
          </w:p>
        </w:tc>
        <w:tc>
          <w:tcPr>
            <w:tcW w:w="8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600" w:type="dxa"/>
            <w:vAlign w:val="bottom"/>
          </w:tcPr>
          <w:p>
            <w:pPr>
              <w:ind w:left="260"/>
              <w:spacing w:after="0"/>
              <w:rPr>
                <w:sz w:val="20"/>
                <w:szCs w:val="20"/>
                <w:color w:val="auto"/>
              </w:rPr>
            </w:pPr>
            <w:r>
              <w:rPr>
                <w:rFonts w:ascii="Arial" w:cs="Arial" w:eastAsia="Arial" w:hAnsi="Arial"/>
                <w:sz w:val="16"/>
                <w:szCs w:val="16"/>
                <w:color w:val="auto"/>
              </w:rPr>
              <w:t>Yes</w:t>
            </w:r>
          </w:p>
        </w:tc>
        <w:tc>
          <w:tcPr>
            <w:tcW w:w="4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40" w:type="dxa"/>
            <w:vAlign w:val="bottom"/>
          </w:tcPr>
          <w:p>
            <w:pPr>
              <w:ind w:left="220"/>
              <w:spacing w:after="0"/>
              <w:rPr>
                <w:sz w:val="20"/>
                <w:szCs w:val="20"/>
                <w:color w:val="auto"/>
              </w:rPr>
            </w:pPr>
            <w:r>
              <w:rPr>
                <w:rFonts w:ascii="Arial" w:cs="Arial" w:eastAsia="Arial" w:hAnsi="Arial"/>
                <w:sz w:val="16"/>
                <w:szCs w:val="16"/>
                <w:color w:val="auto"/>
                <w:w w:val="97"/>
              </w:rPr>
              <w:t>No</w:t>
            </w:r>
          </w:p>
        </w:tc>
      </w:tr>
      <w:tr>
        <w:trPr>
          <w:trHeight w:val="270"/>
        </w:trPr>
        <w:tc>
          <w:tcPr>
            <w:tcW w:w="8780" w:type="dxa"/>
            <w:vAlign w:val="bottom"/>
          </w:tcPr>
          <w:p>
            <w:pPr>
              <w:spacing w:after="0"/>
              <w:rPr>
                <w:sz w:val="20"/>
                <w:szCs w:val="20"/>
                <w:color w:val="auto"/>
              </w:rPr>
            </w:pPr>
            <w:r>
              <w:rPr>
                <w:rFonts w:ascii="Arial" w:cs="Arial" w:eastAsia="Arial" w:hAnsi="Arial"/>
                <w:sz w:val="16"/>
                <w:szCs w:val="16"/>
                <w:color w:val="auto"/>
              </w:rPr>
              <w:t>American Airlines, Inc.</w:t>
            </w:r>
          </w:p>
        </w:tc>
        <w:tc>
          <w:tcPr>
            <w:tcW w:w="8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600" w:type="dxa"/>
            <w:vAlign w:val="bottom"/>
          </w:tcPr>
          <w:p>
            <w:pPr>
              <w:ind w:left="260"/>
              <w:spacing w:after="0"/>
              <w:rPr>
                <w:sz w:val="20"/>
                <w:szCs w:val="20"/>
                <w:color w:val="auto"/>
              </w:rPr>
            </w:pPr>
            <w:r>
              <w:rPr>
                <w:rFonts w:ascii="Arial" w:cs="Arial" w:eastAsia="Arial" w:hAnsi="Arial"/>
                <w:sz w:val="16"/>
                <w:szCs w:val="16"/>
                <w:color w:val="auto"/>
              </w:rPr>
              <w:t>Yes</w:t>
            </w:r>
          </w:p>
        </w:tc>
        <w:tc>
          <w:tcPr>
            <w:tcW w:w="4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40" w:type="dxa"/>
            <w:vAlign w:val="bottom"/>
          </w:tcPr>
          <w:p>
            <w:pPr>
              <w:ind w:left="220"/>
              <w:spacing w:after="0"/>
              <w:rPr>
                <w:sz w:val="20"/>
                <w:szCs w:val="20"/>
                <w:color w:val="auto"/>
              </w:rPr>
            </w:pPr>
            <w:r>
              <w:rPr>
                <w:rFonts w:ascii="Arial" w:cs="Arial" w:eastAsia="Arial" w:hAnsi="Arial"/>
                <w:sz w:val="16"/>
                <w:szCs w:val="16"/>
                <w:color w:val="auto"/>
                <w:w w:val="97"/>
              </w:rPr>
              <w:t>No</w:t>
            </w:r>
          </w:p>
        </w:tc>
      </w:tr>
    </w:tbl>
    <w:p>
      <w:pPr>
        <w:sectPr>
          <w:pgSz w:w="11900" w:h="16838" w:orient="portrait"/>
          <w:cols w:equalWidth="0" w:num="1">
            <w:col w:w="11240"/>
          </w:cols>
          <w:pgMar w:left="320" w:top="1066"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July 17, 2020, there were 508,561,163 shares of American Airlines Group Inc. common stock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July 17, 2020, there were 1,000 shares of American Airlines, Inc. common stock outstanding, all of which were held by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233680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250825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500" w:top="195"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June 30,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180"/>
          </w:cols>
          <w:pgMar w:left="360" w:top="549" w:right="359" w:bottom="1440" w:gutter="0" w:footer="0" w:header="0"/>
        </w:sectPr>
      </w:pPr>
    </w:p>
    <w:p>
      <w:pPr>
        <w:spacing w:after="0" w:line="36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72" w:lineRule="exact"/>
        <w:rPr>
          <w:sz w:val="20"/>
          <w:szCs w:val="20"/>
          <w:color w:val="auto"/>
        </w:rPr>
      </w:pPr>
    </w:p>
    <w:p>
      <w:pPr>
        <w:spacing w:after="0"/>
        <w:tabs>
          <w:tab w:leader="none" w:pos="1660" w:val="left"/>
        </w:tabs>
        <w:rPr>
          <w:rFonts w:ascii="Arial" w:cs="Arial" w:eastAsia="Arial" w:hAnsi="Arial"/>
          <w:sz w:val="18"/>
          <w:szCs w:val="18"/>
          <w:u w:val="single" w:color="auto"/>
          <w:color w:val="0000EE"/>
        </w:rPr>
      </w:pPr>
      <w:r>
        <w:rPr>
          <w:rFonts w:ascii="Arial" w:cs="Arial" w:eastAsia="Arial" w:hAnsi="Arial"/>
          <w:sz w:val="18"/>
          <w:szCs w:val="18"/>
          <w:color w:val="auto"/>
        </w:rPr>
        <w:t>Item 1A.</w:t>
      </w:r>
      <w:r>
        <w:rPr>
          <w:sz w:val="20"/>
          <w:szCs w:val="20"/>
          <w:color w:val="auto"/>
        </w:rPr>
        <w:tab/>
      </w:r>
      <w:hyperlink w:anchor="page11">
        <w:r>
          <w:rPr>
            <w:rFonts w:ascii="Arial" w:cs="Arial" w:eastAsia="Arial" w:hAnsi="Arial"/>
            <w:sz w:val="18"/>
            <w:szCs w:val="18"/>
            <w:u w:val="single" w:color="auto"/>
            <w:color w:val="0000EE"/>
          </w:rPr>
          <w:t>Condensed Consolidated Financial Statements of American Airlines Group Inc.</w:t>
        </w:r>
      </w:hyperlink>
    </w:p>
    <w:p>
      <w:pPr>
        <w:spacing w:after="0" w:line="50" w:lineRule="exact"/>
        <w:rPr>
          <w:sz w:val="20"/>
          <w:szCs w:val="20"/>
          <w:color w:val="auto"/>
        </w:rPr>
      </w:pPr>
    </w:p>
    <w:p>
      <w:pPr>
        <w:ind w:left="16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6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Condensed Consolidated Statements of Comprehensive Income (Loss)</w:t>
        </w:r>
      </w:hyperlink>
    </w:p>
    <w:p>
      <w:pPr>
        <w:spacing w:after="0" w:line="63" w:lineRule="exact"/>
        <w:rPr>
          <w:sz w:val="20"/>
          <w:szCs w:val="20"/>
          <w:color w:val="auto"/>
        </w:rPr>
      </w:pPr>
    </w:p>
    <w:p>
      <w:pPr>
        <w:ind w:left="16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6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6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Condensed Consolidated Statements of Stockholders' Equity (Deficit)</w:t>
        </w:r>
      </w:hyperlink>
    </w:p>
    <w:p>
      <w:pPr>
        <w:spacing w:after="0" w:line="63" w:lineRule="exact"/>
        <w:rPr>
          <w:sz w:val="20"/>
          <w:szCs w:val="20"/>
          <w:color w:val="auto"/>
        </w:rPr>
      </w:pPr>
    </w:p>
    <w:p>
      <w:pPr>
        <w:ind w:left="16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660" w:val="left"/>
        </w:tabs>
        <w:rPr>
          <w:rFonts w:ascii="Arial" w:cs="Arial" w:eastAsia="Arial" w:hAnsi="Arial"/>
          <w:sz w:val="18"/>
          <w:szCs w:val="18"/>
          <w:u w:val="single" w:color="auto"/>
          <w:color w:val="0000EE"/>
        </w:rPr>
      </w:pPr>
      <w:r>
        <w:rPr>
          <w:rFonts w:ascii="Arial" w:cs="Arial" w:eastAsia="Arial" w:hAnsi="Arial"/>
          <w:sz w:val="18"/>
          <w:szCs w:val="18"/>
          <w:color w:val="auto"/>
        </w:rPr>
        <w:t>Item 1B.</w:t>
      </w:r>
      <w:r>
        <w:rPr>
          <w:sz w:val="20"/>
          <w:szCs w:val="20"/>
          <w:color w:val="auto"/>
        </w:rPr>
        <w:tab/>
      </w:r>
      <w:hyperlink w:anchor="page35">
        <w:r>
          <w:rPr>
            <w:rFonts w:ascii="Arial" w:cs="Arial" w:eastAsia="Arial" w:hAnsi="Arial"/>
            <w:sz w:val="18"/>
            <w:szCs w:val="18"/>
            <w:u w:val="single" w:color="auto"/>
            <w:color w:val="0000EE"/>
          </w:rPr>
          <w:t>Condensed Consolidated Financial Statements of American Airlines, Inc.</w:t>
        </w:r>
      </w:hyperlink>
    </w:p>
    <w:p>
      <w:pPr>
        <w:spacing w:after="0" w:line="50" w:lineRule="exact"/>
        <w:rPr>
          <w:sz w:val="20"/>
          <w:szCs w:val="20"/>
          <w:color w:val="auto"/>
        </w:rPr>
      </w:pPr>
    </w:p>
    <w:p>
      <w:pPr>
        <w:ind w:left="16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6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Condensed Consolidated Statements of Comprehensive Income (Loss)</w:t>
        </w:r>
      </w:hyperlink>
    </w:p>
    <w:p>
      <w:pPr>
        <w:spacing w:after="0" w:line="63" w:lineRule="exact"/>
        <w:rPr>
          <w:sz w:val="20"/>
          <w:szCs w:val="20"/>
          <w:color w:val="auto"/>
        </w:rPr>
      </w:pPr>
    </w:p>
    <w:p>
      <w:pPr>
        <w:ind w:left="16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6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6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Condensed Consolidated Statements of Stockholder's Equity</w:t>
        </w:r>
      </w:hyperlink>
    </w:p>
    <w:p>
      <w:pPr>
        <w:spacing w:after="0" w:line="63" w:lineRule="exact"/>
        <w:rPr>
          <w:sz w:val="20"/>
          <w:szCs w:val="20"/>
          <w:color w:val="auto"/>
        </w:rPr>
      </w:pPr>
    </w:p>
    <w:p>
      <w:pPr>
        <w:ind w:left="16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66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54">
        <w:r>
          <w:rPr>
            <w:rFonts w:ascii="Arial" w:cs="Arial" w:eastAsia="Arial" w:hAnsi="Arial"/>
            <w:sz w:val="17"/>
            <w:szCs w:val="17"/>
            <w:u w:val="single" w:color="auto"/>
            <w:color w:val="0000EE"/>
          </w:rPr>
          <w:t>Management’s Discussion and Analysis of Financial Condition and Results of Operations</w:t>
        </w:r>
      </w:hyperlink>
    </w:p>
    <w:p>
      <w:pPr>
        <w:spacing w:after="0" w:line="50" w:lineRule="exact"/>
        <w:rPr>
          <w:sz w:val="20"/>
          <w:szCs w:val="20"/>
          <w:color w:val="auto"/>
        </w:rPr>
      </w:pPr>
    </w:p>
    <w:p>
      <w:pPr>
        <w:spacing w:after="0"/>
        <w:tabs>
          <w:tab w:leader="none" w:pos="1660" w:val="left"/>
        </w:tabs>
        <w:rPr>
          <w:rFonts w:ascii="Arial" w:cs="Arial" w:eastAsia="Arial" w:hAnsi="Arial"/>
          <w:sz w:val="18"/>
          <w:szCs w:val="18"/>
          <w:u w:val="single" w:color="auto"/>
          <w:color w:val="0000EE"/>
        </w:rPr>
      </w:pPr>
      <w:r>
        <w:rPr>
          <w:rFonts w:ascii="Arial" w:cs="Arial" w:eastAsia="Arial" w:hAnsi="Arial"/>
          <w:sz w:val="18"/>
          <w:szCs w:val="18"/>
          <w:color w:val="auto"/>
        </w:rPr>
        <w:t>Item 3.</w:t>
      </w:r>
      <w:r>
        <w:rPr>
          <w:sz w:val="20"/>
          <w:szCs w:val="20"/>
          <w:color w:val="auto"/>
        </w:rPr>
        <w:tab/>
      </w:r>
      <w:hyperlink w:anchor="page77">
        <w:r>
          <w:rPr>
            <w:rFonts w:ascii="Arial" w:cs="Arial" w:eastAsia="Arial" w:hAnsi="Arial"/>
            <w:sz w:val="18"/>
            <w:szCs w:val="18"/>
            <w:u w:val="single" w:color="auto"/>
            <w:color w:val="0000EE"/>
          </w:rPr>
          <w:t>Quantitative and Qualitative Disclosures About Market Risk</w:t>
        </w:r>
      </w:hyperlink>
    </w:p>
    <w:p>
      <w:pPr>
        <w:spacing w:after="0" w:line="50" w:lineRule="exact"/>
        <w:rPr>
          <w:sz w:val="20"/>
          <w:szCs w:val="20"/>
          <w:color w:val="auto"/>
        </w:rPr>
      </w:pPr>
    </w:p>
    <w:p>
      <w:pPr>
        <w:spacing w:after="0"/>
        <w:tabs>
          <w:tab w:leader="none" w:pos="1660" w:val="left"/>
        </w:tabs>
        <w:rPr>
          <w:rFonts w:ascii="Arial" w:cs="Arial" w:eastAsia="Arial" w:hAnsi="Arial"/>
          <w:sz w:val="18"/>
          <w:szCs w:val="18"/>
          <w:u w:val="single" w:color="auto"/>
          <w:color w:val="0000EE"/>
        </w:rPr>
      </w:pPr>
      <w:r>
        <w:rPr>
          <w:rFonts w:ascii="Arial" w:cs="Arial" w:eastAsia="Arial" w:hAnsi="Arial"/>
          <w:sz w:val="18"/>
          <w:szCs w:val="18"/>
          <w:color w:val="auto"/>
        </w:rPr>
        <w:t>Item 4.</w:t>
      </w:r>
      <w:r>
        <w:rPr>
          <w:sz w:val="20"/>
          <w:szCs w:val="20"/>
          <w:color w:val="auto"/>
        </w:rPr>
        <w:tab/>
      </w:r>
      <w:hyperlink w:anchor="page78">
        <w:r>
          <w:rPr>
            <w:rFonts w:ascii="Arial" w:cs="Arial" w:eastAsia="Arial" w:hAnsi="Arial"/>
            <w:sz w:val="18"/>
            <w:szCs w:val="18"/>
            <w:u w:val="single" w:color="auto"/>
            <w:color w:val="0000EE"/>
          </w:rPr>
          <w:t>Controls and Procedures</w:t>
        </w:r>
      </w:hyperlink>
    </w:p>
    <w:p>
      <w:pPr>
        <w:spacing w:after="0" w:line="28"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26035</wp:posOffset>
            </wp:positionV>
            <wp:extent cx="351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04" w:lineRule="exact"/>
        <w:rPr>
          <w:sz w:val="20"/>
          <w:szCs w:val="20"/>
          <w:color w:val="auto"/>
        </w:rPr>
      </w:pPr>
    </w:p>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11</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12</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13</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14</w:t>
        </w:r>
      </w:hyperlink>
    </w:p>
    <w:p>
      <w:pPr>
        <w:spacing w:after="0" w:line="50" w:lineRule="exact"/>
        <w:rPr>
          <w:sz w:val="20"/>
          <w:szCs w:val="20"/>
          <w:color w:val="auto"/>
        </w:rPr>
      </w:pPr>
    </w:p>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37</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38</w:t>
        </w:r>
      </w:hyperlink>
    </w:p>
    <w:p>
      <w:pPr>
        <w:spacing w:after="0" w:line="50" w:lineRule="exact"/>
        <w:rPr>
          <w:sz w:val="20"/>
          <w:szCs w:val="20"/>
          <w:color w:val="auto"/>
        </w:rPr>
      </w:pPr>
    </w:p>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52</w:t>
        </w:r>
      </w:hyperlink>
    </w:p>
    <w:p>
      <w:pPr>
        <w:spacing w:after="0" w:line="50" w:lineRule="exact"/>
        <w:rPr>
          <w:sz w:val="20"/>
          <w:szCs w:val="20"/>
          <w:color w:val="auto"/>
        </w:rPr>
      </w:pPr>
    </w:p>
    <w:p>
      <w:pPr>
        <w:jc w:val="right"/>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75</w:t>
        </w:r>
      </w:hyperlink>
    </w:p>
    <w:p>
      <w:pPr>
        <w:spacing w:after="0" w:line="50" w:lineRule="exact"/>
        <w:rPr>
          <w:sz w:val="20"/>
          <w:szCs w:val="20"/>
          <w:color w:val="auto"/>
        </w:rPr>
      </w:pPr>
    </w:p>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76</w:t>
        </w:r>
      </w:hyperlink>
    </w:p>
    <w:p>
      <w:pPr>
        <w:spacing w:after="0" w:line="306" w:lineRule="exact"/>
        <w:rPr>
          <w:sz w:val="20"/>
          <w:szCs w:val="20"/>
          <w:color w:val="auto"/>
        </w:rPr>
      </w:pPr>
    </w:p>
    <w:p>
      <w:pPr>
        <w:sectPr>
          <w:pgSz w:w="11900" w:h="16838" w:orient="portrait"/>
          <w:cols w:equalWidth="0" w:num="2">
            <w:col w:w="10040" w:space="720"/>
            <w:col w:w="420"/>
          </w:cols>
          <w:pgMar w:left="360" w:top="549" w:right="35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1420" w:type="dxa"/>
            <w:vAlign w:val="bottom"/>
          </w:tcPr>
          <w:p>
            <w:pPr>
              <w:spacing w:after="0"/>
              <w:rPr>
                <w:sz w:val="20"/>
                <w:szCs w:val="20"/>
                <w:color w:val="auto"/>
              </w:rPr>
            </w:pPr>
            <w:r>
              <w:rPr>
                <w:rFonts w:ascii="Arial" w:cs="Arial" w:eastAsia="Arial" w:hAnsi="Arial"/>
                <w:sz w:val="18"/>
                <w:szCs w:val="18"/>
                <w:color w:val="auto"/>
              </w:rPr>
              <w:t>Item 1.</w:t>
            </w:r>
          </w:p>
        </w:tc>
        <w:tc>
          <w:tcPr>
            <w:tcW w:w="2940" w:type="dxa"/>
            <w:vAlign w:val="bottom"/>
          </w:tcPr>
          <w:p>
            <w:pPr>
              <w:ind w:left="26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Legal Proceedings</w:t>
              </w:r>
            </w:hyperlink>
          </w:p>
        </w:tc>
        <w:tc>
          <w:tcPr>
            <w:tcW w:w="6820" w:type="dxa"/>
            <w:vAlign w:val="bottom"/>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77</w:t>
              </w:r>
            </w:hyperlink>
          </w:p>
        </w:tc>
      </w:tr>
      <w:tr>
        <w:trPr>
          <w:trHeight w:val="256"/>
        </w:trPr>
        <w:tc>
          <w:tcPr>
            <w:tcW w:w="1420" w:type="dxa"/>
            <w:vAlign w:val="bottom"/>
          </w:tcPr>
          <w:p>
            <w:pPr>
              <w:spacing w:after="0"/>
              <w:rPr>
                <w:sz w:val="20"/>
                <w:szCs w:val="20"/>
                <w:color w:val="auto"/>
              </w:rPr>
            </w:pPr>
            <w:r>
              <w:rPr>
                <w:rFonts w:ascii="Arial" w:cs="Arial" w:eastAsia="Arial" w:hAnsi="Arial"/>
                <w:sz w:val="18"/>
                <w:szCs w:val="18"/>
                <w:color w:val="auto"/>
              </w:rPr>
              <w:t>Item 1A.</w:t>
            </w:r>
          </w:p>
        </w:tc>
        <w:tc>
          <w:tcPr>
            <w:tcW w:w="2940" w:type="dxa"/>
            <w:vAlign w:val="bottom"/>
          </w:tcPr>
          <w:p>
            <w:pPr>
              <w:ind w:left="26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Risk Factors</w:t>
              </w:r>
            </w:hyperlink>
          </w:p>
        </w:tc>
        <w:tc>
          <w:tcPr>
            <w:tcW w:w="6820" w:type="dxa"/>
            <w:vAlign w:val="bottom"/>
          </w:tcPr>
          <w:p>
            <w:pPr>
              <w:jc w:val="right"/>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78</w:t>
              </w:r>
            </w:hyperlink>
          </w:p>
        </w:tc>
      </w:tr>
      <w:tr>
        <w:trPr>
          <w:trHeight w:val="257"/>
        </w:trPr>
        <w:tc>
          <w:tcPr>
            <w:tcW w:w="1420" w:type="dxa"/>
            <w:vAlign w:val="bottom"/>
          </w:tcPr>
          <w:p>
            <w:pPr>
              <w:spacing w:after="0"/>
              <w:rPr>
                <w:sz w:val="20"/>
                <w:szCs w:val="20"/>
                <w:color w:val="auto"/>
              </w:rPr>
            </w:pPr>
            <w:r>
              <w:rPr>
                <w:rFonts w:ascii="Arial" w:cs="Arial" w:eastAsia="Arial" w:hAnsi="Arial"/>
                <w:sz w:val="18"/>
                <w:szCs w:val="18"/>
                <w:color w:val="auto"/>
              </w:rPr>
              <w:t>Item 6.</w:t>
            </w:r>
          </w:p>
        </w:tc>
        <w:tc>
          <w:tcPr>
            <w:tcW w:w="2940" w:type="dxa"/>
            <w:vAlign w:val="bottom"/>
          </w:tcPr>
          <w:p>
            <w:pPr>
              <w:ind w:left="26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Exhibits</w:t>
              </w:r>
            </w:hyperlink>
          </w:p>
        </w:tc>
        <w:tc>
          <w:tcPr>
            <w:tcW w:w="6820" w:type="dxa"/>
            <w:vAlign w:val="bottom"/>
          </w:tcPr>
          <w:p>
            <w:pPr>
              <w:jc w:val="right"/>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102</w:t>
              </w:r>
            </w:hyperlink>
          </w:p>
        </w:tc>
      </w:tr>
      <w:tr>
        <w:trPr>
          <w:trHeight w:val="256"/>
        </w:trPr>
        <w:tc>
          <w:tcPr>
            <w:tcW w:w="1420" w:type="dxa"/>
            <w:vAlign w:val="bottom"/>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SIGNATURES</w:t>
              </w:r>
            </w:hyperlink>
          </w:p>
        </w:tc>
        <w:tc>
          <w:tcPr>
            <w:tcW w:w="2940" w:type="dxa"/>
            <w:vAlign w:val="bottom"/>
          </w:tcPr>
          <w:p>
            <w:pPr>
              <w:spacing w:after="0"/>
              <w:rPr>
                <w:sz w:val="22"/>
                <w:szCs w:val="22"/>
                <w:color w:val="auto"/>
              </w:rPr>
            </w:pPr>
          </w:p>
        </w:tc>
        <w:tc>
          <w:tcPr>
            <w:tcW w:w="6820" w:type="dxa"/>
            <w:vAlign w:val="bottom"/>
          </w:tcPr>
          <w:p>
            <w:pPr>
              <w:jc w:val="right"/>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104</w:t>
              </w:r>
            </w:hyperlink>
          </w:p>
        </w:tc>
      </w:tr>
      <w:tr>
        <w:trPr>
          <w:trHeight w:val="662"/>
        </w:trPr>
        <w:tc>
          <w:tcPr>
            <w:tcW w:w="1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820" w:type="dxa"/>
            <w:vAlign w:val="bottom"/>
          </w:tcPr>
          <w:p>
            <w:pPr>
              <w:jc w:val="right"/>
              <w:ind w:right="545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180"/>
          </w:cols>
          <w:pgMar w:left="360" w:top="549"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112"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For the convenience of the reader, the definitions of certain capitalized industry and other terms used in this report have been consolidated into a Glossary beginning on page 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57"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7"/>
          <w:szCs w:val="17"/>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In particular, the consequences of the coronavirus outbreak to economic conditions and the travel industry in general and our financial position and operating results in particular have been material, are changing rapidly, and cannot be predicted.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“2013 Credit Agreement” means the Amended and Restated Credit and Guaranty Agreement dated as of May 21, 2015, among American, AAG, the lenders from time to time party thereto, Deutsche Bank AG New York Branch, as administrative agent, and certain other parties thereto, as amended.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“2013 Revolving Facility” means the $750 million revolving credit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Term Loan Facility” means the $1.9 billion term loan facility provided for under the 2013 Credit Agreement.</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“2014 Credit Agreement” means the Amended and Restated Credit and Guaranty Agreement dated as of April 20, 2015, among American, AAG, the lenders from time to time party thereto, Citibank N.A., as administrative agent, and certain other parties thereto, as amended.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“2014 Credit Facilities” means the 2014 Revolving Facility and the 2014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Revolving Facility” means the $1.6 billion revolving credit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Term Loan Facility” means the $1.3 billion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“2016 JFK Bonds” means special facility revenue bonds issued on behalf of American by NYTDC in June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“2019 Form 10-K” means AAG’s and American’s Annual Report on Form 10-K for the year ended December 31, 2019.</w:t>
      </w:r>
    </w:p>
    <w:p>
      <w:pPr>
        <w:spacing w:after="0" w:line="25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“2020 JFK Bonds” means the approximately $360 million of special facility revenue bonds issued on behalf of American by NYTDC in June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“3.75% senior notes” mean 3.75% senior notes due 2025 with an aggregate principal amount of $500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“5.000% senior notes” means the 5.000% notes due in 2022 with an aggregate principal amount of $750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means the AAdvantage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frequent flyer program.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“AAG”, “we”, “us”, “our” and similar terms means American Airlines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“Air Transport Pilot’s certificate” means a commercial pilot’s license in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“American” means American Airlines, Inc., a wholly-owned subsidiary of AAG.</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“American Eagle” means our regional carriers, including our wholly-owned regional carriers Envoy, PSA and Piedmont, as well as third-party regional carriers including Mesa, Republic and SkyWest.</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“AMR” or “AMR Corporation” means AMR Corporation and is used to reference AAG during the period of time prior to its emergence from Chapter 11 and the Merger.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“AMT” means alternative minimum tax.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“AOCI” means accumulated other comprehensive income (loss).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“April 2016 Credit Agreement” means the Credit and Guaranty Agreement, dated as of April 29, 2016, among American, AAG, the lenders from time to time party thereto, Barclays Bank PLC, as administrative agent, and certain other parties thereto, as amended.</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“April 2016 Credit Facilities” means the April 2016 Revolving Facility and April 2016 Term Loan Facility provided for by the 2016 Credit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“April 2016 Revolving Facility” means the $450 million revolving credit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2016 Term Loan Facility” means the $1,000 million term loan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“ASC” means the FASB Accounting Standards Codification.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“ASC 350” means the FASB Accounting Standards Codification relating to “Intangibles - Goodwill and Other”.</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“ASM” means available seat mile and is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“ASU” means Accounting Standards Update.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means air traffic control.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system” means the U.S. National Airspace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“Bankruptcy Court” means the United States Bankruptcy Court for the Southern District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“Base Indenture” means the indenture, dated as of June 25, 2020, between AAG and Wilmington Trust, National Association as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“Bylaws” means AAG’s Amended and Restated Bylaws,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the Coronavirus Air, Relief, and Economic Security Act,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“CASM” means operating cost per available seat mile and is equal to operating expenses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“CBAs” means collective bargaining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“CEO” means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“CFO” means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“Chapter 11 Cases” means the voluntary petitions for relief filed on November 29, 2011 by the Debtors.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Airlines” means China Southern Airlines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“CMA” means the United Kingdom Competition and Markets Authority.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r>
        <w:rPr>
          <w:rFonts w:ascii="Arial" w:cs="Arial" w:eastAsia="Arial" w:hAnsi="Arial"/>
          <w:sz w:val="21"/>
          <w:szCs w:val="21"/>
          <w:color w:val="auto"/>
          <w:vertAlign w:val="subscript"/>
        </w:rPr>
        <w:t>2</w:t>
      </w:r>
      <w:r>
        <w:rPr>
          <w:rFonts w:ascii="Arial" w:cs="Arial" w:eastAsia="Arial" w:hAnsi="Arial"/>
          <w:sz w:val="18"/>
          <w:szCs w:val="18"/>
          <w:color w:val="auto"/>
        </w:rPr>
        <w:t>” means carbon dioxide.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AAG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means AAG’s 6.50% convertible senior notes due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“CORSIA” means the Carbon Offsetting and Reduction Scheme for International Aviation.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“COVID-19” means coronavirus.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“DCA” means Ronald Reagan Washington 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 Court” means the Federal District Court for the District of Columbia.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“Debtors” means AMR, American, and certain of AMR’s other direct and indirect domestic subsidiaries.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2016 Credit Agreement” means the Credit and Guaranty Agreement dated as of December 15, 2016, among American, AAG, the lenders from time to time party thereto, Citibank N.A., as administrative agent, and certain other parties thereto, as amended.</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2016 Credit Facilities” means the revolving credit facility that may be established under the December 2016 Credit Agreement and December 2016 Term Loan Facility provided for by the December 2016 Credit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“December 2016 Term Loan Facility” means the $1.2 billion term loan facility provided for under the December 2016 Credit Agreement.</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“Delayed Draw Term Loan Credit Facility” means the Credit and Guaranty Agreement dated as of March 18, 2020, among American, AAG, the lenders from time to time party thereto, Citibank N.A., as administrative agent, and certain other parties thereto, as amended.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33" w:right="339" w:bottom="1440" w:gutter="0" w:footer="0" w:header="0"/>
        </w:sectPr>
      </w:pPr>
    </w:p>
    <w:bookmarkStart w:id="6" w:name="page7"/>
    <w:bookmarkEnd w:id="6"/>
    <w:p>
      <w:pPr>
        <w:spacing w:after="0" w:line="261" w:lineRule="auto"/>
        <w:rPr>
          <w:sz w:val="20"/>
          <w:szCs w:val="20"/>
          <w:color w:val="auto"/>
        </w:rPr>
      </w:pPr>
      <w:r>
        <w:rPr>
          <w:rFonts w:ascii="Arial" w:cs="Arial" w:eastAsia="Arial" w:hAnsi="Arial"/>
          <w:sz w:val="18"/>
          <w:szCs w:val="18"/>
          <w:color w:val="auto"/>
        </w:rPr>
        <w:t>“Disputed Claims Reserve” means a reserve established by the Bankruptcy Court, pursuant to the Plan, to hold shares of AAG common stock for issuance to disputed claimholders at the Effective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U.S. Department of 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 means the European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“EETC” means enhanced equipment trust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means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“Eighth Amendment” means the Eighth Amendment to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“Envoy” means Envoy Air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“EPS” means earnings (loss)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 means European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"EWR" means Newark Liberty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means $12.51 per share, pursuant to the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“FAA” means Federal Aviation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“GDSs” means global distribution systems.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“Guarantors” means the Subsidiaries as guarantors pursuant to the PSP Promissory Note.</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“Holdback” means an amount of cash held by our credit card processors in certain circumstances (including, with respect to certain agreements, our failure to maintain certain levels of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“IAM” means International Association of Machinists &amp; Aerospace Workers.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“IAM Pension Fund” means the IAM National Pension Fund.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“Indenture” means the Base Indenture together with the Supplemental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“Installment” means the financial assistance payment, in installments, by Treasury pursuant to the PSP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“JBAs” means joint business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“LGA” means LaGuardia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“LGW” or “London Gatwick” means London Gatwick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“LHR” or “London Heathrow” means London Heathrow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“LIBOR” means the London interbank offered rate for deposits of U.S. dollars.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“Mainline” means the operations of American and excludes regional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“Maturity Date” means the tenth anniversary of the PSP Closing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of US Airways Group and AMR Corporation on December 9, 2013.</w:t>
      </w:r>
    </w:p>
    <w:p>
      <w:pPr>
        <w:sectPr>
          <w:pgSz w:w="11900" w:h="16838" w:orient="portrait"/>
          <w:cols w:equalWidth="0" w:num="1">
            <w:col w:w="11240"/>
          </w:cols>
          <w:pgMar w:left="320" w:top="733"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733"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“Mesa” means Mesa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“NMB” means National Mediation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 Carryforwards” means a deduction in any taxable year for net operating losses carried over from prior taxable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“NYTDC” means the New York Transportation Development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means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“Payroll Support Program” means the payroll support program under the CARES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“PEB” means Presidential Emergency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“Piedmont” means Piedmont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“Plan” means the Debtors’ fourth amended joint plan of reorganization.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“PRASM” means passenger revenue per available seat mile and is equal to passenger revenues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“PSA” means PSA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 Agreement” means the Payroll Support Program Agreement entered into by the Subsidiaries with Treasury on the PSP Closing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 Closing Date” means April 20, 2020.</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"PSP Financial Assistance" means the portion of financial assistance received from Treasury pursuant to the PSP Agreement that is not allocated to the PSP Warrants or PSP Promissory Note.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“PSP Promissory Note” means the promissory note issued to Treasury in connection with the Payroll Support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 Warrants” means the warrants issued or to be issued to Treasury pursuant to the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“Republic” means Republic Airline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“RLA” means Railway Labor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“ROU” means right-of-use.</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“RPM” or “RPMs” means revenue passenger mile or miles and is a basic measure of sales volume. One RPM represents one passenger flown one mile.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“SEC” means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382” means Section 382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Notes” means the 11.75% senior secured notes due in 2025 with an aggregate principal amount of $2.5 billion.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“SkyWest” means SkyWest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“Slots” means landing and take-off rights and authorizations, as required by certain airports.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“Subsidiaries” means each of AAG's wholly-owned subsidiaries, PSA, American, Envoy and Piedmont.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33" w:right="339" w:bottom="1440" w:gutter="0" w:footer="0" w:header="0"/>
        </w:sectPr>
      </w:pPr>
    </w:p>
    <w:bookmarkStart w:id="8" w:name="page9"/>
    <w:bookmarkEnd w:id="8"/>
    <w:p>
      <w:pPr>
        <w:ind w:right="20"/>
        <w:spacing w:after="0" w:line="261" w:lineRule="auto"/>
        <w:rPr>
          <w:sz w:val="20"/>
          <w:szCs w:val="20"/>
          <w:color w:val="auto"/>
        </w:rPr>
      </w:pPr>
      <w:r>
        <w:rPr>
          <w:rFonts w:ascii="Arial" w:cs="Arial" w:eastAsia="Arial" w:hAnsi="Arial"/>
          <w:sz w:val="18"/>
          <w:szCs w:val="18"/>
          <w:color w:val="auto"/>
        </w:rPr>
        <w:t>“Supplemental Indenture” means the first supplemental indenture of the Base Indenture, dated as of June 25, 2020, among AAG, American Airlines and the Trustee with regards to the 6.50% convertible senior notes.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“Terminal” means the passenger terminal facility used by American at JFK.</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“TRASM” means the total revenue per available seat mile and is equal to the total revenues divided by total mainline and third-party regional carrier ASMs.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“Treasury” means the U.S. Department of the Treasury.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“Trustee” means the Wilmington Trust, National Association as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“TWU-IAM Association” means Transport Workers Union and International Association of Machinists &amp; Aerospace Workers.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Airways” means US Airways,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means US Airways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“USTR” means the Office of the U.S. Trade Representative.</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“Warrant Agreement” means the agreement entered into between AAG and Treasury in connection with the PSP Agreement, pursuant to which AAG will issue PSP Warrants to Treasury to purchase up to an aggregate of approximately 13.7 million shares of AAG common stock.</w:t>
      </w:r>
    </w:p>
    <w:p>
      <w:pPr>
        <w:spacing w:after="0" w:line="14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“Warrant Shares” means up to approximately 13.7 million shares of AAG common stock which Treasury will have the right to purchase pursuant to PSP Warrants issued by AAG in accordance with the Warrant Agreement.</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“Withdrawal Agreement” means the agreement on the withdrawal of the United Kingdom of Great Britain and Northern Ireland from the European Union and the European Atomic Energy Community.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“WTO” means World Trade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means a measure of airline revenue derived by dividing passenger revenue by RPMs.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33"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12" w:lineRule="exact"/>
        <w:rPr>
          <w:sz w:val="20"/>
          <w:szCs w:val="20"/>
          <w:color w:val="auto"/>
        </w:rPr>
      </w:pPr>
    </w:p>
    <w:p>
      <w:pPr>
        <w:ind w:firstLine="216"/>
        <w:spacing w:after="0" w:line="261"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49"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ITEM 1A. CONDENSED CONSOLIDATED FINANCIAL STATEMENTS OF AMERICAN AIRLINES GROUP INC.</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amounts)(Unaudited)</w:t>
      </w:r>
    </w:p>
    <w:p>
      <w:pPr>
        <w:sectPr>
          <w:pgSz w:w="11900" w:h="16838" w:orient="portrait"/>
          <w:cols w:equalWidth="0" w:num="1">
            <w:col w:w="11240"/>
          </w:cols>
          <w:pgMar w:left="320" w:top="549" w:right="339" w:bottom="1440" w:gutter="0" w:footer="0" w:header="0"/>
        </w:sectPr>
      </w:pPr>
    </w:p>
    <w:p>
      <w:pPr>
        <w:spacing w:after="0" w:line="375"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16459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03" w:lineRule="exact"/>
        <w:rPr>
          <w:sz w:val="20"/>
          <w:szCs w:val="20"/>
          <w:color w:val="auto"/>
        </w:rPr>
      </w:pPr>
    </w:p>
    <w:p>
      <w:pPr>
        <w:ind w:left="6400"/>
        <w:spacing w:after="0"/>
        <w:tabs>
          <w:tab w:leader="none" w:pos="77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26035</wp:posOffset>
            </wp:positionV>
            <wp:extent cx="16459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03"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45" w:lineRule="exact"/>
        <w:rPr>
          <w:sz w:val="20"/>
          <w:szCs w:val="20"/>
          <w:color w:val="auto"/>
        </w:rPr>
      </w:pPr>
    </w:p>
    <w:p>
      <w:pPr>
        <w:sectPr>
          <w:pgSz w:w="11900" w:h="16838" w:orient="portrait"/>
          <w:cols w:equalWidth="0" w:num="2">
            <w:col w:w="8300" w:space="720"/>
            <w:col w:w="2220"/>
          </w:cols>
          <w:pgMar w:left="320" w:top="549" w:right="3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Operating revenues: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4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11,011</w:t>
            </w:r>
          </w:p>
        </w:tc>
        <w:tc>
          <w:tcPr>
            <w:tcW w:w="100" w:type="dxa"/>
            <w:vAlign w:val="bottom"/>
          </w:tcPr>
          <w:p>
            <w:pPr>
              <w:spacing w:after="0"/>
              <w:rPr>
                <w:sz w:val="20"/>
                <w:szCs w:val="20"/>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8,788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20,669</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63"/>
        </w:trPr>
        <w:tc>
          <w:tcPr>
            <w:tcW w:w="5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1,436</w:t>
            </w:r>
          </w:p>
        </w:tc>
      </w:tr>
      <w:tr>
        <w:trPr>
          <w:trHeight w:val="257"/>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11,960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22,544</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3,722</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6,290</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3,648</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1,136</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969</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64"/>
        </w:trPr>
        <w:tc>
          <w:tcPr>
            <w:tcW w:w="5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2,521</w:t>
            </w:r>
          </w:p>
        </w:tc>
      </w:tr>
      <w:tr>
        <w:trPr>
          <w:trHeight w:val="257"/>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4,108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15,171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21,016</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1,528</w:t>
            </w: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64"/>
        </w:trPr>
        <w:tc>
          <w:tcPr>
            <w:tcW w:w="5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r>
      <w:tr>
        <w:trPr>
          <w:trHeight w:val="256"/>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nonoperating expense, net</w:t>
            </w: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1,128</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28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847</w:t>
            </w:r>
          </w:p>
        </w:tc>
      </w:tr>
      <w:tr>
        <w:trPr>
          <w:trHeight w:val="284"/>
        </w:trPr>
        <w:tc>
          <w:tcPr>
            <w:tcW w:w="5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Earnings (loss) per common share:</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428,807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445,008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427,260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448,479</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428,807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445,587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427,260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449,508</w:t>
            </w:r>
          </w:p>
        </w:tc>
      </w:tr>
      <w:tr>
        <w:trPr>
          <w:trHeight w:val="256"/>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49"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9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847</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56"/>
        </w:trPr>
        <w:tc>
          <w:tcPr>
            <w:tcW w:w="59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4"/>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816</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4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5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w:t>
            </w:r>
          </w:p>
        </w:tc>
        <w:tc>
          <w:tcPr>
            <w:tcW w:w="28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462</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9,351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3,546</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 and short-term investments</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539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879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1,750</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Aircraft fuel, spare parts and supplies, net</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1,653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1,851</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Prepaid expenses and other</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905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621</w:t>
            </w:r>
          </w:p>
        </w:tc>
        <w:tc>
          <w:tcPr>
            <w:tcW w:w="0" w:type="dxa"/>
            <w:vAlign w:val="bottom"/>
          </w:tcPr>
          <w:p>
            <w:pPr>
              <w:spacing w:after="0"/>
              <w:rPr>
                <w:sz w:val="1"/>
                <w:szCs w:val="1"/>
                <w:color w:val="auto"/>
              </w:rPr>
            </w:pPr>
          </w:p>
        </w:tc>
      </w:tr>
      <w:tr>
        <w:trPr>
          <w:trHeight w:val="58"/>
        </w:trPr>
        <w:tc>
          <w:tcPr>
            <w:tcW w:w="75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54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current assets</w:t>
            </w:r>
          </w:p>
        </w:tc>
        <w:tc>
          <w:tcPr>
            <w:tcW w:w="28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13,789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8,206</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Operating property and equipment</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Flight equipment</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38,672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42,537</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Ground property and equipment</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9,386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9,443</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Equipment purchase deposits</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1,786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1,674</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720"/>
              <w:spacing w:after="0"/>
              <w:rPr>
                <w:sz w:val="20"/>
                <w:szCs w:val="20"/>
                <w:color w:val="auto"/>
              </w:rPr>
            </w:pPr>
            <w:r>
              <w:rPr>
                <w:rFonts w:ascii="Arial" w:cs="Arial" w:eastAsia="Arial" w:hAnsi="Arial"/>
                <w:sz w:val="15"/>
                <w:szCs w:val="15"/>
                <w:color w:val="auto"/>
              </w:rPr>
              <w:t>Total property and equipment, at cost</w:t>
            </w:r>
          </w:p>
        </w:tc>
        <w:tc>
          <w:tcPr>
            <w:tcW w:w="280" w:type="dxa"/>
            <w:vAlign w:val="bottom"/>
          </w:tcPr>
          <w:p>
            <w:pPr>
              <w:spacing w:after="0"/>
              <w:rPr>
                <w:sz w:val="16"/>
                <w:szCs w:val="16"/>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49,844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53,654</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(16,493)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(18,659)</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720"/>
              <w:spacing w:after="0"/>
              <w:rPr>
                <w:sz w:val="20"/>
                <w:szCs w:val="20"/>
                <w:color w:val="auto"/>
              </w:rPr>
            </w:pPr>
            <w:r>
              <w:rPr>
                <w:rFonts w:ascii="Arial" w:cs="Arial" w:eastAsia="Arial" w:hAnsi="Arial"/>
                <w:sz w:val="15"/>
                <w:szCs w:val="15"/>
                <w:color w:val="auto"/>
              </w:rPr>
              <w:t>Total property and equipment, net</w:t>
            </w:r>
          </w:p>
        </w:tc>
        <w:tc>
          <w:tcPr>
            <w:tcW w:w="280" w:type="dxa"/>
            <w:vAlign w:val="bottom"/>
          </w:tcPr>
          <w:p>
            <w:pPr>
              <w:spacing w:after="0"/>
              <w:rPr>
                <w:sz w:val="16"/>
                <w:szCs w:val="16"/>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33,351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34,995</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Operating lease right-of-use assets</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8,737</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Other assets</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Intangibles, net of accumulated amortization of $724 and $704, respectively</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2,049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2,084</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Deferred tax asset</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1,725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645</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1,216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1,237</w:t>
            </w:r>
          </w:p>
        </w:tc>
        <w:tc>
          <w:tcPr>
            <w:tcW w:w="0" w:type="dxa"/>
            <w:vAlign w:val="bottom"/>
          </w:tcPr>
          <w:p>
            <w:pPr>
              <w:spacing w:after="0"/>
              <w:rPr>
                <w:sz w:val="1"/>
                <w:szCs w:val="1"/>
                <w:color w:val="auto"/>
              </w:rPr>
            </w:pPr>
          </w:p>
        </w:tc>
      </w:tr>
      <w:tr>
        <w:trPr>
          <w:trHeight w:val="58"/>
        </w:trPr>
        <w:tc>
          <w:tcPr>
            <w:tcW w:w="75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54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other assets</w:t>
            </w:r>
          </w:p>
        </w:tc>
        <w:tc>
          <w:tcPr>
            <w:tcW w:w="28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9,081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8,057</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7540" w:type="dxa"/>
            <w:vAlign w:val="bottom"/>
            <w:tcBorders>
              <w:bottom w:val="single" w:sz="8" w:color="CCEEFF"/>
            </w:tcBorders>
          </w:tcPr>
          <w:p>
            <w:pPr>
              <w:ind w:left="104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64,544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59,995</w:t>
            </w:r>
          </w:p>
        </w:tc>
        <w:tc>
          <w:tcPr>
            <w:tcW w:w="0" w:type="dxa"/>
            <w:vAlign w:val="bottom"/>
          </w:tcPr>
          <w:p>
            <w:pPr>
              <w:spacing w:after="0"/>
              <w:rPr>
                <w:sz w:val="1"/>
                <w:szCs w:val="1"/>
                <w:color w:val="auto"/>
              </w:rPr>
            </w:pPr>
          </w:p>
        </w:tc>
      </w:tr>
      <w:tr>
        <w:trPr>
          <w:trHeight w:val="255"/>
        </w:trPr>
        <w:tc>
          <w:tcPr>
            <w:tcW w:w="75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LIABILITIES AND STOCKHOLDERS’ EQUITY (DEFICIT)</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maturities of long-term debt and finance leases</w:t>
            </w:r>
          </w:p>
        </w:tc>
        <w:tc>
          <w:tcPr>
            <w:tcW w:w="28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2,575</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2,861</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Accounts payable</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1,175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2,062</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salaries and wages</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1,518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1,541</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Air traffic liability</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5,119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4,808</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Loyalty program liability</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2,354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3,193</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Operating lease liabilities</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1,804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1,708</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accrued liabilities</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3,455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2,138</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720"/>
              <w:spacing w:after="0"/>
              <w:rPr>
                <w:sz w:val="20"/>
                <w:szCs w:val="20"/>
                <w:color w:val="auto"/>
              </w:rPr>
            </w:pPr>
            <w:r>
              <w:rPr>
                <w:rFonts w:ascii="Arial" w:cs="Arial" w:eastAsia="Arial" w:hAnsi="Arial"/>
                <w:sz w:val="15"/>
                <w:szCs w:val="15"/>
                <w:color w:val="auto"/>
              </w:rPr>
              <w:t>Total current liabilities</w:t>
            </w:r>
          </w:p>
        </w:tc>
        <w:tc>
          <w:tcPr>
            <w:tcW w:w="280" w:type="dxa"/>
            <w:vAlign w:val="bottom"/>
          </w:tcPr>
          <w:p>
            <w:pPr>
              <w:spacing w:after="0"/>
              <w:rPr>
                <w:sz w:val="16"/>
                <w:szCs w:val="16"/>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18,000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18,311</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Long-term debt and finance leases, net of current maturities</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28,698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21,454</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Pension and postretirement benefits</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6,019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6,052</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Loyalty program liability</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6,608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5,422</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lease liabilities</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6,972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7,421</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Other liabilities</w:t>
            </w:r>
          </w:p>
        </w:tc>
        <w:tc>
          <w:tcPr>
            <w:tcW w:w="280" w:type="dxa"/>
            <w:vAlign w:val="bottom"/>
          </w:tcPr>
          <w:p>
            <w:pPr>
              <w:spacing w:after="0"/>
              <w:rPr>
                <w:sz w:val="18"/>
                <w:szCs w:val="18"/>
                <w:color w:val="auto"/>
              </w:rPr>
            </w:pPr>
          </w:p>
        </w:tc>
        <w:tc>
          <w:tcPr>
            <w:tcW w:w="1520" w:type="dxa"/>
            <w:vAlign w:val="bottom"/>
            <w:vMerge w:val="restart"/>
          </w:tcPr>
          <w:p>
            <w:pPr>
              <w:jc w:val="right"/>
              <w:ind w:right="44"/>
              <w:spacing w:after="0"/>
              <w:rPr>
                <w:sz w:val="20"/>
                <w:szCs w:val="20"/>
                <w:color w:val="auto"/>
              </w:rPr>
            </w:pPr>
            <w:r>
              <w:rPr>
                <w:rFonts w:ascii="Arial" w:cs="Arial" w:eastAsia="Arial" w:hAnsi="Arial"/>
                <w:sz w:val="15"/>
                <w:szCs w:val="15"/>
                <w:color w:val="auto"/>
              </w:rPr>
              <w:t>1,416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1,453</w:t>
            </w:r>
          </w:p>
        </w:tc>
        <w:tc>
          <w:tcPr>
            <w:tcW w:w="0" w:type="dxa"/>
            <w:vAlign w:val="bottom"/>
          </w:tcPr>
          <w:p>
            <w:pPr>
              <w:spacing w:after="0"/>
              <w:rPr>
                <w:sz w:val="1"/>
                <w:szCs w:val="1"/>
                <w:color w:val="auto"/>
              </w:rPr>
            </w:pPr>
          </w:p>
        </w:tc>
      </w:tr>
      <w:tr>
        <w:trPr>
          <w:trHeight w:val="58"/>
        </w:trPr>
        <w:tc>
          <w:tcPr>
            <w:tcW w:w="75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54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noncurrent liabilities</w:t>
            </w:r>
          </w:p>
        </w:tc>
        <w:tc>
          <w:tcPr>
            <w:tcW w:w="28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49,713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41,802</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Stockholders’ equity (deficit)</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540" w:type="dxa"/>
            <w:vAlign w:val="bottom"/>
          </w:tcPr>
          <w:p>
            <w:pPr>
              <w:ind w:left="380"/>
              <w:spacing w:after="0"/>
              <w:rPr>
                <w:sz w:val="20"/>
                <w:szCs w:val="20"/>
                <w:color w:val="auto"/>
              </w:rPr>
            </w:pPr>
            <w:r>
              <w:rPr>
                <w:rFonts w:ascii="Arial" w:cs="Arial" w:eastAsia="Arial" w:hAnsi="Arial"/>
                <w:sz w:val="15"/>
                <w:szCs w:val="15"/>
                <w:color w:val="auto"/>
              </w:rPr>
              <w:t>Common stock, $0.01 par value; 1,750,000,000 shares authorized, 508,556,154 shares issued and</w:t>
            </w: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Arial" w:cs="Arial" w:eastAsia="Arial" w:hAnsi="Arial"/>
                <w:sz w:val="15"/>
                <w:szCs w:val="15"/>
                <w:color w:val="auto"/>
              </w:rPr>
              <w:t>outstanding at June 30, 2020; 428,202,506 shares issued and outstanding at December 31, 2019</w:t>
            </w:r>
          </w:p>
        </w:tc>
        <w:tc>
          <w:tcPr>
            <w:tcW w:w="280" w:type="dxa"/>
            <w:vAlign w:val="bottom"/>
          </w:tcPr>
          <w:p>
            <w:pPr>
              <w:spacing w:after="0"/>
              <w:rPr>
                <w:sz w:val="16"/>
                <w:szCs w:val="16"/>
                <w:color w:val="auto"/>
              </w:rPr>
            </w:pPr>
          </w:p>
        </w:tc>
        <w:tc>
          <w:tcPr>
            <w:tcW w:w="1520" w:type="dxa"/>
            <w:vAlign w:val="bottom"/>
          </w:tcPr>
          <w:p>
            <w:pPr>
              <w:jc w:val="right"/>
              <w:ind w:right="44"/>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5,377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3,945</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(6,463)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(6,331)</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 (deficit)</w:t>
            </w:r>
          </w:p>
        </w:tc>
        <w:tc>
          <w:tcPr>
            <w:tcW w:w="2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2,264</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720"/>
              <w:spacing w:after="0"/>
              <w:rPr>
                <w:sz w:val="20"/>
                <w:szCs w:val="20"/>
                <w:color w:val="auto"/>
              </w:rPr>
            </w:pPr>
            <w:r>
              <w:rPr>
                <w:rFonts w:ascii="Arial" w:cs="Arial" w:eastAsia="Arial" w:hAnsi="Arial"/>
                <w:sz w:val="15"/>
                <w:szCs w:val="15"/>
                <w:color w:val="auto"/>
              </w:rPr>
              <w:t>Total stockholders’ deficit</w:t>
            </w:r>
          </w:p>
        </w:tc>
        <w:tc>
          <w:tcPr>
            <w:tcW w:w="2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(3,169)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58"/>
        </w:trPr>
        <w:tc>
          <w:tcPr>
            <w:tcW w:w="75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75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64,544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59,995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549" w:right="339" w:bottom="36"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549" w:right="339" w:bottom="36"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r>
      <w:tr>
        <w:trPr>
          <w:trHeight w:val="263"/>
        </w:trPr>
        <w:tc>
          <w:tcPr>
            <w:tcW w:w="208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56"/>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6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2,387</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Proceeds from sale-leaseback transactions</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and equipment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(2,201)</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Sales of short-term investments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1,611</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Increase in restricted short-term investments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7720" w:type="dxa"/>
            <w:vAlign w:val="bottom"/>
            <w:gridSpan w:val="2"/>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57"/>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2,589</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Payments on long-term debt and finance leases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Proceeds from issuance of equity</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Treasury stock repurchases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Dividend payments</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4"/>
        </w:trPr>
        <w:tc>
          <w:tcPr>
            <w:tcW w:w="772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56"/>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and restricted cash</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64"/>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w:t>
            </w:r>
          </w:p>
        </w:tc>
      </w:tr>
      <w:tr>
        <w:trPr>
          <w:trHeight w:val="256"/>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0"/>
        </w:trPr>
        <w:tc>
          <w:tcPr>
            <w:tcW w:w="2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4"/>
        </w:trPr>
        <w:tc>
          <w:tcPr>
            <w:tcW w:w="208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50"/>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Right-of-use (ROU) assets acquired through operating leases</w:t>
            </w:r>
          </w:p>
        </w:tc>
        <w:tc>
          <w:tcPr>
            <w:tcW w:w="1060" w:type="dxa"/>
            <w:vAlign w:val="bottom"/>
          </w:tcPr>
          <w:p>
            <w:pPr>
              <w:jc w:val="right"/>
              <w:ind w:right="83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2"/>
                <w:szCs w:val="22"/>
                <w:color w:val="auto"/>
              </w:rPr>
            </w:pP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708</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Settlement of bankruptcy obligations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Payroll Support Program Warrants</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financing costs paid through issuance of debt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Property and equipment acquired through finance leases</w:t>
            </w:r>
          </w:p>
        </w:tc>
        <w:tc>
          <w:tcPr>
            <w:tcW w:w="10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Interest paid, net</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2080" w:type="dxa"/>
            <w:vAlign w:val="bottom"/>
            <w:tcBorders>
              <w:bottom w:val="single" w:sz="8" w:color="auto"/>
            </w:tcBorders>
          </w:tcPr>
          <w:p>
            <w:pPr>
              <w:spacing w:after="0"/>
              <w:rPr>
                <w:sz w:val="22"/>
                <w:szCs w:val="22"/>
                <w:color w:val="auto"/>
              </w:rPr>
            </w:pPr>
          </w:p>
        </w:tc>
        <w:tc>
          <w:tcPr>
            <w:tcW w:w="5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377" w:lineRule="exact"/>
        <w:rPr>
          <w:sz w:val="20"/>
          <w:szCs w:val="20"/>
          <w:color w:val="auto"/>
        </w:rPr>
      </w:pPr>
    </w:p>
    <w:p>
      <w:pPr>
        <w:ind w:left="580" w:hanging="329"/>
        <w:spacing w:after="0" w:line="225" w:lineRule="auto"/>
        <w:tabs>
          <w:tab w:leader="none" w:pos="58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64"/>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56"/>
        </w:trPr>
        <w:tc>
          <w:tcPr>
            <w:tcW w:w="7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0"/>
        </w:trPr>
        <w:tc>
          <w:tcPr>
            <w:tcW w:w="7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549"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549"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56"/>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3,945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2,264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(2,241)</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Purchase and retirement of 6,378,025 shares of AAG common stock</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8"/>
        </w:trPr>
        <w:tc>
          <w:tcPr>
            <w:tcW w:w="5520" w:type="dxa"/>
            <w:vAlign w:val="bottom"/>
          </w:tcPr>
          <w:p>
            <w:pPr>
              <w:ind w:left="40"/>
              <w:spacing w:after="0"/>
              <w:rPr>
                <w:sz w:val="20"/>
                <w:szCs w:val="20"/>
                <w:color w:val="auto"/>
              </w:rPr>
            </w:pPr>
            <w:r>
              <w:rPr>
                <w:rFonts w:ascii="Arial" w:cs="Arial" w:eastAsia="Arial" w:hAnsi="Arial"/>
                <w:sz w:val="16"/>
                <w:szCs w:val="16"/>
                <w:color w:val="auto"/>
              </w:rPr>
              <w:t>Issuance of 1,062,052 shares of AAG common stock pursuant to employee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of single-dip unsecured claims held in Disputed Claims Reserve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63"/>
        </w:trPr>
        <w:tc>
          <w:tcPr>
            <w:tcW w:w="55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57"/>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2020</w:t>
            </w:r>
          </w:p>
        </w:tc>
        <w:tc>
          <w:tcPr>
            <w:tcW w:w="1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3,861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(2,067)</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Payroll Support Program Warrants</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55</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component of convertible debt issued, net of tax and offering costs</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320</w:t>
            </w:r>
          </w:p>
        </w:tc>
      </w:tr>
      <w:tr>
        <w:trPr>
          <w:trHeight w:val="218"/>
        </w:trPr>
        <w:tc>
          <w:tcPr>
            <w:tcW w:w="5520" w:type="dxa"/>
            <w:vAlign w:val="bottom"/>
          </w:tcPr>
          <w:p>
            <w:pPr>
              <w:ind w:left="40"/>
              <w:spacing w:after="0"/>
              <w:rPr>
                <w:sz w:val="20"/>
                <w:szCs w:val="20"/>
                <w:color w:val="auto"/>
              </w:rPr>
            </w:pPr>
            <w:r>
              <w:rPr>
                <w:rFonts w:ascii="Arial" w:cs="Arial" w:eastAsia="Arial" w:hAnsi="Arial"/>
                <w:sz w:val="16"/>
                <w:szCs w:val="16"/>
                <w:color w:val="auto"/>
              </w:rPr>
              <w:t>Issuance of 85,215,000 shares of AAG common stock pursuant to a public</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6"/>
                <w:szCs w:val="16"/>
                <w:color w:val="auto"/>
              </w:rPr>
              <w:t>stock offering, net of offering costs</w:t>
            </w: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1,113</w:t>
            </w:r>
          </w:p>
        </w:tc>
      </w:tr>
      <w:tr>
        <w:trPr>
          <w:trHeight w:val="228"/>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454,621 shares of AAG common stock pursuant to employee</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4"/>
        </w:trPr>
        <w:tc>
          <w:tcPr>
            <w:tcW w:w="5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63"/>
        </w:trPr>
        <w:tc>
          <w:tcPr>
            <w:tcW w:w="55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31</w:t>
            </w:r>
          </w:p>
        </w:tc>
      </w:tr>
      <w:tr>
        <w:trPr>
          <w:trHeight w:val="237"/>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w:t>
            </w: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98"/>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56"/>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4,964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185</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Purchase and retirement of 16,947,393 shares of AAG common stock</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8"/>
        </w:trPr>
        <w:tc>
          <w:tcPr>
            <w:tcW w:w="5520" w:type="dxa"/>
            <w:vAlign w:val="bottom"/>
          </w:tcPr>
          <w:p>
            <w:pPr>
              <w:ind w:left="40"/>
              <w:spacing w:after="0"/>
              <w:rPr>
                <w:sz w:val="20"/>
                <w:szCs w:val="20"/>
                <w:color w:val="auto"/>
              </w:rPr>
            </w:pPr>
            <w:r>
              <w:rPr>
                <w:rFonts w:ascii="Arial" w:cs="Arial" w:eastAsia="Arial" w:hAnsi="Arial"/>
                <w:sz w:val="16"/>
                <w:szCs w:val="16"/>
                <w:color w:val="auto"/>
              </w:rPr>
              <w:t>Issuance of 552,752 shares of AAG common stock pursuant to employee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40"/>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(636)</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662</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Other comprehensive loss, net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8"/>
        </w:trPr>
        <w:tc>
          <w:tcPr>
            <w:tcW w:w="5520" w:type="dxa"/>
            <w:vAlign w:val="bottom"/>
          </w:tcPr>
          <w:p>
            <w:pPr>
              <w:ind w:left="40"/>
              <w:spacing w:after="0"/>
              <w:rPr>
                <w:sz w:val="20"/>
                <w:szCs w:val="20"/>
                <w:color w:val="auto"/>
              </w:rPr>
            </w:pPr>
            <w:r>
              <w:rPr>
                <w:rFonts w:ascii="Arial" w:cs="Arial" w:eastAsia="Arial" w:hAnsi="Arial"/>
                <w:sz w:val="16"/>
                <w:szCs w:val="16"/>
                <w:color w:val="auto"/>
              </w:rPr>
              <w:t>Issuance of 1,046,122 shares of AAG common stock pursuant to employee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of single-dip unsecured claims held in Disputed Claims Reserve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64"/>
        </w:trPr>
        <w:tc>
          <w:tcPr>
            <w:tcW w:w="55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236"/>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49" w:right="339" w:bottom="1440" w:gutter="0" w:footer="0" w:header="0"/>
        </w:sectPr>
      </w:pPr>
    </w:p>
    <w:bookmarkStart w:id="15" w:name="page16"/>
    <w:bookmarkEnd w:id="15"/>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Recent Accounting Pronouncement</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 Basis of Presentation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2019.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closing of borders, “shelter in place” orders and business closures. As a result, we have experienced an unprecedented decline in the demand for air travel, which has resulted in a material deterioration in our revenues. While our business performed largely as expected in January and February of 2020, a severe reduction in air travel starting in March 2020 resulted in our total operating revenues decreasing approximately 20% in the first quarter of 2020 and 86% in the second quarter of 2020 as compared to the first and second quarter of 2019, respectively. While the length and severity of the reduction in demand due to COVID-19 is uncertain, we expect our results of operations for the remainder of 2020 to be severely impacted.</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taken aggressive actions to mitigate the effect of COVID-19 on our business including deep capacity reductions, structural changes to our fleet, cost reductions, and steps to preserve cash and improve our overall liquidity position. We remain extremely focused on taking all self-help measures available to manage our business during this unprecedented time, consistent with the terms of the financial assistance we have received from the U.S. Government under the Coronavirus Aid, Relief, and Economic Security (CARES) Act which, among other things, includes obligations regarding minimum air service and restrictions on involuntary workforce actions.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Capacity Reductions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significantly reduced our capacity (as measured by available seat miles), with the second quarter of 2020 flying decreased by 76% year-over-year and third quarter of 2020 flying expected to decrease by approximately 60% year-over-year. The demand environment continues to be uncertain as COVID-19 cases have increased and new travel restrictions have been put into place. Due to this uncertainty, we will continue to adjust our future capacity to match developing trends in bookings for future travel and make further adjustments to our capacity as needed.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Fleet</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To better align our network with lower passenger demand, we accelerated the retirement of Boeing 757, Boeing 767, Airbus A330-300 and Embraer 190 fleets as well as certain regional aircraft, including certain Embraer 140 and Bombardier CRJ200 aircraft. These retirements remove complexity from our operation and bring forward cost savings and efficiencies associated with operating fewer aircraft types. See Note 13 for further information on the accounting for our fleet retirements. Due to the inherent uncertainties of the current operating environment, we will continue to evaluate our current fleet and may decide to permanently retire additional aircraft. In addition, we have placed a significant number of aircraft, including our A330-200 fleet and a number of Boeing 737-800 and certain regional aircraft, into temporary storage.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49" w:right="339" w:bottom="1440" w:gutter="0" w:footer="0" w:header="0"/>
        </w:sectPr>
      </w:pPr>
    </w:p>
    <w:bookmarkStart w:id="16" w:name="page17"/>
    <w:bookmarkEnd w:id="16"/>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Reductions</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moving quickly to better align our costs with our reduced schedule. In aggregate, we estimate that we have reduced our 2020 operating and capital expenditures by more than $15.0 billion. These savings have been achieved primarily through capacity reductions. In addition, we have implemented a series of actions, including the accelerated fleet retirements discussed above as well as reductions in maintenance expense and non-aircraft capital expenditures through less fleet modification work, the elimination of ground service equipment purchases and pausing all non-critical facility investments and information technology projects. We have also suspended all non-essential hiring, paused non-contractual pay rate increases, reduced executive and board of director compensation, implemented voluntary leave and early retirement programs and decreased our management and support staff team, including officers, by approximately 5,100 positions, or 30%, to reduce our labor costs consistent with our obligations under the CARES Act. In total, more than 41,000 team members have opted for an early retirement, a reduced work schedule or partially paid leave. Additionally, we have made reductions in marketing, contractor, event and training expenses as well as consolidated space at airport facilities.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Liquidity</w:t>
      </w:r>
    </w:p>
    <w:p>
      <w:pPr>
        <w:spacing w:after="0" w:line="10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At June 30, 2020, we had $10.2 billion in total available liquidity, consisting of $9.8 billion in unrestricted cash and short-term investments and $400 million in an undrawn short-term revolving facility.</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six months of 2020, we completed the following financing transactions (see Note 6 for further information):</w:t>
      </w:r>
    </w:p>
    <w:p>
      <w:pPr>
        <w:spacing w:after="0" w:line="171" w:lineRule="exact"/>
        <w:rPr>
          <w:sz w:val="20"/>
          <w:szCs w:val="20"/>
          <w:color w:val="auto"/>
        </w:rPr>
      </w:pPr>
    </w:p>
    <w:p>
      <w:pPr>
        <w:ind w:left="660" w:hanging="40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refinanced the $1.2 billion 2014 Term Loan Facility at a lower interest rate and extended the maturity from 2021 to 2027;</w:t>
      </w:r>
    </w:p>
    <w:p>
      <w:pPr>
        <w:spacing w:after="0" w:line="171" w:lineRule="exact"/>
        <w:rPr>
          <w:rFonts w:ascii="Arial" w:cs="Arial" w:eastAsia="Arial" w:hAnsi="Arial"/>
          <w:sz w:val="18"/>
          <w:szCs w:val="18"/>
          <w:color w:val="auto"/>
        </w:rPr>
      </w:pPr>
    </w:p>
    <w:p>
      <w:pPr>
        <w:ind w:left="660" w:hanging="40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$500 million in aggregate principal amount of 3.75% unsecured senior notes due 2025 and repaid $500 million of 4.625% unsecured senior notes that matured in March 2020;</w:t>
      </w:r>
    </w:p>
    <w:p>
      <w:pPr>
        <w:spacing w:after="0" w:line="143" w:lineRule="exact"/>
        <w:rPr>
          <w:rFonts w:ascii="Arial" w:cs="Arial" w:eastAsia="Arial" w:hAnsi="Arial"/>
          <w:sz w:val="18"/>
          <w:szCs w:val="18"/>
          <w:color w:val="auto"/>
        </w:rPr>
      </w:pPr>
    </w:p>
    <w:p>
      <w:pPr>
        <w:ind w:left="660" w:hanging="40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borrowed $750 million under the 2013 Revolving Facility, $1.6 billion under the 2014 Revolving Facility and $450 million under the April 2016 Revolving Facility;</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$1.0 billion in aggregate principal amount of 6.50% convertible senior notes due 2025;</w:t>
      </w:r>
    </w:p>
    <w:p>
      <w:pPr>
        <w:spacing w:after="0" w:line="171" w:lineRule="exact"/>
        <w:rPr>
          <w:rFonts w:ascii="Arial" w:cs="Arial" w:eastAsia="Arial" w:hAnsi="Arial"/>
          <w:sz w:val="18"/>
          <w:szCs w:val="18"/>
          <w:color w:val="auto"/>
        </w:rPr>
      </w:pPr>
    </w:p>
    <w:p>
      <w:pPr>
        <w:ind w:left="660" w:hanging="40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85.2 million shares of AAG common stock at a price of $13.50 per share pursuant to a public offering of common stock for net proceeds of $1.1 billion;</w:t>
      </w:r>
    </w:p>
    <w:p>
      <w:pPr>
        <w:spacing w:after="0" w:line="143" w:lineRule="exact"/>
        <w:rPr>
          <w:rFonts w:ascii="Arial" w:cs="Arial" w:eastAsia="Arial" w:hAnsi="Arial"/>
          <w:sz w:val="18"/>
          <w:szCs w:val="18"/>
          <w:color w:val="auto"/>
        </w:rPr>
      </w:pPr>
    </w:p>
    <w:p>
      <w:pPr>
        <w:ind w:left="660" w:right="20" w:hanging="40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$2.5 billion in aggregate principal amount of 11.75% senior secured notes due 2025 and repaid the $1.0 billion senior secured delayed draw term loan credit facility that we borrowed in March 2020;</w:t>
      </w:r>
    </w:p>
    <w:p>
      <w:pPr>
        <w:spacing w:after="0" w:line="143" w:lineRule="exact"/>
        <w:rPr>
          <w:rFonts w:ascii="Arial" w:cs="Arial" w:eastAsia="Arial" w:hAnsi="Arial"/>
          <w:sz w:val="18"/>
          <w:szCs w:val="18"/>
          <w:color w:val="auto"/>
        </w:rPr>
      </w:pPr>
    </w:p>
    <w:p>
      <w:pPr>
        <w:ind w:left="660" w:right="20" w:hanging="40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approximately $360 million in special facility revenue bonds, of which $47 million was used to fund the redemption of certain outstanding bonds;</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raised $336 million from aircraft sale-leaseback transactions; and</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raised $197 million from aircraft financings, of which $17 million was used to repay existing indebtedness.</w:t>
      </w:r>
    </w:p>
    <w:p>
      <w:pPr>
        <w:spacing w:after="0" w:line="25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have also been approved to receive an aggregate of $5.8 billion in financial assistance to be paid in installments through the payroll support program (Payroll Support Program) under the CARES Act. As of June 30, 2020, we had received $5.2 billion of such financial assistance and we had issued a promissory note (the PSP Promissory Note) to the U.S. Department of the Treasury (Treasury) for $1.5 billion in aggregate principal amount as well as warrants to purchase up to an aggregate of approximately 12.3 million shares (the Warrant Shares) of AAG common stock. See below for further discussion on the Payroll Support Program. Separately, American has signed a term sheet with Treasury for a $4.75 billion secured loan under the CARES Act.</w:t>
      </w:r>
    </w:p>
    <w:p>
      <w:pPr>
        <w:spacing w:after="0" w:line="15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Also, we are permitted to, and will, defer payment of the employer portion of Social Security taxes through the end of 2020 (with 50% of the deferred amount due December 31, 2021 and the remaining 50% due December 31, 2022). This deferral is expected to provide approximately $300 million in additional liquidity during 2020. Additionally, we have suspended our capital return program, including share repurchases and the payment of future dividends for at least the period that the restrictions imposed by the CARES Act are applicable.</w:t>
      </w:r>
    </w:p>
    <w:p>
      <w:pPr>
        <w:spacing w:after="0" w:line="150"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We continue to evaluate future financing opportunities and have engaged third-party appraisers to evaluate some of our unencumbered assets. We expect to pledge a portion of these unencumbered assets as collateral for future financings,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33" w:right="339" w:bottom="1440" w:gutter="0" w:footer="0" w:header="0"/>
        </w:sectPr>
      </w:pPr>
    </w:p>
    <w:bookmarkStart w:id="17" w:name="page18"/>
    <w:bookmarkEnd w:id="17"/>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including as part of the approximately $4.75 billion secured loan under the CARES Act for which American has signed a term sheet with Treasury.</w:t>
      </w:r>
    </w:p>
    <w:p>
      <w:pPr>
        <w:spacing w:after="0" w:line="144"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Certain of our debt financing agreements contain covenants requiring us to maintain an aggregate of at least $ 2.0 billion of unrestricted cash and cash equivalents and amounts available to be drawn under revolving credit facilities and/or contain loan to value ratio covenants.</w:t>
      </w:r>
    </w:p>
    <w:p>
      <w:pPr>
        <w:spacing w:after="0" w:line="14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Given the above actions and our assumptions about the future impact of COVID-19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to be provided pursuant to the CARES Act) and projected cash flows from operations.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Payroll Support Program</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April 20, 2020 (the PSP Closing Date), American, Envoy Air Inc. (Envoy), Piedmont Airlines, Inc. (Piedmont) and PSA Airlines, Inc. (PSA and together with American, Envoy and Piedmont, the Subsidiaries), each our wholly-owned subsidiary, entered into a Payroll Support Program Agreement (the PSP Agreement) with Treasury, with respect to the Payroll Support Program provided pursuant to the CARES Act. In connection with our entry into the PSP Agreement, on the PSP Closing Date, we also entered into a warrant agreement (the PSP Warrant Agreement) with Treasury, and we issued the PSP Promissory Note to Treasury, with the Subsidiaries as guarantors (the Guarantors).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Payroll Support Program Agreement</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connection with the Payroll Support Program, we are required to comply with the relevant provisions of the CARES Act, including the requirement that funds provided pursuant to the PSP Agreement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and the provisions that prohibit the repurchase of AAG common stock, and the payment of common stock dividends through September 30, 2021, as well as those that restrict the payment of certain executive compensation until March 24, 2022. The PSP Agreement also imposes substantial reporting obligations on us. If we receive a secured loan from Treasury under the loan program, the stock repurchase, dividend and executive compensation restrictions will remain in place through the date that is one year after such secured loan is fully repaid.</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Pursuant to the PSP Agreement, Treasury is to provide us financial assistance to be paid in installments (each, an Installment) expected to total in the aggregate approximately $5.8 billion, of which $5.2 billion has been received as of June 30, 2020 (representing 90% of the current expected total). We currently anticipate receiving one additional Installment in July 2020. As partial compensation to the U.S. Government for the provision of financial assistance under the Payroll Support Program, we expect to issue a total aggregate principal amount of approximately $1.7 billion under the PSP Promissory Note and issue warrants (each a PSP Warrant and, collectively, the PSP Warrants) to Treasury to purchase up to an aggregate of approximately 13.7 million shares of AAG common stock. See Note 6 for further information on the PSP Promissory Note and below for more information on the PSP Warrant Agreement and the PSP Warrants.</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For accounting purposes, the $5.8 billion of aggregate financial assistance pursuant to the PSP Agreement is allocated to the PSP Promissory Note, the PSP Warrants and other Payroll Support Program financial assistance (the PSP Financial Assistance). The aggregate principal amount of approximately $1.7 billion of PSP Promissory Note will be recorded as unsecured long-term debt, and the total fair value of the PSP Warrants, estimated using a Black-Scholes option pricing model, will be recorded in stockholders' equity in the condensed consolidated balance sheet. The remaining amount of approximately $4.0 billion of PSP Financial Assistance will be recognized as a credit to special items, net in the condensed consolidated statement of operations in the second and third quarters of 2020, the period over which the continuation of payment of employee wages, salaries and benefits is required. At June 30, 2020, approximately $1.7 billion of the PSP Financial Assistance was deferred in other accrued liabilities in the condensed consolidated balance sheet and approximately $2.0 billion was recognized as a credit to special items, net in the condensed consolidated statement of operations.</w:t>
      </w:r>
    </w:p>
    <w:p>
      <w:pPr>
        <w:spacing w:after="0" w:line="1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also applied for a secured loan from Treasury of approximately $4.75 billion under the CARES Act, which if granted will involve the issuance of additional warrants to purchase approximately 38.0 million shares of AAG common stock. As of the date of this report, American has signed a term sheet with Treasury for this secured loan. However, we have not yet finalized a definitive agreement for this secured loan, and thus final terms and conditions and closing remain subject to ongoing negotiation, entry by the parties into definitive documentation and satisfaction of closing conditions.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33" w:right="339" w:bottom="1440" w:gutter="0" w:footer="0" w:header="0"/>
        </w:sectPr>
      </w:pPr>
    </w:p>
    <w:bookmarkStart w:id="18" w:name="page19"/>
    <w:bookmarkEnd w:id="18"/>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PSP Warrant Agreement and Warrants</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 Agreement, and pursuant to the PSP Warrant Agreement, we have agreed to issue warrants to Treasury to purchase up to an aggregate of approximately 13.7 million Warrant Shares of AAG common stock. The exercise price of the Warrant Shares is $12.51 per share (which was the closing price of AAG common stock on The Nasdaq Global Select Market on April 9, 2020) (the Exercise Price) subject to certain anti-dilution provisions provided for in the PSP Warrant.</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Pursuant to the PSP Warrant Agreement, on the PSP Closing Date, May 29, 2020 and June 30, 2020, we issued to Treasury a PSP Warrant to purchase up to an aggregate of approximately 6.7 million shares, 2.8 million shares and 2.8 million shares, respectively, of AAG common stock based on the terms described herein. We anticipate issuing the final PSP Warrant for approximately 1.4 million shares of AAG common stock on or about July 30, 2020.</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PSP Warrants do not have any voting rights and are freely transferrable, with registration rights. Each PSP Warrant expires on the fifth anniversary of the date of issuance of such PSP Warrant. The PSP Warrants will be exercisable either through net share settlement or cash, at our option. The PSP Warrants were issued solely as compensation to the U.S. Government related to entry into the PSP Agreement. No separate proceeds (apart from the financial assistance described above) were received upon issuance of the PSP Warrants or will be received upon exercise thereof.</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Accounting Standards Update (ASU) 2016-13: Financial Instruments </w:t>
      </w:r>
      <w:r>
        <w:rPr>
          <w:rFonts w:ascii="Arial" w:cs="Arial" w:eastAsia="Arial" w:hAnsi="Arial"/>
          <w:sz w:val="18"/>
          <w:szCs w:val="18"/>
          <w:color w:val="auto"/>
        </w:rPr>
        <w:t>–</w:t>
      </w:r>
      <w:r>
        <w:rPr>
          <w:rFonts w:ascii="Arial" w:cs="Arial" w:eastAsia="Arial" w:hAnsi="Arial"/>
          <w:sz w:val="18"/>
          <w:szCs w:val="18"/>
          <w:i w:val="1"/>
          <w:iCs w:val="1"/>
          <w:color w:val="auto"/>
        </w:rPr>
        <w:t xml:space="preserve"> Credit Losses (Topic 326)</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We adopted this accounting standard prospectively as of January 1, 2020, and it did not have a material impact on our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33" w:right="339" w:bottom="1440" w:gutter="0" w:footer="0" w:header="0"/>
        </w:sectPr>
      </w:pPr>
    </w:p>
    <w:bookmarkStart w:id="19" w:name="page20"/>
    <w:bookmarkEnd w:id="19"/>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3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9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Merger integration expenses</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Other operating special items, net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57"/>
        </w:trPr>
        <w:tc>
          <w:tcPr>
            <w:tcW w:w="59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Mainline operating special items, net</w:t>
            </w: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324"/>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Regional operating special items,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59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Operating special items, net</w:t>
            </w: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324"/>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1"/>
                <w:szCs w:val="21"/>
                <w:color w:val="auto"/>
                <w:vertAlign w:val="superscript"/>
              </w:rPr>
              <w:t>(7)</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Debt refinancing, extinguishment and other charges</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56"/>
        </w:trPr>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Nonoperating special items, net</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320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00" w:right="20" w:hanging="330"/>
        <w:spacing w:after="0" w:line="225"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PSP Agreement. See Note 1 for further information.</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our operation due to COVID-19.</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Transport Workers Union and International Association of Machinists &amp; Aerospace Workers for our maintenance and fleet service team members, including signing bonuses and adjustments to vacation accruals resulting from pay rate increases.</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Fleet impairment resulted from our decision to retire certain aircraft earlier than planned driven by the decline in air travel due to COVID-19. Aircraft retired include Boeing 757, Boeing 767, Airbus A330-300, Embraer 190, certain Embraer 140 and Bombardier CRJ200 aircraft.</w:t>
      </w:r>
    </w:p>
    <w:p>
      <w:pPr>
        <w:spacing w:after="0" w:line="162" w:lineRule="exact"/>
        <w:rPr>
          <w:rFonts w:ascii="Arial" w:cs="Arial" w:eastAsia="Arial" w:hAnsi="Arial"/>
          <w:sz w:val="22"/>
          <w:szCs w:val="22"/>
          <w:color w:val="auto"/>
          <w:vertAlign w:val="superscript"/>
        </w:rPr>
      </w:pPr>
    </w:p>
    <w:p>
      <w:pPr>
        <w:jc w:val="both"/>
        <w:ind w:left="500"/>
        <w:spacing w:after="0" w:line="256" w:lineRule="auto"/>
        <w:rPr>
          <w:rFonts w:ascii="Arial" w:cs="Arial" w:eastAsia="Arial" w:hAnsi="Arial"/>
          <w:sz w:val="22"/>
          <w:szCs w:val="22"/>
          <w:color w:val="auto"/>
          <w:vertAlign w:val="superscript"/>
        </w:rPr>
      </w:pPr>
      <w:r>
        <w:rPr>
          <w:rFonts w:ascii="Arial" w:cs="Arial" w:eastAsia="Arial" w:hAnsi="Arial"/>
          <w:sz w:val="18"/>
          <w:szCs w:val="18"/>
          <w:color w:val="auto"/>
        </w:rPr>
        <w:t>The three months ended June 30, 2020 primarily included a non-cash write-down of regional aircraft and spare parts. The six months ended June 30, 2020 included a $784 million non-cash write-down of mainline and regional aircraft and spare parts and $76 million in write-offs of ROU assets and lease return costs. See Note 13 for further information related to these charges.</w:t>
      </w:r>
    </w:p>
    <w:p>
      <w:pPr>
        <w:spacing w:after="0" w:line="147"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33" w:right="339" w:bottom="1440" w:gutter="0" w:footer="0" w:header="0"/>
        </w:sectPr>
      </w:pPr>
    </w:p>
    <w:bookmarkStart w:id="20" w:name="page21"/>
    <w:bookmarkEnd w:id="20"/>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37" w:lineRule="exact"/>
        <w:rPr>
          <w:sz w:val="20"/>
          <w:szCs w:val="20"/>
          <w:color w:val="auto"/>
        </w:rPr>
      </w:pPr>
    </w:p>
    <w:p>
      <w:pPr>
        <w:jc w:val="both"/>
        <w:ind w:left="500" w:hanging="330"/>
        <w:spacing w:after="0" w:line="233" w:lineRule="auto"/>
        <w:tabs>
          <w:tab w:leader="none" w:pos="500" w:val="left"/>
        </w:tabs>
        <w:numPr>
          <w:ilvl w:val="1"/>
          <w:numId w:val="7"/>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and other investments, net primarily relates to net unrealized gains and losses associated with our equity investment in China Southern Airlines Company Limited (China Southern Airlines) and certain treasury rate lock derivative instruments.</w:t>
      </w:r>
    </w:p>
    <w:p>
      <w:pPr>
        <w:spacing w:after="0" w:line="221"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Common Share</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(loss) per common share (EPS) (in millions, except share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share amounts):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9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4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(4,308)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847</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428,807</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445,008</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427,260</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448,479</w:t>
            </w:r>
          </w:p>
        </w:tc>
      </w:tr>
      <w:tr>
        <w:trPr>
          <w:trHeight w:val="283"/>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EPS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1.89</w:t>
            </w:r>
          </w:p>
        </w:tc>
      </w:tr>
      <w:tr>
        <w:trPr>
          <w:trHeight w:val="271"/>
        </w:trPr>
        <w:tc>
          <w:tcPr>
            <w:tcW w:w="5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for purposes of computing diluted EPS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847</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428,807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445,008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427,260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448,479</w:t>
            </w:r>
          </w:p>
        </w:tc>
      </w:tr>
      <w:tr>
        <w:trPr>
          <w:trHeight w:val="263"/>
        </w:trPr>
        <w:tc>
          <w:tcPr>
            <w:tcW w:w="5940" w:type="dxa"/>
            <w:vAlign w:val="bottom"/>
          </w:tcPr>
          <w:p>
            <w:pPr>
              <w:ind w:left="180"/>
              <w:spacing w:after="0"/>
              <w:rPr>
                <w:sz w:val="20"/>
                <w:szCs w:val="20"/>
                <w:color w:val="auto"/>
              </w:rPr>
            </w:pPr>
            <w:r>
              <w:rPr>
                <w:rFonts w:ascii="Arial" w:cs="Arial" w:eastAsia="Arial" w:hAnsi="Arial"/>
                <w:sz w:val="18"/>
                <w:szCs w:val="18"/>
                <w:color w:val="auto"/>
              </w:rPr>
              <w:t>Dilutive effect of stock awards</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1,029</w:t>
            </w:r>
          </w:p>
        </w:tc>
      </w:tr>
      <w:tr>
        <w:trPr>
          <w:trHeight w:val="257"/>
        </w:trPr>
        <w:tc>
          <w:tcPr>
            <w:tcW w:w="59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428,807</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445,587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427,260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449,508</w:t>
            </w:r>
          </w:p>
        </w:tc>
      </w:tr>
      <w:tr>
        <w:trPr>
          <w:trHeight w:val="243"/>
        </w:trPr>
        <w:tc>
          <w:tcPr>
            <w:tcW w:w="5940" w:type="dxa"/>
            <w:vAlign w:val="bottom"/>
          </w:tcPr>
          <w:p>
            <w:pPr>
              <w:ind w:left="74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0" w:firstLine="243"/>
        <w:spacing w:after="0" w:line="261" w:lineRule="auto"/>
        <w:rPr>
          <w:sz w:val="20"/>
          <w:szCs w:val="20"/>
          <w:color w:val="auto"/>
        </w:rPr>
      </w:pPr>
      <w:r>
        <w:rPr>
          <w:rFonts w:ascii="Arial" w:cs="Arial" w:eastAsia="Arial" w:hAnsi="Arial"/>
          <w:sz w:val="18"/>
          <w:szCs w:val="18"/>
          <w:color w:val="auto"/>
        </w:rPr>
        <w:t>Securities that could potentially dilute EPS in the future, and which were excluded from the calculation of diluted EPS because inclusion of such shares would be antidilutive, are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stock unit awards</w:t>
            </w:r>
          </w:p>
        </w:tc>
        <w:tc>
          <w:tcPr>
            <w:tcW w:w="2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5,781</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3,087</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5,357</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2,677</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PSP Warrants</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6,368</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3,184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6.50% convertible senior notes</w:t>
            </w:r>
          </w:p>
        </w:tc>
        <w:tc>
          <w:tcPr>
            <w:tcW w:w="2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4,070</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2,035</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Cash Dividends</w:t>
      </w:r>
    </w:p>
    <w:p>
      <w:pPr>
        <w:spacing w:after="0" w:line="112"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During the six months ended June 30, 2020, we repurchased 6.4 million shares of AAG common stock for $145 million at a weighted average cost per share of $22.77, all of which were purchased in the first quarter of 2020.</w:t>
      </w:r>
    </w:p>
    <w:p>
      <w:pPr>
        <w:spacing w:after="0" w:line="144"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In January 2020, our Board of Directors declared a cash dividend of $0.10 per share for stockholders of record as of February 5, 2020 and paid on February 19, 2020, totaling $43 million.</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suspended our capital return program, including share repurchases and the payment of future dividends. In connection with our receipt of financial assistance under the Payroll Support Program, we agreed not to repurchase shares of or make dividend payments in respect of AAG common stock through September 30, 2021. If we receive a secured loan from Treasury pursuant to the CARES Act, we will be prohibited from repurchasing shares of AAG common stock and the payment of common stock dividends through the date that is one year after such secured loan is fully repaid.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33" w:right="339" w:bottom="1440" w:gutter="0" w:footer="0" w:header="0"/>
        </w:sectPr>
      </w:pPr>
    </w:p>
    <w:bookmarkStart w:id="21" w:name="page22"/>
    <w:bookmarkEnd w:id="21"/>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ind w:left="240" w:right="9200" w:hanging="232"/>
        <w:spacing w:after="0" w:line="378" w:lineRule="auto"/>
        <w:tabs>
          <w:tab w:leader="none" w:pos="211"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reported operating revenues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208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69"/>
        </w:trPr>
        <w:tc>
          <w:tcPr>
            <w:tcW w:w="5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594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8,085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18,989</w:t>
            </w:r>
          </w:p>
        </w:tc>
      </w:tr>
      <w:tr>
        <w:trPr>
          <w:trHeight w:val="277"/>
        </w:trPr>
        <w:tc>
          <w:tcPr>
            <w:tcW w:w="5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1,680</w:t>
            </w:r>
          </w:p>
        </w:tc>
      </w:tr>
      <w:tr>
        <w:trPr>
          <w:trHeight w:val="243"/>
        </w:trPr>
        <w:tc>
          <w:tcPr>
            <w:tcW w:w="594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11,011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8,788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20,669</w:t>
            </w:r>
          </w:p>
        </w:tc>
      </w:tr>
      <w:tr>
        <w:trPr>
          <w:trHeight w:val="277"/>
        </w:trPr>
        <w:tc>
          <w:tcPr>
            <w:tcW w:w="5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r>
      <w:tr>
        <w:trPr>
          <w:trHeight w:val="263"/>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5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1,172</w:t>
            </w:r>
          </w:p>
        </w:tc>
      </w:tr>
      <w:tr>
        <w:trPr>
          <w:trHeight w:val="263"/>
        </w:trPr>
        <w:tc>
          <w:tcPr>
            <w:tcW w:w="5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264</w:t>
            </w:r>
          </w:p>
        </w:tc>
      </w:tr>
      <w:tr>
        <w:trPr>
          <w:trHeight w:val="250"/>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1,436</w:t>
            </w:r>
          </w:p>
        </w:tc>
      </w:tr>
      <w:tr>
        <w:trPr>
          <w:trHeight w:val="257"/>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11,960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10,137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22,544</w:t>
            </w:r>
          </w:p>
        </w:tc>
      </w:tr>
      <w:tr>
        <w:trPr>
          <w:trHeight w:val="20"/>
        </w:trPr>
        <w:tc>
          <w:tcPr>
            <w:tcW w:w="2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2080" w:type="dxa"/>
            <w:vAlign w:val="bottom"/>
            <w:tcBorders>
              <w:bottom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9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15,235</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2,612</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2,080</w:t>
            </w:r>
          </w:p>
        </w:tc>
      </w:tr>
      <w:tr>
        <w:trPr>
          <w:trHeight w:val="263"/>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w:t>
            </w: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8,788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20,669</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60" w:type="dxa"/>
            <w:vAlign w:val="bottom"/>
            <w:gridSpan w:val="4"/>
          </w:tcPr>
          <w:p>
            <w:pPr>
              <w:jc w:val="right"/>
              <w:ind w:right="1315"/>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8,962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8,615</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5,119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4,808</w:t>
            </w:r>
          </w:p>
        </w:tc>
      </w:tr>
      <w:tr>
        <w:trPr>
          <w:trHeight w:val="256"/>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14,081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13,423</w:t>
            </w: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-710565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333" w:right="339" w:bottom="1440" w:gutter="0" w:footer="0" w:header="0"/>
          <w:type w:val="continuous"/>
        </w:sectPr>
      </w:pPr>
    </w:p>
    <w:bookmarkStart w:id="22" w:name="page23"/>
    <w:bookmarkEnd w:id="22"/>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1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8,615</w:t>
            </w:r>
          </w:p>
        </w:tc>
      </w:tr>
      <w:tr>
        <w:trPr>
          <w:trHeight w:val="250"/>
        </w:trPr>
        <w:tc>
          <w:tcPr>
            <w:tcW w:w="9540" w:type="dxa"/>
            <w:vAlign w:val="bottom"/>
          </w:tcPr>
          <w:p>
            <w:pPr>
              <w:ind w:left="28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1,149</w:t>
            </w:r>
          </w:p>
        </w:tc>
      </w:tr>
      <w:tr>
        <w:trPr>
          <w:trHeight w:val="263"/>
        </w:trPr>
        <w:tc>
          <w:tcPr>
            <w:tcW w:w="9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50"/>
        </w:trPr>
        <w:tc>
          <w:tcPr>
            <w:tcW w:w="9540" w:type="dxa"/>
            <w:vAlign w:val="bottom"/>
          </w:tcPr>
          <w:p>
            <w:pPr>
              <w:ind w:left="40"/>
              <w:spacing w:after="0"/>
              <w:rPr>
                <w:sz w:val="20"/>
                <w:szCs w:val="20"/>
                <w:color w:val="auto"/>
              </w:rPr>
            </w:pPr>
            <w:r>
              <w:rPr>
                <w:rFonts w:ascii="Arial" w:cs="Arial" w:eastAsia="Arial" w:hAnsi="Arial"/>
                <w:sz w:val="18"/>
                <w:szCs w:val="18"/>
                <w:color w:val="auto"/>
              </w:rPr>
              <w:t xml:space="preserve">Balance at June 30, 2020 </w:t>
            </w:r>
            <w:r>
              <w:rPr>
                <w:rFonts w:ascii="Arial" w:cs="Arial" w:eastAsia="Arial" w:hAnsi="Arial"/>
                <w:sz w:val="21"/>
                <w:szCs w:val="21"/>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8,962</w:t>
            </w:r>
          </w:p>
        </w:tc>
      </w:tr>
      <w:tr>
        <w:trPr>
          <w:trHeight w:val="20"/>
        </w:trPr>
        <w:tc>
          <w:tcPr>
            <w:tcW w:w="9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20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30" w:lineRule="exact"/>
        <w:rPr>
          <w:sz w:val="20"/>
          <w:szCs w:val="20"/>
          <w:color w:val="auto"/>
        </w:rPr>
      </w:pPr>
    </w:p>
    <w:p>
      <w:pPr>
        <w:jc w:val="both"/>
        <w:ind w:left="500" w:hanging="330"/>
        <w:spacing w:after="0" w:line="233"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2"/>
          <w:szCs w:val="22"/>
          <w:color w:val="auto"/>
          <w:vertAlign w:val="superscript"/>
        </w:rPr>
      </w:pPr>
    </w:p>
    <w:p>
      <w:pPr>
        <w:jc w:val="both"/>
        <w:ind w:left="500" w:hanging="330"/>
        <w:spacing w:after="0" w:line="241"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18 months. As of June 30, 2020, our current loyalty program liability was $2.4 billion and represents our current estimate of revenue expected to be recognized in the next 12 months based on historical trends, with the balance reflected in long-term loyalty program liability expected to be recognized as revenue in periods thereafter. Given the inherent uncertainty of the current operating environment due to COVID-19, we will continue to monitor redemption patterns and may adjust our estimates in the future.</w:t>
      </w:r>
    </w:p>
    <w:p>
      <w:pPr>
        <w:spacing w:after="0" w:line="165"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generally one year. Accordingly, any revenue associated with tickets sold for future travel will be recognized within 12 months. For the six months ended June 30, 2020, $2.7 billion of revenue was recognized in passenger revenue that was included in our air traffic liability at December 31, 2019. In response to COVID-19, we extended the contract duration for certain tickets to December 31, 2021, principally those with travel scheduled March 1, 2020 through September 30, 2020. Accordingly, any revenue associated with these tickets will be recognized within the next 18 months. Given this change in contract duration and uncertainty surrounding the future demand for air travel, our estimates of revenue that will be recognized from future flown or unused tickets may be subject to variability and differ from historical experience.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33" w:right="339" w:bottom="1440" w:gutter="0" w:footer="0" w:header="0"/>
        </w:sectPr>
      </w:pPr>
    </w:p>
    <w:bookmarkStart w:id="23" w:name="page24"/>
    <w:bookmarkEnd w:id="23"/>
    <w:p>
      <w:pPr>
        <w:jc w:val="center"/>
        <w:ind w:left="540" w:right="8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Long-term debt included in the condensed consolidated balance sheets consisted of (in millions):</w:t>
      </w:r>
    </w:p>
    <w:p>
      <w:pPr>
        <w:spacing w:after="0" w:line="375" w:lineRule="exact"/>
        <w:rPr>
          <w:sz w:val="20"/>
          <w:szCs w:val="20"/>
          <w:color w:val="auto"/>
        </w:rPr>
      </w:pPr>
    </w:p>
    <w:p>
      <w:pPr>
        <w:jc w:val="right"/>
        <w:ind w:right="200"/>
        <w:spacing w:after="0"/>
        <w:tabs>
          <w:tab w:leader="none" w:pos="1280" w:val="left"/>
        </w:tabs>
        <w:rPr>
          <w:sz w:val="20"/>
          <w:szCs w:val="20"/>
          <w:color w:val="auto"/>
        </w:rPr>
      </w:pPr>
      <w:r>
        <w:rPr>
          <w:rFonts w:ascii="Arial" w:cs="Arial" w:eastAsia="Arial" w:hAnsi="Arial"/>
          <w:sz w:val="14"/>
          <w:szCs w:val="14"/>
          <w:b w:val="1"/>
          <w:bCs w:val="1"/>
          <w:color w:val="auto"/>
        </w:rPr>
        <w:t>June 30, 2020</w:t>
      </w:r>
      <w:r>
        <w:rPr>
          <w:sz w:val="20"/>
          <w:szCs w:val="20"/>
          <w:color w:val="auto"/>
        </w:rPr>
        <w:tab/>
      </w: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Secured</w:t>
      </w:r>
    </w:p>
    <w:p>
      <w:pPr>
        <w:spacing w:after="0" w:line="95" w:lineRule="exact"/>
        <w:rPr>
          <w:sz w:val="20"/>
          <w:szCs w:val="20"/>
          <w:color w:val="auto"/>
        </w:rPr>
      </w:pPr>
    </w:p>
    <w:p>
      <w:pPr>
        <w:ind w:left="180"/>
        <w:spacing w:after="0"/>
        <w:tabs>
          <w:tab w:leader="none" w:pos="7740" w:val="left"/>
        </w:tabs>
        <w:rPr>
          <w:sz w:val="20"/>
          <w:szCs w:val="20"/>
          <w:color w:val="auto"/>
        </w:rPr>
      </w:pPr>
      <w:r>
        <w:rPr>
          <w:rFonts w:ascii="Arial" w:cs="Arial" w:eastAsia="Arial" w:hAnsi="Arial"/>
          <w:sz w:val="18"/>
          <w:szCs w:val="18"/>
          <w:color w:val="auto"/>
        </w:rPr>
        <w:t>2013 Term Loan Facility, variable interest rate of 1.93%, installments through 2025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2013 Revolving Facility, variable interest rate of 2.17%, due 2024</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2014 Term Loan Facility, variable interest rate of 1.93%, installments through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2014 Revolving Facility, variable interest rate of 2.17%, due 2024</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April 2016 Term Loan Facility, variable interest rate of 2.18%,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April 2016 Revolving Facility, variable interest rate of 2.17%, due 2024</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2016 Term Loan Facility, variable interest rate of 2.18%,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11.75% senior secured notes, interest only payments until due in July 2025</w:t>
      </w:r>
    </w:p>
    <w:p>
      <w:pPr>
        <w:spacing w:after="0" w:line="63" w:lineRule="exact"/>
        <w:rPr>
          <w:sz w:val="20"/>
          <w:szCs w:val="20"/>
          <w:color w:val="auto"/>
        </w:rPr>
      </w:pPr>
    </w:p>
    <w:p>
      <w:pPr>
        <w:ind w:left="340" w:right="740" w:hanging="161"/>
        <w:spacing w:after="0" w:line="246" w:lineRule="auto"/>
        <w:rPr>
          <w:sz w:val="20"/>
          <w:szCs w:val="20"/>
          <w:color w:val="auto"/>
        </w:rPr>
      </w:pPr>
      <w:r>
        <w:rPr>
          <w:rFonts w:ascii="Arial" w:cs="Arial" w:eastAsia="Arial" w:hAnsi="Arial"/>
          <w:sz w:val="18"/>
          <w:szCs w:val="18"/>
          <w:color w:val="auto"/>
        </w:rPr>
        <w:t>Enhanced equipment trust certificates (EETCs), fixed interest rates ranging from 3.00% to 8.39%, averaging 4.03%, maturing from 2020 to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5" w:lineRule="exact"/>
        <w:rPr>
          <w:sz w:val="20"/>
          <w:szCs w:val="20"/>
          <w:color w:val="auto"/>
        </w:rPr>
      </w:pPr>
    </w:p>
    <w:p>
      <w:pPr>
        <w:ind w:left="340" w:right="900" w:hanging="161"/>
        <w:spacing w:after="0" w:line="246" w:lineRule="auto"/>
        <w:rPr>
          <w:sz w:val="20"/>
          <w:szCs w:val="20"/>
          <w:color w:val="auto"/>
        </w:rPr>
      </w:pPr>
      <w:r>
        <w:rPr>
          <w:rFonts w:ascii="Arial" w:cs="Arial" w:eastAsia="Arial" w:hAnsi="Arial"/>
          <w:sz w:val="18"/>
          <w:szCs w:val="18"/>
          <w:color w:val="auto"/>
        </w:rPr>
        <w:t>Equipment loans and other notes payable, fixed and variable interest rates ranging from 1.38% to 5.83%, averaging 2.20%, maturing from 2020 to 2032</w:t>
      </w:r>
    </w:p>
    <w:p>
      <w:pPr>
        <w:spacing w:after="0" w:line="35" w:lineRule="exact"/>
        <w:rPr>
          <w:sz w:val="20"/>
          <w:szCs w:val="20"/>
          <w:color w:val="auto"/>
        </w:rPr>
      </w:pPr>
    </w:p>
    <w:p>
      <w:pPr>
        <w:ind w:left="340" w:right="760" w:hanging="161"/>
        <w:spacing w:after="0" w:line="246" w:lineRule="auto"/>
        <w:rPr>
          <w:sz w:val="20"/>
          <w:szCs w:val="20"/>
          <w:color w:val="auto"/>
        </w:rPr>
      </w:pPr>
      <w:r>
        <w:rPr>
          <w:rFonts w:ascii="Arial" w:cs="Arial" w:eastAsia="Arial" w:hAnsi="Arial"/>
          <w:sz w:val="18"/>
          <w:szCs w:val="18"/>
          <w:color w:val="auto"/>
        </w:rPr>
        <w:t>Special facility revenue bonds, fixed interest rates ranging from 5.00% to 8.00%, maturing from 2021 to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PSP Promissory Note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6.50% convertible senior notes, interest only payments until due in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5.000% senior notes, interest only payments until due in June 2022</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3.75% senior notes, interest only payments until due in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4.625%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long-term debt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Total unamortized debt discount, premium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Current maturities</w:t>
      </w:r>
    </w:p>
    <w:p>
      <w:pPr>
        <w:spacing w:after="0" w:line="63" w:lineRule="exact"/>
        <w:rPr>
          <w:sz w:val="20"/>
          <w:szCs w:val="20"/>
          <w:color w:val="auto"/>
        </w:rPr>
      </w:pPr>
    </w:p>
    <w:p>
      <w:pPr>
        <w:ind w:left="380"/>
        <w:spacing w:after="0"/>
        <w:tabs>
          <w:tab w:leader="none" w:pos="7740" w:val="left"/>
        </w:tabs>
        <w:rPr>
          <w:sz w:val="20"/>
          <w:szCs w:val="20"/>
          <w:color w:val="auto"/>
        </w:rPr>
      </w:pPr>
      <w:r>
        <w:rPr>
          <w:rFonts w:ascii="Arial" w:cs="Arial" w:eastAsia="Arial" w:hAnsi="Arial"/>
          <w:sz w:val="18"/>
          <w:szCs w:val="18"/>
          <w:color w:val="auto"/>
        </w:rPr>
        <w:t>Long-term debt, net of current maturities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00"/>
        <w:spacing w:after="0"/>
        <w:tabs>
          <w:tab w:leader="none" w:pos="760" w:val="left"/>
          <w:tab w:leader="none" w:pos="1880" w:val="left"/>
        </w:tabs>
        <w:rPr>
          <w:sz w:val="20"/>
          <w:szCs w:val="20"/>
          <w:color w:val="auto"/>
        </w:rPr>
      </w:pPr>
      <w:r>
        <w:rPr>
          <w:rFonts w:ascii="Arial" w:cs="Arial" w:eastAsia="Arial" w:hAnsi="Arial"/>
          <w:sz w:val="18"/>
          <w:szCs w:val="18"/>
          <w:color w:val="auto"/>
        </w:rPr>
        <w:t>1,788</w:t>
        <w:tab/>
        <w:t>$</w:t>
      </w:r>
      <w:r>
        <w:rPr>
          <w:sz w:val="20"/>
          <w:szCs w:val="20"/>
          <w:color w:val="auto"/>
        </w:rPr>
        <w:tab/>
      </w:r>
      <w:r>
        <w:rPr>
          <w:rFonts w:ascii="Arial" w:cs="Arial" w:eastAsia="Arial" w:hAnsi="Arial"/>
          <w:sz w:val="18"/>
          <w:szCs w:val="18"/>
          <w:color w:val="auto"/>
        </w:rPr>
        <w:t>1,807</w:t>
      </w:r>
    </w:p>
    <w:p>
      <w:pPr>
        <w:spacing w:after="0" w:line="63" w:lineRule="exact"/>
        <w:rPr>
          <w:sz w:val="20"/>
          <w:szCs w:val="20"/>
          <w:color w:val="auto"/>
        </w:rPr>
      </w:pPr>
    </w:p>
    <w:p>
      <w:pPr>
        <w:ind w:left="240"/>
        <w:spacing w:after="0"/>
        <w:tabs>
          <w:tab w:leader="none" w:pos="2160" w:val="left"/>
        </w:tabs>
        <w:rPr>
          <w:sz w:val="20"/>
          <w:szCs w:val="20"/>
          <w:color w:val="auto"/>
        </w:rPr>
      </w:pPr>
      <w:r>
        <w:rPr>
          <w:rFonts w:ascii="Arial" w:cs="Arial" w:eastAsia="Arial" w:hAnsi="Arial"/>
          <w:sz w:val="18"/>
          <w:szCs w:val="18"/>
          <w:color w:val="auto"/>
        </w:rPr>
        <w:t>750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00"/>
        <w:spacing w:after="0"/>
        <w:tabs>
          <w:tab w:leader="none" w:pos="1880" w:val="left"/>
        </w:tabs>
        <w:rPr>
          <w:sz w:val="20"/>
          <w:szCs w:val="20"/>
          <w:color w:val="auto"/>
        </w:rPr>
      </w:pPr>
      <w:r>
        <w:rPr>
          <w:rFonts w:ascii="Arial" w:cs="Arial" w:eastAsia="Arial" w:hAnsi="Arial"/>
          <w:sz w:val="18"/>
          <w:szCs w:val="18"/>
          <w:color w:val="auto"/>
        </w:rPr>
        <w:t>1,220</w:t>
      </w:r>
      <w:r>
        <w:rPr>
          <w:sz w:val="20"/>
          <w:szCs w:val="20"/>
          <w:color w:val="auto"/>
        </w:rPr>
        <w:tab/>
      </w:r>
      <w:r>
        <w:rPr>
          <w:rFonts w:ascii="Arial" w:cs="Arial" w:eastAsia="Arial" w:hAnsi="Arial"/>
          <w:sz w:val="18"/>
          <w:szCs w:val="18"/>
          <w:color w:val="auto"/>
        </w:rPr>
        <w:t>1,202</w:t>
      </w:r>
    </w:p>
    <w:p>
      <w:pPr>
        <w:spacing w:after="0" w:line="63" w:lineRule="exact"/>
        <w:rPr>
          <w:sz w:val="20"/>
          <w:szCs w:val="20"/>
          <w:color w:val="auto"/>
        </w:rPr>
      </w:pPr>
    </w:p>
    <w:p>
      <w:pPr>
        <w:ind w:left="100"/>
        <w:spacing w:after="0"/>
        <w:tabs>
          <w:tab w:leader="none" w:pos="2160" w:val="left"/>
        </w:tabs>
        <w:rPr>
          <w:sz w:val="20"/>
          <w:szCs w:val="20"/>
          <w:color w:val="auto"/>
        </w:rPr>
      </w:pPr>
      <w:r>
        <w:rPr>
          <w:rFonts w:ascii="Arial" w:cs="Arial" w:eastAsia="Arial" w:hAnsi="Arial"/>
          <w:sz w:val="18"/>
          <w:szCs w:val="18"/>
          <w:color w:val="auto"/>
        </w:rPr>
        <w:t>1,643</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40"/>
        <w:spacing w:after="0"/>
        <w:tabs>
          <w:tab w:leader="none" w:pos="2040" w:val="left"/>
        </w:tabs>
        <w:rPr>
          <w:sz w:val="20"/>
          <w:szCs w:val="20"/>
          <w:color w:val="auto"/>
        </w:rPr>
      </w:pPr>
      <w:r>
        <w:rPr>
          <w:rFonts w:ascii="Arial" w:cs="Arial" w:eastAsia="Arial" w:hAnsi="Arial"/>
          <w:sz w:val="17"/>
          <w:szCs w:val="17"/>
          <w:color w:val="auto"/>
        </w:rPr>
        <w:t>960</w:t>
      </w:r>
      <w:r>
        <w:rPr>
          <w:sz w:val="20"/>
          <w:szCs w:val="20"/>
          <w:color w:val="auto"/>
        </w:rPr>
        <w:tab/>
      </w:r>
      <w:r>
        <w:rPr>
          <w:rFonts w:ascii="Arial" w:cs="Arial" w:eastAsia="Arial" w:hAnsi="Arial"/>
          <w:sz w:val="17"/>
          <w:szCs w:val="17"/>
          <w:color w:val="auto"/>
        </w:rPr>
        <w:t>970</w:t>
      </w:r>
    </w:p>
    <w:p>
      <w:pPr>
        <w:spacing w:after="0" w:line="75" w:lineRule="exact"/>
        <w:rPr>
          <w:sz w:val="20"/>
          <w:szCs w:val="20"/>
          <w:color w:val="auto"/>
        </w:rPr>
      </w:pPr>
    </w:p>
    <w:p>
      <w:pPr>
        <w:ind w:left="240"/>
        <w:spacing w:after="0"/>
        <w:tabs>
          <w:tab w:leader="none" w:pos="216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00"/>
        <w:spacing w:after="0"/>
        <w:tabs>
          <w:tab w:leader="none" w:pos="188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color w:val="auto"/>
        </w:rPr>
        <w:t>1,213</w:t>
      </w:r>
    </w:p>
    <w:p>
      <w:pPr>
        <w:spacing w:after="0" w:line="63" w:lineRule="exact"/>
        <w:rPr>
          <w:sz w:val="20"/>
          <w:szCs w:val="20"/>
          <w:color w:val="auto"/>
        </w:rPr>
      </w:pPr>
    </w:p>
    <w:p>
      <w:pPr>
        <w:ind w:left="100"/>
        <w:spacing w:after="0"/>
        <w:tabs>
          <w:tab w:leader="none" w:pos="2160" w:val="left"/>
        </w:tabs>
        <w:rPr>
          <w:sz w:val="20"/>
          <w:szCs w:val="20"/>
          <w:color w:val="auto"/>
        </w:rPr>
      </w:pPr>
      <w:r>
        <w:rPr>
          <w:rFonts w:ascii="Arial" w:cs="Arial" w:eastAsia="Arial" w:hAnsi="Arial"/>
          <w:sz w:val="18"/>
          <w:szCs w:val="18"/>
          <w:color w:val="auto"/>
        </w:rPr>
        <w:t>2,500</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11,410</w:t>
      </w:r>
      <w:r>
        <w:rPr>
          <w:sz w:val="20"/>
          <w:szCs w:val="20"/>
          <w:color w:val="auto"/>
        </w:rPr>
        <w:tab/>
      </w:r>
      <w:r>
        <w:rPr>
          <w:rFonts w:ascii="Arial" w:cs="Arial" w:eastAsia="Arial" w:hAnsi="Arial"/>
          <w:sz w:val="18"/>
          <w:szCs w:val="18"/>
          <w:color w:val="auto"/>
        </w:rPr>
        <w:t>11,933</w:t>
      </w:r>
    </w:p>
    <w:p>
      <w:pPr>
        <w:spacing w:after="0" w:line="252" w:lineRule="exact"/>
        <w:rPr>
          <w:sz w:val="20"/>
          <w:szCs w:val="20"/>
          <w:color w:val="auto"/>
        </w:rPr>
      </w:pPr>
    </w:p>
    <w:p>
      <w:pPr>
        <w:ind w:left="100"/>
        <w:spacing w:after="0"/>
        <w:tabs>
          <w:tab w:leader="none" w:pos="1880" w:val="left"/>
        </w:tabs>
        <w:rPr>
          <w:sz w:val="20"/>
          <w:szCs w:val="20"/>
          <w:color w:val="auto"/>
        </w:rPr>
      </w:pPr>
      <w:r>
        <w:rPr>
          <w:rFonts w:ascii="Arial" w:cs="Arial" w:eastAsia="Arial" w:hAnsi="Arial"/>
          <w:sz w:val="18"/>
          <w:szCs w:val="18"/>
          <w:color w:val="auto"/>
        </w:rPr>
        <w:t>4,610</w:t>
      </w:r>
      <w:r>
        <w:rPr>
          <w:sz w:val="20"/>
          <w:szCs w:val="20"/>
          <w:color w:val="auto"/>
        </w:rPr>
        <w:tab/>
      </w:r>
      <w:r>
        <w:rPr>
          <w:rFonts w:ascii="Arial" w:cs="Arial" w:eastAsia="Arial" w:hAnsi="Arial"/>
          <w:sz w:val="18"/>
          <w:szCs w:val="18"/>
          <w:color w:val="auto"/>
        </w:rPr>
        <w:t>4,727</w:t>
      </w:r>
    </w:p>
    <w:p>
      <w:pPr>
        <w:spacing w:after="0" w:line="252" w:lineRule="exact"/>
        <w:rPr>
          <w:sz w:val="20"/>
          <w:szCs w:val="20"/>
          <w:color w:val="auto"/>
        </w:rPr>
      </w:pPr>
    </w:p>
    <w:p>
      <w:pPr>
        <w:ind w:left="100"/>
        <w:spacing w:after="0"/>
        <w:tabs>
          <w:tab w:leader="none" w:pos="2040" w:val="left"/>
        </w:tabs>
        <w:rPr>
          <w:sz w:val="20"/>
          <w:szCs w:val="20"/>
          <w:color w:val="auto"/>
        </w:rPr>
      </w:pPr>
      <w:r>
        <w:rPr>
          <w:rFonts w:ascii="Arial" w:cs="Arial" w:eastAsia="Arial" w:hAnsi="Arial"/>
          <w:sz w:val="17"/>
          <w:szCs w:val="17"/>
          <w:color w:val="auto"/>
        </w:rPr>
        <w:t>1,064</w:t>
      </w:r>
      <w:r>
        <w:rPr>
          <w:sz w:val="20"/>
          <w:szCs w:val="20"/>
          <w:color w:val="auto"/>
        </w:rPr>
        <w:tab/>
      </w:r>
      <w:r>
        <w:rPr>
          <w:rFonts w:ascii="Arial" w:cs="Arial" w:eastAsia="Arial" w:hAnsi="Arial"/>
          <w:sz w:val="17"/>
          <w:szCs w:val="17"/>
          <w:color w:val="auto"/>
        </w:rPr>
        <w:t>754</w:t>
      </w:r>
    </w:p>
    <w:p>
      <w:pPr>
        <w:spacing w:after="0" w:line="75"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27,608</w:t>
      </w:r>
      <w:r>
        <w:rPr>
          <w:sz w:val="20"/>
          <w:szCs w:val="20"/>
          <w:color w:val="auto"/>
        </w:rPr>
        <w:tab/>
      </w:r>
      <w:r>
        <w:rPr>
          <w:rFonts w:ascii="Arial" w:cs="Arial" w:eastAsia="Arial" w:hAnsi="Arial"/>
          <w:sz w:val="18"/>
          <w:szCs w:val="18"/>
          <w:color w:val="auto"/>
        </w:rPr>
        <w:t>22,606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14605</wp:posOffset>
            </wp:positionV>
            <wp:extent cx="2228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27" w:lineRule="exact"/>
        <w:rPr>
          <w:sz w:val="20"/>
          <w:szCs w:val="20"/>
          <w:color w:val="auto"/>
        </w:rPr>
      </w:pPr>
    </w:p>
    <w:p>
      <w:pPr>
        <w:ind w:left="100"/>
        <w:spacing w:after="0"/>
        <w:tabs>
          <w:tab w:leader="none" w:pos="2160" w:val="left"/>
        </w:tabs>
        <w:rPr>
          <w:sz w:val="20"/>
          <w:szCs w:val="20"/>
          <w:color w:val="auto"/>
        </w:rPr>
      </w:pPr>
      <w:r>
        <w:rPr>
          <w:rFonts w:ascii="Arial" w:cs="Arial" w:eastAsia="Arial" w:hAnsi="Arial"/>
          <w:sz w:val="18"/>
          <w:szCs w:val="18"/>
          <w:color w:val="auto"/>
        </w:rPr>
        <w:t>1,540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00"/>
        <w:spacing w:after="0"/>
        <w:tabs>
          <w:tab w:leader="none" w:pos="2160" w:val="left"/>
        </w:tabs>
        <w:rPr>
          <w:sz w:val="20"/>
          <w:szCs w:val="20"/>
          <w:color w:val="auto"/>
        </w:rPr>
      </w:pPr>
      <w:r>
        <w:rPr>
          <w:rFonts w:ascii="Arial" w:cs="Arial" w:eastAsia="Arial" w:hAnsi="Arial"/>
          <w:sz w:val="18"/>
          <w:szCs w:val="18"/>
          <w:color w:val="auto"/>
        </w:rPr>
        <w:t>1,000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40"/>
        <w:spacing w:after="0"/>
        <w:tabs>
          <w:tab w:leader="none" w:pos="2040" w:val="left"/>
        </w:tabs>
        <w:rPr>
          <w:sz w:val="20"/>
          <w:szCs w:val="20"/>
          <w:color w:val="auto"/>
        </w:rPr>
      </w:pPr>
      <w:r>
        <w:rPr>
          <w:rFonts w:ascii="Arial" w:cs="Arial" w:eastAsia="Arial" w:hAnsi="Arial"/>
          <w:sz w:val="17"/>
          <w:szCs w:val="17"/>
          <w:color w:val="auto"/>
        </w:rPr>
        <w:t>750</w:t>
      </w:r>
      <w:r>
        <w:rPr>
          <w:sz w:val="20"/>
          <w:szCs w:val="20"/>
          <w:color w:val="auto"/>
        </w:rPr>
        <w:tab/>
      </w:r>
      <w:r>
        <w:rPr>
          <w:rFonts w:ascii="Arial" w:cs="Arial" w:eastAsia="Arial" w:hAnsi="Arial"/>
          <w:sz w:val="17"/>
          <w:szCs w:val="17"/>
          <w:color w:val="auto"/>
        </w:rPr>
        <w:t>750</w:t>
      </w:r>
    </w:p>
    <w:p>
      <w:pPr>
        <w:spacing w:after="0" w:line="75" w:lineRule="exact"/>
        <w:rPr>
          <w:sz w:val="20"/>
          <w:szCs w:val="20"/>
          <w:color w:val="auto"/>
        </w:rPr>
      </w:pPr>
    </w:p>
    <w:p>
      <w:pPr>
        <w:ind w:left="240"/>
        <w:spacing w:after="0"/>
        <w:tabs>
          <w:tab w:leader="none" w:pos="2160" w:val="left"/>
        </w:tabs>
        <w:rPr>
          <w:sz w:val="20"/>
          <w:szCs w:val="20"/>
          <w:color w:val="auto"/>
        </w:rPr>
      </w:pP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22225</wp:posOffset>
            </wp:positionV>
            <wp:extent cx="22288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5" w:lineRule="exact"/>
        <w:rPr>
          <w:sz w:val="20"/>
          <w:szCs w:val="20"/>
          <w:color w:val="auto"/>
        </w:rPr>
      </w:pPr>
    </w:p>
    <w:p>
      <w:pPr>
        <w:ind w:left="100"/>
        <w:spacing w:after="0"/>
        <w:tabs>
          <w:tab w:leader="none" w:pos="1880" w:val="left"/>
        </w:tabs>
        <w:rPr>
          <w:sz w:val="20"/>
          <w:szCs w:val="20"/>
          <w:color w:val="auto"/>
        </w:rPr>
      </w:pPr>
      <w:r>
        <w:rPr>
          <w:rFonts w:ascii="Arial" w:cs="Arial" w:eastAsia="Arial" w:hAnsi="Arial"/>
          <w:sz w:val="18"/>
          <w:szCs w:val="18"/>
          <w:color w:val="auto"/>
        </w:rPr>
        <w:t>3,790</w:t>
      </w:r>
      <w:r>
        <w:rPr>
          <w:sz w:val="20"/>
          <w:szCs w:val="20"/>
          <w:color w:val="auto"/>
        </w:rPr>
        <w:tab/>
      </w:r>
      <w:r>
        <w:rPr>
          <w:rFonts w:ascii="Arial" w:cs="Arial" w:eastAsia="Arial" w:hAnsi="Arial"/>
          <w:sz w:val="18"/>
          <w:szCs w:val="18"/>
          <w:color w:val="auto"/>
        </w:rPr>
        <w:t>1,250</w:t>
      </w:r>
    </w:p>
    <w:p>
      <w:pPr>
        <w:spacing w:after="0" w:line="63"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31,398</w:t>
      </w:r>
      <w:r>
        <w:rPr>
          <w:sz w:val="20"/>
          <w:szCs w:val="20"/>
          <w:color w:val="auto"/>
        </w:rPr>
        <w:tab/>
      </w:r>
      <w:r>
        <w:rPr>
          <w:rFonts w:ascii="Arial" w:cs="Arial" w:eastAsia="Arial" w:hAnsi="Arial"/>
          <w:sz w:val="18"/>
          <w:szCs w:val="18"/>
          <w:color w:val="auto"/>
        </w:rPr>
        <w:t>23,856</w:t>
      </w:r>
    </w:p>
    <w:p>
      <w:pPr>
        <w:spacing w:after="0" w:line="63" w:lineRule="exact"/>
        <w:rPr>
          <w:sz w:val="20"/>
          <w:szCs w:val="20"/>
          <w:color w:val="auto"/>
        </w:rPr>
      </w:pPr>
    </w:p>
    <w:p>
      <w:pPr>
        <w:ind w:left="240"/>
        <w:spacing w:after="0"/>
        <w:tabs>
          <w:tab w:leader="none" w:pos="2040" w:val="left"/>
        </w:tabs>
        <w:rPr>
          <w:sz w:val="20"/>
          <w:szCs w:val="20"/>
          <w:color w:val="auto"/>
        </w:rPr>
      </w:pPr>
      <w:r>
        <w:rPr>
          <w:rFonts w:ascii="Arial" w:cs="Arial" w:eastAsia="Arial" w:hAnsi="Arial"/>
          <w:sz w:val="17"/>
          <w:szCs w:val="17"/>
          <w:color w:val="auto"/>
        </w:rPr>
        <w:t>734</w:t>
      </w:r>
      <w:r>
        <w:rPr>
          <w:sz w:val="20"/>
          <w:szCs w:val="20"/>
          <w:color w:val="auto"/>
        </w:rPr>
        <w:tab/>
      </w:r>
      <w:r>
        <w:rPr>
          <w:rFonts w:ascii="Arial" w:cs="Arial" w:eastAsia="Arial" w:hAnsi="Arial"/>
          <w:sz w:val="17"/>
          <w:szCs w:val="17"/>
          <w:color w:val="auto"/>
        </w:rPr>
        <w:t>211</w:t>
      </w:r>
    </w:p>
    <w:p>
      <w:pPr>
        <w:spacing w:after="0" w:line="75" w:lineRule="exact"/>
        <w:rPr>
          <w:sz w:val="20"/>
          <w:szCs w:val="20"/>
          <w:color w:val="auto"/>
        </w:rPr>
      </w:pPr>
    </w:p>
    <w:p>
      <w:pPr>
        <w:ind w:left="100"/>
        <w:spacing w:after="0"/>
        <w:tabs>
          <w:tab w:leader="none" w:pos="1880" w:val="left"/>
        </w:tabs>
        <w:rPr>
          <w:sz w:val="20"/>
          <w:szCs w:val="20"/>
          <w:color w:val="auto"/>
        </w:rPr>
      </w:pPr>
      <w:r>
        <w:rPr>
          <w:rFonts w:ascii="Arial" w:cs="Arial" w:eastAsia="Arial" w:hAnsi="Arial"/>
          <w:sz w:val="18"/>
          <w:szCs w:val="18"/>
          <w:color w:val="auto"/>
        </w:rPr>
        <w:t>2,471</w:t>
      </w:r>
      <w:r>
        <w:rPr>
          <w:sz w:val="20"/>
          <w:szCs w:val="20"/>
          <w:color w:val="auto"/>
        </w:rPr>
        <w:tab/>
      </w:r>
      <w:r>
        <w:rPr>
          <w:rFonts w:ascii="Arial" w:cs="Arial" w:eastAsia="Arial" w:hAnsi="Arial"/>
          <w:sz w:val="18"/>
          <w:szCs w:val="18"/>
          <w:color w:val="auto"/>
        </w:rPr>
        <w:t>2,749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14605</wp:posOffset>
            </wp:positionV>
            <wp:extent cx="22288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43" w:lineRule="exact"/>
        <w:rPr>
          <w:sz w:val="20"/>
          <w:szCs w:val="20"/>
          <w:color w:val="auto"/>
        </w:rPr>
      </w:pPr>
    </w:p>
    <w:p>
      <w:pPr>
        <w:spacing w:after="0"/>
        <w:tabs>
          <w:tab w:leader="none" w:pos="760" w:val="left"/>
          <w:tab w:leader="none" w:pos="1780" w:val="left"/>
        </w:tabs>
        <w:rPr>
          <w:sz w:val="20"/>
          <w:szCs w:val="20"/>
          <w:color w:val="auto"/>
        </w:rPr>
      </w:pPr>
      <w:r>
        <w:rPr>
          <w:rFonts w:ascii="Arial" w:cs="Arial" w:eastAsia="Arial" w:hAnsi="Arial"/>
          <w:sz w:val="18"/>
          <w:szCs w:val="18"/>
          <w:color w:val="auto"/>
        </w:rPr>
        <w:t>28,193</w:t>
        <w:tab/>
        <w:t>$</w:t>
      </w:r>
      <w:r>
        <w:rPr>
          <w:sz w:val="20"/>
          <w:szCs w:val="20"/>
          <w:color w:val="auto"/>
        </w:rPr>
        <w:tab/>
      </w:r>
      <w:r>
        <w:rPr>
          <w:rFonts w:ascii="Arial" w:cs="Arial" w:eastAsia="Arial" w:hAnsi="Arial"/>
          <w:sz w:val="18"/>
          <w:szCs w:val="18"/>
          <w:color w:val="auto"/>
        </w:rPr>
        <w:t>20,896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14605</wp:posOffset>
            </wp:positionV>
            <wp:extent cx="2228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885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60" w:space="720"/>
            <w:col w:w="2460"/>
          </w:cols>
          <w:pgMar w:left="320" w:top="333" w:right="339" w:bottom="1440" w:gutter="0" w:footer="0" w:header="0"/>
          <w:type w:val="continuous"/>
        </w:sectPr>
      </w:pPr>
    </w:p>
    <w:p>
      <w:pPr>
        <w:spacing w:after="0" w:line="24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maximum availability we had under any undrawn, revolving credit facility was $400 million in a short-term revolving credit facility we entered into in December 2019, all of which was undrawn, as of June 30, 2020. The December 2016 Credit Facilities provide for a revolving credit facility that may be established thereunder in the future.</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certain pre-delivery payments.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33" w:right="339" w:bottom="1440" w:gutter="0" w:footer="0" w:header="0"/>
          <w:type w:val="continuous"/>
        </w:sectPr>
      </w:pPr>
    </w:p>
    <w:bookmarkStart w:id="24" w:name="page25"/>
    <w:bookmarkEnd w:id="24"/>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2020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2014 Credit Facilities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January 2020, American and AAG entered into the Eighth Amendment to the Amended and Restated Credit and Guaranty Agreement, amending the Amended and Restated Credit and Guaranty Agreement dated as of April 20, 2015 (as previously amended, the 2014 Credit Agreement; the revolving credit facility established thereunder, the 2014 Revolving Facility; the term loan facility established thereunder, the 2014 Term Loan Facility; and collectively, the 2014 Credit Facilities), pursuant to which American refinanced the 2014 Term Loan Facility, increasing the total aggregate principal amount outstanding to $ 1.2 billion, reducing the LIBOR margin from 2.00% to 1.75%, with a LIBOR floor of 0%, and reducing the base rate margin from 1.00% to 0.75%. In addition, the maturity date for the 2014 Term Loan Facility was extended to January 2027 from October 2021.</w:t>
      </w:r>
    </w:p>
    <w:p>
      <w:pPr>
        <w:spacing w:after="0" w:line="153"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In April and May 2020, American borrowed $1.6 billion under the 2014 Revolving Facility. The 2014 Revolving Facility bears interest at LIBOR plus a margin of 2.00% and has a final maturity date of October 2024. Following the April and May draws, American had no remaining borrowing capacity available under the 2014 Revolving Facility.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2013 Revolving Facility and April 2016 Revolving Facility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April 2020, American borrowed $750 million under the 2013 Revolving Facility. The 2013 Revolving Facility bears interest at LIBOR plus a margin of 2.00% and has a final maturity date of October 2024. Following the April draw, American had no remaining borrowing capacity available under the 2013 Revolving Facility.</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April 2020, American borrowed $450 million under the April 2016 Revolving Facility. The April 2016 Revolving Facility bears interest at LIBOR plus a margin of 2.00% and has a final maturity date of October 2024. Following the April draw, American had no remaining borrowing capacity available under the April 2016 Revolving Facility.</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Delayed Draw Term Loan Credit Facility</w:t>
      </w:r>
    </w:p>
    <w:p>
      <w:pPr>
        <w:spacing w:after="0" w:line="108" w:lineRule="exact"/>
        <w:rPr>
          <w:sz w:val="20"/>
          <w:szCs w:val="20"/>
          <w:color w:val="auto"/>
        </w:rPr>
      </w:pPr>
    </w:p>
    <w:p>
      <w:pPr>
        <w:jc w:val="both"/>
        <w:ind w:firstLine="229"/>
        <w:spacing w:after="0" w:line="253" w:lineRule="auto"/>
        <w:rPr>
          <w:sz w:val="20"/>
          <w:szCs w:val="20"/>
          <w:color w:val="auto"/>
        </w:rPr>
      </w:pPr>
      <w:r>
        <w:rPr>
          <w:rFonts w:ascii="Arial" w:cs="Arial" w:eastAsia="Arial" w:hAnsi="Arial"/>
          <w:sz w:val="18"/>
          <w:szCs w:val="18"/>
          <w:color w:val="auto"/>
        </w:rPr>
        <w:t>In March 2020, American and AAG entered into a Credit and Guaranty Agreement which provided for a 364-day $1.0 billion senior secured delayed draw term loan credit facility (the Delayed Draw Term Loan Credit Facility), which was scheduled to be due and payable in a single installment on the maturity date in March 2021. In connection with the issuance of the 11.75% senior secured notes due 2025, as described below, the Delayed Draw Term Loan Credit Facility was repaid and the Delayed Draw Term Loan Credit Facility and all of the security documents and other loan documents related thereto were terminated as of June 30, 2020.</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11.75% Senior Secured Notes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June 2020, American issued $2.5 billion aggregate principal amount of 11.75% senior secured notes due 2025 (the Senior Secured Notes) at a price equal to 99% of their aggregate principal amount. The Senior Secured Notes bear interest at a rate of 11.75% per annum (subject to increase if a certain collateral coverage ratio is not met). Interest on the Senior Secured Notes is payable semiannually in arrears on January 15 and July 15 of each year, beginning on January 15, 2021. The Senior Secured Notes will mature on July 15, 2025. The obligations of American under the Senior Secured Notes are fully and unconditionally guaranteed on a senior unsecured basis by AAG. The proceeds from the Senior Secured Notes were used to repay and terminate the $1.0 billion Delayed Draw Term Loan Credit Facility (and to terminate all security documents and all other loan documents related thereto) with the remaining amount for general corporate purposes and to enhance our liquidity position.</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may redeem the Senior Secured Notes, in whole at any time or in part from time to time, at a redemption price equal to 100% of the principal amount of the notes being redeemed plus a make whole premium, together with accrued and unpaid interest, if any, to (but not including) the redemption date.</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Senior Secured Notes are American’s senior secured obligations. Subject to certain limitations and exceptions, the Senior Secured Notes are secured on a first-lien basis by security interests in certain assets, rights and properties utilized by American in providing its scheduled air carrier services to and from certain airports in the United States and certain airports in Australia, Canada, the Caribbean, Central America, China, Hong Kong, Japan, Mexico, South Korea, and Switzerland. American’s obligations with respect to the Senior Secured Notes are also secured on a second-lien basis by security interests in certain assets, rights and properties utilized by American in providing its scheduled air carrier services to and from certain airports in the United States and certain airports in the European Union and the United Kingdom. American may be required to pledge additional collateral in the future under the terms of the Senior Secured Notes, and in certain circumstances may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33" w:right="339" w:bottom="1440" w:gutter="0" w:footer="0" w:header="0"/>
        </w:sectPr>
      </w:pPr>
    </w:p>
    <w:bookmarkStart w:id="25" w:name="page26"/>
    <w:bookmarkEnd w:id="25"/>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elect to pledge additional collateral as a replacement for existing collateral. The collateral that secures the Senior Secured Notes on a second-lien basis presently secures the 2014 Credit Facilities, on a first-lien basis.</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 Facility Revenue Bonds</w:t>
      </w:r>
    </w:p>
    <w:p>
      <w:pPr>
        <w:spacing w:after="0" w:line="10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In January 2020, American and British Airways announced the start of construction on a $344 million investment to upgrade New York's John F. Kennedy International Airport (JFK) Terminal 8.</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June 2020, the New York Transportation Development Corporation (NYTDC) issued approximately $360 million of special facility revenue bonds (the 2020 JFK Bonds) on behalf of American. A portion of the net proceeds from the 2020 JFK Bonds have been or will be used to fund costs of issuance of the 2020 JFK Bonds, to fund a substantial portion of the cost of the renovation and expansion of a passenger terminal facility (the Terminal) leased and utilized by American at JFK and to fund the August 2020 maturity of the outstanding bonds issued by NYTDC on behalf of American in 2016 (the 2016 JFK Bonds).</w:t>
      </w:r>
    </w:p>
    <w:p>
      <w:pPr>
        <w:spacing w:after="0" w:line="16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is required to pay debt service on the 2020 JFK Bonds through payments under a loan agreement with NYTDC (as amended), and American and AAG guarantee the 2020 JFK Bonds. American continues to pay debt service on the outstanding 2016 JFK Bonds and American and AAG continue to guarantee the 2016 JFK Bonds. American’s and AAG’s obligations under these guarantees are secured by a leasehold mortgage on American’s lease of the Terminal and related property from the Port Authority of New York and New Jersey.</w:t>
      </w:r>
    </w:p>
    <w:p>
      <w:pPr>
        <w:spacing w:after="0" w:line="16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2020 JFK Bonds, in aggregate, were priced at approximately 98% of par value. The gross proceeds from the issuance of the 2020 JFK Bonds were approximately $353 million. Of this amount, approximately $8 million was used to fund the costs of issuance of the 2020 JFK Bonds, approximately $47 million was used to fund the redemption of the 2016 JFK Bonds due August 2020 and approximately $17 million was reimbursed to American for the Terminal construction costs incurred, with the remaining amount of proceeds received to be held in restricted cash and short-term investments on the condensed consolidated balance sheet and to be used to finance a substantial portion of the cost of the renovation and expansion of the Terminal. The 2020 JFK Bonds are comprised of term bonds, $214 million of which bear interest at 5.25% per annum and mature on August 1, 2031, and $146 million of which bear interest at 5.375% per annum and mature on August 1, 2036.</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 Promissory Note</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April 2020, as partial compensation to the U.S. Government for the provision of financial assistance under the PSP Agreement, we issued the PSP Promissory Note to Treasury, which provides for our unconditional promise to pay to Treasury the initial principal sum of approximately $842 million, subject to an increase equal to 30% of the amount of each additional Installment disbursed under the PSP Agreement after the PSP Closing Date, and the guarantee of our obligations by the Guarantors. Assuming the total Installments to be paid pursuant to the PSP Agreement aggregate approximately $5.8 billion, the PSP Promissory Note will have a total principal sum of approximately $1.7 billion. As of June 30, 2020, the principal amount of the PSP Promissory Note was approximately $1.5 billion.</w:t>
      </w:r>
    </w:p>
    <w:p>
      <w:pPr>
        <w:spacing w:after="0" w:line="154"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8"/>
          <w:szCs w:val="18"/>
          <w:color w:val="auto"/>
        </w:rPr>
        <w:t>The PSP Promissory Note bears interest on the outstanding principal amount at a rate equal to 1.00% per annum until the fifth anniversary of the PSP Closing Date and 2.00% plus an interest rate based on the secured overnight financing rate per annum or other benchmark replacement rate consistent with customary market conventions (but not to be less than 0.00%) thereafter until the tenth anniversary of the PSP Closing Date (the Maturity Date), and interest accrued thereon will be payable in arrears on the last business day of March and September of each year, beginning on September 30, 2020. The aggregate principal amount outstanding under the PSP Promissory Note, together with all accrued and unpaid interest thereon and all other amounts payable under the PSP Promissory Note, will be due and payable on the Maturity Date.</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at any time and from time to time, voluntarily prepay amounts outstanding under the PSP Promissory Note, in whole or in part, without penalty or premium. Within 30 days of the occurrence of certain change of control triggering events, we are required to prepay the aggregate outstanding principal amount of the PSP Promissory Note at such time, together with any accrued interest or other amounts owing under the PSP Promissory Note at such time.</w:t>
      </w:r>
    </w:p>
    <w:p>
      <w:pPr>
        <w:spacing w:after="0" w:line="15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PSP Promissory Note is our senior unsecured obligation and each guarantee of the PSP Promissory Note is the senior unsecured obligation of each of the Guarantors, respectively.</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PSP Promissory Note contains events of default, including cross-default with respect to acceleration or failure to pay at maturity other material indebtedness. Upon the occurrence of an event of default and subject to certain grace periods, the outstanding obligations under the PSP Promissory Note may, and in certain circumstances will automatically, be accelerated and become due and payable immediately.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33" w:right="339" w:bottom="1440" w:gutter="0" w:footer="0" w:header="0"/>
        </w:sectPr>
      </w:pPr>
    </w:p>
    <w:bookmarkStart w:id="26" w:name="page27"/>
    <w:bookmarkEnd w:id="26"/>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6.50% Convertible Senior Notes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June 2020, AAG completed the public offering of $1.0 billion aggregate principal amount of AAG’s 6.50% convertible senior notes due 2025 (the Convertible Notes). The Convertible Notes are fully and unconditionally guaranteed by American (the Guarantee). In connection with the offering of the Convertible Notes by the underwriters thereof, AAG granted the underwriters an option, exercisable for 30 days, to purchase up to an additional $150 million aggregate principal amount of the Convertible Notes solely to cover overallotments. The net proceeds to us from the Convertible Notes were approximately $ 970 million, after deducting the underwriters’ discounts and commissions and our estimated offering expenses. The net proceeds from the Convertible Notes are being used for general corporate purposes and to enhance our liquidity position.</w:t>
      </w:r>
    </w:p>
    <w:p>
      <w:pPr>
        <w:spacing w:after="0" w:line="15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Convertible Notes were issued pursuant to an indenture, dated as of June 25, 2020 (the Base Indenture), between AAG and Wilmington Trust, National Association as trustee (the Trustee), as supplemented by that certain first supplemental indenture, dated as of June 25, 2020, among AAG, American and the Trustee (the Supplemental Indenture and, together with the Base Indenture, the Indenture). The Convertible Notes bear interest at a rate of 6.50% per annum. Interest on the Convertible Notes is payable semi-annually in arrears on January 1 and July 1 of each year, beginning on January 1, 2021. The Convertible Notes will mature on July 1, 2025, unless earlier converted or redeemed or repurchased by us.</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Convertible Notes were priced to investors in the offering at 100% of their principal amount. The Convertible Notes and the Guarantee will rank pari passu in right of payment with all of AAG’s and American's respective existing and future senior indebtedness and senior in right of payment to all of AAG’s and American's respective future subordinated indebtedness. The Convertible Notes and the Guarantee will be effectively subordinated to all of AAG's and American's respective existing and future secured indebtedness to the extent of the value of the assets pledged to secure those obligations. The Convertible Notes will also be structurally subordinated to all existing and future indebtedness of AAG’s non-guarantor subsidiaries.</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Upon conversion, AAG will pay or deliver, as the case may be, cash, shares of AAG common stock or a combination of cash and shares of AAG common stock, at AAG’s election. The initial conversion rate is 61.7284 shares of AAG common stock per $1,000 principal amount of Convertible Notes (equivalent to an initial conversion price of approximately $16.20 per share of AAG common stock). The conversion rate is subject to adjustment in some events as described in the Indenture.</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Holders may convert their Convertible Notes at their option only in the following circumstances: (1) during any calendar quarter (and only during such calendar quarter) commencing after the calendar quarter ending on September 30, 2020, if the last reported sale price per share of AAG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Convertible Notes for each trading day of the measurement period was less than 98% of the product of the last reported sale price per share of AAG common stock on such trading day and the conversion rate on such trading day; (3) upon the occurrence of certain corporate events or distributions on AAG common stock; (4) if AAG calls such Convertible Notes for redemption; and (5) at any time from, and including, April 1, 2025 until the close of business on the scheduled trading day immediately before the maturity date of the Convertible Notes.</w:t>
      </w:r>
    </w:p>
    <w:p>
      <w:pPr>
        <w:spacing w:after="0" w:line="15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following certain corporate events that occur prior to the maturity date or upon AAG’s issuance of a notice of redemption, AAG will increase the conversion rate for a holder who elects to convert its Convertible Notes in connection with such corporate event or during the related redemption period in certain circumstances by a specified number of shares of AAG common stock as described in the Indenture.</w:t>
      </w:r>
    </w:p>
    <w:p>
      <w:pPr>
        <w:spacing w:after="0" w:line="14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AAG will not have the right to redeem the Convertible Notes prior to July 5, 2023. On or after July 5, 2023 and on or before the 20th scheduled trading day immediately before the maturity date, AAG may redeem the Convertible Notes, in whole or in part, if the last reported sale price of AAG common stock has been at least 130% of the conversion price then in effect on (1) each of at least 20 trading days (whether or not consecutive) during the 30 consecutive trading days ending on, and including, the trading day immediately before the date AAG sends the related redemption notice; and (2) the trading day immediately before the date AAG sends such notice. In the case of any optional redemption, AAG will redeem the Convertible Notes at a redemption price equal to 100% of the principal amount of such Convertible Notes to be redeemed, plus accrued and unpaid interest to, but excluding, the redemption date.</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If AAG undergoes a fundamental change described in the Indenture prior to the maturity date of the Convertible Notes, except as described in the Indenture, holders of the Convertible Notes may require AAG to repurchase for cash all or part of their Convertible Notes at a repurchase price equal to 100% of the principal amount of the Convertible Notes to be repurchased, plus accrued and unpaid interest to, but excluding, the fundamental change repurchase date.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33" w:right="339" w:bottom="1440" w:gutter="0" w:footer="0" w:header="0"/>
        </w:sectPr>
      </w:pPr>
    </w:p>
    <w:bookmarkStart w:id="27" w:name="page28"/>
    <w:bookmarkEnd w:id="27"/>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3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Indenture provides for customary terms and covenants, including that upon certain events of default, either the trustee or the holders of not less than 25% in aggregate principal amount of the Convertible Notes then outstanding may declare the unpaid principal amount of the Convertible Notes and accrued and unpaid interest, if any, thereon immediately due and payable. In the case of certain events of bankruptcy, insolvency or reorganization, the principal amount of the Convertible Notes together with accrued and unpaid interest, if any, thereon will automatically become and be immediately due and payable.</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the Convertible Notes can be settled in cash upon conversion, for accounting purposes, the Convertible Notes were bifurcated into a debt component that was recorded at fair value and an equity component. The following table details the debt and equity components recognized related to the Convertible Notes as of June 30, 2020 (in millions):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June 30, 2020</w:t>
            </w:r>
          </w:p>
        </w:tc>
      </w:tr>
      <w:tr>
        <w:trPr>
          <w:trHeight w:val="256"/>
        </w:trPr>
        <w:tc>
          <w:tcPr>
            <w:tcW w:w="9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amount of 6.50% convertible senior notes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50"/>
        </w:trPr>
        <w:tc>
          <w:tcPr>
            <w:tcW w:w="954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63"/>
        </w:trPr>
        <w:tc>
          <w:tcPr>
            <w:tcW w:w="9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carrying amount of 6.50% convertible senior notes</w:t>
            </w: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556</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415</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229"/>
        <w:spacing w:after="0" w:line="253" w:lineRule="auto"/>
        <w:rPr>
          <w:sz w:val="20"/>
          <w:szCs w:val="20"/>
          <w:color w:val="auto"/>
        </w:rPr>
      </w:pPr>
      <w:r>
        <w:rPr>
          <w:rFonts w:ascii="Arial" w:cs="Arial" w:eastAsia="Arial" w:hAnsi="Arial"/>
          <w:sz w:val="18"/>
          <w:szCs w:val="18"/>
          <w:color w:val="auto"/>
        </w:rPr>
        <w:t>The effective interest rate on the liability component for the second quarter of 2020 approximated 20%. We recognized $2 million of interest expense in the second quarter of 2020 including $1 million of non-cash amortization of the debt discount as well as $1 million of contractual coupon interest. The remaining period over which the unamortized debt discount will be recognized as non-cash interest expense is five years as follows: $27 million in 2020, $63 million in 2021, $77 million in 2022, $95 million in 2023, $116 million in 2024 and $66 million in 2025.</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June 30, 2020, the if-converted value of the Convertible Notes did not exceed the principal amount.</w:t>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3.75% Senior Notes</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February 2020, AAG issued $500 million aggregate principal amount of 3.75% senior notes due 2025 (the 3.75% senior notes). These notes bear interest at a rate of 3.75% per annum, payable semi-annually in arrears in March and September of each year, beginning in September 2020. The 3.75% senior notes are senior unsecured obligations of AAG and are fully and unconditionally guaranteed by American. The 3.75% senior notes mature in March 2025.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 Notes and Other Notes Payable Issued in 2020</w:t>
      </w:r>
    </w:p>
    <w:p>
      <w:pPr>
        <w:spacing w:after="0" w:line="108" w:lineRule="exact"/>
        <w:rPr>
          <w:sz w:val="20"/>
          <w:szCs w:val="20"/>
          <w:color w:val="auto"/>
        </w:rPr>
      </w:pPr>
    </w:p>
    <w:p>
      <w:pPr>
        <w:jc w:val="both"/>
        <w:ind w:firstLine="229"/>
        <w:spacing w:after="0" w:line="254" w:lineRule="auto"/>
        <w:rPr>
          <w:sz w:val="20"/>
          <w:szCs w:val="20"/>
          <w:color w:val="auto"/>
        </w:rPr>
      </w:pPr>
      <w:r>
        <w:rPr>
          <w:rFonts w:ascii="Arial" w:cs="Arial" w:eastAsia="Arial" w:hAnsi="Arial"/>
          <w:sz w:val="18"/>
          <w:szCs w:val="18"/>
          <w:color w:val="auto"/>
        </w:rPr>
        <w:t>In the six months ended June 30, 2020, American entered into agreements under which it borrowed $197 million in connection with the financing or refinancing, as the case may be, of certain aircraft, of which $17 million was used to repay existing indebtedness. Debt incurred under these agreements matures in 2029 through 2032 and bears interest at variable rates (comprised of LIBOR plus an applicable margin) averaging 2.27% at June 30,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At December 31, 2019, we had approximately $9.1 billion of federal net operating losses (NOLs) carried over from prior taxable years (NOL Carryforwards) to reduce future federal taxable income. The federal NOL Carryforwards will expire beginning in 2023 if unused. We also had approximately $ 3.0 billion of NOL Carryforwards to reduce future state taxable income at December 31, 2019, which will expire in years 2020 through 2039 if unused.</w:t>
      </w:r>
    </w:p>
    <w:p>
      <w:pPr>
        <w:spacing w:after="0" w:line="150"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At December 31, 2019, we had an Alternative Minimum Tax (AMT) credit carryforward of approximately $170 million available for federal income tax purposes, which is presently expected to be fully refunded in 2020 as a result of the CARES Act enacted in March of 2020.</w:t>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During the three and six months ended June 30, 2020, we recorded an income tax benefit of $592 million and $1.2 billion,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33" w:right="339" w:bottom="1440" w:gutter="0" w:footer="0" w:header="0"/>
        </w:sectPr>
      </w:pPr>
    </w:p>
    <w:bookmarkStart w:id="28" w:name="page29"/>
    <w:bookmarkEnd w:id="28"/>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ind w:left="220" w:right="6580" w:hanging="212"/>
        <w:spacing w:after="0" w:line="378" w:lineRule="auto"/>
        <w:tabs>
          <w:tab w:leader="none" w:pos="204"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16"/>
        <w:spacing w:after="0" w:line="254"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six months ended June 30, 2020.</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4"/>
                <w:szCs w:val="14"/>
                <w:b w:val="1"/>
                <w:bCs w:val="1"/>
                <w:color w:val="auto"/>
              </w:rPr>
              <w:t>Fair Value Measurements as of June 30, 2020</w:t>
            </w:r>
          </w:p>
        </w:tc>
        <w:tc>
          <w:tcPr>
            <w:tcW w:w="1080" w:type="dxa"/>
            <w:vAlign w:val="bottom"/>
            <w:tcBorders>
              <w:bottom w:val="single" w:sz="8" w:color="auto"/>
            </w:tcBorders>
          </w:tcPr>
          <w:p>
            <w:pPr>
              <w:spacing w:after="0"/>
              <w:rPr>
                <w:sz w:val="17"/>
                <w:szCs w:val="17"/>
                <w:color w:val="auto"/>
              </w:rPr>
            </w:pPr>
          </w:p>
        </w:tc>
      </w:tr>
      <w:tr>
        <w:trPr>
          <w:trHeight w:val="264"/>
        </w:trPr>
        <w:tc>
          <w:tcPr>
            <w:tcW w:w="20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69"/>
        </w:trPr>
        <w:tc>
          <w:tcPr>
            <w:tcW w:w="55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7,853</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7,853</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Corporate obligations</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57"/>
        </w:trPr>
        <w:tc>
          <w:tcPr>
            <w:tcW w:w="2080" w:type="dxa"/>
            <w:vAlign w:val="bottom"/>
            <w:tcBorders>
              <w:top w:val="single" w:sz="8" w:color="CCEEFF"/>
            </w:tcBorders>
            <w:shd w:val="clear" w:color="auto" w:fill="CCEEFF"/>
          </w:tcPr>
          <w:p>
            <w:pPr>
              <w:spacing w:after="0"/>
              <w:rPr>
                <w:sz w:val="22"/>
                <w:szCs w:val="22"/>
                <w:color w:val="auto"/>
              </w:rPr>
            </w:pPr>
          </w:p>
        </w:tc>
        <w:tc>
          <w:tcPr>
            <w:tcW w:w="35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7,853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1,498</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 (4)</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5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10,018</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8,371</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80" w:type="dxa"/>
            <w:vAlign w:val="bottom"/>
            <w:tcBorders>
              <w:bottom w:val="single" w:sz="8" w:color="auto"/>
            </w:tcBorders>
          </w:tcPr>
          <w:p>
            <w:pPr>
              <w:spacing w:after="0"/>
              <w:rPr>
                <w:sz w:val="20"/>
                <w:szCs w:val="20"/>
                <w:color w:val="auto"/>
              </w:rPr>
            </w:pPr>
          </w:p>
        </w:tc>
        <w:tc>
          <w:tcPr>
            <w:tcW w:w="3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Our short-term investments mature in one year or less except for $484 million of bank notes/certificates of deposit/time deposits and $120 million of corporate obligations.</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our equity investment in China Southern Airlines, in which we presently own a 1.8% equity interest, and are classified in other assets on the condensed consolidated balance sheet.</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Restricted cash and short-term investments primarily includes money market funds to be used to finance a substantial portion of the cost of the renovation and expansion of Terminal 8 at JFK and collateral held to support workers' compensation obligations.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5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5"/>
                <w:szCs w:val="15"/>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060" w:type="dxa"/>
            <w:vAlign w:val="bottom"/>
          </w:tcPr>
          <w:p>
            <w:pPr>
              <w:jc w:val="center"/>
              <w:ind w:right="222"/>
              <w:spacing w:after="0"/>
              <w:rPr>
                <w:sz w:val="20"/>
                <w:szCs w:val="20"/>
                <w:color w:val="auto"/>
              </w:rPr>
            </w:pPr>
            <w:r>
              <w:rPr>
                <w:rFonts w:ascii="Arial" w:cs="Arial" w:eastAsia="Arial" w:hAnsi="Arial"/>
                <w:sz w:val="14"/>
                <w:szCs w:val="14"/>
                <w:b w:val="1"/>
                <w:bCs w:val="1"/>
                <w:color w:val="auto"/>
              </w:rPr>
              <w:t>Fair</w:t>
            </w:r>
          </w:p>
        </w:tc>
      </w:tr>
      <w:tr>
        <w:trPr>
          <w:trHeight w:val="196"/>
        </w:trPr>
        <w:tc>
          <w:tcPr>
            <w:tcW w:w="5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7"/>
                <w:szCs w:val="17"/>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7"/>
                <w:szCs w:val="17"/>
                <w:color w:val="auto"/>
              </w:rPr>
            </w:pPr>
          </w:p>
        </w:tc>
        <w:tc>
          <w:tcPr>
            <w:tcW w:w="1060" w:type="dxa"/>
            <w:vAlign w:val="bottom"/>
          </w:tcPr>
          <w:p>
            <w:pPr>
              <w:jc w:val="center"/>
              <w:ind w:right="222"/>
              <w:spacing w:after="0"/>
              <w:rPr>
                <w:sz w:val="20"/>
                <w:szCs w:val="20"/>
                <w:color w:val="auto"/>
              </w:rPr>
            </w:pPr>
            <w:r>
              <w:rPr>
                <w:rFonts w:ascii="Arial" w:cs="Arial" w:eastAsia="Arial" w:hAnsi="Arial"/>
                <w:sz w:val="14"/>
                <w:szCs w:val="14"/>
                <w:b w:val="1"/>
                <w:bCs w:val="1"/>
                <w:color w:val="auto"/>
                <w:w w:val="96"/>
              </w:rPr>
              <w:t>Value</w:t>
            </w:r>
          </w:p>
        </w:tc>
      </w:tr>
      <w:tr>
        <w:trPr>
          <w:trHeight w:val="250"/>
        </w:trPr>
        <w:tc>
          <w:tcPr>
            <w:tcW w:w="5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30,664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26,081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23,645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24,508</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33" w:right="339" w:bottom="1440" w:gutter="0" w:footer="0" w:header="0"/>
        </w:sectPr>
      </w:pPr>
    </w:p>
    <w:bookmarkStart w:id="29" w:name="page30"/>
    <w:bookmarkEnd w:id="29"/>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4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Pr>
          <w:p>
            <w:pPr>
              <w:spacing w:after="0"/>
              <w:rPr>
                <w:sz w:val="17"/>
                <w:szCs w:val="17"/>
                <w:color w:val="auto"/>
              </w:rPr>
            </w:pPr>
          </w:p>
        </w:tc>
        <w:tc>
          <w:tcPr>
            <w:tcW w:w="25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40" w:type="dxa"/>
            <w:vAlign w:val="bottom"/>
            <w:tcBorders>
              <w:bottom w:val="single" w:sz="8" w:color="auto"/>
            </w:tcBorders>
          </w:tcPr>
          <w:p>
            <w:pPr>
              <w:spacing w:after="0"/>
              <w:rPr>
                <w:sz w:val="22"/>
                <w:szCs w:val="22"/>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56"/>
        </w:trPr>
        <w:tc>
          <w:tcPr>
            <w:tcW w:w="40" w:type="dxa"/>
            <w:vAlign w:val="bottom"/>
            <w:shd w:val="clear" w:color="auto" w:fill="CCEEFF"/>
          </w:tcPr>
          <w:p>
            <w:pPr>
              <w:spacing w:after="0"/>
              <w:rPr>
                <w:sz w:val="22"/>
                <w:szCs w:val="22"/>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63"/>
        </w:trPr>
        <w:tc>
          <w:tcPr>
            <w:tcW w:w="4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7"/>
        </w:trPr>
        <w:tc>
          <w:tcPr>
            <w:tcW w:w="40" w:type="dxa"/>
            <w:vAlign w:val="bottom"/>
            <w:shd w:val="clear" w:color="auto" w:fill="CCEEFF"/>
          </w:tcPr>
          <w:p>
            <w:pPr>
              <w:spacing w:after="0"/>
              <w:rPr>
                <w:sz w:val="24"/>
                <w:szCs w:val="24"/>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4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Amortization of:</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Unrecognized net loss (gain)</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0" w:type="dxa"/>
            <w:vAlign w:val="bottom"/>
          </w:tcPr>
          <w:p>
            <w:pPr>
              <w:spacing w:after="0"/>
              <w:rPr>
                <w:sz w:val="21"/>
                <w:szCs w:val="21"/>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4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Pr>
          <w:p>
            <w:pPr>
              <w:spacing w:after="0"/>
              <w:rPr>
                <w:sz w:val="17"/>
                <w:szCs w:val="17"/>
                <w:color w:val="auto"/>
              </w:rPr>
            </w:pPr>
          </w:p>
        </w:tc>
        <w:tc>
          <w:tcPr>
            <w:tcW w:w="25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Postretirement Benefits</w:t>
            </w:r>
          </w:p>
        </w:tc>
      </w:tr>
      <w:tr>
        <w:trPr>
          <w:trHeight w:val="263"/>
        </w:trPr>
        <w:tc>
          <w:tcPr>
            <w:tcW w:w="40" w:type="dxa"/>
            <w:vAlign w:val="bottom"/>
            <w:tcBorders>
              <w:bottom w:val="single" w:sz="8" w:color="auto"/>
            </w:tcBorders>
          </w:tcPr>
          <w:p>
            <w:pPr>
              <w:spacing w:after="0"/>
              <w:rPr>
                <w:sz w:val="22"/>
                <w:szCs w:val="22"/>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56"/>
        </w:trPr>
        <w:tc>
          <w:tcPr>
            <w:tcW w:w="40" w:type="dxa"/>
            <w:vAlign w:val="bottom"/>
            <w:shd w:val="clear" w:color="auto" w:fill="CCEEFF"/>
          </w:tcPr>
          <w:p>
            <w:pPr>
              <w:spacing w:after="0"/>
              <w:rPr>
                <w:sz w:val="22"/>
                <w:szCs w:val="22"/>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63"/>
        </w:trPr>
        <w:tc>
          <w:tcPr>
            <w:tcW w:w="4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7"/>
        </w:trPr>
        <w:tc>
          <w:tcPr>
            <w:tcW w:w="40" w:type="dxa"/>
            <w:vAlign w:val="bottom"/>
            <w:shd w:val="clear" w:color="auto" w:fill="CCEEFF"/>
          </w:tcPr>
          <w:p>
            <w:pPr>
              <w:spacing w:after="0"/>
              <w:rPr>
                <w:sz w:val="24"/>
                <w:szCs w:val="24"/>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63"/>
        </w:trPr>
        <w:tc>
          <w:tcPr>
            <w:tcW w:w="4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Amortization of:</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Unrecognized net loss (gain)</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4"/>
        </w:trPr>
        <w:tc>
          <w:tcPr>
            <w:tcW w:w="40" w:type="dxa"/>
            <w:vAlign w:val="bottom"/>
          </w:tcPr>
          <w:p>
            <w:pPr>
              <w:spacing w:after="0"/>
              <w:rPr>
                <w:sz w:val="21"/>
                <w:szCs w:val="21"/>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The components of net periodic benefit cost (income) other than the service cost component are included in nonoperating other income (expense), net in the condensed consolidated statements of operations.</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Pursuant to the CARES Act, minimum required pension contributions to be made in the calendar year 2020 can be deferred to January 1, 2021, with interest accruing from the original due date to the new payment date. We expect to defer our $196 million 2020 minimum required contributions to January 1, 2021, which we intend to pay on December 31, 2020.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33" w:right="339" w:bottom="1440" w:gutter="0" w:footer="0" w:header="0"/>
        </w:sectPr>
      </w:pPr>
    </w:p>
    <w:bookmarkStart w:id="30" w:name="page31"/>
    <w:bookmarkEnd w:id="30"/>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 on</w:t>
            </w:r>
          </w:p>
        </w:tc>
        <w:tc>
          <w:tcPr>
            <w:tcW w:w="20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2"/>
        </w:trPr>
        <w:tc>
          <w:tcPr>
            <w:tcW w:w="2080" w:type="dxa"/>
            <w:vAlign w:val="bottom"/>
            <w:tcBorders>
              <w:bottom w:val="single" w:sz="8" w:color="CCEEFF"/>
            </w:tcBorders>
          </w:tcPr>
          <w:p>
            <w:pPr>
              <w:spacing w:after="0"/>
              <w:rPr>
                <w:sz w:val="17"/>
                <w:szCs w:val="17"/>
                <w:color w:val="auto"/>
              </w:rPr>
            </w:pPr>
          </w:p>
        </w:tc>
        <w:tc>
          <w:tcPr>
            <w:tcW w:w="2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7"/>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1"/>
                <w:szCs w:val="11"/>
                <w:color w:val="auto"/>
              </w:rPr>
              <w:t>(2)</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24"/>
        </w:trPr>
        <w:tc>
          <w:tcPr>
            <w:tcW w:w="4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5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2080" w:type="dxa"/>
            <w:vAlign w:val="bottom"/>
            <w:tcBorders>
              <w:bottom w:val="single" w:sz="8" w:color="auto"/>
            </w:tcBorders>
          </w:tcPr>
          <w:p>
            <w:pPr>
              <w:spacing w:after="0"/>
              <w:rPr>
                <w:sz w:val="21"/>
                <w:szCs w:val="21"/>
                <w:color w:val="auto"/>
              </w:rPr>
            </w:pP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377" w:lineRule="exact"/>
        <w:rPr>
          <w:sz w:val="20"/>
          <w:szCs w:val="20"/>
          <w:color w:val="auto"/>
        </w:rPr>
      </w:pPr>
    </w:p>
    <w:p>
      <w:pPr>
        <w:ind w:left="540" w:hanging="316"/>
        <w:spacing w:after="0" w:line="225" w:lineRule="auto"/>
        <w:tabs>
          <w:tab w:leader="none" w:pos="54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62" w:lineRule="exact"/>
        <w:rPr>
          <w:rFonts w:ascii="Arial" w:cs="Arial" w:eastAsia="Arial" w:hAnsi="Arial"/>
          <w:sz w:val="22"/>
          <w:szCs w:val="22"/>
          <w:color w:val="auto"/>
          <w:vertAlign w:val="superscript"/>
        </w:rPr>
      </w:pPr>
    </w:p>
    <w:p>
      <w:pPr>
        <w:ind w:left="540" w:hanging="316"/>
        <w:spacing w:after="0" w:line="225" w:lineRule="auto"/>
        <w:tabs>
          <w:tab w:leader="none" w:pos="54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 of operations.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Amounts reclassified from AOCI</w:t>
            </w:r>
          </w:p>
        </w:tc>
        <w:tc>
          <w:tcPr>
            <w:tcW w:w="720" w:type="dxa"/>
            <w:vAlign w:val="bottom"/>
            <w:tcBorders>
              <w:bottom w:val="single" w:sz="8" w:color="auto"/>
            </w:tcBorders>
          </w:tcPr>
          <w:p>
            <w:pPr>
              <w:spacing w:after="0"/>
              <w:rPr>
                <w:sz w:val="17"/>
                <w:szCs w:val="17"/>
                <w:color w:val="auto"/>
              </w:rPr>
            </w:pPr>
          </w:p>
        </w:tc>
      </w:tr>
      <w:tr>
        <w:trPr>
          <w:trHeight w:val="175"/>
        </w:trPr>
        <w:tc>
          <w:tcPr>
            <w:tcW w:w="3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3740" w:type="dxa"/>
            <w:vAlign w:val="bottom"/>
          </w:tcPr>
          <w:p>
            <w:pPr>
              <w:spacing w:after="0"/>
              <w:rPr>
                <w:sz w:val="17"/>
                <w:szCs w:val="17"/>
                <w:color w:val="auto"/>
              </w:rPr>
            </w:pPr>
          </w:p>
        </w:tc>
        <w:tc>
          <w:tcPr>
            <w:tcW w:w="22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440" w:type="dxa"/>
            <w:vAlign w:val="bottom"/>
          </w:tcPr>
          <w:p>
            <w:pPr>
              <w:jc w:val="center"/>
              <w:ind w:left="668"/>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r>
      <w:tr>
        <w:trPr>
          <w:trHeight w:val="258"/>
        </w:trPr>
        <w:tc>
          <w:tcPr>
            <w:tcW w:w="374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40" w:type="dxa"/>
            <w:vAlign w:val="bottom"/>
            <w:tcBorders>
              <w:top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580" w:hanging="19"/>
        <w:spacing w:after="0" w:line="263"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32" w:lineRule="exact"/>
        <w:rPr>
          <w:sz w:val="20"/>
          <w:szCs w:val="20"/>
          <w:color w:val="auto"/>
        </w:rPr>
      </w:pPr>
    </w:p>
    <w:p>
      <w:pPr>
        <w:sectPr>
          <w:pgSz w:w="11900" w:h="16838" w:orient="portrait"/>
          <w:cols w:equalWidth="0" w:num="2">
            <w:col w:w="8220" w:space="700"/>
            <w:col w:w="2320"/>
          </w:cols>
          <w:pgMar w:left="320" w:top="333"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 medical</w:t>
      </w:r>
    </w:p>
    <w:p>
      <w:pPr>
        <w:ind w:left="40"/>
        <w:spacing w:after="0"/>
        <w:rPr>
          <w:sz w:val="20"/>
          <w:szCs w:val="20"/>
          <w:color w:val="auto"/>
        </w:rPr>
      </w:pPr>
      <w:r>
        <w:rPr>
          <w:rFonts w:ascii="Arial" w:cs="Arial" w:eastAsia="Arial" w:hAnsi="Arial"/>
          <w:sz w:val="18"/>
          <w:szCs w:val="18"/>
          <w:color w:val="auto"/>
        </w:rPr>
        <w:t>and other postretirement benefits: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24"/>
        </w:trPr>
        <w:tc>
          <w:tcPr>
            <w:tcW w:w="3780" w:type="dxa"/>
            <w:vAlign w:val="bottom"/>
          </w:tcPr>
          <w:p>
            <w:pPr>
              <w:ind w:left="380"/>
              <w:spacing w:after="0"/>
              <w:rPr>
                <w:sz w:val="20"/>
                <w:szCs w:val="20"/>
                <w:color w:val="auto"/>
              </w:rPr>
            </w:pPr>
            <w:r>
              <w:rPr>
                <w:rFonts w:ascii="Arial" w:cs="Arial" w:eastAsia="Arial" w:hAnsi="Arial"/>
                <w:sz w:val="18"/>
                <w:szCs w:val="18"/>
                <w:color w:val="auto"/>
              </w:rPr>
              <w:t>Prior service benefit</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302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35"/>
        </w:trPr>
        <w:tc>
          <w:tcPr>
            <w:tcW w:w="3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4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rPr>
              <w:t>Total reclassifications for the period,</w:t>
            </w: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4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type w:val="continuous"/>
        </w:sectPr>
      </w:pPr>
    </w:p>
    <w:bookmarkStart w:id="31" w:name="page32"/>
    <w:bookmarkEnd w:id="31"/>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112" w:lineRule="exact"/>
        <w:rPr>
          <w:sz w:val="20"/>
          <w:szCs w:val="20"/>
          <w:color w:val="auto"/>
        </w:rPr>
      </w:pPr>
    </w:p>
    <w:p>
      <w:pPr>
        <w:ind w:right="20" w:firstLine="216"/>
        <w:spacing w:after="0" w:line="261"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9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848</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692</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22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195</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22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162</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301</w:t>
            </w: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3,648</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201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500" w:hanging="330"/>
        <w:spacing w:after="0" w:line="237" w:lineRule="auto"/>
        <w:tabs>
          <w:tab w:leader="none" w:pos="500" w:val="left"/>
        </w:tabs>
        <w:numPr>
          <w:ilvl w:val="1"/>
          <w:numId w:val="16"/>
        </w:numPr>
        <w:rPr>
          <w:rFonts w:ascii="Arial" w:cs="Arial" w:eastAsia="Arial" w:hAnsi="Arial"/>
          <w:sz w:val="22"/>
          <w:szCs w:val="22"/>
          <w:color w:val="auto"/>
          <w:vertAlign w:val="superscript"/>
        </w:rPr>
      </w:pPr>
      <w:r>
        <w:rPr>
          <w:rFonts w:ascii="Arial" w:cs="Arial" w:eastAsia="Arial" w:hAnsi="Arial"/>
          <w:sz w:val="18"/>
          <w:szCs w:val="18"/>
          <w:color w:val="auto"/>
        </w:rPr>
        <w:t>During the three months ended June 30, 2020 and 2019, we recognized $61 million and $149 million, respectively, of expense under our capacity purchase agreement with Republic Airline Inc. (Republic). During the six months ended June 30, 2020 and 2019, we recognized $211 million and $292 million, respectively, of expense under our capacity purchase agreement with Republic. We hold a 25% equity interest in Republic Airways Holdings Inc., the parent company of Republic.</w:t>
      </w:r>
    </w:p>
    <w:p>
      <w:pPr>
        <w:spacing w:after="0" w:line="222"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calculating earnings per common share. As disputed claims are resolved, the claimants receive distributions of shares from the Disputed Claims Reserve. We are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us but rather will be distributed to former AMR stockholders and former convertible noteholders treated as stockholders under the Plan. In February 2020, 2.2 million shares of AAG common stock were distributed from the Disputed Claims Reserve. After giving effect to this distribution, as of June 30, 2020, the Disputed Claims Reserve held 4.8 million shares of AAG common stock.</w:t>
      </w:r>
    </w:p>
    <w:p>
      <w:pPr>
        <w:spacing w:after="0" w:line="13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ectPr>
          <w:pgSz w:w="11900" w:h="16838" w:orient="portrait"/>
          <w:cols w:equalWidth="0" w:num="1">
            <w:col w:w="11240"/>
          </w:cols>
          <w:pgMar w:left="320" w:top="333" w:right="3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333" w:right="339" w:bottom="1440" w:gutter="0" w:footer="0" w:header="0"/>
          <w:type w:val="continuous"/>
        </w:sectPr>
      </w:pPr>
    </w:p>
    <w:bookmarkStart w:id="32" w:name="page33"/>
    <w:bookmarkEnd w:id="32"/>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1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3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i w:val="1"/>
          <w:iCs w:val="1"/>
          <w:color w:val="auto"/>
        </w:rPr>
        <w:t xml:space="preserve">Pension Benefits Action. </w:t>
      </w:r>
      <w:r>
        <w:rPr>
          <w:rFonts w:ascii="Arial" w:cs="Arial" w:eastAsia="Arial" w:hAnsi="Arial"/>
          <w:sz w:val="18"/>
          <w:szCs w:val="18"/>
          <w:color w:val="auto"/>
        </w:rPr>
        <w:t>On December 11, 2018, a lawsuit captioned Torres, et al. v. American Airlines, Inc., The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John/Jane Does 1-5, was filed in the United States District Court for the Northern District of Texas. The plaintiffs in this lawsuit purport to represent a class consisting of all participants in and beneficiaries under each of American's defined benefit pension plans (except the pilot plan) who elected to receive an optional form of benefit other than a lump sum distribution of a participant’s vested benefit. Under the Employee Retirement Income Security Act, participants covered by defined benefit plans accrue retirement benefits in the form of a single life annuity payable upon retirement on a monthly basis until the employee’s death, and may elect certain alternative forms of benefit payments. Plaintiffs contend that the mortality tables used by American for purposes of calculations related to these alternative forms of benefits are outdated and that more recent mortality tables would have provided more generous benefits and should have been used to make those calculations. The parties have agreed to settle the case on an individual basis with the named plaintiffs, as well as a pilot who has threatened to bring suit under the pilot plan, for less than $1 million, which represents actual damages to the named and purported plaintiffs and attorneys' fees. The court has vacated the trial setting and all other deadlines and administratively closed the case, pending receipt of dismissal papers.</w:t>
      </w:r>
    </w:p>
    <w:p>
      <w:pPr>
        <w:spacing w:after="0" w:line="13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6" w:lineRule="exact"/>
        <w:rPr>
          <w:sz w:val="20"/>
          <w:szCs w:val="20"/>
          <w:color w:val="auto"/>
        </w:rPr>
      </w:pPr>
    </w:p>
    <w:p>
      <w:pPr>
        <w:ind w:left="220" w:right="9460" w:hanging="212"/>
        <w:spacing w:after="0" w:line="357" w:lineRule="auto"/>
        <w:tabs>
          <w:tab w:leader="none" w:pos="30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Impairment </w:t>
      </w:r>
      <w:r>
        <w:rPr>
          <w:rFonts w:ascii="Arial" w:cs="Arial" w:eastAsia="Arial" w:hAnsi="Arial"/>
          <w:sz w:val="18"/>
          <w:szCs w:val="18"/>
          <w:b w:val="1"/>
          <w:bCs w:val="1"/>
          <w:i w:val="1"/>
          <w:iCs w:val="1"/>
          <w:u w:val="single" w:color="auto"/>
          <w:color w:val="auto"/>
        </w:rPr>
        <w:t>Long-lived Assets</w:t>
      </w:r>
    </w:p>
    <w:p>
      <w:pPr>
        <w:jc w:val="both"/>
        <w:ind w:firstLine="216"/>
        <w:spacing w:after="0" w:line="254" w:lineRule="auto"/>
        <w:rPr>
          <w:sz w:val="20"/>
          <w:szCs w:val="20"/>
          <w:color w:val="auto"/>
        </w:rPr>
      </w:pPr>
      <w:r>
        <w:rPr>
          <w:rFonts w:ascii="Arial" w:cs="Arial" w:eastAsia="Arial" w:hAnsi="Arial"/>
          <w:sz w:val="18"/>
          <w:szCs w:val="18"/>
          <w:color w:val="auto"/>
        </w:rPr>
        <w:t>Accounting Standards Codification (ASC) 360 - Property, Plant, and Equipment (ASC 360) requires long-lived assets to be assessed for impairment when events and circumstances indicate that the assets may be impaired. Long-lived assets consist of owned flight and ground equipment, ROU assets and definite-lived intangible assets such as certain domestic airport slots and gate leasehold rights, customer relationships and marketing agreements.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previously discussed, in the first six months of 2020, our operations, liquidity and stock price were significantly impacted by decreased passenger demand and government travel restrictions due to COVID-19. Additionally, we decided to retire certain mainline aircraft earlier than planned including Boeing 757, Boeing 767, Airbus A330-300 and Embraer 190 aircraft as well as regional aircraft, including certain Embraer 140 and Bombardier CRJ200 aircraft. As a result of these events and circumstances, we performed impairment tests on our long-lived assets in connection with the preparation of our financial statements.</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accordance with ASC 360, an impairment of a long-lived asset or group of long-lived assets exists only when the sum of the estimated undiscounted future cash flows expected to be generated directly by the assets are less than the carrying value of the assets. We group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our current fleet plan.</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 a result of the impairment tests performed on our long-lived assets, we determined the sum of the estimated undiscounted future cash flows exceeded the $43.4 billion carrying value for our long-lived assets except for the aircraft being retired earlier than planned as discussed above. For those aircraft and certain related spare parts, we recorded impairment charges reflecting the difference between the carrying values of these assets and their fair values of $23 million and $838 million for the three and six months ended June 30, 2020, respectively. Fair value reflects management’s best estimate including inputs from published pricing guides and bids from third parties as well as contracted sales agreements when applicable. Due to the inherent uncertainties of the current operating environment, we will continue to evaluate our current fleet (including aircraft in temporary storage) and may decide to permanently retire additional aircraft.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33" w:right="339" w:bottom="1440" w:gutter="0" w:footer="0" w:header="0"/>
        </w:sectPr>
      </w:pPr>
    </w:p>
    <w:bookmarkStart w:id="33" w:name="page34"/>
    <w:bookmarkEnd w:id="33"/>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ASC 350 - Intangibles - Goodwill and Other (ASC 350) requires goodwill and indefinite-lived intangible assets to be assessed for impairment annually or more frequently if events or circumstances indicate that the fair values of goodwill and indefinite-lived intangible assets may be lower than their carrying values. Goodwill represents the purchase price in excess of the fair value of the net assets acquired and liabilities assumed in connection with the merger with US Airways Group, Inc. We have one reporting unit. Indefinite-lived intangible assets consist of certain domestic airport slots and international slots and route authorities.</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performed interim impairment tests on our goodwill and indefinite-lived intangible assets as a result of the events and circumstances previously discussed due to the impact of COVID-19 on our business. In accordance with ASC 350, for goodwill, we performed a quantitative analysis by using a market approach. Under the market approach, the fair value of the reporting unit was determined based on quoted market prices for equity and the fair value of debt as described in Note 8. The fair value exceeded the carrying value of the reporting unit, and our $4.1 billion of goodwill was not impaired.</w:t>
      </w:r>
    </w:p>
    <w:p>
      <w:pPr>
        <w:spacing w:after="0" w:line="15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Additionally, we performed interim qualitative impairment tests on our $1.8 billion of indefinite-lived intangible assets and determined there was no material impairment.</w:t>
      </w:r>
    </w:p>
    <w:p>
      <w:pPr>
        <w:spacing w:after="0" w:line="14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As discussed above, due to the inherent uncertainties of the current operating environment, we will continue to evaluate our goodwill and indefinite-lived intangible assets for events or circumstances that indicate that their fair values may be lower than their carrying values.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ITEM 1B. CONDENSED CONSOLIDATED FINANCIAL STATEMENTS OF AMERICAN AIRLINES, INC.</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ectPr>
          <w:pgSz w:w="11900" w:h="16838" w:orient="portrait"/>
          <w:cols w:equalWidth="0" w:num="1">
            <w:col w:w="11240"/>
          </w:cols>
          <w:pgMar w:left="320" w:top="549" w:right="339" w:bottom="1440" w:gutter="0" w:footer="0" w:header="0"/>
        </w:sectPr>
      </w:pPr>
    </w:p>
    <w:p>
      <w:pPr>
        <w:spacing w:after="0" w:line="375"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1645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3" w:lineRule="exact"/>
        <w:rPr>
          <w:sz w:val="20"/>
          <w:szCs w:val="20"/>
          <w:color w:val="auto"/>
        </w:rPr>
      </w:pPr>
    </w:p>
    <w:p>
      <w:pPr>
        <w:ind w:left="6400"/>
        <w:spacing w:after="0"/>
        <w:tabs>
          <w:tab w:leader="none" w:pos="77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26035</wp:posOffset>
            </wp:positionV>
            <wp:extent cx="16459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3"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45" w:lineRule="exact"/>
        <w:rPr>
          <w:sz w:val="20"/>
          <w:szCs w:val="20"/>
          <w:color w:val="auto"/>
        </w:rPr>
      </w:pPr>
    </w:p>
    <w:p>
      <w:pPr>
        <w:sectPr>
          <w:pgSz w:w="11900" w:h="16838" w:orient="portrait"/>
          <w:cols w:equalWidth="0" w:num="2">
            <w:col w:w="8300" w:space="720"/>
            <w:col w:w="2220"/>
          </w:cols>
          <w:pgMar w:left="320" w:top="549" w:right="3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Operating revenues: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4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11,011</w:t>
            </w:r>
          </w:p>
        </w:tc>
        <w:tc>
          <w:tcPr>
            <w:tcW w:w="100" w:type="dxa"/>
            <w:vAlign w:val="bottom"/>
          </w:tcPr>
          <w:p>
            <w:pPr>
              <w:spacing w:after="0"/>
              <w:rPr>
                <w:sz w:val="20"/>
                <w:szCs w:val="20"/>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8,788</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20,669</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64"/>
        </w:trPr>
        <w:tc>
          <w:tcPr>
            <w:tcW w:w="5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1,431</w:t>
            </w:r>
          </w:p>
        </w:tc>
      </w:tr>
      <w:tr>
        <w:trPr>
          <w:trHeight w:val="256"/>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22,539</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3,722</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5,676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6,286</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3,702</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1,136</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969</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64"/>
        </w:trPr>
        <w:tc>
          <w:tcPr>
            <w:tcW w:w="5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2,522</w:t>
            </w:r>
          </w:p>
        </w:tc>
      </w:tr>
      <w:tr>
        <w:trPr>
          <w:trHeight w:val="256"/>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10,831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15,112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21,067</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1,472</w:t>
            </w: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63"/>
        </w:trPr>
        <w:tc>
          <w:tcPr>
            <w:tcW w:w="5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r>
      <w:tr>
        <w:trPr>
          <w:trHeight w:val="257"/>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nonoperating expense, net</w:t>
            </w: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1,255</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 (benefit)</w:t>
            </w:r>
          </w:p>
        </w:tc>
        <w:tc>
          <w:tcPr>
            <w:tcW w:w="3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944</w:t>
            </w: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49"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9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57"/>
        </w:trPr>
        <w:tc>
          <w:tcPr>
            <w:tcW w:w="59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913</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549"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Short-term investments</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9,349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3,543</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cash and short-term investments</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Receivables from related parties, net</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12,451</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Aircraft fuel, spare parts and supplies, net</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1,558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78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22,797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20,527</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property and equipment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Flight equipment</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38,346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42,213</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Ground property and equipment</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9,089</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Equipment purchase deposits</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1,786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at cost</w:t>
            </w:r>
          </w:p>
        </w:tc>
        <w:tc>
          <w:tcPr>
            <w:tcW w:w="24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49,156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52,976</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Less accumulated depreciation and amortization</w:t>
            </w:r>
          </w:p>
        </w:tc>
        <w:tc>
          <w:tcPr>
            <w:tcW w:w="24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(16,150)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(18,335)</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net</w:t>
            </w:r>
          </w:p>
        </w:tc>
        <w:tc>
          <w:tcPr>
            <w:tcW w:w="24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33,006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34,641</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Operating lease right-of-use assets</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8,278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8,694</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assets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Intangibles, net of accumulated amortization of $724 and $704, respectively</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2,084</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Deferred tax asset</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1,786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780" w:type="dxa"/>
            <w:vAlign w:val="bottom"/>
          </w:tcPr>
          <w:p>
            <w:pPr>
              <w:ind w:left="720"/>
              <w:spacing w:after="0"/>
              <w:rPr>
                <w:sz w:val="20"/>
                <w:szCs w:val="20"/>
                <w:color w:val="auto"/>
              </w:rPr>
            </w:pPr>
            <w:r>
              <w:rPr>
                <w:rFonts w:ascii="Arial" w:cs="Arial" w:eastAsia="Arial" w:hAnsi="Arial"/>
                <w:sz w:val="14"/>
                <w:szCs w:val="14"/>
                <w:color w:val="auto"/>
              </w:rPr>
              <w:t>Total other assets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9,024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8,028</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73,105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71,890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Current maturities of long-term debt and finance leases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2,578</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Accrued salaries and wages</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1,454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Air traffic liability</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4,808</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Loyalty program liability</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lease liabilities</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Other accrued liabilities</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3,216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17,618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17,560</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debt and finance leases, net of current maturities</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25,339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20,684</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Pension and postretirement benefits</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5,975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6,008</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Loyalty program liability</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6,940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7,388</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780" w:type="dxa"/>
            <w:vAlign w:val="bottom"/>
          </w:tcPr>
          <w:p>
            <w:pPr>
              <w:ind w:left="720"/>
              <w:spacing w:after="0"/>
              <w:rPr>
                <w:sz w:val="20"/>
                <w:szCs w:val="20"/>
                <w:color w:val="auto"/>
              </w:rPr>
            </w:pPr>
            <w:r>
              <w:rPr>
                <w:rFonts w:ascii="Arial" w:cs="Arial" w:eastAsia="Arial" w:hAnsi="Arial"/>
                <w:sz w:val="14"/>
                <w:szCs w:val="14"/>
                <w:color w:val="auto"/>
              </w:rPr>
              <w:t>Total noncurrent liabilities</w:t>
            </w:r>
          </w:p>
        </w:tc>
        <w:tc>
          <w:tcPr>
            <w:tcW w:w="240" w:type="dxa"/>
            <w:vAlign w:val="bottom"/>
          </w:tcPr>
          <w:p>
            <w:pPr>
              <w:spacing w:after="0"/>
              <w:rPr>
                <w:sz w:val="16"/>
                <w:szCs w:val="16"/>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46,229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40,908</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Commitments and contingencies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Common stock, $1.00 par value; 1,000 shares authorized, issued and outstanding</w:t>
            </w:r>
          </w:p>
        </w:tc>
        <w:tc>
          <w:tcPr>
            <w:tcW w:w="240" w:type="dxa"/>
            <w:vAlign w:val="bottom"/>
            <w:shd w:val="clear" w:color="auto" w:fill="CCEEFF"/>
          </w:tcPr>
          <w:p>
            <w:pPr>
              <w:spacing w:after="0"/>
              <w:rPr>
                <w:sz w:val="17"/>
                <w:szCs w:val="17"/>
                <w:color w:val="auto"/>
              </w:rPr>
            </w:pPr>
          </w:p>
        </w:tc>
        <w:tc>
          <w:tcPr>
            <w:tcW w:w="1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7"/>
                <w:szCs w:val="17"/>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17,008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16,903</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(6,423)</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Retained earnings (deficit)</w:t>
            </w:r>
          </w:p>
        </w:tc>
        <w:tc>
          <w:tcPr>
            <w:tcW w:w="24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2,942</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24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13,422</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040"/>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73,105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71,890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549" w:right="3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549" w:right="339" w:bottom="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r>
      <w:tr>
        <w:trPr>
          <w:trHeight w:val="264"/>
        </w:trPr>
        <w:tc>
          <w:tcPr>
            <w:tcW w:w="208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56"/>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2,335</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Proceeds from sale-leaseback transactions</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and equipment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(2,190)</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Sales of short-term investments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1,611</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Increase in restricted short-term investments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7720" w:type="dxa"/>
            <w:vAlign w:val="bottom"/>
            <w:gridSpan w:val="2"/>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(2,334)</w:t>
            </w:r>
          </w:p>
        </w:tc>
      </w:tr>
      <w:tr>
        <w:trPr>
          <w:trHeight w:val="257"/>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6,868</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1,839</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Payments on long-term debt and finance leases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63"/>
        </w:trPr>
        <w:tc>
          <w:tcPr>
            <w:tcW w:w="77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Deferred financing costs</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7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4,822</w:t>
            </w: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restricted cash</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9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(1)</w:t>
            </w:r>
          </w:p>
        </w:tc>
        <w:tc>
          <w:tcPr>
            <w:tcW w:w="106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w:t>
            </w:r>
          </w:p>
        </w:tc>
      </w:tr>
      <w:tr>
        <w:trPr>
          <w:trHeight w:val="278"/>
        </w:trPr>
        <w:tc>
          <w:tcPr>
            <w:tcW w:w="2080" w:type="dxa"/>
            <w:vAlign w:val="bottom"/>
            <w:shd w:val="clear" w:color="auto" w:fill="CCEEFF"/>
          </w:tcPr>
          <w:p>
            <w:pPr>
              <w:spacing w:after="0"/>
              <w:rPr>
                <w:sz w:val="24"/>
                <w:szCs w:val="24"/>
                <w:color w:val="auto"/>
              </w:rPr>
            </w:pPr>
          </w:p>
        </w:tc>
        <w:tc>
          <w:tcPr>
            <w:tcW w:w="56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Non-cash transactions: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Right-of-use (ROU) assets acquired through operating leases</w:t>
            </w:r>
          </w:p>
        </w:tc>
        <w:tc>
          <w:tcPr>
            <w:tcW w:w="106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Settlement of bankruptcy obligations</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financing costs paid through issuance of debt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Property and equipment acquired through finance leases</w:t>
            </w:r>
          </w:p>
        </w:tc>
        <w:tc>
          <w:tcPr>
            <w:tcW w:w="10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Interest paid, net</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2080" w:type="dxa"/>
            <w:vAlign w:val="bottom"/>
            <w:tcBorders>
              <w:bottom w:val="single" w:sz="8" w:color="auto"/>
            </w:tcBorders>
          </w:tcPr>
          <w:p>
            <w:pPr>
              <w:spacing w:after="0"/>
              <w:rPr>
                <w:sz w:val="22"/>
                <w:szCs w:val="22"/>
                <w:color w:val="auto"/>
              </w:rPr>
            </w:pPr>
          </w:p>
        </w:tc>
        <w:tc>
          <w:tcPr>
            <w:tcW w:w="5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377" w:lineRule="exact"/>
        <w:rPr>
          <w:sz w:val="20"/>
          <w:szCs w:val="20"/>
          <w:color w:val="auto"/>
        </w:rPr>
      </w:pPr>
    </w:p>
    <w:p>
      <w:pPr>
        <w:ind w:left="580" w:hanging="329"/>
        <w:spacing w:after="0" w:line="225" w:lineRule="auto"/>
        <w:tabs>
          <w:tab w:leader="none" w:pos="58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63"/>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restricted cash</w:t>
            </w:r>
          </w:p>
        </w:tc>
        <w:tc>
          <w:tcPr>
            <w:tcW w:w="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0"/>
        </w:trPr>
        <w:tc>
          <w:tcPr>
            <w:tcW w:w="7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49"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r>
      <w:tr>
        <w:trPr>
          <w:trHeight w:val="25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16,903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13,422</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(2,169)</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equity transfer</w:t>
            </w: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11,178</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Other comprehensive income, net</w:t>
            </w:r>
          </w:p>
        </w:tc>
        <w:tc>
          <w:tcPr>
            <w:tcW w:w="12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17,008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9,258</w:t>
            </w: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514"/>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r>
      <w:tr>
        <w:trPr>
          <w:trHeight w:val="25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16,802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11,770</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230</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w:t>
            </w:r>
          </w:p>
        </w:tc>
      </w:tr>
      <w:tr>
        <w:trPr>
          <w:trHeight w:val="25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16,827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12,012</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714</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equity transfer</w:t>
            </w: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12,740</w:t>
            </w: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54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w:t>
      </w:r>
    </w:p>
    <w:p>
      <w:pPr>
        <w:spacing w:after="0" w:line="90" w:lineRule="exact"/>
        <w:rPr>
          <w:rFonts w:ascii="Arial" w:cs="Arial" w:eastAsia="Arial" w:hAnsi="Arial"/>
          <w:sz w:val="18"/>
          <w:szCs w:val="18"/>
          <w:b w:val="1"/>
          <w:bCs w:val="1"/>
          <w:color w:val="auto"/>
        </w:rPr>
      </w:pPr>
    </w:p>
    <w:p>
      <w:pPr>
        <w:ind w:left="520" w:hanging="269"/>
        <w:spacing w:after="0"/>
        <w:tabs>
          <w:tab w:leader="none" w:pos="520" w:val="left"/>
        </w:tabs>
        <w:numPr>
          <w:ilvl w:val="1"/>
          <w:numId w:val="20"/>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2019. American is the principal wholly-owned subsidiary of American Airlines Group Inc. (AAG). All significant intercompany transactions have been eliminated.</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closing of borders, “shelter in place” orders and business closures. As a result, American has experienced an unprecedented decline in the demand for air travel, which has resulted in a material deterioration in its revenues. While American's business performed largely as expected in January and February of 2020, a severe reduction in air travel starting in March 2020 resulted in its total operating revenues decreasing approximately 20% in the first quarter of 2020 and 86% in the second quarter of 2020 as compared to the first and second quarter of 2019, respectively. While the length and severity of the reduction in demand due to COVID-19 is uncertain, American expects its results of operations for the remainder of 2020 to be severely impacted.</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taken aggressive actions to mitigate the effect of COVID-19 on its business including deep capacity reductions, structural changes to its fleet, cost reductions, and steps to preserve cash and improve its overall liquidity position. American remains extremely focused on taking all self-help measures available to manage its business during this unprecedented time, consistent with the terms of the financial assistance it has received from the U.S. Government under the Coronavirus Aid, Relief, and Economic Security (CARES) Act which, among other things, includes obligations regarding minimum air service and restrictions on involuntary workforce actions.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Capacity Reductions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significantly reduced its capacity (as measured by available seat miles), with the second quarter of 2020 flying decreased by 76% year-over-year and third quarter of 2020 flying expected to decrease by approximately 60% year-over-year. The demand environment continues to be uncertain as COVID-19 cases have increased and new travel restrictions have been put into place. Due to this uncertainty, American will continue to adjust its future capacity to match developing trends in bookings for future travel and make further adjustments to its capacity as needed.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Fleet</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To better align American’s network with lower passenger demand, American accelerated the retirement of Boeing 757, Boeing 767, Airbus A330-300 and Embraer 190 fleets as well as certain regional aircraft, including certain Embraer 140 and Bombardier CRJ200 aircraft. These retirements remove complexity from its operation and bring forward cost savings and efficiencies associated with operating fewer aircraft types. See Note 12 for further information on the accounting for American's fleet retirements. Due to the inherent uncertainties of the current operating environment, American will continue to evaluate its current fleet and may decide to permanently retire additional aircraft. In addition, American has placed a significant number of aircraft, including its A330-200 fleet and a number of Boeing 737-800 and certain regional aircraft, into temporary storage.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49"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Reductions</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is moving quickly to better align its costs with its reduced schedule. In aggregate, American estimates that it has reduced its 2020 operating and capital expenditures by more than $15.0 billion. These savings have been achieved primarily through capacity reductions. In addition, American has implemented a series of actions, including the accelerated fleet retirements discussed above as well as reductions in maintenance expense and non-aircraft capital expenditures through less fleet modification work, the elimination of ground service equipment purchases and pausing all non-critical facility investments and information technology projects. American has also suspended all non-essential hiring, paused non-contractual pay rate increases, reduced executive and board of director compensation, implemented voluntary leave and early retirement programs and decreased its management and support staff team, including officers, by approximately 5,100 positions, or 30%, to reduce its labor costs consistent with its obligations under the CARES Act. In total, more than 41,000 team members have opted for an early retirement, a reduced work schedule or partially paid leave. Additionally, American has made reductions in marketing, contractor, event and training expenses as well as consolidated space at airport facilities.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Liquidity</w:t>
      </w:r>
    </w:p>
    <w:p>
      <w:pPr>
        <w:spacing w:after="0" w:line="108"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At June 30, 2020, American had $10.2 billion in total available liquidity, consisting of $9.8 billion in unrestricted cash and short-term investments and $400 million in an undrawn short-term revolving facility.</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six months of 2020, American completed the following financing transactions (see Note 4 for further information):</w:t>
      </w:r>
    </w:p>
    <w:p>
      <w:pPr>
        <w:spacing w:after="0" w:line="171" w:lineRule="exact"/>
        <w:rPr>
          <w:sz w:val="20"/>
          <w:szCs w:val="20"/>
          <w:color w:val="auto"/>
        </w:rPr>
      </w:pPr>
    </w:p>
    <w:p>
      <w:pPr>
        <w:ind w:left="660" w:hanging="40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refinanced the $1.2 billion 2014 Term Loan Facility at a lower interest rate and extended the maturity from 2021 to 2027;</w:t>
      </w:r>
    </w:p>
    <w:p>
      <w:pPr>
        <w:spacing w:after="0" w:line="171" w:lineRule="exact"/>
        <w:rPr>
          <w:rFonts w:ascii="Arial" w:cs="Arial" w:eastAsia="Arial" w:hAnsi="Arial"/>
          <w:sz w:val="18"/>
          <w:szCs w:val="18"/>
          <w:color w:val="auto"/>
        </w:rPr>
      </w:pPr>
    </w:p>
    <w:p>
      <w:pPr>
        <w:ind w:left="660" w:hanging="409"/>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borrowed $750 million under the 2013 Revolving Facility, $1.6 billion under the 2014 Revolving Facility and $450 million under the April 2016 Revolving Facility;</w:t>
      </w:r>
    </w:p>
    <w:p>
      <w:pPr>
        <w:spacing w:after="0" w:line="143" w:lineRule="exact"/>
        <w:rPr>
          <w:rFonts w:ascii="Arial" w:cs="Arial" w:eastAsia="Arial" w:hAnsi="Arial"/>
          <w:sz w:val="18"/>
          <w:szCs w:val="18"/>
          <w:color w:val="auto"/>
        </w:rPr>
      </w:pPr>
    </w:p>
    <w:p>
      <w:pPr>
        <w:ind w:left="660" w:right="20" w:hanging="409"/>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$2.5 billion in aggregate principal amount of 11.75% senior secured notes due 2025 and repaid the $1.0 billion senior secured delayed draw term loan credit facility that American borrowed in March 2020;</w:t>
      </w:r>
    </w:p>
    <w:p>
      <w:pPr>
        <w:spacing w:after="0" w:line="143" w:lineRule="exact"/>
        <w:rPr>
          <w:rFonts w:ascii="Arial" w:cs="Arial" w:eastAsia="Arial" w:hAnsi="Arial"/>
          <w:sz w:val="18"/>
          <w:szCs w:val="18"/>
          <w:color w:val="auto"/>
        </w:rPr>
      </w:pPr>
    </w:p>
    <w:p>
      <w:pPr>
        <w:ind w:left="660" w:right="20" w:hanging="409"/>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approximately $360 million in special facility revenue bonds, of which $47 million was used to fund the redemption of certain outstanding bonds;</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raised $336 million from aircraft sale-leaseback transactions; and</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raised $197 million from aircraft financings, of which $17 million was used to repay existing indebtedness.</w:t>
      </w:r>
    </w:p>
    <w:p>
      <w:pPr>
        <w:spacing w:after="0" w:line="252" w:lineRule="exact"/>
        <w:rPr>
          <w:sz w:val="20"/>
          <w:szCs w:val="20"/>
          <w:color w:val="auto"/>
        </w:rPr>
      </w:pPr>
    </w:p>
    <w:p>
      <w:pPr>
        <w:jc w:val="both"/>
        <w:ind w:firstLine="229"/>
        <w:spacing w:after="0" w:line="252" w:lineRule="auto"/>
        <w:rPr>
          <w:sz w:val="20"/>
          <w:szCs w:val="20"/>
          <w:color w:val="auto"/>
        </w:rPr>
      </w:pPr>
      <w:r>
        <w:rPr>
          <w:rFonts w:ascii="Arial" w:cs="Arial" w:eastAsia="Arial" w:hAnsi="Arial"/>
          <w:sz w:val="18"/>
          <w:szCs w:val="18"/>
          <w:color w:val="auto"/>
        </w:rPr>
        <w:t>AAG and the Subsidiaries (as defined below) have also been approved to receive an aggregate of $5.8 billion in financial assistance to be paid in installments through the payroll support program (Payroll Support Program) under the CARES Act. As of June 30, 2020, AAG and the Subsidiaries had received $5.2 billion of such financial assistance and AAG had issued a promissory note (the PSP Promissory Note) to the U.S. Department of the Treasury (Treasury) for $1.5 billion in aggregate principal amount as well as warrants to purchase up to an aggregate of approximately 12.3 million shares (the Warrant Shares) of AAG common stock. See below for further discussion on the Payroll Support Program. Separately, American has signed a term sheet with Treasury for a $4.75 billion secured loan under the CARES Act.</w:t>
      </w:r>
    </w:p>
    <w:p>
      <w:pPr>
        <w:spacing w:after="0" w:line="15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Also, American is permitted to, and will, defer payment of the employer portion of Social Security taxes through the end of 2020 (with 50% of the deferred amount due December 31, 2021 and the remaining 50% due December 31, 2022). This deferral is expected to provide approximately $300 million in additional liquidity during 2020. Additionally, AAG has suspended its capital return program, including share repurchases and the payment of future dividends for at least the period that the restrictions imposed by the CARES Act are applicable.</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 continues to evaluate future financing opportunities and has engaged third-party appraisers to evaluate some of its unencumbered assets. American expects to pledge a portion of these unencumbered assets as collateral for future financings, including as part of the approximately $4.75 billion secured loan under the CARES Act for which American has signed a term sheet with Treasury.</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of American’s debt financing agreements contain covenants requiring it to maintain an aggregate of at least $2.0 billion of unrestricted cash and cash equivalents and amounts available to be drawn under revolving credit facilities and/or contain loan to value ratio covenants.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3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Given the above actions and American’s assumptions about the future impact of COVID-19 on travel demand, which could be materially different due to the inherent uncertainties of the current operating environment, American expects to meet its cash obligations as well as remain in compliance with the debt covenants in its existing financing agreements for the next 12 months based on its current level of unrestricted cash and short-term investments, its anticipated access to liquidity (including via proceeds from financings and funds from government assistance to be provided pursuant to the CARES Act) and projected cash flows from operations.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Payroll Support Program</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April 20, 2020 (the PSP Closing Date), American, Envoy Air Inc. (Envoy), Piedmont Airlines, Inc. (Piedmont) and PSA Airlines, Inc. (PSA and together with American, Envoy and Piedmont, the Subsidiaries), each a wholly-owned subsidiary, entered into a Payroll Support Program Agreement (the PSP Agreement) with Treasury, with respect to the Payroll Support Program provided pursuant to the CARES Act. In connection with the Subsidiaries' entry into the PSP Agreement, on the PSP Closing Date, AAG also entered into a warrant agreement (the PSP Warrant Agreement) with Treasury, and AAG issued the PSP Promissory Note to Treasury, with the Subsidiaries as guarantors (the Guarantors).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Payroll Support Program Agreement</w:t>
      </w:r>
    </w:p>
    <w:p>
      <w:pPr>
        <w:spacing w:after="0" w:line="10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connection with the Payroll Support Program, AAG and the Subsidiaries are required to comply with the relevant provisions of the CARES Act, including the requirement that funds provided pursuant to the PSP Agreement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and the provisions that prohibit the repurchase of AAG common stock, and the payment of common stock dividends through September 30, 2021, as well as those that restrict the payment of certain executive compensation until March 24, 2022. The PSP Agreement also imposes substantial reporting obligations on AAG and the Subsidiaries. If AAG and the Subsidiaries receive a secured loan from Treasury under the loan program, the stock repurchase, dividend and executive compensation restrictions will remain in place through the date that is one year after such secured loan is fully repaid.</w:t>
      </w:r>
    </w:p>
    <w:p>
      <w:pPr>
        <w:spacing w:after="0" w:line="1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Pursuant to the PSP Agreement, Treasury is to provide to AAG and the Subsidiaries financial assistance to be paid in installments (each, an Installment) expected to total in the aggregate approximately $5.8 billion, of which $5.2 billion has been received as of June 30, 2020 (representing 90% of the current expected total). AAG currently anticipates receiving one additional Installment in July 2020. As partial compensation to the U.S. Government for the provision of financial assistance under the Payroll Support Program, AAG is expected to issue a total aggregate principal amount of approximately $1.7 billion under the PSP Promissory Note and issue warrants (each a PSP Warrant and, collectively, the PSP Warrants) to Treasury to purchase up to an aggregate of approximately 13.7 million shares of AAG common stock. See Note 6 to AAG’s Condensed Consolidated Financial Statements in Part I, Item 1A for further information on the PSP Promissory Note and below for more information on the PSP Warrant Agreement and the PSP Warrants.</w:t>
      </w:r>
    </w:p>
    <w:p>
      <w:pPr>
        <w:spacing w:after="0" w:line="15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For accounting purposes, the $5.8 billion of aggregate financial assistance pursuant to the PSP Agreement is allocated to the PSP Promissory Note, the PSP Warrants and other Payroll Support Program financial assistance (the PSP Financial Assistance). The aggregate principal amount of approximately $1.7 billion of PSP Promissory Note will be recorded as unsecured long-term debt, and the total fair value of the PSP Warrants, estimated using a Black-Scholes option pricing model, will be recorded in stockholders' equity in AAG's condensed consolidated balance sheet. The remaining amount of approximately $4.0 billion of PSP Financial Assistance will be recognized as a credit to special items, net in the condensed consolidated statement of operations in the second and third quarters of 2020, the period over which the continuation of payment of employee wages, salaries and benefits is required. At June 30, 2020, approximately $1.5 billion of the PSP Financial Assistance was deferred in other accrued liabilities in the condensed consolidated balance sheet and approximately $2.0 billion was recognized as a credit to special items, net in the condensed consolidated statement of operations.</w:t>
      </w:r>
    </w:p>
    <w:p>
      <w:pPr>
        <w:spacing w:after="0" w:line="15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AAG and the Subsidiaries also applied for a secured loan from Treasury of approximately $4.75 billion under the CARES Act, which if granted will involve the issuance of additional warrants to purchase approximately 38.0 million shares of AAG common stock. As of the date of this report, American has signed a term sheet with Treasury for this secured loan. However, American has not yet finalized a definitive agreement for this secured loan, and thus final terms and conditions and closing remain subject to ongoing negotiation, entry by the parties into definitive documentation and satisfaction of closing conditions.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PSP Warrant Agreement and Warrants</w:t>
      </w:r>
    </w:p>
    <w:p>
      <w:pPr>
        <w:spacing w:after="0" w:line="108"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 Agreement, and pursuant to the PSP Warrant Agreement, AAG has agreed to issue warrants to Treasury to purchase up to an aggregate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3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approximately 13.7 million Warrant Shares of AAG common stock. The exercise price of the Warrant Shares is $12.51 per share (which was the closing price of AAG common stock on The Nasdaq Global Select Market on April 9, 2020) (the Exercise Price) subject to certain anti-dilution provisions provided for in the PSP Warrant.</w:t>
      </w:r>
    </w:p>
    <w:p>
      <w:pPr>
        <w:spacing w:after="0" w:line="14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Pursuant to the PSP Warrant Agreement, on the PSP Closing Date, May 29, 2020 and June 30, 2020, AAG issued to Treasury a PSP Warrant to purchase up to an aggregate of approximately 6.7 million shares, 2.8 million shares and 2.8 million shares, respectively, of AAG common stock based on the terms described herein. AAG anticipates issuing the final PSP Warrant for approximately 1.4 million shares of AAG common stock on or about July 30, 2020.</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PSP Warrants do not have any voting rights and are freely transferrable, with registration rights. Each PSP Warrant expires on the fifth anniversary of the date of issuance of such PSP Warrant. The PSP Warrants will be exercisable either through net share settlement or cash, at AAG's option. The PSP Warrants were issued solely as compensation to the U.S. Government related to entry into the PSP Agreement. No separate proceeds (apart from the financial assistance described above) were received upon issuance of the PSP Warrants or will be received upon exercise thereof.</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Accounting Standards Update (ASU) 2016-13: Financial Instruments </w:t>
      </w:r>
      <w:r>
        <w:rPr>
          <w:rFonts w:ascii="Arial" w:cs="Arial" w:eastAsia="Arial" w:hAnsi="Arial"/>
          <w:sz w:val="18"/>
          <w:szCs w:val="18"/>
          <w:color w:val="auto"/>
        </w:rPr>
        <w:t>–</w:t>
      </w:r>
      <w:r>
        <w:rPr>
          <w:rFonts w:ascii="Arial" w:cs="Arial" w:eastAsia="Arial" w:hAnsi="Arial"/>
          <w:sz w:val="18"/>
          <w:szCs w:val="18"/>
          <w:i w:val="1"/>
          <w:iCs w:val="1"/>
          <w:color w:val="auto"/>
        </w:rPr>
        <w:t xml:space="preserve"> Credit Losses (Topic 326)</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American adopted this accounting standard prospectively as of January 1, 2020, and it did not have a material impact on American's condensed consolidated financial statements.</w:t>
      </w:r>
    </w:p>
    <w:p>
      <w:pPr>
        <w:spacing w:after="0" w:line="210"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3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9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Merger integration expenses</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64"/>
        </w:trPr>
        <w:tc>
          <w:tcPr>
            <w:tcW w:w="5940" w:type="dxa"/>
            <w:vAlign w:val="bottom"/>
          </w:tcPr>
          <w:p>
            <w:pPr>
              <w:ind w:left="40"/>
              <w:spacing w:after="0"/>
              <w:rPr>
                <w:sz w:val="20"/>
                <w:szCs w:val="20"/>
                <w:color w:val="auto"/>
              </w:rPr>
            </w:pPr>
            <w:r>
              <w:rPr>
                <w:rFonts w:ascii="Arial" w:cs="Arial" w:eastAsia="Arial" w:hAnsi="Arial"/>
                <w:sz w:val="18"/>
                <w:szCs w:val="18"/>
                <w:color w:val="auto"/>
              </w:rPr>
              <w:t>Other operating special items, net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56"/>
        </w:trPr>
        <w:tc>
          <w:tcPr>
            <w:tcW w:w="59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Mainline operating special items, net</w:t>
            </w: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324"/>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Regional operating special items, net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940" w:type="dxa"/>
            <w:vAlign w:val="bottom"/>
          </w:tcPr>
          <w:p>
            <w:pPr>
              <w:ind w:left="500"/>
              <w:spacing w:after="0"/>
              <w:rPr>
                <w:sz w:val="20"/>
                <w:szCs w:val="20"/>
                <w:color w:val="auto"/>
              </w:rPr>
            </w:pPr>
            <w:r>
              <w:rPr>
                <w:rFonts w:ascii="Arial" w:cs="Arial" w:eastAsia="Arial" w:hAnsi="Arial"/>
                <w:sz w:val="18"/>
                <w:szCs w:val="18"/>
                <w:color w:val="auto"/>
              </w:rPr>
              <w:t>Operating special items, net</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w:t>
            </w:r>
          </w:p>
        </w:tc>
      </w:tr>
      <w:tr>
        <w:trPr>
          <w:trHeight w:val="331"/>
        </w:trPr>
        <w:tc>
          <w:tcPr>
            <w:tcW w:w="5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1"/>
                <w:szCs w:val="21"/>
                <w:color w:val="auto"/>
                <w:vertAlign w:val="superscript"/>
              </w:rPr>
              <w:t>(7)</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refinancing, extinguishment and other charges</w:t>
            </w: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Nonoperating special items, net</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20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344" w:lineRule="exact"/>
        <w:rPr>
          <w:sz w:val="20"/>
          <w:szCs w:val="20"/>
          <w:color w:val="auto"/>
        </w:rPr>
      </w:pPr>
    </w:p>
    <w:p>
      <w:pPr>
        <w:ind w:left="500" w:right="20" w:hanging="330"/>
        <w:spacing w:after="0" w:line="225" w:lineRule="auto"/>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PSP Agreement. See Note 1 for further information.</w:t>
      </w:r>
    </w:p>
    <w:p>
      <w:pPr>
        <w:sectPr>
          <w:pgSz w:w="11900" w:h="16838" w:orient="portrait"/>
          <w:cols w:equalWidth="0" w:num="1">
            <w:col w:w="11240"/>
          </w:cols>
          <w:pgMar w:left="320" w:top="333"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333" w:right="3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right="20" w:hanging="330"/>
        <w:spacing w:after="0" w:line="225" w:lineRule="auto"/>
        <w:tabs>
          <w:tab w:leader="none" w:pos="500" w:val="left"/>
        </w:tabs>
        <w:numPr>
          <w:ilvl w:val="1"/>
          <w:numId w:val="24"/>
        </w:numPr>
        <w:rPr>
          <w:rFonts w:ascii="Arial" w:cs="Arial" w:eastAsia="Arial" w:hAnsi="Arial"/>
          <w:sz w:val="22"/>
          <w:szCs w:val="22"/>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American's operation due to COVID-19.</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1"/>
          <w:numId w:val="24"/>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Transport Workers Union and International Association of Machinists &amp; Aerospace Workers for American's maintenance and fleet service team members, including signing bonuses and adjustments to vacation accruals resulting from pay rate increases.</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1"/>
          <w:numId w:val="24"/>
        </w:numPr>
        <w:rPr>
          <w:rFonts w:ascii="Arial" w:cs="Arial" w:eastAsia="Arial" w:hAnsi="Arial"/>
          <w:sz w:val="22"/>
          <w:szCs w:val="22"/>
          <w:color w:val="auto"/>
          <w:vertAlign w:val="superscript"/>
        </w:rPr>
      </w:pPr>
      <w:r>
        <w:rPr>
          <w:rFonts w:ascii="Arial" w:cs="Arial" w:eastAsia="Arial" w:hAnsi="Arial"/>
          <w:sz w:val="18"/>
          <w:szCs w:val="18"/>
          <w:color w:val="auto"/>
        </w:rPr>
        <w:t>Fleet impairment resulted from American's decision to retire certain aircraft earlier than planned driven by the decline in air travel due to COVID-19. Aircraft retired include Boeing 757, Boeing 767, Airbus A330-300, Embraer 190, certain Embraer 140 and Bombardier CRJ200 aircraft.</w:t>
      </w:r>
    </w:p>
    <w:p>
      <w:pPr>
        <w:spacing w:after="0" w:line="162" w:lineRule="exact"/>
        <w:rPr>
          <w:rFonts w:ascii="Arial" w:cs="Arial" w:eastAsia="Arial" w:hAnsi="Arial"/>
          <w:sz w:val="22"/>
          <w:szCs w:val="22"/>
          <w:color w:val="auto"/>
          <w:vertAlign w:val="superscript"/>
        </w:rPr>
      </w:pPr>
    </w:p>
    <w:p>
      <w:pPr>
        <w:jc w:val="both"/>
        <w:ind w:left="500"/>
        <w:spacing w:after="0" w:line="256" w:lineRule="auto"/>
        <w:rPr>
          <w:rFonts w:ascii="Arial" w:cs="Arial" w:eastAsia="Arial" w:hAnsi="Arial"/>
          <w:sz w:val="22"/>
          <w:szCs w:val="22"/>
          <w:color w:val="auto"/>
          <w:vertAlign w:val="superscript"/>
        </w:rPr>
      </w:pPr>
      <w:r>
        <w:rPr>
          <w:rFonts w:ascii="Arial" w:cs="Arial" w:eastAsia="Arial" w:hAnsi="Arial"/>
          <w:sz w:val="18"/>
          <w:szCs w:val="18"/>
          <w:color w:val="auto"/>
        </w:rPr>
        <w:t>The three months ended June 30, 2020 primarily included a non-cash write-down of regional aircraft and spare parts. The six months ended June 30, 2020 included a $773 million non-cash write-down of mainline and regional aircraft and spare parts and $76 million in write-offs of ROU assets and lease return costs. See Note 12 for further information related to these charges.</w:t>
      </w:r>
    </w:p>
    <w:p>
      <w:pPr>
        <w:spacing w:after="0" w:line="147"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1"/>
          <w:numId w:val="24"/>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1"/>
          <w:numId w:val="24"/>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61"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1"/>
          <w:numId w:val="24"/>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and other investments, net primarily relates to net unrealized gains and losses associated with American's equity investment in China Southern Airlines Company Limited (China Southern Airlines) and certain treasury rate lock derivative instruments.</w:t>
      </w:r>
    </w:p>
    <w:p>
      <w:pPr>
        <w:spacing w:after="0" w:line="221"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208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70"/>
        </w:trPr>
        <w:tc>
          <w:tcPr>
            <w:tcW w:w="5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594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8,085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18,989</w:t>
            </w:r>
          </w:p>
        </w:tc>
      </w:tr>
      <w:tr>
        <w:trPr>
          <w:trHeight w:val="277"/>
        </w:trPr>
        <w:tc>
          <w:tcPr>
            <w:tcW w:w="5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1,680</w:t>
            </w:r>
          </w:p>
        </w:tc>
      </w:tr>
      <w:tr>
        <w:trPr>
          <w:trHeight w:val="243"/>
        </w:trPr>
        <w:tc>
          <w:tcPr>
            <w:tcW w:w="594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11,011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8,788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20,669</w:t>
            </w:r>
          </w:p>
        </w:tc>
      </w:tr>
      <w:tr>
        <w:trPr>
          <w:trHeight w:val="277"/>
        </w:trPr>
        <w:tc>
          <w:tcPr>
            <w:tcW w:w="5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r>
      <w:tr>
        <w:trPr>
          <w:trHeight w:val="263"/>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5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1,172</w:t>
            </w:r>
          </w:p>
        </w:tc>
      </w:tr>
      <w:tr>
        <w:trPr>
          <w:trHeight w:val="263"/>
        </w:trPr>
        <w:tc>
          <w:tcPr>
            <w:tcW w:w="5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r>
      <w:tr>
        <w:trPr>
          <w:trHeight w:val="250"/>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1,431</w:t>
            </w:r>
          </w:p>
        </w:tc>
      </w:tr>
      <w:tr>
        <w:trPr>
          <w:trHeight w:val="257"/>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10,136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22,539</w:t>
            </w:r>
          </w:p>
        </w:tc>
      </w:tr>
      <w:tr>
        <w:trPr>
          <w:trHeight w:val="20"/>
        </w:trPr>
        <w:tc>
          <w:tcPr>
            <w:tcW w:w="2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2080" w:type="dxa"/>
            <w:vAlign w:val="bottom"/>
            <w:tcBorders>
              <w:bottom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3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9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15,235</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2,612</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2,080</w:t>
            </w:r>
          </w:p>
        </w:tc>
      </w:tr>
      <w:tr>
        <w:trPr>
          <w:trHeight w:val="263"/>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w:t>
            </w: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8,788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20,669</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60" w:type="dxa"/>
            <w:vAlign w:val="bottom"/>
            <w:gridSpan w:val="4"/>
          </w:tcPr>
          <w:p>
            <w:pPr>
              <w:jc w:val="right"/>
              <w:ind w:right="1315"/>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8,962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8,615</w:t>
            </w:r>
          </w:p>
        </w:tc>
      </w:tr>
      <w:tr>
        <w:trPr>
          <w:trHeight w:val="263"/>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5,119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4,808</w:t>
            </w:r>
          </w:p>
        </w:tc>
      </w:tr>
      <w:tr>
        <w:trPr>
          <w:trHeight w:val="257"/>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14,081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13,423</w:t>
            </w: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-710565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8,615</w:t>
            </w:r>
          </w:p>
        </w:tc>
      </w:tr>
      <w:tr>
        <w:trPr>
          <w:trHeight w:val="250"/>
        </w:trPr>
        <w:tc>
          <w:tcPr>
            <w:tcW w:w="9540" w:type="dxa"/>
            <w:vAlign w:val="bottom"/>
            <w:gridSpan w:val="2"/>
          </w:tcPr>
          <w:p>
            <w:pPr>
              <w:ind w:left="28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1,149</w:t>
            </w:r>
          </w:p>
        </w:tc>
      </w:tr>
      <w:tr>
        <w:trPr>
          <w:trHeight w:val="263"/>
        </w:trPr>
        <w:tc>
          <w:tcPr>
            <w:tcW w:w="9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50"/>
        </w:trPr>
        <w:tc>
          <w:tcPr>
            <w:tcW w:w="9540" w:type="dxa"/>
            <w:vAlign w:val="bottom"/>
            <w:gridSpan w:val="2"/>
          </w:tcPr>
          <w:p>
            <w:pPr>
              <w:ind w:left="40"/>
              <w:spacing w:after="0"/>
              <w:rPr>
                <w:sz w:val="20"/>
                <w:szCs w:val="20"/>
                <w:color w:val="auto"/>
              </w:rPr>
            </w:pPr>
            <w:r>
              <w:rPr>
                <w:rFonts w:ascii="Arial" w:cs="Arial" w:eastAsia="Arial" w:hAnsi="Arial"/>
                <w:sz w:val="18"/>
                <w:szCs w:val="18"/>
                <w:color w:val="auto"/>
              </w:rPr>
              <w:t xml:space="preserve">Balance at June 30, 2020 </w:t>
            </w:r>
            <w:r>
              <w:rPr>
                <w:rFonts w:ascii="Arial" w:cs="Arial" w:eastAsia="Arial" w:hAnsi="Arial"/>
                <w:sz w:val="21"/>
                <w:szCs w:val="21"/>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8,962</w:t>
            </w:r>
          </w:p>
        </w:tc>
      </w:tr>
      <w:tr>
        <w:trPr>
          <w:trHeight w:val="20"/>
        </w:trPr>
        <w:tc>
          <w:tcPr>
            <w:tcW w:w="2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2080" w:type="dxa"/>
            <w:vAlign w:val="bottom"/>
            <w:tcBorders>
              <w:bottom w:val="single" w:sz="8" w:color="auto"/>
            </w:tcBorders>
          </w:tcPr>
          <w:p>
            <w:pPr>
              <w:spacing w:after="0"/>
              <w:rPr>
                <w:sz w:val="20"/>
                <w:szCs w:val="20"/>
                <w:color w:val="auto"/>
              </w:rPr>
            </w:pPr>
          </w:p>
        </w:tc>
        <w:tc>
          <w:tcPr>
            <w:tcW w:w="7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61" w:lineRule="exact"/>
        <w:rPr>
          <w:sz w:val="20"/>
          <w:szCs w:val="20"/>
          <w:color w:val="auto"/>
        </w:rPr>
      </w:pPr>
    </w:p>
    <w:p>
      <w:pPr>
        <w:jc w:val="both"/>
        <w:ind w:left="500" w:hanging="330"/>
        <w:spacing w:after="0" w:line="233" w:lineRule="auto"/>
        <w:tabs>
          <w:tab w:leader="none" w:pos="50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2"/>
          <w:szCs w:val="22"/>
          <w:color w:val="auto"/>
          <w:vertAlign w:val="superscript"/>
        </w:rPr>
      </w:pPr>
    </w:p>
    <w:p>
      <w:pPr>
        <w:jc w:val="both"/>
        <w:ind w:left="500" w:hanging="330"/>
        <w:spacing w:after="0" w:line="241" w:lineRule="auto"/>
        <w:tabs>
          <w:tab w:leader="none" w:pos="50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18 months. As of June 30, 2020, American's current loyalty program liability was $2.4 billion and represents American's current estimate of revenue expected to be recognized in the next 12 months based on historical trends, with the balance reflected in long-term loyalty program liability expected to be recognized as revenue in periods thereafter. Given the inherent uncertainty of the current operating environment due to COVID-19, American will continue to monitor redemption patterns and may adjust its estimates in the future.</w:t>
      </w:r>
    </w:p>
    <w:p>
      <w:pPr>
        <w:spacing w:after="0" w:line="16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generally one year. Accordingly, any revenue associated with tickets sold for future travel will be recognized within 12 months. For the six months ended June 30, 2020, $2.7 billion of revenue was recognized in passenger revenue that was included in American's air traffic liability at December 31, 2019. In response to COVID-19, American extended the contract duration for certain tickets to December 31, 2021, principally those with travel scheduled March 1, 2020 through September 30, 2020. Accordingly, any revenue associated</w:t>
      </w:r>
    </w:p>
    <w:p>
      <w:pPr>
        <w:sectPr>
          <w:pgSz w:w="11900" w:h="16838" w:orient="portrait"/>
          <w:cols w:equalWidth="0" w:num="1">
            <w:col w:w="11240"/>
          </w:cols>
          <w:pgMar w:left="320" w:top="333" w:right="3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333" w:right="33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these tickets will be recognized within the next 18 months. Given this change in contract duration and uncertainty surrounding the future demand for air travel, American's estimates of revenue that will be recognized from future flown or unused tickets may be subject to variability and differ from historical experience.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375" w:lineRule="exact"/>
        <w:rPr>
          <w:sz w:val="20"/>
          <w:szCs w:val="20"/>
          <w:color w:val="auto"/>
        </w:rPr>
      </w:pPr>
    </w:p>
    <w:p>
      <w:pPr>
        <w:ind w:left="8120"/>
        <w:spacing w:after="0"/>
        <w:tabs>
          <w:tab w:leader="none" w:pos="9720" w:val="left"/>
        </w:tabs>
        <w:rPr>
          <w:sz w:val="20"/>
          <w:szCs w:val="20"/>
          <w:color w:val="auto"/>
        </w:rPr>
      </w:pPr>
      <w:r>
        <w:rPr>
          <w:rFonts w:ascii="Arial" w:cs="Arial" w:eastAsia="Arial" w:hAnsi="Arial"/>
          <w:sz w:val="14"/>
          <w:szCs w:val="14"/>
          <w:b w:val="1"/>
          <w:bCs w:val="1"/>
          <w:color w:val="auto"/>
        </w:rPr>
        <w:t>June 30, 2020</w:t>
      </w:r>
      <w:r>
        <w:rPr>
          <w:sz w:val="20"/>
          <w:szCs w:val="20"/>
          <w:color w:val="auto"/>
        </w:rPr>
        <w:tab/>
      </w: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Secured</w:t>
      </w:r>
    </w:p>
    <w:p>
      <w:pPr>
        <w:spacing w:after="0" w:line="95" w:lineRule="exact"/>
        <w:rPr>
          <w:sz w:val="20"/>
          <w:szCs w:val="20"/>
          <w:color w:val="auto"/>
        </w:rPr>
      </w:pPr>
    </w:p>
    <w:p>
      <w:pPr>
        <w:ind w:left="180"/>
        <w:spacing w:after="0"/>
        <w:tabs>
          <w:tab w:leader="none" w:pos="7740" w:val="left"/>
        </w:tabs>
        <w:rPr>
          <w:sz w:val="20"/>
          <w:szCs w:val="20"/>
          <w:color w:val="auto"/>
        </w:rPr>
      </w:pPr>
      <w:r>
        <w:rPr>
          <w:rFonts w:ascii="Arial" w:cs="Arial" w:eastAsia="Arial" w:hAnsi="Arial"/>
          <w:sz w:val="18"/>
          <w:szCs w:val="18"/>
          <w:color w:val="auto"/>
        </w:rPr>
        <w:t>2013 Term Loan Facility, variable interest rate of 1.93%, installments through 2025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2013 Revolving Facility, variable interest rate of 2.17%, due 2024</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2014 Term Loan Facility, variable interest rate of 1.93%, installments through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2014 Revolving Facility, variable interest rate of 2.17%, due 2024</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April 2016 Term Loan Facility, variable interest rate of 2.18%,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April 2016 Revolving Facility, variable interest rate of 2.17%, due 2024</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2016 Term Loan Facility, variable interest rate of 2.18%,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11.75% senior secured notes, interest only payments until due in July 2025</w:t>
      </w:r>
    </w:p>
    <w:p>
      <w:pPr>
        <w:spacing w:after="0" w:line="63" w:lineRule="exact"/>
        <w:rPr>
          <w:sz w:val="20"/>
          <w:szCs w:val="20"/>
          <w:color w:val="auto"/>
        </w:rPr>
      </w:pPr>
    </w:p>
    <w:p>
      <w:pPr>
        <w:ind w:left="340" w:right="740" w:hanging="161"/>
        <w:spacing w:after="0" w:line="246" w:lineRule="auto"/>
        <w:rPr>
          <w:sz w:val="20"/>
          <w:szCs w:val="20"/>
          <w:color w:val="auto"/>
        </w:rPr>
      </w:pPr>
      <w:r>
        <w:rPr>
          <w:rFonts w:ascii="Arial" w:cs="Arial" w:eastAsia="Arial" w:hAnsi="Arial"/>
          <w:sz w:val="18"/>
          <w:szCs w:val="18"/>
          <w:color w:val="auto"/>
        </w:rPr>
        <w:t>Enhanced equipment trust certificates (EETCs), fixed interest rates ranging from 3.00% to 8.39%, averaging 4.03%, maturing from 2020 to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5" w:lineRule="exact"/>
        <w:rPr>
          <w:sz w:val="20"/>
          <w:szCs w:val="20"/>
          <w:color w:val="auto"/>
        </w:rPr>
      </w:pPr>
    </w:p>
    <w:p>
      <w:pPr>
        <w:ind w:left="340" w:right="900" w:hanging="161"/>
        <w:spacing w:after="0" w:line="246" w:lineRule="auto"/>
        <w:rPr>
          <w:sz w:val="20"/>
          <w:szCs w:val="20"/>
          <w:color w:val="auto"/>
        </w:rPr>
      </w:pPr>
      <w:r>
        <w:rPr>
          <w:rFonts w:ascii="Arial" w:cs="Arial" w:eastAsia="Arial" w:hAnsi="Arial"/>
          <w:sz w:val="18"/>
          <w:szCs w:val="18"/>
          <w:color w:val="auto"/>
        </w:rPr>
        <w:t>Equipment loans and other notes payable, fixed and variable interest rates ranging from 1.38% to 5.83%, averaging 2.20%, maturing from 2020 to 2032</w:t>
      </w:r>
    </w:p>
    <w:p>
      <w:pPr>
        <w:spacing w:after="0" w:line="35" w:lineRule="exact"/>
        <w:rPr>
          <w:sz w:val="20"/>
          <w:szCs w:val="20"/>
          <w:color w:val="auto"/>
        </w:rPr>
      </w:pPr>
    </w:p>
    <w:p>
      <w:pPr>
        <w:ind w:left="340" w:right="760" w:hanging="161"/>
        <w:spacing w:after="0" w:line="246" w:lineRule="auto"/>
        <w:rPr>
          <w:sz w:val="20"/>
          <w:szCs w:val="20"/>
          <w:color w:val="auto"/>
        </w:rPr>
      </w:pPr>
      <w:r>
        <w:rPr>
          <w:rFonts w:ascii="Arial" w:cs="Arial" w:eastAsia="Arial" w:hAnsi="Arial"/>
          <w:sz w:val="18"/>
          <w:szCs w:val="18"/>
          <w:color w:val="auto"/>
        </w:rPr>
        <w:t>Special facility revenue bonds, fixed interest rates ranging from 5.00% to 5.38%, maturing from 2021 to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long-term debt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Total unamortized debt discount, premium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Current maturities</w:t>
      </w:r>
    </w:p>
    <w:p>
      <w:pPr>
        <w:spacing w:after="0" w:line="63" w:lineRule="exact"/>
        <w:rPr>
          <w:sz w:val="20"/>
          <w:szCs w:val="20"/>
          <w:color w:val="auto"/>
        </w:rPr>
      </w:pPr>
    </w:p>
    <w:p>
      <w:pPr>
        <w:ind w:left="380"/>
        <w:spacing w:after="0"/>
        <w:tabs>
          <w:tab w:leader="none" w:pos="7740" w:val="left"/>
        </w:tabs>
        <w:rPr>
          <w:sz w:val="20"/>
          <w:szCs w:val="20"/>
          <w:color w:val="auto"/>
        </w:rPr>
      </w:pPr>
      <w:r>
        <w:rPr>
          <w:rFonts w:ascii="Arial" w:cs="Arial" w:eastAsia="Arial" w:hAnsi="Arial"/>
          <w:sz w:val="18"/>
          <w:szCs w:val="18"/>
          <w:color w:val="auto"/>
        </w:rPr>
        <w:t>Long-term debt, net of current maturities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00"/>
        <w:spacing w:after="0"/>
        <w:tabs>
          <w:tab w:leader="none" w:pos="760" w:val="left"/>
          <w:tab w:leader="none" w:pos="1880" w:val="left"/>
        </w:tabs>
        <w:rPr>
          <w:sz w:val="20"/>
          <w:szCs w:val="20"/>
          <w:color w:val="auto"/>
        </w:rPr>
      </w:pPr>
      <w:r>
        <w:rPr>
          <w:rFonts w:ascii="Arial" w:cs="Arial" w:eastAsia="Arial" w:hAnsi="Arial"/>
          <w:sz w:val="18"/>
          <w:szCs w:val="18"/>
          <w:color w:val="auto"/>
        </w:rPr>
        <w:t>1,788</w:t>
        <w:tab/>
        <w:t>$</w:t>
      </w:r>
      <w:r>
        <w:rPr>
          <w:sz w:val="20"/>
          <w:szCs w:val="20"/>
          <w:color w:val="auto"/>
        </w:rPr>
        <w:tab/>
      </w:r>
      <w:r>
        <w:rPr>
          <w:rFonts w:ascii="Arial" w:cs="Arial" w:eastAsia="Arial" w:hAnsi="Arial"/>
          <w:sz w:val="18"/>
          <w:szCs w:val="18"/>
          <w:color w:val="auto"/>
        </w:rPr>
        <w:t>1,807</w:t>
      </w:r>
    </w:p>
    <w:p>
      <w:pPr>
        <w:spacing w:after="0" w:line="63" w:lineRule="exact"/>
        <w:rPr>
          <w:sz w:val="20"/>
          <w:szCs w:val="20"/>
          <w:color w:val="auto"/>
        </w:rPr>
      </w:pPr>
    </w:p>
    <w:p>
      <w:pPr>
        <w:ind w:left="240"/>
        <w:spacing w:after="0"/>
        <w:tabs>
          <w:tab w:leader="none" w:pos="2160" w:val="left"/>
        </w:tabs>
        <w:rPr>
          <w:sz w:val="20"/>
          <w:szCs w:val="20"/>
          <w:color w:val="auto"/>
        </w:rPr>
      </w:pPr>
      <w:r>
        <w:rPr>
          <w:rFonts w:ascii="Arial" w:cs="Arial" w:eastAsia="Arial" w:hAnsi="Arial"/>
          <w:sz w:val="18"/>
          <w:szCs w:val="18"/>
          <w:color w:val="auto"/>
        </w:rPr>
        <w:t>750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00"/>
        <w:spacing w:after="0"/>
        <w:tabs>
          <w:tab w:leader="none" w:pos="1880" w:val="left"/>
        </w:tabs>
        <w:rPr>
          <w:sz w:val="20"/>
          <w:szCs w:val="20"/>
          <w:color w:val="auto"/>
        </w:rPr>
      </w:pPr>
      <w:r>
        <w:rPr>
          <w:rFonts w:ascii="Arial" w:cs="Arial" w:eastAsia="Arial" w:hAnsi="Arial"/>
          <w:sz w:val="18"/>
          <w:szCs w:val="18"/>
          <w:color w:val="auto"/>
        </w:rPr>
        <w:t>1,220</w:t>
      </w:r>
      <w:r>
        <w:rPr>
          <w:sz w:val="20"/>
          <w:szCs w:val="20"/>
          <w:color w:val="auto"/>
        </w:rPr>
        <w:tab/>
      </w:r>
      <w:r>
        <w:rPr>
          <w:rFonts w:ascii="Arial" w:cs="Arial" w:eastAsia="Arial" w:hAnsi="Arial"/>
          <w:sz w:val="18"/>
          <w:szCs w:val="18"/>
          <w:color w:val="auto"/>
        </w:rPr>
        <w:t>1,202</w:t>
      </w:r>
    </w:p>
    <w:p>
      <w:pPr>
        <w:spacing w:after="0" w:line="63" w:lineRule="exact"/>
        <w:rPr>
          <w:sz w:val="20"/>
          <w:szCs w:val="20"/>
          <w:color w:val="auto"/>
        </w:rPr>
      </w:pPr>
    </w:p>
    <w:p>
      <w:pPr>
        <w:ind w:left="100"/>
        <w:spacing w:after="0"/>
        <w:tabs>
          <w:tab w:leader="none" w:pos="2160" w:val="left"/>
        </w:tabs>
        <w:rPr>
          <w:sz w:val="20"/>
          <w:szCs w:val="20"/>
          <w:color w:val="auto"/>
        </w:rPr>
      </w:pPr>
      <w:r>
        <w:rPr>
          <w:rFonts w:ascii="Arial" w:cs="Arial" w:eastAsia="Arial" w:hAnsi="Arial"/>
          <w:sz w:val="18"/>
          <w:szCs w:val="18"/>
          <w:color w:val="auto"/>
        </w:rPr>
        <w:t>1,643</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40"/>
        <w:spacing w:after="0"/>
        <w:tabs>
          <w:tab w:leader="none" w:pos="2040" w:val="left"/>
        </w:tabs>
        <w:rPr>
          <w:sz w:val="20"/>
          <w:szCs w:val="20"/>
          <w:color w:val="auto"/>
        </w:rPr>
      </w:pPr>
      <w:r>
        <w:rPr>
          <w:rFonts w:ascii="Arial" w:cs="Arial" w:eastAsia="Arial" w:hAnsi="Arial"/>
          <w:sz w:val="17"/>
          <w:szCs w:val="17"/>
          <w:color w:val="auto"/>
        </w:rPr>
        <w:t>960</w:t>
      </w:r>
      <w:r>
        <w:rPr>
          <w:sz w:val="20"/>
          <w:szCs w:val="20"/>
          <w:color w:val="auto"/>
        </w:rPr>
        <w:tab/>
      </w:r>
      <w:r>
        <w:rPr>
          <w:rFonts w:ascii="Arial" w:cs="Arial" w:eastAsia="Arial" w:hAnsi="Arial"/>
          <w:sz w:val="17"/>
          <w:szCs w:val="17"/>
          <w:color w:val="auto"/>
        </w:rPr>
        <w:t>970</w:t>
      </w:r>
    </w:p>
    <w:p>
      <w:pPr>
        <w:spacing w:after="0" w:line="75" w:lineRule="exact"/>
        <w:rPr>
          <w:sz w:val="20"/>
          <w:szCs w:val="20"/>
          <w:color w:val="auto"/>
        </w:rPr>
      </w:pPr>
    </w:p>
    <w:p>
      <w:pPr>
        <w:ind w:left="240"/>
        <w:spacing w:after="0"/>
        <w:tabs>
          <w:tab w:leader="none" w:pos="216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00"/>
        <w:spacing w:after="0"/>
        <w:tabs>
          <w:tab w:leader="none" w:pos="188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color w:val="auto"/>
        </w:rPr>
        <w:t>1,213</w:t>
      </w:r>
    </w:p>
    <w:p>
      <w:pPr>
        <w:spacing w:after="0" w:line="63" w:lineRule="exact"/>
        <w:rPr>
          <w:sz w:val="20"/>
          <w:szCs w:val="20"/>
          <w:color w:val="auto"/>
        </w:rPr>
      </w:pPr>
    </w:p>
    <w:p>
      <w:pPr>
        <w:ind w:left="100"/>
        <w:spacing w:after="0"/>
        <w:tabs>
          <w:tab w:leader="none" w:pos="2160" w:val="left"/>
        </w:tabs>
        <w:rPr>
          <w:sz w:val="20"/>
          <w:szCs w:val="20"/>
          <w:color w:val="auto"/>
        </w:rPr>
      </w:pPr>
      <w:r>
        <w:rPr>
          <w:rFonts w:ascii="Arial" w:cs="Arial" w:eastAsia="Arial" w:hAnsi="Arial"/>
          <w:sz w:val="18"/>
          <w:szCs w:val="18"/>
          <w:color w:val="auto"/>
        </w:rPr>
        <w:t>2,500</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11,410</w:t>
      </w:r>
      <w:r>
        <w:rPr>
          <w:sz w:val="20"/>
          <w:szCs w:val="20"/>
          <w:color w:val="auto"/>
        </w:rPr>
        <w:tab/>
      </w:r>
      <w:r>
        <w:rPr>
          <w:rFonts w:ascii="Arial" w:cs="Arial" w:eastAsia="Arial" w:hAnsi="Arial"/>
          <w:sz w:val="18"/>
          <w:szCs w:val="18"/>
          <w:color w:val="auto"/>
        </w:rPr>
        <w:t>11,933</w:t>
      </w:r>
    </w:p>
    <w:p>
      <w:pPr>
        <w:spacing w:after="0" w:line="252" w:lineRule="exact"/>
        <w:rPr>
          <w:sz w:val="20"/>
          <w:szCs w:val="20"/>
          <w:color w:val="auto"/>
        </w:rPr>
      </w:pPr>
    </w:p>
    <w:p>
      <w:pPr>
        <w:ind w:left="100"/>
        <w:spacing w:after="0"/>
        <w:tabs>
          <w:tab w:leader="none" w:pos="1880" w:val="left"/>
        </w:tabs>
        <w:rPr>
          <w:sz w:val="20"/>
          <w:szCs w:val="20"/>
          <w:color w:val="auto"/>
        </w:rPr>
      </w:pPr>
      <w:r>
        <w:rPr>
          <w:rFonts w:ascii="Arial" w:cs="Arial" w:eastAsia="Arial" w:hAnsi="Arial"/>
          <w:sz w:val="18"/>
          <w:szCs w:val="18"/>
          <w:color w:val="auto"/>
        </w:rPr>
        <w:t>4,610</w:t>
      </w:r>
      <w:r>
        <w:rPr>
          <w:sz w:val="20"/>
          <w:szCs w:val="20"/>
          <w:color w:val="auto"/>
        </w:rPr>
        <w:tab/>
      </w:r>
      <w:r>
        <w:rPr>
          <w:rFonts w:ascii="Arial" w:cs="Arial" w:eastAsia="Arial" w:hAnsi="Arial"/>
          <w:sz w:val="18"/>
          <w:szCs w:val="18"/>
          <w:color w:val="auto"/>
        </w:rPr>
        <w:t>4,727</w:t>
      </w:r>
    </w:p>
    <w:p>
      <w:pPr>
        <w:spacing w:after="0" w:line="252" w:lineRule="exact"/>
        <w:rPr>
          <w:sz w:val="20"/>
          <w:szCs w:val="20"/>
          <w:color w:val="auto"/>
        </w:rPr>
      </w:pPr>
    </w:p>
    <w:p>
      <w:pPr>
        <w:ind w:left="100"/>
        <w:spacing w:after="0"/>
        <w:tabs>
          <w:tab w:leader="none" w:pos="2040" w:val="left"/>
        </w:tabs>
        <w:rPr>
          <w:sz w:val="20"/>
          <w:szCs w:val="20"/>
          <w:color w:val="auto"/>
        </w:rPr>
      </w:pPr>
      <w:r>
        <w:rPr>
          <w:rFonts w:ascii="Arial" w:cs="Arial" w:eastAsia="Arial" w:hAnsi="Arial"/>
          <w:sz w:val="17"/>
          <w:szCs w:val="17"/>
          <w:color w:val="auto"/>
        </w:rPr>
        <w:t>1,040</w:t>
      </w:r>
      <w:r>
        <w:rPr>
          <w:sz w:val="20"/>
          <w:szCs w:val="20"/>
          <w:color w:val="auto"/>
        </w:rPr>
        <w:tab/>
      </w:r>
      <w:r>
        <w:rPr>
          <w:rFonts w:ascii="Arial" w:cs="Arial" w:eastAsia="Arial" w:hAnsi="Arial"/>
          <w:sz w:val="17"/>
          <w:szCs w:val="17"/>
          <w:color w:val="auto"/>
        </w:rPr>
        <w:t>725</w:t>
      </w:r>
    </w:p>
    <w:p>
      <w:pPr>
        <w:spacing w:after="0" w:line="75"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27,584</w:t>
      </w:r>
      <w:r>
        <w:rPr>
          <w:sz w:val="20"/>
          <w:szCs w:val="20"/>
          <w:color w:val="auto"/>
        </w:rPr>
        <w:tab/>
      </w:r>
      <w:r>
        <w:rPr>
          <w:rFonts w:ascii="Arial" w:cs="Arial" w:eastAsia="Arial" w:hAnsi="Arial"/>
          <w:sz w:val="18"/>
          <w:szCs w:val="18"/>
          <w:color w:val="auto"/>
        </w:rPr>
        <w:t>22,577</w:t>
      </w:r>
    </w:p>
    <w:p>
      <w:pPr>
        <w:spacing w:after="0" w:line="63" w:lineRule="exact"/>
        <w:rPr>
          <w:sz w:val="20"/>
          <w:szCs w:val="20"/>
          <w:color w:val="auto"/>
        </w:rPr>
      </w:pPr>
    </w:p>
    <w:p>
      <w:pPr>
        <w:ind w:left="240"/>
        <w:spacing w:after="0"/>
        <w:tabs>
          <w:tab w:leader="none" w:pos="2040" w:val="left"/>
        </w:tabs>
        <w:rPr>
          <w:sz w:val="20"/>
          <w:szCs w:val="20"/>
          <w:color w:val="auto"/>
        </w:rPr>
      </w:pPr>
      <w:r>
        <w:rPr>
          <w:rFonts w:ascii="Arial" w:cs="Arial" w:eastAsia="Arial" w:hAnsi="Arial"/>
          <w:sz w:val="17"/>
          <w:szCs w:val="17"/>
          <w:color w:val="auto"/>
        </w:rPr>
        <w:t>277</w:t>
      </w:r>
      <w:r>
        <w:rPr>
          <w:sz w:val="20"/>
          <w:szCs w:val="20"/>
          <w:color w:val="auto"/>
        </w:rPr>
        <w:tab/>
      </w:r>
      <w:r>
        <w:rPr>
          <w:rFonts w:ascii="Arial" w:cs="Arial" w:eastAsia="Arial" w:hAnsi="Arial"/>
          <w:sz w:val="17"/>
          <w:szCs w:val="17"/>
          <w:color w:val="auto"/>
        </w:rPr>
        <w:t>205</w:t>
      </w:r>
    </w:p>
    <w:p>
      <w:pPr>
        <w:spacing w:after="0" w:line="75" w:lineRule="exact"/>
        <w:rPr>
          <w:sz w:val="20"/>
          <w:szCs w:val="20"/>
          <w:color w:val="auto"/>
        </w:rPr>
      </w:pPr>
    </w:p>
    <w:p>
      <w:pPr>
        <w:ind w:left="100"/>
        <w:spacing w:after="0"/>
        <w:tabs>
          <w:tab w:leader="none" w:pos="1880" w:val="left"/>
        </w:tabs>
        <w:rPr>
          <w:sz w:val="20"/>
          <w:szCs w:val="20"/>
          <w:color w:val="auto"/>
        </w:rPr>
      </w:pPr>
      <w:r>
        <w:rPr>
          <w:rFonts w:ascii="Arial" w:cs="Arial" w:eastAsia="Arial" w:hAnsi="Arial"/>
          <w:sz w:val="18"/>
          <w:szCs w:val="18"/>
          <w:color w:val="auto"/>
        </w:rPr>
        <w:t>2,474</w:t>
      </w:r>
      <w:r>
        <w:rPr>
          <w:sz w:val="20"/>
          <w:szCs w:val="20"/>
          <w:color w:val="auto"/>
        </w:rPr>
        <w:tab/>
      </w:r>
      <w:r>
        <w:rPr>
          <w:rFonts w:ascii="Arial" w:cs="Arial" w:eastAsia="Arial" w:hAnsi="Arial"/>
          <w:sz w:val="18"/>
          <w:szCs w:val="18"/>
          <w:color w:val="auto"/>
        </w:rPr>
        <w:t>2,246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14605</wp:posOffset>
            </wp:positionV>
            <wp:extent cx="2228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43" w:lineRule="exact"/>
        <w:rPr>
          <w:sz w:val="20"/>
          <w:szCs w:val="20"/>
          <w:color w:val="auto"/>
        </w:rPr>
      </w:pPr>
    </w:p>
    <w:p>
      <w:pPr>
        <w:spacing w:after="0"/>
        <w:tabs>
          <w:tab w:leader="none" w:pos="760" w:val="left"/>
          <w:tab w:leader="none" w:pos="1780" w:val="left"/>
        </w:tabs>
        <w:rPr>
          <w:sz w:val="20"/>
          <w:szCs w:val="20"/>
          <w:color w:val="auto"/>
        </w:rPr>
      </w:pPr>
      <w:r>
        <w:rPr>
          <w:rFonts w:ascii="Arial" w:cs="Arial" w:eastAsia="Arial" w:hAnsi="Arial"/>
          <w:sz w:val="18"/>
          <w:szCs w:val="18"/>
          <w:color w:val="auto"/>
        </w:rPr>
        <w:t>24,833</w:t>
        <w:tab/>
        <w:t>$</w:t>
      </w:r>
      <w:r>
        <w:rPr>
          <w:sz w:val="20"/>
          <w:szCs w:val="20"/>
          <w:color w:val="auto"/>
        </w:rPr>
        <w:tab/>
      </w:r>
      <w:r>
        <w:rPr>
          <w:rFonts w:ascii="Arial" w:cs="Arial" w:eastAsia="Arial" w:hAnsi="Arial"/>
          <w:sz w:val="18"/>
          <w:szCs w:val="18"/>
          <w:color w:val="auto"/>
        </w:rPr>
        <w:t>20,126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14605</wp:posOffset>
            </wp:positionV>
            <wp:extent cx="2228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2885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60" w:space="720"/>
            <w:col w:w="2460"/>
          </w:cols>
          <w:pgMar w:left="320" w:top="333" w:right="339" w:bottom="1440" w:gutter="0" w:footer="0" w:header="0"/>
          <w:type w:val="continuous"/>
        </w:sectPr>
      </w:pPr>
    </w:p>
    <w:p>
      <w:pPr>
        <w:spacing w:after="0" w:line="24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maximum availability American had under any undrawn, revolving credit facility was $400 million in a short-term revolving credit facility American entered into in December 2019, all of which was undrawn, as of June 30, 2020. The December 2016 Credit Facilities provide for a revolving credit facility that may be established thereunder in the future.</w:t>
      </w:r>
    </w:p>
    <w:p>
      <w:pPr>
        <w:spacing w:after="0" w:line="14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certain pre-delivery payments.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2020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2014 Credit Facilities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January 2020, American and AAG entered into the Eighth Amendment to the Amended and Restated Credit and Guaranty Agreement, amending the Amended and Restated Credit and Guaranty Agreement dated as of April 20, 2015 (as previously amended, the 2014 Credit Agreement; the revolving credit facility established thereunder, the 2014 Revolving Facility; the term loan facility established thereunder, the 2014 Term Loan Facility; and collectively, the 2014 Credit Facilities), pursuant to which American refinanced the 2014 Term Loan Facility, increasing the total aggregate principal amount outstanding to $ 1.2 billion, reducing the LIBOR margin from 2.00% to 1.75%, with a LIBOR floor of 0%, and reducing the base rate margin from 1.00% to 0.75%. In addition, the maturity date for the 2014 Term Loan Facility was extended to January 2027 from October 2021.</w:t>
      </w:r>
    </w:p>
    <w:p>
      <w:pPr>
        <w:spacing w:after="0" w:line="153"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In April and May 2020, American borrowed $1.6 billion under the 2014 Revolving Facility. The 2014 Revolving Facility bears interest at LIBOR plus a margin of 2.00% and has a final maturity date of October 2024. Following the April and May draws, American had no remaining borrowing capacity available under the 2014 Revolving Facility.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33" w:right="3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2013 Revolving Facility and April 2016 Revolving Facility</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April 2020, American borrowed $750 million under the 2013 Revolving Facility. The 2013 Revolving Facility bears interest at LIBOR plus a margin of 2.00% and has a final maturity date of October 2024. Following the April draw, American had no remaining borrowing capacity available under the 2013 Revolving Facility.</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April 2020, American borrowed $450 million under the April 2016 Revolving Facility. The April 2016 Revolving Facility bears interest at LIBOR plus a margin of 2.00% and has a final maturity date of October 2024. Following the April draw, American had no remaining borrowing capacity available under the April 2016 Revolving Facility.</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Delayed Draw Term Loan Credit Facility</w:t>
      </w:r>
    </w:p>
    <w:p>
      <w:pPr>
        <w:spacing w:after="0" w:line="108" w:lineRule="exact"/>
        <w:rPr>
          <w:sz w:val="20"/>
          <w:szCs w:val="20"/>
          <w:color w:val="auto"/>
        </w:rPr>
      </w:pPr>
    </w:p>
    <w:p>
      <w:pPr>
        <w:jc w:val="both"/>
        <w:ind w:firstLine="229"/>
        <w:spacing w:after="0" w:line="253" w:lineRule="auto"/>
        <w:rPr>
          <w:sz w:val="20"/>
          <w:szCs w:val="20"/>
          <w:color w:val="auto"/>
        </w:rPr>
      </w:pPr>
      <w:r>
        <w:rPr>
          <w:rFonts w:ascii="Arial" w:cs="Arial" w:eastAsia="Arial" w:hAnsi="Arial"/>
          <w:sz w:val="18"/>
          <w:szCs w:val="18"/>
          <w:color w:val="auto"/>
        </w:rPr>
        <w:t>In March 2020, American and AAG entered into a Credit and Guaranty Agreement which provided for a 364-day $1.0 billion senior secured delayed draw term loan credit facility (the Delayed Draw Term Loan Credit Facility), which was scheduled to be due and payable in a single installment on the maturity date in March 2021. In connection with the issuance of the 11.75% senior secured notes due 2025, as described below, the Delayed Draw Term Loan Credit Facility was repaid and the Delayed Draw Term Loan Credit Facility and all of the security documents and other loan documents related thereto were terminated as of June 30, 2020.</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11.75% Senior Secured Notes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June 2020, American issued $2.5 billion aggregate principal amount of 11.75% senior secured notes due 2025 (the Senior Secured Notes) at a price equal to 99% of their aggregate principal amount. The Senior Secured Notes bear interest at a rate of 11.75% per annum (subject to increase if a certain collateral coverage ratio is not met). Interest on the Senior Secured Notes is payable semiannually in arrears on January 15 and July 15 of each year, beginning on January 15, 2021. The Senior Secured Notes will mature on July 15, 2025. The obligations of American under the Senior Secured Notes are fully and unconditionally guaranteed on a senior unsecured basis by AAG. The proceeds from the Senior Secured Notes were used to repay and terminate the $1.0 billion Delayed Draw Term Loan Credit Facility (and to terminate all security documents and all other loan documents related thereto) with the remaining amount for general corporate purposes and to enhance its liquidity position.</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may redeem the Senior Secured Notes, in whole at any time or in part from time to time, at a redemption price equal to 100% of the principal amount of the notes being redeemed plus a make whole premium, together with accrued and unpaid interest, if any, to (but not including) the redemption date.</w:t>
      </w:r>
    </w:p>
    <w:p>
      <w:pPr>
        <w:spacing w:after="0" w:line="14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Senior Secured Notes are American’s senior secured obligations. Subject to certain limitations and exceptions, the Senior Secured Notes are secured on a first-lien basis by security interests in certain assets, rights and properties utilized by American in providing its scheduled air carrier services to and from certain airports in the United States and certain airports in Australia, Canada, the Caribbean, Central America, China, Hong Kong, Japan, Mexico, South Korea, and Switzerland. American’s obligations with respect to the Senior Secured Notes are also secured on a second-lien basis by security interests in certain assets, rights and properties utilized by American in providing its scheduled air carrier services to and from certain airports in the United States and certain airports in the European Union and the United Kingdom. American may be required to pledge additional collateral in the future under the terms of the Senior Secured Notes, and in certain circumstances may elect to pledge additional collateral as a replacement for existing collateral. The collateral that secures the Senior Secured Notes on a second-lien basis presently secures the 2014 Credit Facilities, on a first-lien basis.</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 Facility Revenue Bonds</w:t>
      </w:r>
    </w:p>
    <w:p>
      <w:pPr>
        <w:spacing w:after="0" w:line="10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In January 2020, American and British Airways announced the start of construction on a $344 million investment to upgrade New York's John F. Kennedy International Airport (JFK) Terminal 8.</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June 2020, the New York Transportation Development Corporation (NYTDC) issued approximately $360 million of special facility revenue bonds (the 2020 JFK Bonds) on behalf of American. A portion of the net proceeds from the 2020 JFK Bonds have been or will be used to fund costs of issuance of the 2020 JFK Bonds, to fund a substantial portion of the cost of the renovation and expansion of a passenger terminal facility (the Terminal) leased and utilized by American at JFK and to fund the August 2020 maturity of the outstanding bonds issued by NYTDC on behalf of American in 2016 (the 2016 JFK Bonds).</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is required to pay debt service on the 2020 JFK Bonds through payments under a loan agreement with NYTDC (as amended), and American and AAG guarantee the 2020 JFK Bonds. American continues to pay debt service on the outstanding 2016 JFK Bonds and American and AAG continue to guarantee the 2016 JFK Bonds. American’s and AAG’s</w:t>
      </w:r>
    </w:p>
    <w:p>
      <w:pPr>
        <w:sectPr>
          <w:pgSz w:w="11900" w:h="16838" w:orient="portrait"/>
          <w:cols w:equalWidth="0" w:num="1">
            <w:col w:w="11240"/>
          </w:cols>
          <w:pgMar w:left="320" w:top="333" w:right="3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333"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obligations under these guarantees are secured by a leasehold mortgage on American’s lease of the Terminal and related property from the Port Authority of New York and New Jersey.</w:t>
      </w:r>
    </w:p>
    <w:p>
      <w:pPr>
        <w:spacing w:after="0" w:line="14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2020 JFK Bonds, in aggregate, were priced at approximately 98% of par value. The gross proceeds from the issuance of the 2020 JFK Bonds were approximately $353 million. Of this amount, approximately $8 million was used to fund the costs of issuance of the 2020 JFK Bonds, approximately $47 million was used to fund the redemption of the 2016 JFK Bonds due August 2020 and approximately $17 million was reimbursed to American for the Terminal construction costs incurred, with the remaining amount of proceeds received to be held in restricted cash and short-term investments on the condensed consolidated balance sheet and to be used to finance a substantial portion of the cost of the renovation and expansion of the Terminal. The 2020 JFK Bonds are comprised of term bonds, $214 million of which bear interest at 5.25% per annum and mature on August 1, 2031, and $146 million of which bear interest at 5.375% per annum and mature on August 1, 2036.</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Equipment Notes and Other Notes Payable Issued in 2020</w:t>
      </w:r>
    </w:p>
    <w:p>
      <w:pPr>
        <w:spacing w:after="0" w:line="108" w:lineRule="exact"/>
        <w:rPr>
          <w:sz w:val="20"/>
          <w:szCs w:val="20"/>
          <w:color w:val="auto"/>
        </w:rPr>
      </w:pPr>
    </w:p>
    <w:p>
      <w:pPr>
        <w:jc w:val="both"/>
        <w:ind w:firstLine="229"/>
        <w:spacing w:after="0" w:line="254" w:lineRule="auto"/>
        <w:rPr>
          <w:sz w:val="20"/>
          <w:szCs w:val="20"/>
          <w:color w:val="auto"/>
        </w:rPr>
      </w:pPr>
      <w:r>
        <w:rPr>
          <w:rFonts w:ascii="Arial" w:cs="Arial" w:eastAsia="Arial" w:hAnsi="Arial"/>
          <w:sz w:val="18"/>
          <w:szCs w:val="18"/>
          <w:color w:val="auto"/>
        </w:rPr>
        <w:t>In the six months ended June 30, 2020, American entered into agreements under which it borrowed $197 million in connection with the financing or refinancing, as the case may be, of certain aircraft, of which $17 million was used to repay existing indebtedness. Debt incurred under these agreements matures in 2029 through 2032 and bears interest at variable rates (comprised of LIBOR plus an applicable margin) averaging 2.27% at June 30,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At December 31, 2019, American had approximately $9.2 billion of federal net operating losses (NOLs) carried over from prior taxable years (NOL Carryforwards) to reduce future federal taxable income. American is a member of AAG’s consolidated federal and certain state income tax returns. The amount of federal NOL Carryforwards available in those returns is $9.1 billion to reduce AAG's future federal taxable income. The federal NOL Carryforwards will expire beginning in 2023 if unused. American also had approximately $2.9 billion of NOL Carryforwards to reduce future state taxable income at December 31, 2019, which will expire in years 2020 through 2039 if unused.</w:t>
      </w:r>
    </w:p>
    <w:p>
      <w:pPr>
        <w:spacing w:after="0" w:line="15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At December 31, 2019, American had an Alternative Minimum Tax (AMT) credit carryforward of approximately $226 million available for federal income tax purposes, which is presently expected to be fully refunded in 2020 as a result of the CARES Act enacted in March of 2020.</w:t>
      </w:r>
    </w:p>
    <w:p>
      <w:pPr>
        <w:spacing w:after="0" w:line="14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During the three and six months ended June 30, 2020, American recorded an income tax benefit of $564 million and $1.2 billion, respectively.</w:t>
      </w:r>
    </w:p>
    <w:p>
      <w:pPr>
        <w:spacing w:after="0" w:line="203" w:lineRule="exact"/>
        <w:rPr>
          <w:sz w:val="20"/>
          <w:szCs w:val="20"/>
          <w:color w:val="auto"/>
        </w:rPr>
      </w:pPr>
    </w:p>
    <w:p>
      <w:pPr>
        <w:ind w:left="220" w:right="6580" w:hanging="212"/>
        <w:spacing w:after="0" w:line="378" w:lineRule="auto"/>
        <w:tabs>
          <w:tab w:leader="none" w:pos="204"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16"/>
        <w:spacing w:after="0" w:line="254"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six months ended June 30, 2020.</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Fair Value Measurements as of June 30, 2020</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64"/>
        </w:trPr>
        <w:tc>
          <w:tcPr>
            <w:tcW w:w="20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22"/>
                <w:szCs w:val="22"/>
                <w:color w:val="auto"/>
              </w:rPr>
            </w:pP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4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3"/>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7,851</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7,851</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7"/>
        </w:trPr>
        <w:tc>
          <w:tcPr>
            <w:tcW w:w="5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64"/>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Corporate obligations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56"/>
        </w:trPr>
        <w:tc>
          <w:tcPr>
            <w:tcW w:w="2080" w:type="dxa"/>
            <w:vAlign w:val="bottom"/>
            <w:tcBorders>
              <w:top w:val="single" w:sz="8" w:color="CCEEFF"/>
            </w:tcBorders>
            <w:shd w:val="clear" w:color="auto" w:fill="CCEEFF"/>
          </w:tcPr>
          <w:p>
            <w:pPr>
              <w:spacing w:after="0"/>
              <w:rPr>
                <w:sz w:val="22"/>
                <w:szCs w:val="22"/>
                <w:color w:val="auto"/>
              </w:rPr>
            </w:pPr>
          </w:p>
        </w:tc>
        <w:tc>
          <w:tcPr>
            <w:tcW w:w="33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9,349</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7,851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1,498</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 (4)</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10,016</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8,369</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080" w:type="dxa"/>
            <w:vAlign w:val="bottom"/>
            <w:tcBorders>
              <w:bottom w:val="single" w:sz="8" w:color="auto"/>
            </w:tcBorders>
          </w:tcPr>
          <w:p>
            <w:pPr>
              <w:spacing w:after="0"/>
              <w:rPr>
                <w:sz w:val="21"/>
                <w:szCs w:val="21"/>
                <w:color w:val="auto"/>
              </w:rPr>
            </w:pPr>
          </w:p>
        </w:tc>
        <w:tc>
          <w:tcPr>
            <w:tcW w:w="3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333" w:right="3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ind w:left="500" w:hanging="330"/>
        <w:spacing w:after="0" w:line="225" w:lineRule="auto"/>
        <w:tabs>
          <w:tab w:leader="none" w:pos="50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American’s short-term investments mature in one year or less except for $484 million of bank notes/certificates of deposit/time deposits and $120 million of corporate obligations.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American's equity investment in China Southern Airlines, in which American presently owns a 1.8% equity interest, and are classified in other assets on the condensed consolidated balance sheet.</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Restricted cash and short-term investments primarily includes money market funds to be used to finance a substantial portion of the cost of the renovation and expansion of Terminal 8 at JFK and collateral held to support workers' compensation obligations.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5"/>
                <w:szCs w:val="15"/>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4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r>
      <w:tr>
        <w:trPr>
          <w:trHeight w:val="196"/>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520" w:type="dxa"/>
            <w:vAlign w:val="bottom"/>
          </w:tcPr>
          <w:p>
            <w:pPr>
              <w:spacing w:after="0"/>
              <w:rPr>
                <w:sz w:val="17"/>
                <w:szCs w:val="17"/>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27,307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23,196</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the components of net periodic benefit cost (income) (in millions):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June 30,</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return on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Settlements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Prior service cost (benefit)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Unrecognized net loss (gain)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periodic benefit cost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575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Postretirement Benefits</w:t>
            </w:r>
          </w:p>
        </w:tc>
      </w:tr>
      <w:tr>
        <w:trPr>
          <w:trHeight w:val="263"/>
        </w:trPr>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43"/>
        </w:trPr>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0"/>
        </w:trPr>
        <w:tc>
          <w:tcPr>
            <w:tcW w:w="34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270"/>
        </w:trPr>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34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540"/>
        </w:trPr>
        <w:tc>
          <w:tcPr>
            <w:tcW w:w="340" w:type="dxa"/>
            <w:vAlign w:val="bottom"/>
          </w:tcPr>
          <w:p>
            <w:pPr>
              <w:spacing w:after="0"/>
              <w:rPr>
                <w:sz w:val="24"/>
                <w:szCs w:val="24"/>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7"/>
        </w:trPr>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487"/>
        </w:trPr>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Postretirement Benefits</w:t>
            </w:r>
          </w:p>
        </w:tc>
      </w:tr>
      <w:tr>
        <w:trPr>
          <w:trHeight w:val="258"/>
        </w:trPr>
        <w:tc>
          <w:tcPr>
            <w:tcW w:w="340" w:type="dxa"/>
            <w:vAlign w:val="bottom"/>
          </w:tcPr>
          <w:p>
            <w:pPr>
              <w:spacing w:after="0"/>
              <w:rPr>
                <w:sz w:val="22"/>
                <w:szCs w:val="22"/>
                <w:color w:val="auto"/>
              </w:rPr>
            </w:pPr>
          </w:p>
        </w:tc>
        <w:tc>
          <w:tcPr>
            <w:tcW w:w="11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43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-1671955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-1329055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-986155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wp:posOffset>
            </wp:positionV>
            <wp:extent cx="38061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0619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-2014855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4520" w:space="720"/>
            <w:col w:w="600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2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64"/>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Unrecognized net loss (gain)</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5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type w:val="continuous"/>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333"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The components of net periodic benefit cost (income) other than the service cost component are included in nonoperating other income (expense), net in the condensed consolidated statements of operations.</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Pursuant to the CARES Act, minimum required pension contributions to be made in the calendar year 2020 can be deferred to January 1, 2021, with interest accruing from the original due date to the new payment date. American expects to defer its $193 million 2020 minimum required contributions to January 1, 2021, which American intends to pay on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 on</w:t>
            </w:r>
          </w:p>
        </w:tc>
        <w:tc>
          <w:tcPr>
            <w:tcW w:w="20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2"/>
        </w:trPr>
        <w:tc>
          <w:tcPr>
            <w:tcW w:w="2080" w:type="dxa"/>
            <w:vAlign w:val="bottom"/>
            <w:tcBorders>
              <w:bottom w:val="single" w:sz="8" w:color="CCEEFF"/>
            </w:tcBorders>
          </w:tcPr>
          <w:p>
            <w:pPr>
              <w:spacing w:after="0"/>
              <w:rPr>
                <w:sz w:val="17"/>
                <w:szCs w:val="17"/>
                <w:color w:val="auto"/>
              </w:rPr>
            </w:pPr>
          </w:p>
        </w:tc>
        <w:tc>
          <w:tcPr>
            <w:tcW w:w="2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7"/>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1"/>
                <w:szCs w:val="11"/>
                <w:color w:val="auto"/>
              </w:rPr>
              <w:t>(2)</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24"/>
        </w:trPr>
        <w:tc>
          <w:tcPr>
            <w:tcW w:w="4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5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2080" w:type="dxa"/>
            <w:vAlign w:val="bottom"/>
            <w:tcBorders>
              <w:bottom w:val="single" w:sz="8" w:color="auto"/>
            </w:tcBorders>
          </w:tcPr>
          <w:p>
            <w:pPr>
              <w:spacing w:after="0"/>
              <w:rPr>
                <w:sz w:val="21"/>
                <w:szCs w:val="21"/>
                <w:color w:val="auto"/>
              </w:rPr>
            </w:pP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 of operations.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Amounts reclassified from AOCI</w:t>
            </w:r>
          </w:p>
        </w:tc>
        <w:tc>
          <w:tcPr>
            <w:tcW w:w="720" w:type="dxa"/>
            <w:vAlign w:val="bottom"/>
            <w:tcBorders>
              <w:bottom w:val="single" w:sz="8" w:color="auto"/>
            </w:tcBorders>
          </w:tcPr>
          <w:p>
            <w:pPr>
              <w:spacing w:after="0"/>
              <w:rPr>
                <w:sz w:val="17"/>
                <w:szCs w:val="17"/>
                <w:color w:val="auto"/>
              </w:rPr>
            </w:pPr>
          </w:p>
        </w:tc>
      </w:tr>
      <w:tr>
        <w:trPr>
          <w:trHeight w:val="175"/>
        </w:trPr>
        <w:tc>
          <w:tcPr>
            <w:tcW w:w="3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3700" w:type="dxa"/>
            <w:vAlign w:val="bottom"/>
          </w:tcPr>
          <w:p>
            <w:pPr>
              <w:spacing w:after="0"/>
              <w:rPr>
                <w:sz w:val="17"/>
                <w:szCs w:val="17"/>
                <w:color w:val="auto"/>
              </w:rPr>
            </w:pPr>
          </w:p>
        </w:tc>
        <w:tc>
          <w:tcPr>
            <w:tcW w:w="224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420" w:type="dxa"/>
            <w:vAlign w:val="bottom"/>
          </w:tcPr>
          <w:p>
            <w:pPr>
              <w:jc w:val="center"/>
              <w:ind w:left="688"/>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42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46595"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46595"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700" w:hanging="19"/>
        <w:spacing w:after="0" w:line="263"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32" w:lineRule="exact"/>
        <w:rPr>
          <w:sz w:val="20"/>
          <w:szCs w:val="20"/>
          <w:color w:val="auto"/>
        </w:rPr>
      </w:pPr>
    </w:p>
    <w:p>
      <w:pPr>
        <w:sectPr>
          <w:pgSz w:w="11900" w:h="16838" w:orient="portrait"/>
          <w:cols w:equalWidth="0" w:num="2">
            <w:col w:w="8120" w:space="700"/>
            <w:col w:w="2420"/>
          </w:cols>
          <w:pgMar w:left="320" w:top="333"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 medical</w:t>
      </w:r>
    </w:p>
    <w:p>
      <w:pPr>
        <w:ind w:left="40"/>
        <w:spacing w:after="0"/>
        <w:rPr>
          <w:sz w:val="20"/>
          <w:szCs w:val="20"/>
          <w:color w:val="auto"/>
        </w:rPr>
      </w:pPr>
      <w:r>
        <w:rPr>
          <w:rFonts w:ascii="Arial" w:cs="Arial" w:eastAsia="Arial" w:hAnsi="Arial"/>
          <w:sz w:val="18"/>
          <w:szCs w:val="18"/>
          <w:color w:val="auto"/>
        </w:rPr>
        <w:t>and other postretirement benefits: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24"/>
        </w:trPr>
        <w:tc>
          <w:tcPr>
            <w:tcW w:w="3740" w:type="dxa"/>
            <w:vAlign w:val="bottom"/>
          </w:tcPr>
          <w:p>
            <w:pPr>
              <w:ind w:left="380"/>
              <w:spacing w:after="0"/>
              <w:rPr>
                <w:sz w:val="20"/>
                <w:szCs w:val="20"/>
                <w:color w:val="auto"/>
              </w:rPr>
            </w:pPr>
            <w:r>
              <w:rPr>
                <w:rFonts w:ascii="Arial" w:cs="Arial" w:eastAsia="Arial" w:hAnsi="Arial"/>
                <w:sz w:val="18"/>
                <w:szCs w:val="18"/>
                <w:color w:val="auto"/>
              </w:rPr>
              <w:t>Prior service benefit</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298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35"/>
        </w:trPr>
        <w:tc>
          <w:tcPr>
            <w:tcW w:w="3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4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09"/>
        </w:trPr>
        <w:tc>
          <w:tcPr>
            <w:tcW w:w="3740" w:type="dxa"/>
            <w:vAlign w:val="bottom"/>
          </w:tcPr>
          <w:p>
            <w:pPr>
              <w:ind w:left="40"/>
              <w:spacing w:after="0"/>
              <w:rPr>
                <w:sz w:val="20"/>
                <w:szCs w:val="20"/>
                <w:color w:val="auto"/>
              </w:rPr>
            </w:pPr>
            <w:r>
              <w:rPr>
                <w:rFonts w:ascii="Arial" w:cs="Arial" w:eastAsia="Arial" w:hAnsi="Arial"/>
                <w:sz w:val="18"/>
                <w:szCs w:val="18"/>
                <w:color w:val="auto"/>
              </w:rPr>
              <w:t>Total reclassifications for the period,</w:t>
            </w: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4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112" w:lineRule="exact"/>
        <w:rPr>
          <w:sz w:val="20"/>
          <w:szCs w:val="20"/>
          <w:color w:val="auto"/>
        </w:rPr>
      </w:pPr>
    </w:p>
    <w:p>
      <w:pPr>
        <w:ind w:right="20" w:firstLine="216"/>
        <w:spacing w:after="0" w:line="261"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9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56"/>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165</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1,765</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22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22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138</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w:t>
            </w: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3,702</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201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500" w:hanging="330"/>
        <w:spacing w:after="0" w:line="237" w:lineRule="auto"/>
        <w:tabs>
          <w:tab w:leader="none" w:pos="500" w:val="left"/>
        </w:tabs>
        <w:numPr>
          <w:ilvl w:val="1"/>
          <w:numId w:val="32"/>
        </w:numPr>
        <w:rPr>
          <w:rFonts w:ascii="Arial" w:cs="Arial" w:eastAsia="Arial" w:hAnsi="Arial"/>
          <w:sz w:val="22"/>
          <w:szCs w:val="22"/>
          <w:color w:val="auto"/>
          <w:vertAlign w:val="superscript"/>
        </w:rPr>
      </w:pPr>
      <w:r>
        <w:rPr>
          <w:rFonts w:ascii="Arial" w:cs="Arial" w:eastAsia="Arial" w:hAnsi="Arial"/>
          <w:sz w:val="18"/>
          <w:szCs w:val="18"/>
          <w:color w:val="auto"/>
        </w:rPr>
        <w:t>During the three months ended June 30, 2020 and 2019, American recognized $61 million and $149 million, respectively, of expense under its capacity purchase agreement with Republic Airline Inc. (Republic). During the six months ended June 30, 2020 and 2019, American recognized $211 million and $292 million, respectively, of expense under its capacity purchase agreement with Republic. American holds a 25% equity interest in Republic Airways Holdings Inc., the parent company of Republic.</w:t>
      </w:r>
    </w:p>
    <w:p>
      <w:pPr>
        <w:spacing w:after="0" w:line="222"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7"/>
                <w:szCs w:val="17"/>
                <w:color w:val="auto"/>
              </w:rPr>
            </w:pPr>
          </w:p>
        </w:tc>
        <w:tc>
          <w:tcPr>
            <w:tcW w:w="1620" w:type="dxa"/>
            <w:vAlign w:val="bottom"/>
          </w:tcPr>
          <w:p>
            <w:pPr>
              <w:jc w:val="right"/>
              <w:ind w:right="175"/>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75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AAG </w:t>
            </w:r>
            <w:r>
              <w:rPr>
                <w:rFonts w:ascii="Arial" w:cs="Arial" w:eastAsia="Arial" w:hAnsi="Arial"/>
                <w:sz w:val="21"/>
                <w:szCs w:val="21"/>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11,229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14,597</w:t>
            </w:r>
          </w:p>
        </w:tc>
      </w:tr>
      <w:tr>
        <w:trPr>
          <w:trHeight w:val="270"/>
        </w:trPr>
        <w:tc>
          <w:tcPr>
            <w:tcW w:w="7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r>
      <w:tr>
        <w:trPr>
          <w:trHeight w:val="243"/>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12,451</w:t>
            </w:r>
          </w:p>
        </w:tc>
      </w:tr>
      <w:tr>
        <w:trPr>
          <w:trHeight w:val="20"/>
        </w:trPr>
        <w:tc>
          <w:tcPr>
            <w:tcW w:w="20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3"/>
        </w:trPr>
        <w:tc>
          <w:tcPr>
            <w:tcW w:w="2080" w:type="dxa"/>
            <w:vAlign w:val="bottom"/>
            <w:tcBorders>
              <w:bottom w:val="single" w:sz="8" w:color="auto"/>
            </w:tcBorders>
          </w:tcPr>
          <w:p>
            <w:pPr>
              <w:spacing w:after="0"/>
              <w:rPr>
                <w:sz w:val="21"/>
                <w:szCs w:val="21"/>
                <w:color w:val="auto"/>
              </w:rPr>
            </w:pPr>
          </w:p>
        </w:tc>
        <w:tc>
          <w:tcPr>
            <w:tcW w:w="5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spacing w:after="0" w:line="377" w:lineRule="exact"/>
        <w:rPr>
          <w:sz w:val="20"/>
          <w:szCs w:val="20"/>
          <w:color w:val="auto"/>
        </w:rPr>
      </w:pPr>
    </w:p>
    <w:p>
      <w:pPr>
        <w:jc w:val="both"/>
        <w:ind w:left="500" w:hanging="330"/>
        <w:spacing w:after="0" w:line="233" w:lineRule="auto"/>
        <w:tabs>
          <w:tab w:leader="none" w:pos="50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The decrease in American’s net related party receivable from AAG is primarily due to cash received from the proceeds of AAG financing transactions including the PSP Promissory Note, the 6.50% convertible senior notes and the issuance of 85.2 million shares of AAG common stock pursuant to a public stock offering.</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33"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by AAG from time to time in its quarterly and annual reports, including for calculating earnings per common share. As disputed claims are resolved, the claimants receive distributions of shares from the Disputed Claims Reserve. American is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AAG but rather will be distributed to former AMR stockholders and former convertible noteholders treated as stockholders under the Plan. In February 2020, 2.2 million shares of AAG common stock were distributed from the Disputed Claims Reserve. After giving effect to this distribution, as of June 30, 2020, the Disputed Claims Reserve held 4.8 million shares of AAG common stock.</w:t>
      </w:r>
    </w:p>
    <w:p>
      <w:pPr>
        <w:spacing w:after="0" w:line="13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American reached a settlement agreement with the plaintiffs in the amount of $45 million to resolve all class claims in the U.S. lawsuits. That settlement was approved by the DC Court on May 13, 2019, however three parties who objected to the settlement have appealed that decision to the United States Court of Appeals for the District of Columbia. American believes these appeals are without merit and intends to vigorously defend against them.</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they are awaiting the Bankruptcy Court's decision. American believes this lawsuit is without merit and intends to vigorously defend against the allegations.</w:t>
      </w:r>
    </w:p>
    <w:p>
      <w:pPr>
        <w:spacing w:after="0" w:line="13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i w:val="1"/>
          <w:iCs w:val="1"/>
          <w:color w:val="auto"/>
        </w:rPr>
        <w:t xml:space="preserve">Pension Benefits Action. </w:t>
      </w:r>
      <w:r>
        <w:rPr>
          <w:rFonts w:ascii="Arial" w:cs="Arial" w:eastAsia="Arial" w:hAnsi="Arial"/>
          <w:sz w:val="18"/>
          <w:szCs w:val="18"/>
          <w:color w:val="auto"/>
        </w:rPr>
        <w:t>On December 11, 2018, a lawsuit captioned Torres, et al. v. American Airlines, Inc., The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John/Jane Does 1-5, was filed in the United States District Court for the Northern District of Texas. The plaintiffs in this lawsuit purport to represent a class consisting of all participants in and beneficiaries under each of American's defined benefit pension plans (except the pilot plan) who elected to receive an optional form of benefit other than a lump sum distribution of a participant’s vested benefit. Under the Employee Retirement Income Security Act, participants covered by defined benefit plans accrue retirement benefits in the form of a single life annuity payable upon retirement on a monthly basis until the employee’s death, and may elect certain alternative forms of benefit payments. Plaintiffs contend that the mortality tables used by American for purposes of calculations related to these alternative forms of benefits are outdated and that more recent mortality tables would have provided more generous benefits and should have been used to make those calculations. The parties have agreed to settle the case on an individual basis with the named plaintiffs, as well as a pilot who has threatened to bring suit under the pilot plan, for less than $1 million, which represents actual damages to the named and purported plaintiffs and attorneys' fees. The court has vacated the trial setting and all other deadlines and administratively closed the case, pending receipt of dismissal papers.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33"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06" w:lineRule="exact"/>
        <w:rPr>
          <w:sz w:val="20"/>
          <w:szCs w:val="20"/>
          <w:color w:val="auto"/>
        </w:rPr>
      </w:pPr>
    </w:p>
    <w:p>
      <w:pPr>
        <w:ind w:left="220" w:right="9460" w:hanging="212"/>
        <w:spacing w:after="0" w:line="357" w:lineRule="auto"/>
        <w:tabs>
          <w:tab w:leader="none" w:pos="30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Impairment </w:t>
      </w:r>
      <w:r>
        <w:rPr>
          <w:rFonts w:ascii="Arial" w:cs="Arial" w:eastAsia="Arial" w:hAnsi="Arial"/>
          <w:sz w:val="18"/>
          <w:szCs w:val="18"/>
          <w:b w:val="1"/>
          <w:bCs w:val="1"/>
          <w:i w:val="1"/>
          <w:iCs w:val="1"/>
          <w:u w:val="single" w:color="auto"/>
          <w:color w:val="auto"/>
        </w:rPr>
        <w:t>Long-lived Assets</w:t>
      </w:r>
    </w:p>
    <w:p>
      <w:pPr>
        <w:jc w:val="both"/>
        <w:ind w:firstLine="216"/>
        <w:spacing w:after="0" w:line="254" w:lineRule="auto"/>
        <w:rPr>
          <w:sz w:val="20"/>
          <w:szCs w:val="20"/>
          <w:color w:val="auto"/>
        </w:rPr>
      </w:pPr>
      <w:r>
        <w:rPr>
          <w:rFonts w:ascii="Arial" w:cs="Arial" w:eastAsia="Arial" w:hAnsi="Arial"/>
          <w:sz w:val="18"/>
          <w:szCs w:val="18"/>
          <w:color w:val="auto"/>
        </w:rPr>
        <w:t>Accounting Standards Codification (ASC) 360 - Property, Plant, and Equipment (ASC 360) requires long-lived assets to be assessed for impairment when events and circumstances indicate that the assets may be impaired. Long-lived assets consist of owned flight and ground equipment, ROU assets and definite-lived intangible assets such as certain domestic airport slots and gate leasehold rights, customer relationships and marketing agreements.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previously discussed, in the first six months of 2020, American's operations, liquidity and stock price were significantly impacted by decreased passenger demand and government travel restrictions due to COVID-19. Additionally, American decided to retire certain mainline aircraft earlier than planned including Boeing 757, Boeing 767, Airbus A330-300 and Embraer 190 aircraft as well as regional aircraft, including certain Embraer 140 and Bombardier CRJ200 aircraft. As a result of these events and circumstances, American performed impairment tests on its long-lived assets in connection with the preparation of American's financial statements.</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accordance with ASC 360, an impairment of a long-lived asset or group of long-lived assets exists only when the sum of the estimated undiscounted future cash flows expected to be generated directly by the assets are less than the carrying value of the assets. American groups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American's current fleet plan.</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 a result of the impairment tests performed on American's long-lived assets, American determined the sum of the estimated undiscounted future cash flows exceeded the $43.0 billion carrying value for its long-lived assets except for the aircraft being retired earlier than planned as discussed above. For those aircraft and certain related spare parts, American recorded impairment charges reflecting the difference between the carrying values of these assets and their fair values of $12 million and $827 million for the three and six months ended June 30, 2020, respectively. Fair value reflects management’s best estimate including inputs from published pricing guides and bids from third parties as well as contracted sales agreements when applicable. Due to the inherent uncertainties of the current operating environment, American will continue to evaluate its current fleet (including aircraft in temporary storage) and may decide to permanently retire additional aircraft.</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ASC 350 - Intangibles - Goodwill and Other (ASC 350) requires goodwill and indefinite-lived intangible assets to be assessed for impairment annually or more frequently if events or circumstances indicate that the fair values of goodwill and indefinite-lived intangible assets may be lower than their carrying values. Goodwill represents the purchase price in excess of the fair value of the net assets acquired and liabilities assumed in connection with the merger of AAG with US Airways Group, Inc. American has one reporting unit. Indefinite-lived intangible assets consist of certain domestic airport slots and international slots and route authorities.</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performed interim impairment tests on its goodwill and indefinite-lived intangible assets as a result of the events and circumstances previously discussed due to the impact of COVID-19 on its business. In accordance with ASC 350, for goodwill, American performed a quantitative analysis by using a market approach. Under the market approach, the fair value of the reporting unit was determined based on quoted market prices for equity and the fair value of debt as described in Note 6. The fair value exceeded the carrying value of the reporting unit, and American's $4.1 billion of goodwill was not impaired.</w:t>
      </w:r>
    </w:p>
    <w:p>
      <w:pPr>
        <w:spacing w:after="0" w:line="151"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Additionally, American performed interim qualitative impairment tests on its $1.8 billion of indefinite-lived intangible assets and determined there was no material impairment.</w:t>
      </w:r>
    </w:p>
    <w:p>
      <w:pPr>
        <w:spacing w:after="0" w:line="14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As discussed above, due to the inherent uncertainties of the current operating environment, American will continue to evaluate its goodwill and indefinite-lived intangible assets for events or circumstances that indicate that their fair values may be lower than their carrying values.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2019 (the 2019 Form 10-K). The information contained herein is not a comprehensive discussion and analysis of the financial condition and results of operations of AAG and American, but rather updates disclosures made in the 2019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closing of borders, “shelter in place” orders and business closures. As a result, we have experienced an unprecedented decline in the demand for air travel, which has resulted in a material deterioration in our revenues. While our business performed largely as expected in January and February of 2020, a severe reduction in air travel starting in March 2020 resulted in our total operating revenues decreasing approximately 20% in the first quarter of 2020 and 86% in the second quarter of 2020 as compared to the first and second quarter of 2019, respectively. While the length and severity of the reduction in demand due to COVID-19 is uncertain, we expect our results of operations for the remainder of 2020 to be severely impacted.</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taken aggressive actions to mitigate the effect of COVID-19 on our business including deep capacity reductions, structural changes to our fleet, cost reductions, and steps to preserve cash and improve our overall liquidity position. We remain extremely focused on taking all self-help measures available to manage our business during this unprecedented time, consistent with the terms of the financial assistance we have received from the U.S. Government under the Coronavirus Aid, Relief, and Economic Security (CARES) Act which, among other things, includes obligations regarding minimum air service and restrictions on involuntary workforce actions.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Capacity Reductions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significantly reduced our capacity (as measured by available seat miles), with the second quarter of 2020 flying decreased by 76% year-over-year and third quarter of 2020 flying expected to decrease by approximately 60% year-over-year. The demand environment continues to be uncertain as COVID-19 cases have increased and new travel restrictions have been put into place. Due to this uncertainty, we will continue to adjust our future capacity to match developing trends in bookings for future travel and make further adjustments to our capacity as needed.</w:t>
      </w:r>
    </w:p>
    <w:p>
      <w:pPr>
        <w:spacing w:after="0" w:line="15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also announced changes to our international schedule for winter 2020 through summer 2021. We expect our summer 2021 long-haul international capacity to be down 25% compared to 2019, and also plan to exit 19 international routes from six hubs. These changes will allow us to reset our international network for future growth as demand returns.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Fleet</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To better align our network with lower passenger demand, we accelerated the retirement of Boeing 757, Boeing 767, Airbus A330-300 and Embraer 190 fleets as well as certain regional aircraft, including certain Embraer 140 and Bombardier CRJ200 aircraft. These retirements remove complexity from our operation and bring forward cost savings and efficiencies associated with operating fewer aircraft types. See Note 13 to AAG’s Condensed Consolidated Financial Statements in Part I, Item 1A for further information on the accounting for our fleet retirements. Due to the inherent uncertainties of the current operating environment, we will continue to evaluate our current fleet and may decide to permanently retire additional aircraft. In addition, we have placed a significant number of aircraft, including our A330-200 fleet and a number of Boeing 737-800 and certain regional aircraft, into temporary storage.</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Cost Reductions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moving quickly to better align our costs with our reduced schedule. In aggregate, we estimate that we have reduced our 2020 operating and capital expenditures by more than $15.0 billion. These savings have been achieved primarily through capacity reductions. In addition, we have implemented a series of actions, including the accelerated fleet retirements discussed above as well as reductions in maintenance expense and non-aircraft capital expenditures through less fleet modification work, the elimination of ground service equipment purchases and pausing all non-critical facility investments and information technology projects. We have also suspended all non-essential hiring, paused non-contractual pay rate increases, reduced executive and board of director compensation, implemented voluntary leave and early retirement programs and decreased our management and support staff team, including officers, by approximately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792" w:right="339" w:bottom="1440" w:gutter="0" w:footer="0" w:header="0"/>
        </w:sectPr>
      </w:pPr>
    </w:p>
    <w:bookmarkStart w:id="54" w:name="page55"/>
    <w:bookmarkEnd w:id="54"/>
    <w:p>
      <w:pPr>
        <w:jc w:val="both"/>
        <w:spacing w:after="0" w:line="256" w:lineRule="auto"/>
        <w:rPr>
          <w:sz w:val="20"/>
          <w:szCs w:val="20"/>
          <w:color w:val="auto"/>
        </w:rPr>
      </w:pPr>
      <w:r>
        <w:rPr>
          <w:rFonts w:ascii="Arial" w:cs="Arial" w:eastAsia="Arial" w:hAnsi="Arial"/>
          <w:sz w:val="18"/>
          <w:szCs w:val="18"/>
          <w:color w:val="auto"/>
        </w:rPr>
        <w:t>5,100 positions, or 30%, to reduce our labor costs consistent with our obligations under the CARES Act. In total, more than 41,000 team members have opted for an early retirement, a reduced work schedule or partially paid leave. Additionally, we have made reductions in marketing, contractor, event and training expenses as well as consolidated space at airport facilities.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On July 15, 2020, we informed approximately 25,000 U.S.-based employees, either directly or through a union representative, of the possibility of a workforce reduction at their work location. We expect that any workforce reductions will take effect on or after October 1, 2020. In connection with this notification, we announced enhanced voluntary leave and early-out programs available to members of certain represented workgroups, who must opt-in by July 31, 2020.</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Liquidity</w:t>
      </w:r>
    </w:p>
    <w:p>
      <w:pPr>
        <w:spacing w:after="0" w:line="10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At June 30, 2020, we had $10.2 billion in total available liquidity, consisting of $9.8 billion in unrestricted cash and short-term investments and $400 million in an undrawn short-term revolving facility.</w:t>
      </w:r>
    </w:p>
    <w:p>
      <w:pPr>
        <w:spacing w:after="0" w:line="14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During the first six months of 2020, we completed the following financing transactions (see Note 6 to AAG’s Condensed Consolidated Financial Statements in Part I, Item 1A for further information):</w:t>
      </w:r>
    </w:p>
    <w:p>
      <w:pPr>
        <w:spacing w:after="0" w:line="144" w:lineRule="exact"/>
        <w:rPr>
          <w:sz w:val="20"/>
          <w:szCs w:val="20"/>
          <w:color w:val="auto"/>
        </w:rPr>
      </w:pPr>
    </w:p>
    <w:p>
      <w:pPr>
        <w:ind w:left="660" w:hanging="409"/>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refinanced the $1.2 billion 2014 Term Loan Facility at a lower interest rate and extended the maturity from 2021 to 2027;</w:t>
      </w:r>
    </w:p>
    <w:p>
      <w:pPr>
        <w:spacing w:after="0" w:line="171" w:lineRule="exact"/>
        <w:rPr>
          <w:rFonts w:ascii="Arial" w:cs="Arial" w:eastAsia="Arial" w:hAnsi="Arial"/>
          <w:sz w:val="18"/>
          <w:szCs w:val="18"/>
          <w:color w:val="auto"/>
        </w:rPr>
      </w:pPr>
    </w:p>
    <w:p>
      <w:pPr>
        <w:ind w:left="660" w:hanging="409"/>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$500 million in aggregate principal amount of 3.75% unsecured senior notes due 2025 and repaid $500 million of 4.625% unsecured senior notes that matured in March 2020;</w:t>
      </w:r>
    </w:p>
    <w:p>
      <w:pPr>
        <w:spacing w:after="0" w:line="143" w:lineRule="exact"/>
        <w:rPr>
          <w:rFonts w:ascii="Arial" w:cs="Arial" w:eastAsia="Arial" w:hAnsi="Arial"/>
          <w:sz w:val="18"/>
          <w:szCs w:val="18"/>
          <w:color w:val="auto"/>
        </w:rPr>
      </w:pPr>
    </w:p>
    <w:p>
      <w:pPr>
        <w:ind w:left="660" w:hanging="409"/>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borrowed $750 million under the 2013 Revolving Facility, $1.6 billion under the 2014 Revolving Facility and $450 million under the April 2016 Revolving Facility;</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$1.0 billion in aggregate principal amount of 6.50% convertible senior notes due 2025;</w:t>
      </w:r>
    </w:p>
    <w:p>
      <w:pPr>
        <w:spacing w:after="0" w:line="171" w:lineRule="exact"/>
        <w:rPr>
          <w:rFonts w:ascii="Arial" w:cs="Arial" w:eastAsia="Arial" w:hAnsi="Arial"/>
          <w:sz w:val="18"/>
          <w:szCs w:val="18"/>
          <w:color w:val="auto"/>
        </w:rPr>
      </w:pPr>
    </w:p>
    <w:p>
      <w:pPr>
        <w:ind w:left="660" w:hanging="409"/>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85.2 million shares of AAG common stock at a price of $13.50 per share pursuant to a public offering of common stock for net proceeds of $1.1 billion;</w:t>
      </w:r>
    </w:p>
    <w:p>
      <w:pPr>
        <w:spacing w:after="0" w:line="143" w:lineRule="exact"/>
        <w:rPr>
          <w:rFonts w:ascii="Arial" w:cs="Arial" w:eastAsia="Arial" w:hAnsi="Arial"/>
          <w:sz w:val="18"/>
          <w:szCs w:val="18"/>
          <w:color w:val="auto"/>
        </w:rPr>
      </w:pPr>
    </w:p>
    <w:p>
      <w:pPr>
        <w:ind w:left="660" w:right="20" w:hanging="409"/>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$2.5 billion in aggregate principal amount of 11.75% senior secured notes due 2025 and repaid the $1.0 billion senior secured delayed draw term loan credit facility that we borrowed in March 2020;</w:t>
      </w:r>
    </w:p>
    <w:p>
      <w:pPr>
        <w:spacing w:after="0" w:line="143" w:lineRule="exact"/>
        <w:rPr>
          <w:rFonts w:ascii="Arial" w:cs="Arial" w:eastAsia="Arial" w:hAnsi="Arial"/>
          <w:sz w:val="18"/>
          <w:szCs w:val="18"/>
          <w:color w:val="auto"/>
        </w:rPr>
      </w:pPr>
    </w:p>
    <w:p>
      <w:pPr>
        <w:ind w:left="660" w:right="20" w:hanging="409"/>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approximately $360 million in special facility revenue bonds, of which $47 million was used to fund the redemption of certain outstanding bonds;</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raised $336 million from aircraft sale-leaseback transactions; and</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raised $197 million from aircraft financings, of which $17 million was used to repay existing indebtedness.</w:t>
      </w:r>
    </w:p>
    <w:p>
      <w:pPr>
        <w:spacing w:after="0" w:line="171"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8"/>
          <w:szCs w:val="18"/>
          <w:color w:val="auto"/>
        </w:rPr>
        <w:t>We have also been approved to receive an aggregate of $5.8 billion in financial assistance to be paid in installments through the payroll support program (Payroll Support Program) under the CARES Act. As of June 30, 2020, we had received $5.2 billion of such financial assistance and we had issued a promissory note (the PSP Promissory Note) to the U.S. Department of the Treasury (Treasury) for $1.5 billion in aggregate principal amount as well as warrants to purchase up to an aggregate of approximately 12.3 million shares of AAG common stock. See Note 1 to AAG's Condensed Consolidated Financial Statements in Part I, Item 1A for further information on the Payroll Support Program. Separately, American has signed a term sheet with Treasury for a $4.75 billion secured loan under the CARES Act.</w:t>
      </w:r>
    </w:p>
    <w:p>
      <w:pPr>
        <w:spacing w:after="0" w:line="15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Also, we are permitted to, and will, defer payment of the employer portion of Social Security taxes through the end of 2020 (with 50% of the deferred amount due December 31, 2021 and the remaining 50% due December 31, 2022). This deferral is expected to provide approximately $300 million in additional liquidity during 2020. Additionally, we have suspended our capital return program, including share repurchases and the payment of future dividends for at least the period that the restrictions imposed by the CARES Act are applicable.</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On July 22, 2020, American entered into a commitment letter for the sale of $1.2 billion of senior secured notes with the proceeds to be used for general corporate purposes. We presently expect this transaction to close in the third quarter of 2020, subject to the satisfaction of closing conditions, including the completion of definitive documentation. Refer to the Form 8-K filed on July 23, 2020 for further detail on this financing commitment.</w:t>
      </w:r>
    </w:p>
    <w:p>
      <w:pPr>
        <w:spacing w:after="0" w:line="150"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We continue to evaluate future financing opportunities and have engaged third-party appraisers to evaluate some of our unencumbered assets. We expect to pledge a portion of these unencumbered assets as collateral for future financings,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652" w:right="339" w:bottom="1440" w:gutter="0" w:footer="0" w:header="0"/>
        </w:sectPr>
      </w:pPr>
    </w:p>
    <w:bookmarkStart w:id="55" w:name="page56"/>
    <w:bookmarkEnd w:id="55"/>
    <w:p>
      <w:pPr>
        <w:jc w:val="both"/>
        <w:spacing w:after="0" w:line="261" w:lineRule="auto"/>
        <w:rPr>
          <w:sz w:val="20"/>
          <w:szCs w:val="20"/>
          <w:color w:val="auto"/>
        </w:rPr>
      </w:pPr>
      <w:r>
        <w:rPr>
          <w:rFonts w:ascii="Arial" w:cs="Arial" w:eastAsia="Arial" w:hAnsi="Arial"/>
          <w:sz w:val="18"/>
          <w:szCs w:val="18"/>
          <w:color w:val="auto"/>
        </w:rPr>
        <w:t>including as part of the approximately $4.75 billion secured loan under the CARES Act for which American has signed a term sheet with Treasury as well as the $1.2 billion commitment for senior secured notes discussed above.</w:t>
      </w:r>
    </w:p>
    <w:p>
      <w:pPr>
        <w:spacing w:after="0" w:line="144"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Certain of our debt financing agreements contain covenants requiring us to maintain an aggregate of at least $ 2.0 billion of unrestricted cash and cash equivalents and amounts available to be drawn under revolving credit facilities and/or contain loan to value ratio covenants.</w:t>
      </w:r>
    </w:p>
    <w:p>
      <w:pPr>
        <w:spacing w:after="0" w:line="14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Given the above actions and our assumptions about the future impact of COVID-19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to be provided pursuant to the CARES Act) and projected cash flows from operations.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Recent Developments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On July 16, 2020, we announced our intention to enter into a strategic relationship with JetBlue Airways Corp. This arrangement, once finalized, includes an alliance agreement with reciprocal codesharing on domestic and international routes from New York (JFK, LGA and EWR) and Boston, and will provide for reciprocal loyalty program benefits. The arrangement does not include JetBlue's future transatlantic flying. In addition, we announced new nonstop international service from JFK to Tel Aviv (TLV) and seasonal service to Athens (ATH), expected to commence upon implementation of the alliance agreement. We also plan to return seasonal service from JFK to Rio De Janeiro (GIG) beginning in the winter of 2021. The implementation of the alliance agreement and commencement of these new routes are subject to governmental review.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Second Quarter 2020 Results</w:t>
      </w:r>
    </w:p>
    <w:p>
      <w:pPr>
        <w:spacing w:after="0" w:line="112"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3380" w:type="dxa"/>
            <w:vAlign w:val="bottom"/>
            <w:gridSpan w:val="7"/>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7"/>
        </w:trPr>
        <w:tc>
          <w:tcPr>
            <w:tcW w:w="538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Decrease</w:t>
            </w: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gridSpan w:val="7"/>
          </w:tcPr>
          <w:p>
            <w:pPr>
              <w:jc w:val="right"/>
              <w:ind w:right="91"/>
              <w:spacing w:after="0"/>
              <w:rPr>
                <w:sz w:val="20"/>
                <w:szCs w:val="20"/>
                <w:color w:val="auto"/>
              </w:rPr>
            </w:pPr>
            <w:r>
              <w:rPr>
                <w:rFonts w:ascii="Arial" w:cs="Arial" w:eastAsia="Arial" w:hAnsi="Arial"/>
                <w:sz w:val="14"/>
                <w:szCs w:val="14"/>
                <w:b w:val="1"/>
                <w:bCs w:val="1"/>
                <w:color w:val="auto"/>
              </w:rPr>
              <w:t>(In millions, except percentage changes)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13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Cargo revenue</w:t>
            </w:r>
          </w:p>
        </w:tc>
        <w:tc>
          <w:tcPr>
            <w:tcW w:w="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1340" w:type="dxa"/>
            <w:vAlign w:val="bottom"/>
          </w:tcPr>
          <w:p>
            <w:pPr>
              <w:ind w:left="8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revenue</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3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Total operating revenues</w:t>
            </w:r>
          </w:p>
        </w:tc>
        <w:tc>
          <w:tcPr>
            <w:tcW w:w="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11,960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(10,338)</w:t>
            </w:r>
          </w:p>
        </w:tc>
        <w:tc>
          <w:tcPr>
            <w:tcW w:w="1340" w:type="dxa"/>
            <w:vAlign w:val="bottom"/>
          </w:tcPr>
          <w:p>
            <w:pPr>
              <w:ind w:left="82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and regional aircraft fuel and related taxes</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3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w:t>
            </w:r>
          </w:p>
        </w:tc>
        <w:tc>
          <w:tcPr>
            <w:tcW w:w="1340" w:type="dxa"/>
            <w:vAlign w:val="bottom"/>
          </w:tcPr>
          <w:p>
            <w:pPr>
              <w:ind w:left="8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13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(2,486)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(3,639)</w:t>
            </w:r>
          </w:p>
        </w:tc>
        <w:tc>
          <w:tcPr>
            <w:tcW w:w="1340" w:type="dxa"/>
            <w:vAlign w:val="bottom"/>
          </w:tcPr>
          <w:p>
            <w:pPr>
              <w:ind w:left="800"/>
              <w:spacing w:after="0" w:line="269" w:lineRule="exact"/>
              <w:rPr>
                <w:sz w:val="20"/>
                <w:szCs w:val="20"/>
                <w:color w:val="auto"/>
              </w:rPr>
            </w:pPr>
            <w:r>
              <w:rPr>
                <w:rFonts w:ascii="Arial" w:cs="Arial" w:eastAsia="Arial" w:hAnsi="Arial"/>
                <w:sz w:val="31"/>
                <w:szCs w:val="31"/>
                <w:color w:val="auto"/>
                <w:vertAlign w:val="subscript"/>
              </w:rPr>
              <w:t>nm</w:t>
            </w:r>
            <w:r>
              <w:rPr>
                <w:rFonts w:ascii="Arial" w:cs="Arial" w:eastAsia="Arial" w:hAnsi="Arial"/>
                <w:sz w:val="10"/>
                <w:szCs w:val="10"/>
                <w:color w:val="auto"/>
              </w:rPr>
              <w:t xml:space="preserve"> (2)</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(loss)</w:t>
            </w: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(2,659)</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3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(812)</w:t>
            </w:r>
          </w:p>
        </w:tc>
        <w:tc>
          <w:tcPr>
            <w:tcW w:w="1340" w:type="dxa"/>
            <w:vAlign w:val="bottom"/>
          </w:tcPr>
          <w:p>
            <w:pPr>
              <w:ind w:left="9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3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3"/>
        </w:trPr>
        <w:tc>
          <w:tcPr>
            <w:tcW w:w="5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(loss) – GAAP</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(2,659)</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3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1"/>
                <w:szCs w:val="21"/>
                <w:color w:val="auto"/>
                <w:vertAlign w:val="superscript"/>
              </w:rPr>
              <w:t>(1)</w:t>
            </w:r>
          </w:p>
        </w:tc>
        <w:tc>
          <w:tcPr>
            <w:tcW w:w="9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(1,661)</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34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(loss) excluding net special items</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(4,320)</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3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-2750820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-2750820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-2750820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13544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00" w:hanging="330"/>
        <w:spacing w:after="0" w:line="235" w:lineRule="auto"/>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net special items.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Not meaningful or greater than 100% change.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73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u w:val="single" w:color="auto"/>
          <w:color w:val="auto"/>
        </w:rPr>
        <w:t>Pre-Tax Income (Loss) and Net Income (Loss)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Pre-tax loss and net loss were $2.7 billion and $2.1 billion, respectively, in the second quarter of 2020. This compares to second quarter 2019 pre-tax income and net income of $882 million and $662 million, respectively. The quarter-over-quarter decrease in our pre-tax income was principally driven by lower revenues as a result of a decline in passenger demand and government travel restrictions related to the outbreak and spread of COVID-19. This decline in revenues was offset in part by a decrease in expenses due to our reduced schedule and cost reduction actions described above as well as other Payroll Support Program financial assistance (the PSP Financial Assistance) recognized in the second quarter of 2020. See Notes 1 and 2 to AAG’s Condensed Consolidated Financial Statements in Part I, Item 1A for further information on the PSP Financial Assistance and net special items, respectively.</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Excluding the effects of pre-tax net special items, pre-tax loss was $4.3 billion in the second quarter of 2020 and pre-tax income was $1.1 billion in the second quarter of 2019. The quarter-over-quarter decrease in our pre-tax income excluding pre-tax net special items was principally driven by lower revenues and decreased expenses due to our reduced schedule and cost reduction actions as described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the second quarter of 2020, we reported total operating revenues of $1.6 billion, a decrease of $10.3 billion, or 86.4%, as compared to the second quarter of 2019. Passenger revenue was $1.1 billion in the second quarter of 2020, a decrease of $9.9 billion, or 89.9%, as compared to the second quarter of 2019. The decrease in passenger revenue in the second quarter of 2020 was due to a decline in passenger demand and government travel restrictions related to COVID-19, resulting in an 88.5% quarter-over-quarter decrease in revenue passenger miles (RPMs) and a 44.3 point decrease in passenger load factor.</w:t>
      </w:r>
    </w:p>
    <w:p>
      <w:pPr>
        <w:spacing w:after="0" w:line="15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Cargo revenue decreased $ 91 million, or 41.0%, as compared to the second quarter of 2019, primarily due to a 72.6% decrease in cargo ton miles reflecting declines in freight volumes, principally as a result of international schedule reductions.</w:t>
      </w:r>
    </w:p>
    <w:p>
      <w:pPr>
        <w:spacing w:after="0" w:line="144"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Other operating revenue decreased $ 344 million, or 47.2%, as compared to the second quarter of 2019, driven primarily by lower revenue associated with our loyalty program and airport clubs.</w:t>
      </w:r>
    </w:p>
    <w:p>
      <w:pPr>
        <w:spacing w:after="0" w:line="14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Our total revenue per available seat mile (TRASM) was 9.50 cents in the second quarter of 2020, a 42.6% decrease as compared to 16.54 cents in the second quarter of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mainline and regional fuel expense totaled $309 million in the second quarter of 2020, which was $2.2 billion, or 87.6%, lower as compared to the second quarter of 2019. This decrease was primarily driven by a 76.3% decrease in gallons of fuel consumed as a result of lower capacity and a 47.5% decrease in the average price per gallon of aircraft fuel including related taxes to $1.13 in the second quarter of 2020 from $2.14 in the second quarter of 2019.</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 of June 30, 2020, we did not have any fuel hedging contracts outstanding to hedge our fuel consumption. Our current policy is not to enter into transactions to hedge our fuel consumption, although we review that policy from time to time based on market conditions and other factors. Although spot prices for oil and jet fuel are presently very low by historical standards, we do not currently view the market opportunities to hedge fuel prices as attractive because, among other things, the forward curve for the purchase of such products, or hedges related to such products, is very steep, any hedging would potentially require significant capital or collateral to be placed at risk, and our future fuel needs remain unclear due to uncertainties regarding air travel demand. As such, and assuming we do not enter into any future transactions to hedge our fuel consumption, we will continue to be fully exposed to fluctuations in fuel prices.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In particular, the COVID-19 pandemic has resulted in a very rapid deterioration in general economic conditions.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2020 second quarter total cost per available seat mile (CASM) was 24.05 cents, an increase of 61.0%, from 14.94 cents in the second quarter of 2019. Lower than planned capacity in the second quarter of 2020 due to decreased passenger demand and government travel restrictions related to COVID-19 drove the increase in our CASM, offset in part by the PSP Financial Assistance recognized in the second quarter of 2020.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796" w:right="339" w:bottom="1440" w:gutter="0" w:footer="0" w:header="0"/>
        </w:sectPr>
      </w:pPr>
    </w:p>
    <w:bookmarkStart w:id="57" w:name="page58"/>
    <w:bookmarkEnd w:id="57"/>
    <w:p>
      <w:pPr>
        <w:jc w:val="both"/>
        <w:ind w:right="20" w:firstLine="216"/>
        <w:spacing w:after="0" w:line="261" w:lineRule="auto"/>
        <w:rPr>
          <w:sz w:val="20"/>
          <w:szCs w:val="20"/>
          <w:color w:val="auto"/>
        </w:rPr>
      </w:pPr>
      <w:r>
        <w:rPr>
          <w:rFonts w:ascii="Arial" w:cs="Arial" w:eastAsia="Arial" w:hAnsi="Arial"/>
          <w:sz w:val="18"/>
          <w:szCs w:val="18"/>
          <w:color w:val="auto"/>
        </w:rPr>
        <w:t>Our 2020 second quarter CASM excluding net special items and fuel was 32.04 cents, as compared to 11.34 cents in the second quarter of 2019. The increase was primarily driven by lower capacity in the second quarter of 2020 as described above.</w:t>
      </w:r>
    </w:p>
    <w:p>
      <w:pPr>
        <w:spacing w:after="0" w:line="126" w:lineRule="exact"/>
        <w:rPr>
          <w:sz w:val="20"/>
          <w:szCs w:val="20"/>
          <w:color w:val="auto"/>
        </w:rPr>
      </w:pPr>
    </w:p>
    <w:p>
      <w:pPr>
        <w:jc w:val="both"/>
        <w:ind w:right="20" w:firstLine="216"/>
        <w:spacing w:after="0" w:line="282" w:lineRule="auto"/>
        <w:rPr>
          <w:sz w:val="20"/>
          <w:szCs w:val="20"/>
          <w:color w:val="auto"/>
        </w:rPr>
      </w:pPr>
      <w:r>
        <w:rPr>
          <w:rFonts w:ascii="Arial" w:cs="Arial" w:eastAsia="Arial" w:hAnsi="Arial"/>
          <w:sz w:val="18"/>
          <w:szCs w:val="18"/>
          <w:color w:val="auto"/>
        </w:rPr>
        <w:t xml:space="preserve">For a reconciliation of CASM to total CASM excluding net special items and fuel, see below </w:t>
      </w:r>
      <w:r>
        <w:rPr>
          <w:rFonts w:ascii="Arial" w:cs="Arial" w:eastAsia="Arial" w:hAnsi="Arial"/>
          <w:sz w:val="18"/>
          <w:szCs w:val="18"/>
          <w:i w:val="1"/>
          <w:iCs w:val="1"/>
          <w:color w:val="auto"/>
        </w:rPr>
        <w:t>“Reconciliation of GAAP to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following table presents the reconciliation of pre-tax income (loss) (GAAP measure) to pre-tax income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820" w:type="dxa"/>
            <w:vAlign w:val="bottom"/>
          </w:tcPr>
          <w:p>
            <w:pPr>
              <w:spacing w:after="0"/>
              <w:rPr>
                <w:sz w:val="17"/>
                <w:szCs w:val="17"/>
                <w:color w:val="auto"/>
              </w:rPr>
            </w:pPr>
          </w:p>
        </w:tc>
        <w:tc>
          <w:tcPr>
            <w:tcW w:w="22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r>
      <w:tr>
        <w:trPr>
          <w:trHeight w:val="263"/>
        </w:trPr>
        <w:tc>
          <w:tcPr>
            <w:tcW w:w="68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r>
      <w:tr>
        <w:trPr>
          <w:trHeight w:val="250"/>
        </w:trPr>
        <w:tc>
          <w:tcPr>
            <w:tcW w:w="6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6"/>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Reconciliation of Pre-Tax Income (Loss) Excluding Net Special Items:</w:t>
            </w: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r>
      <w:tr>
        <w:trPr>
          <w:trHeight w:val="243"/>
        </w:trPr>
        <w:tc>
          <w:tcPr>
            <w:tcW w:w="6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Pre-tax income (loss) - GAAP</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(5,549)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1,128</w:t>
            </w:r>
          </w:p>
        </w:tc>
      </w:tr>
      <w:tr>
        <w:trPr>
          <w:trHeight w:val="277"/>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3"/>
        </w:trPr>
        <w:tc>
          <w:tcPr>
            <w:tcW w:w="6820" w:type="dxa"/>
            <w:vAlign w:val="bottom"/>
          </w:tcPr>
          <w:p>
            <w:pPr>
              <w:ind w:left="380"/>
              <w:spacing w:after="0"/>
              <w:rPr>
                <w:sz w:val="20"/>
                <w:szCs w:val="20"/>
                <w:color w:val="auto"/>
              </w:rPr>
            </w:pPr>
            <w:r>
              <w:rPr>
                <w:rFonts w:ascii="Arial" w:cs="Arial" w:eastAsia="Arial" w:hAnsi="Arial"/>
                <w:sz w:val="18"/>
                <w:szCs w:val="18"/>
                <w:color w:val="auto"/>
              </w:rPr>
              <w:t>Operating special items, net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259</w:t>
            </w:r>
          </w:p>
        </w:tc>
      </w:tr>
      <w:tr>
        <w:trPr>
          <w:trHeight w:val="277"/>
        </w:trPr>
        <w:tc>
          <w:tcPr>
            <w:tcW w:w="6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Nonoperating special items, net</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pre-tax net special items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w:t>
            </w: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Pre-tax income (loss) excluding net special items</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1,386</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-1396365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544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94" w:lineRule="exact"/>
        <w:rPr>
          <w:sz w:val="20"/>
          <w:szCs w:val="20"/>
          <w:color w:val="auto"/>
        </w:rPr>
      </w:pPr>
    </w:p>
    <w:p>
      <w:pPr>
        <w:ind w:left="580" w:hanging="329"/>
        <w:spacing w:after="0"/>
        <w:tabs>
          <w:tab w:leader="none" w:pos="58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w:t>
      </w:r>
    </w:p>
    <w:p>
      <w:pPr>
        <w:spacing w:after="0" w:line="215" w:lineRule="exact"/>
        <w:rPr>
          <w:rFonts w:ascii="Arial" w:cs="Arial" w:eastAsia="Arial" w:hAnsi="Arial"/>
          <w:sz w:val="22"/>
          <w:szCs w:val="22"/>
          <w:color w:val="auto"/>
          <w:vertAlign w:val="superscript"/>
        </w:rPr>
      </w:pPr>
    </w:p>
    <w:p>
      <w:pPr>
        <w:ind w:left="5520"/>
        <w:spacing w:after="0"/>
        <w:rPr>
          <w:rFonts w:ascii="Arial" w:cs="Arial" w:eastAsia="Arial" w:hAnsi="Arial"/>
          <w:sz w:val="22"/>
          <w:szCs w:val="22"/>
          <w:color w:val="auto"/>
          <w:vertAlign w:val="superscript"/>
        </w:rPr>
      </w:pPr>
      <w:r>
        <w:rPr>
          <w:rFonts w:ascii="Arial" w:cs="Arial" w:eastAsia="Arial" w:hAnsi="Arial"/>
          <w:sz w:val="18"/>
          <w:szCs w:val="18"/>
          <w:color w:val="auto"/>
        </w:rPr>
        <w:t>56</w:t>
      </w:r>
    </w:p>
    <w:p>
      <w:pPr>
        <w:sectPr>
          <w:pgSz w:w="11900" w:h="16838" w:orient="portrait"/>
          <w:cols w:equalWidth="0" w:num="1">
            <w:col w:w="11240"/>
          </w:cols>
          <w:pgMar w:left="320" w:top="733" w:right="339" w:bottom="1440" w:gutter="0" w:footer="0" w:header="0"/>
        </w:sectPr>
      </w:pPr>
    </w:p>
    <w:bookmarkStart w:id="58" w:name="page59"/>
    <w:bookmarkEnd w:id="58"/>
    <w:p>
      <w:pPr>
        <w:jc w:val="both"/>
        <w:ind w:firstLine="216"/>
        <w:spacing w:after="0" w:line="253" w:lineRule="auto"/>
        <w:rPr>
          <w:sz w:val="20"/>
          <w:szCs w:val="20"/>
          <w:color w:val="auto"/>
        </w:rPr>
      </w:pPr>
      <w:r>
        <w:rPr>
          <w:rFonts w:ascii="Arial" w:cs="Arial" w:eastAsia="Arial" w:hAnsi="Arial"/>
          <w:sz w:val="18"/>
          <w:szCs w:val="18"/>
          <w:color w:val="auto"/>
        </w:rPr>
        <w:t>Additionally, the table below presents the reconciliation of total operating expenses (GAAP measure) to total operating costs excluding net special items and fuel (non-GAAP measure). Management uses total operating costs excluding net special items and aircraft fuel to evaluate our current operating performance and for period-to-period comparisons. The price of fuel, over which we have no control, impacts the comparability of period-to-period financial performance. The adjustment to exclude aircraft fuel and net special items allows management an additional tool to understand and analyze our non-fuel costs and core operating performance. Amounts may not recalculate due to rounding.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9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176"/>
        </w:trPr>
        <w:tc>
          <w:tcPr>
            <w:tcW w:w="5940" w:type="dxa"/>
            <w:vAlign w:val="bottom"/>
            <w:shd w:val="clear" w:color="auto" w:fill="CCEEFF"/>
          </w:tcPr>
          <w:p>
            <w:pPr>
              <w:ind w:left="40"/>
              <w:spacing w:after="0" w:line="176" w:lineRule="exact"/>
              <w:rPr>
                <w:sz w:val="20"/>
                <w:szCs w:val="20"/>
                <w:color w:val="auto"/>
              </w:rPr>
            </w:pPr>
            <w:r>
              <w:rPr>
                <w:rFonts w:ascii="Arial" w:cs="Arial" w:eastAsia="Arial" w:hAnsi="Arial"/>
                <w:sz w:val="17"/>
                <w:szCs w:val="17"/>
                <w:b w:val="1"/>
                <w:bCs w:val="1"/>
                <w:color w:val="auto"/>
              </w:rPr>
              <w:t>Reconciliation of Total Operating Costs per Available Seat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6"/>
        </w:trPr>
        <w:tc>
          <w:tcPr>
            <w:tcW w:w="59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Mile (CASM) Excluding Net Special Items and Fuel:</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04"/>
        </w:trPr>
        <w:tc>
          <w:tcPr>
            <w:tcW w:w="59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3"/>
        </w:trPr>
        <w:tc>
          <w:tcPr>
            <w:tcW w:w="5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 - GAAP</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10,807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15,171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21,016</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Operating net special items: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Regional operating special items, net</w:t>
            </w:r>
          </w:p>
        </w:tc>
        <w:tc>
          <w:tcPr>
            <w:tcW w:w="22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3"/>
        </w:trPr>
        <w:tc>
          <w:tcPr>
            <w:tcW w:w="5940" w:type="dxa"/>
            <w:vAlign w:val="bottom"/>
          </w:tcPr>
          <w:p>
            <w:pPr>
              <w:ind w:left="380"/>
              <w:spacing w:after="0"/>
              <w:rPr>
                <w:sz w:val="20"/>
                <w:szCs w:val="20"/>
                <w:color w:val="auto"/>
              </w:rPr>
            </w:pPr>
            <w:r>
              <w:rPr>
                <w:rFonts w:ascii="Arial" w:cs="Arial" w:eastAsia="Arial" w:hAnsi="Arial"/>
                <w:sz w:val="18"/>
                <w:szCs w:val="18"/>
                <w:color w:val="auto"/>
              </w:rPr>
              <w:t>Aircraft fuel and related taxes - mainline</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(3,722)</w:t>
            </w:r>
          </w:p>
        </w:tc>
      </w:tr>
      <w:tr>
        <w:trPr>
          <w:trHeight w:val="277"/>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 - regional</w:t>
            </w: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83"/>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 excluding net special items and fuel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5,471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13,526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16,126</w:t>
            </w:r>
          </w:p>
        </w:tc>
      </w:tr>
      <w:tr>
        <w:trPr>
          <w:trHeight w:val="257"/>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Total Available Seat Miles (ASM)</w:t>
            </w:r>
          </w:p>
        </w:tc>
        <w:tc>
          <w:tcPr>
            <w:tcW w:w="22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17,081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72,322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79,180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138,996</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cents)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Total operating CASM</w:t>
            </w:r>
          </w:p>
        </w:tc>
        <w:tc>
          <w:tcPr>
            <w:tcW w:w="22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15.12</w:t>
            </w: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net special items per ASM:</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70"/>
        </w:trPr>
        <w:tc>
          <w:tcPr>
            <w:tcW w:w="5940" w:type="dxa"/>
            <w:vAlign w:val="bottom"/>
          </w:tcPr>
          <w:p>
            <w:pPr>
              <w:ind w:left="380"/>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operating special items, net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Fuel per ASM:</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 - mainline</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63"/>
        </w:trPr>
        <w:tc>
          <w:tcPr>
            <w:tcW w:w="5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Aircraft fuel and related taxes - regional</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CASM, excluding net special items and fuel</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11.60</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-3754120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3544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94" w:lineRule="exact"/>
        <w:rPr>
          <w:sz w:val="20"/>
          <w:szCs w:val="20"/>
          <w:color w:val="auto"/>
        </w:rPr>
      </w:pPr>
    </w:p>
    <w:p>
      <w:pPr>
        <w:ind w:left="580" w:hanging="329"/>
        <w:spacing w:after="0"/>
        <w:tabs>
          <w:tab w:leader="none" w:pos="58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w:t>
      </w:r>
    </w:p>
    <w:p>
      <w:pPr>
        <w:spacing w:after="0" w:line="215" w:lineRule="exact"/>
        <w:rPr>
          <w:rFonts w:ascii="Arial" w:cs="Arial" w:eastAsia="Arial" w:hAnsi="Arial"/>
          <w:sz w:val="22"/>
          <w:szCs w:val="22"/>
          <w:color w:val="auto"/>
          <w:vertAlign w:val="superscript"/>
        </w:rPr>
      </w:pPr>
    </w:p>
    <w:p>
      <w:pPr>
        <w:ind w:left="5520"/>
        <w:spacing w:after="0"/>
        <w:rPr>
          <w:rFonts w:ascii="Arial" w:cs="Arial" w:eastAsia="Arial" w:hAnsi="Arial"/>
          <w:sz w:val="22"/>
          <w:szCs w:val="22"/>
          <w:color w:val="auto"/>
          <w:vertAlign w:val="superscript"/>
        </w:rPr>
      </w:pPr>
      <w:r>
        <w:rPr>
          <w:rFonts w:ascii="Arial" w:cs="Arial" w:eastAsia="Arial" w:hAnsi="Arial"/>
          <w:sz w:val="18"/>
          <w:szCs w:val="18"/>
          <w:color w:val="auto"/>
        </w:rPr>
        <w:t>57</w:t>
      </w:r>
    </w:p>
    <w:p>
      <w:pPr>
        <w:sectPr>
          <w:pgSz w:w="11900" w:h="16838" w:orient="portrait"/>
          <w:cols w:equalWidth="0" w:num="1">
            <w:col w:w="11240"/>
          </w:cols>
          <w:pgMar w:left="320" w:top="73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sets forth selected operating data for the three and six months ended June 30, 2020 and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208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8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7"/>
                <w:szCs w:val="17"/>
                <w:color w:val="auto"/>
              </w:rPr>
            </w:pPr>
          </w:p>
        </w:tc>
        <w:tc>
          <w:tcPr>
            <w:tcW w:w="13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Increase</w:t>
            </w:r>
          </w:p>
        </w:tc>
        <w:tc>
          <w:tcPr>
            <w:tcW w:w="208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7"/>
                <w:szCs w:val="17"/>
                <w:color w:val="auto"/>
              </w:rPr>
            </w:pPr>
          </w:p>
        </w:tc>
        <w:tc>
          <w:tcPr>
            <w:tcW w:w="12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62,658</w:t>
            </w:r>
          </w:p>
        </w:tc>
        <w:tc>
          <w:tcPr>
            <w:tcW w:w="13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52,402</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117,460</w:t>
            </w:r>
          </w:p>
        </w:tc>
        <w:tc>
          <w:tcPr>
            <w:tcW w:w="13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0"/>
        </w:trPr>
        <w:tc>
          <w:tcPr>
            <w:tcW w:w="4320" w:type="dxa"/>
            <w:vAlign w:val="bottom"/>
          </w:tcPr>
          <w:p>
            <w:pPr>
              <w:ind w:left="20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17,081</w:t>
            </w:r>
          </w:p>
        </w:tc>
        <w:tc>
          <w:tcPr>
            <w:tcW w:w="1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72,322</w:t>
            </w:r>
          </w:p>
        </w:tc>
        <w:tc>
          <w:tcPr>
            <w:tcW w:w="1320" w:type="dxa"/>
            <w:vAlign w:val="bottom"/>
            <w:gridSpan w:val="2"/>
          </w:tcPr>
          <w:p>
            <w:pPr>
              <w:jc w:val="right"/>
              <w:ind w:right="22"/>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79,180</w:t>
            </w:r>
          </w:p>
        </w:tc>
        <w:tc>
          <w:tcPr>
            <w:tcW w:w="12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138,996</w:t>
            </w:r>
          </w:p>
        </w:tc>
        <w:tc>
          <w:tcPr>
            <w:tcW w:w="1320" w:type="dxa"/>
            <w:vAlign w:val="bottom"/>
            <w:gridSpan w:val="2"/>
          </w:tcPr>
          <w:p>
            <w:pPr>
              <w:jc w:val="right"/>
              <w:ind w:right="42"/>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(44.3)pts</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(18.3)pts</w:t>
            </w:r>
          </w:p>
        </w:tc>
        <w:tc>
          <w:tcPr>
            <w:tcW w:w="0" w:type="dxa"/>
            <w:vAlign w:val="bottom"/>
          </w:tcPr>
          <w:p>
            <w:pPr>
              <w:spacing w:after="0"/>
              <w:rPr>
                <w:sz w:val="1"/>
                <w:szCs w:val="1"/>
                <w:color w:val="auto"/>
              </w:rPr>
            </w:pPr>
          </w:p>
        </w:tc>
      </w:tr>
      <w:tr>
        <w:trPr>
          <w:trHeight w:val="270"/>
        </w:trPr>
        <w:tc>
          <w:tcPr>
            <w:tcW w:w="4320" w:type="dxa"/>
            <w:vAlign w:val="bottom"/>
          </w:tcPr>
          <w:p>
            <w:pPr>
              <w:ind w:left="20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17.57</w:t>
            </w:r>
          </w:p>
        </w:tc>
        <w:tc>
          <w:tcPr>
            <w:tcW w:w="1320" w:type="dxa"/>
            <w:vAlign w:val="bottom"/>
            <w:gridSpan w:val="2"/>
          </w:tcPr>
          <w:p>
            <w:pPr>
              <w:jc w:val="right"/>
              <w:ind w:right="2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17.60</w:t>
            </w:r>
          </w:p>
        </w:tc>
        <w:tc>
          <w:tcPr>
            <w:tcW w:w="1320" w:type="dxa"/>
            <w:vAlign w:val="bottom"/>
            <w:gridSpan w:val="2"/>
          </w:tcPr>
          <w:p>
            <w:pPr>
              <w:jc w:val="right"/>
              <w:ind w:right="4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Passenger revenue per available seat mile (cents)</w:t>
            </w:r>
          </w:p>
        </w:tc>
        <w:tc>
          <w:tcPr>
            <w:tcW w:w="10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15.22</w:t>
            </w:r>
          </w:p>
        </w:tc>
        <w:tc>
          <w:tcPr>
            <w:tcW w:w="1320" w:type="dxa"/>
            <w:vAlign w:val="bottom"/>
            <w:gridSpan w:val="2"/>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14.87</w:t>
            </w:r>
          </w:p>
        </w:tc>
        <w:tc>
          <w:tcPr>
            <w:tcW w:w="1320" w:type="dxa"/>
            <w:vAlign w:val="bottom"/>
            <w:gridSpan w:val="2"/>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52"/>
        </w:trPr>
        <w:tc>
          <w:tcPr>
            <w:tcW w:w="43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(e)</w:t>
            </w:r>
          </w:p>
        </w:tc>
        <w:tc>
          <w:tcPr>
            <w:tcW w:w="10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13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13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20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1"/>
                <w:szCs w:val="21"/>
                <w:color w:val="auto"/>
                <w:vertAlign w:val="superscript"/>
              </w:rPr>
              <w:t>(f)</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16.54</w:t>
            </w:r>
          </w:p>
        </w:tc>
        <w:tc>
          <w:tcPr>
            <w:tcW w:w="1320" w:type="dxa"/>
            <w:vAlign w:val="bottom"/>
            <w:gridSpan w:val="2"/>
          </w:tcPr>
          <w:p>
            <w:pPr>
              <w:jc w:val="right"/>
              <w:ind w:right="22"/>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16.22</w:t>
            </w:r>
          </w:p>
        </w:tc>
        <w:tc>
          <w:tcPr>
            <w:tcW w:w="1320" w:type="dxa"/>
            <w:vAlign w:val="bottom"/>
            <w:gridSpan w:val="2"/>
          </w:tcPr>
          <w:p>
            <w:pPr>
              <w:jc w:val="right"/>
              <w:ind w:right="42"/>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1"/>
                <w:szCs w:val="21"/>
                <w:color w:val="auto"/>
                <w:vertAlign w:val="superscript"/>
              </w:rPr>
              <w:t>(g)</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1,579</w:t>
            </w:r>
          </w:p>
        </w:tc>
        <w:tc>
          <w:tcPr>
            <w:tcW w:w="13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1,579</w:t>
            </w:r>
          </w:p>
        </w:tc>
        <w:tc>
          <w:tcPr>
            <w:tcW w:w="13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63"/>
        </w:trPr>
        <w:tc>
          <w:tcPr>
            <w:tcW w:w="4320" w:type="dxa"/>
            <w:vAlign w:val="bottom"/>
          </w:tcPr>
          <w:p>
            <w:pPr>
              <w:ind w:left="200"/>
              <w:spacing w:after="0"/>
              <w:rPr>
                <w:sz w:val="20"/>
                <w:szCs w:val="20"/>
                <w:color w:val="auto"/>
              </w:rPr>
            </w:pPr>
            <w:r>
              <w:rPr>
                <w:rFonts w:ascii="Arial" w:cs="Arial" w:eastAsia="Arial" w:hAnsi="Arial"/>
                <w:sz w:val="18"/>
                <w:szCs w:val="18"/>
                <w:color w:val="auto"/>
              </w:rPr>
              <w:t>Fuel consumption (gallons in millions)</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1,158</w:t>
            </w:r>
          </w:p>
        </w:tc>
        <w:tc>
          <w:tcPr>
            <w:tcW w:w="1320" w:type="dxa"/>
            <w:vAlign w:val="bottom"/>
            <w:gridSpan w:val="2"/>
          </w:tcPr>
          <w:p>
            <w:pPr>
              <w:jc w:val="right"/>
              <w:ind w:right="22"/>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2,211</w:t>
            </w:r>
          </w:p>
        </w:tc>
        <w:tc>
          <w:tcPr>
            <w:tcW w:w="1320" w:type="dxa"/>
            <w:vAlign w:val="bottom"/>
            <w:gridSpan w:val="2"/>
          </w:tcPr>
          <w:p>
            <w:pPr>
              <w:jc w:val="right"/>
              <w:ind w:right="4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aircraft fuel price including related taxes</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(dollars per gallon)</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3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3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63"/>
        </w:trPr>
        <w:tc>
          <w:tcPr>
            <w:tcW w:w="4320" w:type="dxa"/>
            <w:vAlign w:val="bottom"/>
          </w:tcPr>
          <w:p>
            <w:pPr>
              <w:ind w:left="200"/>
              <w:spacing w:after="0"/>
              <w:rPr>
                <w:sz w:val="20"/>
                <w:szCs w:val="20"/>
                <w:color w:val="auto"/>
              </w:rPr>
            </w:pPr>
            <w:r>
              <w:rPr>
                <w:rFonts w:ascii="Arial" w:cs="Arial" w:eastAsia="Arial" w:hAnsi="Arial"/>
                <w:sz w:val="18"/>
                <w:szCs w:val="18"/>
                <w:color w:val="auto"/>
              </w:rPr>
              <w:t>Full-time equivalent employees at end of period</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107,400</w:t>
            </w:r>
          </w:p>
        </w:tc>
        <w:tc>
          <w:tcPr>
            <w:tcW w:w="1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133,800</w:t>
            </w:r>
          </w:p>
        </w:tc>
        <w:tc>
          <w:tcPr>
            <w:tcW w:w="1320" w:type="dxa"/>
            <w:vAlign w:val="bottom"/>
            <w:gridSpan w:val="2"/>
          </w:tcPr>
          <w:p>
            <w:pPr>
              <w:jc w:val="right"/>
              <w:ind w:right="22"/>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107,400</w:t>
            </w:r>
          </w:p>
        </w:tc>
        <w:tc>
          <w:tcPr>
            <w:tcW w:w="1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133,800</w:t>
            </w:r>
          </w:p>
        </w:tc>
        <w:tc>
          <w:tcPr>
            <w:tcW w:w="1320" w:type="dxa"/>
            <w:vAlign w:val="bottom"/>
            <w:gridSpan w:val="2"/>
          </w:tcPr>
          <w:p>
            <w:pPr>
              <w:jc w:val="right"/>
              <w:ind w:right="4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7"/>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21"/>
                <w:szCs w:val="21"/>
                <w:color w:val="auto"/>
                <w:vertAlign w:val="superscript"/>
              </w:rPr>
              <w:t>(h)</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14.94</w:t>
            </w:r>
          </w:p>
        </w:tc>
        <w:tc>
          <w:tcPr>
            <w:tcW w:w="13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15.12</w:t>
            </w:r>
          </w:p>
        </w:tc>
        <w:tc>
          <w:tcPr>
            <w:tcW w:w="13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3201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9"/>
          <w:szCs w:val="9"/>
          <w:color w:val="auto"/>
        </w:rPr>
        <w:t>(a)</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9"/>
          <w:szCs w:val="9"/>
          <w:color w:val="auto"/>
        </w:rPr>
        <w:t>(b)</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0"/>
          <w:szCs w:val="10"/>
          <w:color w:val="auto"/>
        </w:rPr>
        <w:t>(c)</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9"/>
          <w:szCs w:val="9"/>
          <w:color w:val="auto"/>
        </w:rPr>
        <w:t>(d)</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9"/>
          <w:szCs w:val="9"/>
          <w:color w:val="auto"/>
        </w:rPr>
        <w:t>(e)</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1"/>
          <w:szCs w:val="11"/>
          <w:color w:val="auto"/>
        </w:rPr>
        <w:t>(f)</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Revenue passenger mile (RPM) – A basic measure of sales volume. One RPM represents one passenger flown one mile.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 (ASM) –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 A measure of airline revenue derived by dividing passenger revenue by RPMs.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revenue per available seat mile (PRASM) – Passenger revenue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per available seat mile (TRASM) – Total revenues divided by ASMs.</w:t>
      </w:r>
    </w:p>
    <w:p>
      <w:pPr>
        <w:spacing w:after="0" w:line="171" w:lineRule="exact"/>
        <w:rPr>
          <w:sz w:val="20"/>
          <w:szCs w:val="20"/>
          <w:color w:val="auto"/>
        </w:rPr>
      </w:pPr>
    </w:p>
    <w:p>
      <w:pPr>
        <w:sectPr>
          <w:pgSz w:w="11900" w:h="16838" w:orient="portrait"/>
          <w:cols w:equalWidth="0" w:num="2">
            <w:col w:w="300" w:space="200"/>
            <w:col w:w="10740"/>
          </w:cols>
          <w:pgMar w:left="320" w:top="792" w:right="339" w:bottom="1440" w:gutter="0" w:footer="0" w:header="0"/>
          <w:type w:val="continuous"/>
        </w:sectPr>
      </w:pPr>
    </w:p>
    <w:p>
      <w:pPr>
        <w:jc w:val="both"/>
        <w:ind w:left="500" w:hanging="330"/>
        <w:spacing w:after="0" w:line="233" w:lineRule="auto"/>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Excludes 22 mainline and 20 regional aircraft that are in temporary storage as follows: 15 Airbus A330-200, 13 Embraer 175, seven Boeing 737-800, four Embraer 145 and three Bombardier CRJ700 aircraft.</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Operating cost per available seat mile (CASM) – Operating expenses divided by ASMs.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discussed above, our results of operations for the three months ended June 30, 2020 were significantly impacted by COVID-19. As a result, the comparison of these results to the three months ended June 30, 2019 are largely not meaningful. Refer to the "Financial Overview" above for discussion of our second quarter of 2020 financial results and the impact of COVID-19 on our business.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792" w:right="339" w:bottom="1440" w:gutter="0" w:footer="0" w:header="0"/>
          <w:type w:val="continuous"/>
        </w:sectPr>
      </w:pPr>
    </w:p>
    <w:bookmarkStart w:id="60" w:name="page61"/>
    <w:bookmarkEnd w:id="60"/>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7"/>
        </w:trPr>
        <w:tc>
          <w:tcPr>
            <w:tcW w:w="5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22"/>
                <w:szCs w:val="22"/>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44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50"/>
        </w:trPr>
        <w:tc>
          <w:tcPr>
            <w:tcW w:w="548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11,960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(10,338)</w:t>
            </w:r>
          </w:p>
        </w:tc>
        <w:tc>
          <w:tcPr>
            <w:tcW w:w="144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-856615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-856615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-856615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rPr>
              <w:t>Decrease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vs. Three Months Ended June 30, 2019</w:t>
            </w:r>
          </w:p>
        </w:tc>
        <w:tc>
          <w:tcPr>
            <w:tcW w:w="1020" w:type="dxa"/>
            <w:vAlign w:val="bottom"/>
            <w:tcBorders>
              <w:bottom w:val="single" w:sz="8" w:color="auto"/>
            </w:tcBorders>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440"/>
              <w:spacing w:after="0"/>
              <w:rPr>
                <w:sz w:val="20"/>
                <w:szCs w:val="20"/>
                <w:color w:val="auto"/>
              </w:rPr>
            </w:pPr>
            <w:r>
              <w:rPr>
                <w:rFonts w:ascii="Arial" w:cs="Arial" w:eastAsia="Arial" w:hAnsi="Arial"/>
                <w:sz w:val="14"/>
                <w:szCs w:val="14"/>
                <w:b w:val="1"/>
                <w:bCs w:val="1"/>
                <w:color w:val="auto"/>
              </w:rPr>
              <w:t>Load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r>
      <w:tr>
        <w:trPr>
          <w:trHeight w:val="196"/>
        </w:trPr>
        <w:tc>
          <w:tcPr>
            <w:tcW w:w="3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RPMs</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7"/>
                <w:szCs w:val="17"/>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PRASM</w:t>
            </w:r>
          </w:p>
        </w:tc>
      </w:tr>
      <w:tr>
        <w:trPr>
          <w:trHeight w:val="250"/>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(44.3)pts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bl>
    <w:p>
      <w:pPr>
        <w:spacing w:after="0" w:line="16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Total operating revenues in the second quarter of 2020 decreased $10.3 billion, or 86.4%, from the second quarter of 2019, primarily due to a decline in passenger demand and government travel restrictions related to COVID-19.</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3"/>
          </w:tcPr>
          <w:p>
            <w:pPr>
              <w:jc w:val="center"/>
              <w:ind w:left="594"/>
              <w:spacing w:after="0" w:line="148" w:lineRule="exact"/>
              <w:rPr>
                <w:sz w:val="20"/>
                <w:szCs w:val="20"/>
                <w:color w:val="auto"/>
              </w:rPr>
            </w:pPr>
            <w:r>
              <w:rPr>
                <w:rFonts w:ascii="Arial" w:cs="Arial" w:eastAsia="Arial" w:hAnsi="Arial"/>
                <w:sz w:val="14"/>
                <w:szCs w:val="14"/>
                <w:b w:val="1"/>
                <w:bCs w:val="1"/>
                <w:color w:val="auto"/>
                <w:w w:val="99"/>
              </w:rPr>
              <w:t>June 30,</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313"/>
              <w:spacing w:after="0" w:line="135" w:lineRule="exact"/>
              <w:rPr>
                <w:sz w:val="20"/>
                <w:szCs w:val="20"/>
                <w:color w:val="auto"/>
              </w:rPr>
            </w:pPr>
            <w:r>
              <w:rPr>
                <w:rFonts w:ascii="Arial" w:cs="Arial" w:eastAsia="Arial" w:hAnsi="Arial"/>
                <w:sz w:val="14"/>
                <w:szCs w:val="14"/>
                <w:b w:val="1"/>
                <w:bCs w:val="1"/>
                <w:color w:val="auto"/>
              </w:rPr>
              <w:t>Increase</w:t>
            </w:r>
          </w:p>
        </w:tc>
        <w:tc>
          <w:tcPr>
            <w:tcW w:w="144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(662)</w:t>
            </w:r>
          </w:p>
        </w:tc>
        <w:tc>
          <w:tcPr>
            <w:tcW w:w="144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c>
          <w:tcPr>
            <w:tcW w:w="144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44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Mainline operating special items, net</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(1,615)</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-2399665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-2399665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-2399665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Total operating expenses decreased $6.7 billion, or 62.0%, in the second quarter of 2020 from the second quarter of 2019 due to our reduced schedule and cost reduction actions as described in the "Financial Overview" above.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634" w:right="339" w:bottom="1440" w:gutter="0" w:footer="0" w:header="0"/>
        </w:sectPr>
      </w:pPr>
    </w:p>
    <w:bookmarkStart w:id="61" w:name="page62"/>
    <w:bookmarkEnd w:id="61"/>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r>
      <w:tr>
        <w:trPr>
          <w:trHeight w:val="263"/>
        </w:trPr>
        <w:tc>
          <w:tcPr>
            <w:tcW w:w="77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210"/>
        </w:trPr>
        <w:tc>
          <w:tcPr>
            <w:tcW w:w="7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2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r>
      <w:tr>
        <w:trPr>
          <w:trHeight w:val="27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106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(2)</w:t>
            </w:r>
          </w:p>
        </w:tc>
        <w:tc>
          <w:tcPr>
            <w:tcW w:w="106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(3)</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(4)</w:t>
            </w:r>
          </w:p>
        </w:tc>
        <w:tc>
          <w:tcPr>
            <w:tcW w:w="106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Merger integration expenses</w:t>
            </w:r>
          </w:p>
        </w:tc>
        <w:tc>
          <w:tcPr>
            <w:tcW w:w="10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(5)</w:t>
            </w:r>
          </w:p>
        </w:tc>
        <w:tc>
          <w:tcPr>
            <w:tcW w:w="106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64"/>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special items, net</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180"/>
              <w:spacing w:after="0"/>
              <w:rPr>
                <w:sz w:val="20"/>
                <w:szCs w:val="20"/>
                <w:color w:val="auto"/>
              </w:rPr>
            </w:pPr>
            <w:r>
              <w:rPr>
                <w:rFonts w:ascii="Arial" w:cs="Arial" w:eastAsia="Arial" w:hAnsi="Arial"/>
                <w:sz w:val="18"/>
                <w:szCs w:val="18"/>
                <w:color w:val="auto"/>
              </w:rPr>
              <w:t>Mainline operating special items, net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331"/>
        </w:trPr>
        <w:tc>
          <w:tcPr>
            <w:tcW w:w="77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(6)</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Regional operating special items, net</w:t>
            </w:r>
          </w:p>
        </w:tc>
        <w:tc>
          <w:tcPr>
            <w:tcW w:w="10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tcPr>
          <w:p>
            <w:pPr>
              <w:ind w:left="280"/>
              <w:spacing w:after="0"/>
              <w:rPr>
                <w:sz w:val="20"/>
                <w:szCs w:val="20"/>
                <w:color w:val="auto"/>
              </w:rPr>
            </w:pPr>
            <w:r>
              <w:rPr>
                <w:rFonts w:ascii="Arial" w:cs="Arial" w:eastAsia="Arial" w:hAnsi="Arial"/>
                <w:sz w:val="18"/>
                <w:szCs w:val="18"/>
                <w:color w:val="auto"/>
              </w:rPr>
              <w:t>Operating special items, net</w:t>
            </w:r>
          </w:p>
        </w:tc>
        <w:tc>
          <w:tcPr>
            <w:tcW w:w="106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-2605405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3201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330" w:lineRule="exact"/>
        <w:rPr>
          <w:sz w:val="20"/>
          <w:szCs w:val="20"/>
          <w:color w:val="auto"/>
        </w:rPr>
      </w:pPr>
    </w:p>
    <w:p>
      <w:pPr>
        <w:ind w:left="500" w:right="20" w:hanging="330"/>
        <w:spacing w:after="0" w:line="225" w:lineRule="auto"/>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PSP Agreement. See Note 1 to AAG's Condensed Consolidated Financial Statements in Part I, Item 1A for further information.</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our operation due to COVID-19.</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Transport Workers Union and International Association of Machinists &amp; Aerospace Workers (the TWU-IAM Association) for our maintenance and fleet service team members, including signing bonuses and adjustments to vacation accruals resulting from pay rate increases.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61"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Fleet impairment resulted from our decision to retire certain aircraft earlier than planned driven by the decline in air travel due to COVID-19. Aircraft retired include certain Embraer 140 and Bombardier CRJ200 aircraft. The three months ended June 30, 2020 primarily included a non-cash write-down of regional aircraft and spare parts. See Note 13 to AAG’s Condensed Consolidated Financial Statements in Part I, Item 1A for further information related to these charges.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796" w:right="339" w:bottom="1440" w:gutter="0" w:footer="0" w:header="0"/>
        </w:sectPr>
      </w:pPr>
    </w:p>
    <w:bookmarkStart w:id="62" w:name="page63"/>
    <w:bookmarkEnd w:id="62"/>
    <w:p>
      <w:pPr>
        <w:ind w:left="30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52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gridSpan w:val="3"/>
          </w:tcPr>
          <w:p>
            <w:pPr>
              <w:jc w:val="center"/>
              <w:ind w:right="319"/>
              <w:spacing w:after="0" w:line="148" w:lineRule="exact"/>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102</w:t>
            </w: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98</w:t>
            </w:r>
          </w:p>
        </w:tc>
        <w:tc>
          <w:tcPr>
            <w:tcW w:w="144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-856615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-856615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-856615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Interest income and interest expense, net decreased in the second quarter of 2020 compared to the second quarter of 2019 generally as a result of lower returns on our short-term investments and lower interest rates on our variable-rate debt, respectively.</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second quarter of 2020, other nonoperating expense, net included $98 million of non-service related pension and other postretirement benefit plan income, offset in part by $11 million of net special charges associated with debt refinancings and extinguishments and $10 million of net foreign currency losses, principally associated with losses from Latin American currencies.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the second quarter of 2019, other nonoperating expense, net included $69 million of net special charges principally for mark-to-market unrealized losses associated with our equity investment in China Southern Airlines Company Limited (China Southern Airlines) and certain treasury rate lock derivative instruments and $ 11 million of net foreign currency losses, principally associated with losses from Latin American currencies. These charges were offset in part by $46 million of non-service related pension and other postretirement benefit plan income.</w:t>
      </w:r>
    </w:p>
    <w:p>
      <w:pPr>
        <w:spacing w:after="0" w:line="15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The increase in non-service related pension and other postretirement benefit plan income in the second quarter of 2020 as compared to the second quarter of 2019 is principally due to an increase in the expected return on pension plan assets.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In the second quarter of 2020, we recorded an income tax benefit of $592 million. Substantially all of our income or loss before income taxes is attributable to the United States.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As discussed above, our results of operations for the six months ended June 30, 2020 were significantly impacted by COVID-19. As a result, the comparison of these results to the six months ended June 30, 2019 are largely not meaningful. Refer to the "Financial Overview" above for discussion of our first six months of 2020 financial results and the impact of COVID-19 on our business.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7"/>
        </w:trPr>
        <w:tc>
          <w:tcPr>
            <w:tcW w:w="5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8,788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20,669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Cargo</w:t>
            </w:r>
          </w:p>
        </w:tc>
        <w:tc>
          <w:tcPr>
            <w:tcW w:w="380" w:type="dxa"/>
            <w:vAlign w:val="bottom"/>
          </w:tcPr>
          <w:p>
            <w:pPr>
              <w:spacing w:after="0"/>
              <w:rPr>
                <w:sz w:val="22"/>
                <w:szCs w:val="22"/>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c>
          <w:tcPr>
            <w:tcW w:w="144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50"/>
        </w:trPr>
        <w:tc>
          <w:tcPr>
            <w:tcW w:w="548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10,137</w:t>
            </w:r>
          </w:p>
        </w:tc>
        <w:tc>
          <w:tcPr>
            <w:tcW w:w="120" w:type="dxa"/>
            <w:vAlign w:val="bottom"/>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22,544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(12,407)</w:t>
            </w:r>
          </w:p>
        </w:tc>
        <w:tc>
          <w:tcPr>
            <w:tcW w:w="144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8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61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5" w:right="339" w:bottom="1440" w:gutter="0" w:footer="0" w:header="0"/>
        </w:sectPr>
      </w:pPr>
    </w:p>
    <w:bookmarkStart w:id="63" w:name="page64"/>
    <w:bookmarkEnd w:id="63"/>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420"/>
              <w:spacing w:after="0"/>
              <w:rPr>
                <w:sz w:val="20"/>
                <w:szCs w:val="20"/>
                <w:color w:val="auto"/>
              </w:rPr>
            </w:pPr>
            <w:r>
              <w:rPr>
                <w:rFonts w:ascii="Arial" w:cs="Arial" w:eastAsia="Arial" w:hAnsi="Arial"/>
                <w:sz w:val="14"/>
                <w:szCs w:val="14"/>
                <w:b w:val="1"/>
                <w:bCs w:val="1"/>
                <w:color w:val="auto"/>
              </w:rPr>
              <w:t>Decrease</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vs. Six Months Ended June 30, 2019</w:t>
            </w:r>
          </w:p>
        </w:tc>
        <w:tc>
          <w:tcPr>
            <w:tcW w:w="1020" w:type="dxa"/>
            <w:vAlign w:val="bottom"/>
            <w:tcBorders>
              <w:bottom w:val="single" w:sz="8" w:color="auto"/>
            </w:tcBorders>
          </w:tcPr>
          <w:p>
            <w:pPr>
              <w:spacing w:after="0"/>
              <w:rPr>
                <w:sz w:val="17"/>
                <w:szCs w:val="17"/>
                <w:color w:val="auto"/>
              </w:rPr>
            </w:pPr>
          </w:p>
        </w:tc>
      </w:tr>
      <w:tr>
        <w:trPr>
          <w:trHeight w:val="175"/>
        </w:trPr>
        <w:tc>
          <w:tcPr>
            <w:tcW w:w="3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Load</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r>
      <w:tr>
        <w:trPr>
          <w:trHeight w:val="196"/>
        </w:trPr>
        <w:tc>
          <w:tcPr>
            <w:tcW w:w="3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RPMs</w:t>
            </w:r>
          </w:p>
        </w:tc>
        <w:tc>
          <w:tcPr>
            <w:tcW w:w="100" w:type="dxa"/>
            <w:vAlign w:val="bottom"/>
          </w:tcPr>
          <w:p>
            <w:pPr>
              <w:spacing w:after="0"/>
              <w:rPr>
                <w:sz w:val="17"/>
                <w:szCs w:val="17"/>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7"/>
                <w:szCs w:val="17"/>
                <w:color w:val="auto"/>
              </w:rPr>
            </w:pPr>
          </w:p>
        </w:tc>
        <w:tc>
          <w:tcPr>
            <w:tcW w:w="12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PRASM</w:t>
            </w:r>
          </w:p>
        </w:tc>
      </w:tr>
      <w:tr>
        <w:trPr>
          <w:trHeight w:val="250"/>
        </w:trPr>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6"/>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(18.3)pts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bl>
    <w:p>
      <w:pPr>
        <w:spacing w:after="0" w:line="161"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Total operating revenues in the first six months of 2020 decreased $12.4 billion, or 55.0%, from the first six months of 2019, primarily due to a decline in passenger demand and government travel restrictions related to COVID-19.</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4"/>
                <w:szCs w:val="14"/>
                <w:color w:val="auto"/>
              </w:rPr>
            </w:pPr>
          </w:p>
        </w:tc>
        <w:tc>
          <w:tcPr>
            <w:tcW w:w="14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tcPr>
          <w:p>
            <w:pPr>
              <w:jc w:val="center"/>
              <w:ind w:left="594"/>
              <w:spacing w:after="0" w:line="148" w:lineRule="exact"/>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vMerge w:val="restart"/>
          </w:tcPr>
          <w:p>
            <w:pPr>
              <w:jc w:val="right"/>
              <w:ind w:right="293"/>
              <w:spacing w:after="0" w:line="135" w:lineRule="exact"/>
              <w:rPr>
                <w:sz w:val="20"/>
                <w:szCs w:val="20"/>
                <w:color w:val="auto"/>
              </w:rPr>
            </w:pPr>
            <w:r>
              <w:rPr>
                <w:rFonts w:ascii="Arial" w:cs="Arial" w:eastAsia="Arial" w:hAnsi="Arial"/>
                <w:sz w:val="14"/>
                <w:szCs w:val="14"/>
                <w:b w:val="1"/>
                <w:bCs w:val="1"/>
                <w:color w:val="auto"/>
              </w:rPr>
              <w:t>Increase</w:t>
            </w:r>
          </w:p>
        </w:tc>
        <w:tc>
          <w:tcPr>
            <w:tcW w:w="144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63"/>
        </w:trPr>
        <w:tc>
          <w:tcPr>
            <w:tcW w:w="55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(611)</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63"/>
        </w:trPr>
        <w:tc>
          <w:tcPr>
            <w:tcW w:w="55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55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3"/>
        </w:trPr>
        <w:tc>
          <w:tcPr>
            <w:tcW w:w="5520" w:type="dxa"/>
            <w:vAlign w:val="bottom"/>
          </w:tcPr>
          <w:p>
            <w:pPr>
              <w:ind w:left="4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(621)</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4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21,016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Total operating expenses decreased $5.8 billion, or 27.8%, in the first six months of 2020 from the first six months of 2019 due to our reduced schedule and cost reduction actions as described in the "Financial Overview" above.</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Depreciation and amortization increased $90 million, or 9.2%, in the first six months of 2020 from the first six months of 2019 due in part to accelerated depreciation for certain aircraft and related equipment expected to be retired earlier than planned. Depreciation associated with facility improvements also contributed to the increase.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733" w:right="339" w:bottom="1440" w:gutter="0" w:footer="0" w:header="0"/>
        </w:sectPr>
      </w:pPr>
    </w:p>
    <w:bookmarkStart w:id="64" w:name="page65"/>
    <w:bookmarkEnd w:id="64"/>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04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264"/>
        </w:trPr>
        <w:tc>
          <w:tcPr>
            <w:tcW w:w="20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r>
      <w:tr>
        <w:trPr>
          <w:trHeight w:val="209"/>
        </w:trPr>
        <w:tc>
          <w:tcPr>
            <w:tcW w:w="20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8"/>
                <w:szCs w:val="18"/>
                <w:color w:val="auto"/>
              </w:rPr>
            </w:pPr>
          </w:p>
        </w:tc>
      </w:tr>
      <w:tr>
        <w:trPr>
          <w:trHeight w:val="276"/>
        </w:trPr>
        <w:tc>
          <w:tcPr>
            <w:tcW w:w="7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(2)</w:t>
            </w:r>
          </w:p>
        </w:tc>
        <w:tc>
          <w:tcPr>
            <w:tcW w:w="10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(4)</w:t>
            </w:r>
          </w:p>
        </w:tc>
        <w:tc>
          <w:tcPr>
            <w:tcW w:w="10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(5)</w:t>
            </w:r>
          </w:p>
        </w:tc>
        <w:tc>
          <w:tcPr>
            <w:tcW w:w="10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6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Merger integration expenses</w:t>
            </w:r>
          </w:p>
        </w:tc>
        <w:tc>
          <w:tcPr>
            <w:tcW w:w="10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7"/>
        </w:trPr>
        <w:tc>
          <w:tcPr>
            <w:tcW w:w="7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(6)</w:t>
            </w: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76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operating special items, net</w:t>
            </w: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57"/>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Mainline operating special items, net</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324"/>
        </w:trPr>
        <w:tc>
          <w:tcPr>
            <w:tcW w:w="20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0"/>
        </w:trPr>
        <w:tc>
          <w:tcPr>
            <w:tcW w:w="7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(2)</w:t>
            </w:r>
          </w:p>
        </w:tc>
        <w:tc>
          <w:tcPr>
            <w:tcW w:w="10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0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Regional operating special items, net</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special items, net</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0"/>
        </w:trPr>
        <w:tc>
          <w:tcPr>
            <w:tcW w:w="20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37"/>
        </w:trPr>
        <w:tc>
          <w:tcPr>
            <w:tcW w:w="2080" w:type="dxa"/>
            <w:vAlign w:val="bottom"/>
            <w:tcBorders>
              <w:bottom w:val="single" w:sz="8" w:color="auto"/>
            </w:tcBorders>
          </w:tcPr>
          <w:p>
            <w:pPr>
              <w:spacing w:after="0"/>
              <w:rPr>
                <w:sz w:val="20"/>
                <w:szCs w:val="20"/>
                <w:color w:val="auto"/>
              </w:rPr>
            </w:pPr>
          </w:p>
        </w:tc>
        <w:tc>
          <w:tcPr>
            <w:tcW w:w="5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96" w:lineRule="exact"/>
        <w:rPr>
          <w:sz w:val="20"/>
          <w:szCs w:val="20"/>
          <w:color w:val="auto"/>
        </w:rPr>
      </w:pPr>
    </w:p>
    <w:p>
      <w:pPr>
        <w:ind w:left="500" w:right="20" w:hanging="330"/>
        <w:spacing w:after="0" w:line="225"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PSP Agreement. See Note 1 to AAG's Condensed Consolidated Financial Statements in Part I, Item 1A for further information.</w:t>
      </w:r>
    </w:p>
    <w:p>
      <w:pPr>
        <w:spacing w:after="0" w:line="81"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Fleet impairment resulted from our decision to retire certain aircraft earlier than planned driven by the decline in air travel due to COVID-19. Aircraft retired include Boeing 757, Boeing 767, Airbus A330-300, Embraer 190, certain Embraer 140 and Bombardier CRJ200 aircraft.</w:t>
      </w:r>
    </w:p>
    <w:p>
      <w:pPr>
        <w:spacing w:after="0" w:line="162" w:lineRule="exact"/>
        <w:rPr>
          <w:rFonts w:ascii="Arial" w:cs="Arial" w:eastAsia="Arial" w:hAnsi="Arial"/>
          <w:sz w:val="22"/>
          <w:szCs w:val="22"/>
          <w:color w:val="auto"/>
          <w:vertAlign w:val="superscript"/>
        </w:rPr>
      </w:pPr>
    </w:p>
    <w:p>
      <w:pPr>
        <w:jc w:val="both"/>
        <w:ind w:left="500"/>
        <w:spacing w:after="0" w:line="256" w:lineRule="auto"/>
        <w:rPr>
          <w:rFonts w:ascii="Arial" w:cs="Arial" w:eastAsia="Arial" w:hAnsi="Arial"/>
          <w:sz w:val="22"/>
          <w:szCs w:val="22"/>
          <w:color w:val="auto"/>
          <w:vertAlign w:val="superscript"/>
        </w:rPr>
      </w:pPr>
      <w:r>
        <w:rPr>
          <w:rFonts w:ascii="Arial" w:cs="Arial" w:eastAsia="Arial" w:hAnsi="Arial"/>
          <w:sz w:val="18"/>
          <w:szCs w:val="18"/>
          <w:color w:val="auto"/>
        </w:rPr>
        <w:t>The six months ended June 30, 2020 included a $784 million non-cash write-down of mainline and regional aircraft and spare parts and $76 million in write-offs of right-of-use (ROU) assets and lease return costs. See Note 13 to AAG’s Condensed Consolidated Financial Statements in Part I, Item 1A for further information related to these charges.</w:t>
      </w:r>
    </w:p>
    <w:p>
      <w:pPr>
        <w:spacing w:after="0" w:line="147"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our operation due to COVID-19.</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TWU-IAM Association for our maintenance and fleet service team members, including signing bonuses and adjustments to vacation accruals resulting from pay rate increases.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796" w:right="339" w:bottom="1440" w:gutter="0" w:footer="0" w:header="0"/>
        </w:sectPr>
      </w:pPr>
    </w:p>
    <w:bookmarkStart w:id="65" w:name="page66"/>
    <w:bookmarkEnd w:id="65"/>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3"/>
          </w:tcPr>
          <w:p>
            <w:pPr>
              <w:jc w:val="center"/>
              <w:ind w:right="279"/>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gridSpan w:val="3"/>
          </w:tcPr>
          <w:p>
            <w:pPr>
              <w:jc w:val="center"/>
              <w:ind w:right="279"/>
              <w:spacing w:after="0" w:line="148" w:lineRule="exact"/>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44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Interest income and interest expense, net decreased in the first six months of 2020 compared to the first six months of 2019 generally as a result of lower returns on our short-term investments and lower interest rates on our variable-rate debt, respectively.</w:t>
      </w:r>
    </w:p>
    <w:p>
      <w:pPr>
        <w:spacing w:after="0" w:line="14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first six months of 2020, other nonoperating income, net included $228 million of net special charges principally for mark-to-market unrealized losses associated with our equity investment in China Southern Airlines and certain treasury rate lock derivative instruments and $15 million of net foreign currency losses, principally associated with losses from Latin American currencies, offset in part by $207 million of non-service related pension and other postretirement benefit plan income.</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first six months of 2019, other nonoperating income, net principally included $89 million of non-service related pension and other postretirement benefit plan income, offset in part by $13 million of net foreign currency losses, principally associated with losses from Latin American currencies.</w:t>
      </w:r>
    </w:p>
    <w:p>
      <w:pPr>
        <w:spacing w:after="0" w:line="14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The increase in non-service related pension and other postretirement benefit plan income in the first six months of 2020 as compared to the first six months of 2019 is principally due to an increase in the expected return on pension plan assets.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In the first six months of 2020, we recorded an income tax benefit of $1.2 billion. Substantially all of our income or loss before income taxes is attributable to the United States.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discussed above, American's results of operations for the three months ended June 30, 2020 were significantly impacted by COVID-</w:t>
      </w:r>
    </w:p>
    <w:p>
      <w:pPr>
        <w:spacing w:after="0" w:line="9" w:lineRule="exact"/>
        <w:rPr>
          <w:sz w:val="20"/>
          <w:szCs w:val="20"/>
          <w:color w:val="auto"/>
        </w:rPr>
      </w:pPr>
    </w:p>
    <w:p>
      <w:pPr>
        <w:ind w:right="20" w:firstLine="8"/>
        <w:spacing w:after="0" w:line="261" w:lineRule="auto"/>
        <w:tabs>
          <w:tab w:leader="none" w:pos="3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a result, the comparison of these results to the three months ended June 30, 2019 are largely not meaningful. Refer to the "Financial Overview" above for discussion of American's second quarter of 2020 financial results and the impact of COVID-19 on American's business.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7"/>
        </w:trPr>
        <w:tc>
          <w:tcPr>
            <w:tcW w:w="516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Decrease</w:t>
            </w:r>
          </w:p>
        </w:tc>
        <w:tc>
          <w:tcPr>
            <w:tcW w:w="15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11,011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2"/>
                <w:szCs w:val="22"/>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156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50"/>
        </w:trPr>
        <w:tc>
          <w:tcPr>
            <w:tcW w:w="51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11,958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(10,336)</w:t>
            </w:r>
          </w:p>
        </w:tc>
        <w:tc>
          <w:tcPr>
            <w:tcW w:w="156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-856615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-856615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-856615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Total operating revenues in the second quarter of 2020 decreased $10.3 billion, or 86.4%, from the second quarter of 2019, primarily due to a decline in passenger demand and government travel restrictions related to COVID-19.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796" w:right="339" w:bottom="1440" w:gutter="0" w:footer="0" w:header="0"/>
        </w:sectPr>
      </w:pPr>
    </w:p>
    <w:bookmarkStart w:id="66" w:name="page67"/>
    <w:bookmarkEnd w:id="66"/>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6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gridSpan w:val="5"/>
          </w:tcPr>
          <w:p>
            <w:pPr>
              <w:jc w:val="center"/>
              <w:ind w:right="400"/>
              <w:spacing w:after="0" w:line="148"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3"/>
              <w:spacing w:after="0" w:line="135" w:lineRule="exact"/>
              <w:rPr>
                <w:sz w:val="20"/>
                <w:szCs w:val="20"/>
                <w:color w:val="auto"/>
              </w:rPr>
            </w:pPr>
            <w:r>
              <w:rPr>
                <w:rFonts w:ascii="Arial" w:cs="Arial" w:eastAsia="Arial" w:hAnsi="Arial"/>
                <w:sz w:val="14"/>
                <w:szCs w:val="14"/>
                <w:b w:val="1"/>
                <w:bCs w:val="1"/>
                <w:color w:val="auto"/>
              </w:rPr>
              <w:t>Increase</w:t>
            </w:r>
          </w:p>
        </w:tc>
        <w:tc>
          <w:tcPr>
            <w:tcW w:w="156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(Decrease)</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(660)</w:t>
            </w:r>
          </w:p>
        </w:tc>
        <w:tc>
          <w:tcPr>
            <w:tcW w:w="15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c>
          <w:tcPr>
            <w:tcW w:w="156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w:t>
            </w:r>
          </w:p>
        </w:tc>
        <w:tc>
          <w:tcPr>
            <w:tcW w:w="156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(1,615)</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-2399665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-2399665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-2399665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Total operating expenses decreased $6.8 billion, or 62.5%, in the second quarter of 2020 from the second quarter of 2019 due to American's reduced schedule and cost reduction actions as described in the "Financial Overview" above.</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r>
      <w:tr>
        <w:trPr>
          <w:trHeight w:val="263"/>
        </w:trPr>
        <w:tc>
          <w:tcPr>
            <w:tcW w:w="77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209"/>
        </w:trPr>
        <w:tc>
          <w:tcPr>
            <w:tcW w:w="7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2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r>
      <w:tr>
        <w:trPr>
          <w:trHeight w:val="27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106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(2)</w:t>
            </w:r>
          </w:p>
        </w:tc>
        <w:tc>
          <w:tcPr>
            <w:tcW w:w="106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(3)</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(4)</w:t>
            </w:r>
          </w:p>
        </w:tc>
        <w:tc>
          <w:tcPr>
            <w:tcW w:w="106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Merger integration expenses</w:t>
            </w:r>
          </w:p>
        </w:tc>
        <w:tc>
          <w:tcPr>
            <w:tcW w:w="10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(5)</w:t>
            </w:r>
          </w:p>
        </w:tc>
        <w:tc>
          <w:tcPr>
            <w:tcW w:w="106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64"/>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special items, net</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180"/>
              <w:spacing w:after="0"/>
              <w:rPr>
                <w:sz w:val="20"/>
                <w:szCs w:val="20"/>
                <w:color w:val="auto"/>
              </w:rPr>
            </w:pPr>
            <w:r>
              <w:rPr>
                <w:rFonts w:ascii="Arial" w:cs="Arial" w:eastAsia="Arial" w:hAnsi="Arial"/>
                <w:sz w:val="18"/>
                <w:szCs w:val="18"/>
                <w:color w:val="auto"/>
              </w:rPr>
              <w:t>Mainline operating special items, net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331"/>
        </w:trPr>
        <w:tc>
          <w:tcPr>
            <w:tcW w:w="77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(6)</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Regional operating special items, net</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special items, net</w:t>
            </w:r>
          </w:p>
        </w:tc>
        <w:tc>
          <w:tcPr>
            <w:tcW w:w="106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-2433955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3201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330" w:lineRule="exact"/>
        <w:rPr>
          <w:sz w:val="20"/>
          <w:szCs w:val="20"/>
          <w:color w:val="auto"/>
        </w:rPr>
      </w:pPr>
    </w:p>
    <w:p>
      <w:pPr>
        <w:ind w:left="500" w:right="20" w:hanging="330"/>
        <w:spacing w:after="0" w:line="225" w:lineRule="auto"/>
        <w:tabs>
          <w:tab w:leader="none" w:pos="50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PSP Agreement. See Note 1 to American's Condensed Consolidated Financial Statements in Part I, Item 1B for further information.</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American's operation due to COVID-19.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796" w:right="339" w:bottom="1440" w:gutter="0" w:footer="0" w:header="0"/>
        </w:sectPr>
      </w:pPr>
    </w:p>
    <w:bookmarkStart w:id="67" w:name="page68"/>
    <w:bookmarkEnd w:id="67"/>
    <w:p>
      <w:pPr>
        <w:jc w:val="both"/>
        <w:ind w:left="500" w:hanging="330"/>
        <w:spacing w:after="0" w:line="233" w:lineRule="auto"/>
        <w:tabs>
          <w:tab w:leader="none" w:pos="50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TWU-IAM Association for American's maintenance and fleet service team members, including signing bonuses and adjustments to vacation accruals resulting from pay rate increases.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61"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Fleet impairment resulted from American's decision to retire certain aircraft earlier than planned driven by the decline in air travel due to COVID-19. Aircraft retired include certain Embraer 140 and Bombardier CRJ200 aircraft. The three months ended June 30, 2020 primarily included a non-cash write-down of regional aircraft and spare parts. See Note 12 to American’s Condensed Consolidated Financial Statements in Part I, Item 1B for further information related to these charges.</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52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gridSpan w:val="3"/>
          </w:tcPr>
          <w:p>
            <w:pPr>
              <w:jc w:val="center"/>
              <w:ind w:right="319"/>
              <w:spacing w:after="0" w:line="148" w:lineRule="exact"/>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4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103</w:t>
            </w: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85</w:t>
            </w:r>
          </w:p>
        </w:tc>
        <w:tc>
          <w:tcPr>
            <w:tcW w:w="144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-856615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-856615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-856615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Interest income and interest expense, net decreased in the second quarter of 2020 compared to the second quarter of 2019 generally as a result of lower returns on American's short-term investments and lower interest rates on American's variable-rate debt, respectively.</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second quarter of 2020, other nonoperating expense, net included $98 million of non-service related pension and other postretirement benefit plan income, offset in part by $11 million of net special charges associated with debt refinancings and extinguishments and $10 million of net foreign currency losses, principally associated with losses from Latin American currencies.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second quarter of 2019, other nonoperating expense, net included $ 69 million of net special charges principally for mark-to-market unrealized losses associated with American's equity investment in China Southern Airlines and certain treasury rate lock derivative instruments and $ 11 million of net foreign currency losses, principally associated with losses from Latin American currencies. These charges were offset in part by $46 million of non-service related pension and other postretirement benefit plan income.</w:t>
      </w:r>
    </w:p>
    <w:p>
      <w:pPr>
        <w:spacing w:after="0" w:line="150"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The increase in non-service related pension and other postretirement benefit plan income in the second quarter of 2020 as compared to the second quarter of 2019 is principally due to an increase in the expected return on pension plan assets.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In the second quarter of 2020, American recorded an income tax benefit of $564 million. Substantially all of American’s income or loss before income taxes is attributable to the United States.</w:t>
      </w:r>
    </w:p>
    <w:p>
      <w:pPr>
        <w:spacing w:after="0" w:line="14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73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discussed above, American's results of operations for the six months ended June 30, 2020 were significantly impacted by COVID-19.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comparison of these results to the six months ended June 30, 2019 are largely not meaningful. Refer to the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Overview" above for discussion of American's first six months of 2020 financial results and the impact of COVID-19 on American's business.</w:t>
      </w:r>
    </w:p>
    <w:p>
      <w:pPr>
        <w:spacing w:after="0" w:line="39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99"/>
              </w:rPr>
              <w:t>June 30,</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7"/>
        </w:trPr>
        <w:tc>
          <w:tcPr>
            <w:tcW w:w="5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20,669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22"/>
                <w:szCs w:val="22"/>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144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50"/>
        </w:trPr>
        <w:tc>
          <w:tcPr>
            <w:tcW w:w="548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10,136</w:t>
            </w:r>
          </w:p>
        </w:tc>
        <w:tc>
          <w:tcPr>
            <w:tcW w:w="100" w:type="dxa"/>
            <w:vAlign w:val="bottom"/>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22,539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(12,403)</w:t>
            </w:r>
          </w:p>
        </w:tc>
        <w:tc>
          <w:tcPr>
            <w:tcW w:w="144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Total operating revenues in the first six months of 2020 decreased $12.4 billion, or 55.0%, from the first six months of 2019, primarily due to a decline in passenger demand and government travel restrictions related to COVID-19.</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6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gridSpan w:val="5"/>
          </w:tcPr>
          <w:p>
            <w:pPr>
              <w:jc w:val="center"/>
              <w:ind w:right="400"/>
              <w:spacing w:after="0" w:line="148"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3"/>
              <w:spacing w:after="0" w:line="135" w:lineRule="exact"/>
              <w:rPr>
                <w:sz w:val="20"/>
                <w:szCs w:val="20"/>
                <w:color w:val="auto"/>
              </w:rPr>
            </w:pPr>
            <w:r>
              <w:rPr>
                <w:rFonts w:ascii="Arial" w:cs="Arial" w:eastAsia="Arial" w:hAnsi="Arial"/>
                <w:sz w:val="14"/>
                <w:szCs w:val="14"/>
                <w:b w:val="1"/>
                <w:bCs w:val="1"/>
                <w:color w:val="auto"/>
              </w:rPr>
              <w:t>Increase</w:t>
            </w:r>
          </w:p>
        </w:tc>
        <w:tc>
          <w:tcPr>
            <w:tcW w:w="156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(Decrease)</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5,676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w:t>
            </w:r>
          </w:p>
        </w:tc>
        <w:tc>
          <w:tcPr>
            <w:tcW w:w="15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c>
          <w:tcPr>
            <w:tcW w:w="156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w:t>
            </w:r>
          </w:p>
        </w:tc>
        <w:tc>
          <w:tcPr>
            <w:tcW w:w="156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2,793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162"/>
        <w:spacing w:after="0" w:line="261" w:lineRule="auto"/>
        <w:rPr>
          <w:sz w:val="20"/>
          <w:szCs w:val="20"/>
          <w:color w:val="auto"/>
        </w:rPr>
      </w:pPr>
      <w:r>
        <w:rPr>
          <w:rFonts w:ascii="Arial" w:cs="Arial" w:eastAsia="Arial" w:hAnsi="Arial"/>
          <w:sz w:val="18"/>
          <w:szCs w:val="18"/>
          <w:color w:val="auto"/>
        </w:rPr>
        <w:t>Total operating expenses decreased $6.0 billion, or 28.3%, in the first six months of 2020 from the first six months of 2019 due to American's reduced schedule and cost reduction actions as described in the "Financial Overview" above.</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Depreciation and amortization increased $90 million, or 9.2%, in the first six months of 2020 from the first six months of 2019 due in part to accelerated depreciation for certain aircraft and related equipment expected to be retired earlier than planned. Depreciation associated with facility improvements also contributed to the increase.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792" w:right="339" w:bottom="1440" w:gutter="0" w:footer="0" w:header="0"/>
        </w:sectPr>
      </w:pPr>
    </w:p>
    <w:bookmarkStart w:id="69" w:name="page70"/>
    <w:bookmarkEnd w:id="69"/>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263"/>
        </w:trPr>
        <w:tc>
          <w:tcPr>
            <w:tcW w:w="75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r>
      <w:tr>
        <w:trPr>
          <w:trHeight w:val="210"/>
        </w:trPr>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20" w:type="dxa"/>
            <w:vAlign w:val="bottom"/>
            <w:gridSpan w:val="3"/>
          </w:tcPr>
          <w:p>
            <w:pPr>
              <w:jc w:val="right"/>
              <w:ind w:right="775"/>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8"/>
                <w:szCs w:val="18"/>
                <w:color w:val="auto"/>
              </w:rPr>
            </w:pPr>
          </w:p>
        </w:tc>
      </w:tr>
      <w:tr>
        <w:trPr>
          <w:trHeight w:val="27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112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520" w:type="dxa"/>
            <w:vAlign w:val="bottom"/>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(2)</w:t>
            </w:r>
          </w:p>
        </w:tc>
        <w:tc>
          <w:tcPr>
            <w:tcW w:w="11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520" w:type="dxa"/>
            <w:vAlign w:val="bottom"/>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(4)</w:t>
            </w:r>
          </w:p>
        </w:tc>
        <w:tc>
          <w:tcPr>
            <w:tcW w:w="11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(5)</w:t>
            </w:r>
          </w:p>
        </w:tc>
        <w:tc>
          <w:tcPr>
            <w:tcW w:w="1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Merger integration expenses</w:t>
            </w:r>
          </w:p>
        </w:tc>
        <w:tc>
          <w:tcPr>
            <w:tcW w:w="1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7"/>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(6)</w:t>
            </w:r>
          </w:p>
        </w:tc>
        <w:tc>
          <w:tcPr>
            <w:tcW w:w="1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operating special items, net</w:t>
            </w:r>
          </w:p>
        </w:tc>
        <w:tc>
          <w:tcPr>
            <w:tcW w:w="1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57"/>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Mainline operating special items, net</w:t>
            </w:r>
          </w:p>
        </w:tc>
        <w:tc>
          <w:tcPr>
            <w:tcW w:w="112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324"/>
        </w:trPr>
        <w:tc>
          <w:tcPr>
            <w:tcW w:w="7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1"/>
                <w:szCs w:val="21"/>
                <w:color w:val="auto"/>
                <w:vertAlign w:val="superscript"/>
              </w:rPr>
              <w:t>(1)</w:t>
            </w: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(2)</w:t>
            </w:r>
          </w:p>
        </w:tc>
        <w:tc>
          <w:tcPr>
            <w:tcW w:w="1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Regional operating special items, net</w:t>
            </w:r>
          </w:p>
        </w:tc>
        <w:tc>
          <w:tcPr>
            <w:tcW w:w="1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520" w:type="dxa"/>
            <w:vAlign w:val="bottom"/>
          </w:tcPr>
          <w:p>
            <w:pPr>
              <w:ind w:left="280"/>
              <w:spacing w:after="0"/>
              <w:rPr>
                <w:sz w:val="20"/>
                <w:szCs w:val="20"/>
                <w:color w:val="auto"/>
              </w:rPr>
            </w:pPr>
            <w:r>
              <w:rPr>
                <w:rFonts w:ascii="Arial" w:cs="Arial" w:eastAsia="Arial" w:hAnsi="Arial"/>
                <w:sz w:val="18"/>
                <w:szCs w:val="18"/>
                <w:color w:val="auto"/>
              </w:rPr>
              <w:t>Operating special items, net</w:t>
            </w:r>
          </w:p>
        </w:tc>
        <w:tc>
          <w:tcPr>
            <w:tcW w:w="1120" w:type="dxa"/>
            <w:vAlign w:val="bottom"/>
            <w:tcBorders>
              <w:bottom w:val="single" w:sz="8" w:color="auto"/>
            </w:tcBorders>
          </w:tcPr>
          <w:p>
            <w:pPr>
              <w:jc w:val="right"/>
              <w:ind w:right="91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101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r>
      <w:tr>
        <w:trPr>
          <w:trHeight w:val="20"/>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201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30" w:lineRule="exact"/>
        <w:rPr>
          <w:sz w:val="20"/>
          <w:szCs w:val="20"/>
          <w:color w:val="auto"/>
        </w:rPr>
      </w:pPr>
    </w:p>
    <w:p>
      <w:pPr>
        <w:ind w:left="500" w:right="20" w:hanging="330"/>
        <w:spacing w:after="0" w:line="225"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PSP Financial Assistance represents recognition of a portion of financial assistance received from Treasury pursuant to the PSP Agreement. See Note 1 to American's Condensed Consolidated Financial Statements in Part I, Item 1B for further information.</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Fleet impairment resulted from American's decision to retire certain aircraft earlier than planned driven by the decline in air travel due to COVID-19. Aircraft retired include Boeing 757, Boeing 767, Airbus A330-300, Embraer 190, certain Embraer 140 and Bombardier CRJ200 aircraft.</w:t>
      </w:r>
    </w:p>
    <w:p>
      <w:pPr>
        <w:spacing w:after="0" w:line="162" w:lineRule="exact"/>
        <w:rPr>
          <w:rFonts w:ascii="Arial" w:cs="Arial" w:eastAsia="Arial" w:hAnsi="Arial"/>
          <w:sz w:val="22"/>
          <w:szCs w:val="22"/>
          <w:color w:val="auto"/>
          <w:vertAlign w:val="superscript"/>
        </w:rPr>
      </w:pPr>
    </w:p>
    <w:p>
      <w:pPr>
        <w:jc w:val="both"/>
        <w:ind w:left="500"/>
        <w:spacing w:after="0" w:line="256" w:lineRule="auto"/>
        <w:rPr>
          <w:rFonts w:ascii="Arial" w:cs="Arial" w:eastAsia="Arial" w:hAnsi="Arial"/>
          <w:sz w:val="22"/>
          <w:szCs w:val="22"/>
          <w:color w:val="auto"/>
          <w:vertAlign w:val="superscript"/>
        </w:rPr>
      </w:pPr>
      <w:r>
        <w:rPr>
          <w:rFonts w:ascii="Arial" w:cs="Arial" w:eastAsia="Arial" w:hAnsi="Arial"/>
          <w:sz w:val="18"/>
          <w:szCs w:val="18"/>
          <w:color w:val="auto"/>
        </w:rPr>
        <w:t>The six months ended June 30, 2020 included a $773 million non-cash write-down of mainline and regional aircraft and spare parts and $76 million in write-offs of ROU assets and lease return costs. See Note 12 to American’s Condensed Consolidated Financial Statements in Part I, Item 1B for further information related to these charges.</w:t>
      </w:r>
    </w:p>
    <w:p>
      <w:pPr>
        <w:spacing w:after="0" w:line="147"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voluntary early retirement programs offered as a result of reductions to American's operation due to COVID-19.</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TWU-IAM Association for American's maintenance and fleet service team members, including signing bonuses and adjustments to vacation accruals resulting from pay rate increases.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796" w:right="339" w:bottom="1440" w:gutter="0" w:footer="0" w:header="0"/>
        </w:sectPr>
      </w:pPr>
    </w:p>
    <w:bookmarkStart w:id="70" w:name="page71"/>
    <w:bookmarkEnd w:id="70"/>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3"/>
          </w:tcPr>
          <w:p>
            <w:pPr>
              <w:jc w:val="center"/>
              <w:ind w:right="279"/>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gridSpan w:val="3"/>
          </w:tcPr>
          <w:p>
            <w:pPr>
              <w:jc w:val="center"/>
              <w:ind w:right="279"/>
              <w:spacing w:after="0" w:line="148" w:lineRule="exact"/>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39</w:t>
            </w: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Interest income and interest expense, net decreased in the first six months of 2020 compared to the first six months of 2019 generally as a result of lower returns on American's short-term investments and lower interest-bearing related party receivables from American's parent company, AAG, and lower interest rates on American's variable-rate debt, respectively.</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first six months of 2020, other nonoperating income, net included $228 million of net special charges principally for mark-to-market unrealized losses associated with American's equity investment in China Southern Airlines and certain treasury rate lock derivative instruments and $15 million of net foreign currency losses, principally associated with losses from Latin American currencies, offset in part by $206 million of non-service related pension and other postretirement benefit plan income.</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first six months of 2019, other nonoperating income, net principally included $90 million of non-service related pension and other postretirement benefit plan income, offset in part by $13 million of net foreign currency losses, principally associated with losses from Latin American currencies.</w:t>
      </w:r>
    </w:p>
    <w:p>
      <w:pPr>
        <w:spacing w:after="0" w:line="14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The increase in non-service related pension and other postretirement benefit plan income in the first six months of 2020 as compared to the first six months of 2019 is principally due to an increase in the expected return on pension plan assets.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In the first six months of 2020, American recorded an income tax benefit of $1.2 billion. Substantially all of American’s income or loss before income taxes is attributable to the United States.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As of June 30, 2020, AAG had approximately $10.2 billion in total available liquidity and $539 million in restricted cash and short-term investments. Additional detail regarding our available liquidity is provided in the table below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AAG</w:t>
            </w: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263"/>
        </w:trPr>
        <w:tc>
          <w:tcPr>
            <w:tcW w:w="4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22"/>
                <w:szCs w:val="22"/>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22"/>
                <w:szCs w:val="22"/>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452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2"/>
                <w:szCs w:val="22"/>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9,351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9,349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3,543</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Undrawn revolving credit facilities</w:t>
            </w:r>
          </w:p>
        </w:tc>
        <w:tc>
          <w:tcPr>
            <w:tcW w:w="24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3,243</w:t>
            </w: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Total available liquidity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10,213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10,201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7,053</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19"/>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71" w:name="page72"/>
    <w:bookmarkEnd w:id="71"/>
    <w:p>
      <w:pPr>
        <w:jc w:val="both"/>
        <w:ind w:firstLine="243"/>
        <w:spacing w:after="0" w:line="253" w:lineRule="auto"/>
        <w:rPr>
          <w:sz w:val="20"/>
          <w:szCs w:val="20"/>
          <w:color w:val="auto"/>
        </w:rPr>
      </w:pPr>
      <w:r>
        <w:rPr>
          <w:rFonts w:ascii="Arial" w:cs="Arial" w:eastAsia="Arial" w:hAnsi="Arial"/>
          <w:sz w:val="18"/>
          <w:szCs w:val="18"/>
          <w:color w:val="auto"/>
        </w:rPr>
        <w:t>Given the actions we have taken in response to COVID-19 and our assumptions about its future impact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to be provided pursuant to the CARES Act) and projected cash flows from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 and Cash Dividends</w:t>
      </w:r>
    </w:p>
    <w:p>
      <w:pPr>
        <w:spacing w:after="0" w:line="112"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During the six months ended June 30, 2020, we repurchased 6.4 million shares of AAG common stock for $145 million at a weighted average cost per share of $22.77, all of which were purchased in the first quarter of 2020.</w:t>
      </w:r>
    </w:p>
    <w:p>
      <w:pPr>
        <w:spacing w:after="0" w:line="144"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In January 2020, our Board of Directors declared a cash dividend of $0.10 per share for stockholders of record as of February 5, 2020 and paid on February 19, 2020, totaling $43 million.</w:t>
      </w:r>
    </w:p>
    <w:p>
      <w:pPr>
        <w:spacing w:after="0" w:line="14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suspended our capital return program, including share repurchases and the payment of future dividends. In connection with our receipt of financial assistance under the Payroll Support Program, we agreed not to repurchase shares of or make dividend payments in respect of AAG common stock through September 30, 2021. If we receive a secured loan from Treasury pursuant to the CARES Act, we will be prohibited from repurchasing shares of AAG common stock and the payment of common stock dividends through the date that is one year after such secured loan is fully repaid.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Certain of our debt financing agreements (including our secured notes, term loans, revolving credit facilities and spare engine EETCs) contain loan to value ratio covenants and require us to appraise the related collateral annually or semi-annually. Pursuant to such agreements, if the loan to value ratio exceeds a specified threshold or the value of the appraised collateral fails to meet a specified threshold, as the case may be, we are required, as applicable, to pledge additional qualifying collateral (which in some cases may include cash or investment securities), or pay down such financing, in whole or in part. As of the most recent applicable measurement dates, we were in compliance with each of the foregoing collateral coverage tests. Additionally, certain of our debt financing agreements contain covenants requiring us to maintain an aggregate of at least $2.0 billion of unrestricted cash and cash equivalents and amounts available to be drawn under revolving credit facilities.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net cash used in operating activities was $1.1 billion for the first six months of 2020 as compared to net cash provided by operating activities of $ 2.4 billion for the first six months of 2019. The $3.5 billion period-over-period decrease in operating cash flows was primarily due to a net loss in the first six months of 2020. The net loss was primarily driven by lower revenues as a result of declining passenger demand and government travel restrictions related to COVID-19, offset in part by a decrease in expenses due to our reduced schedule and cost reduction actions. Additionally, we received cash proceeds of $3.7 billion in the first six months of 2020 associated with the PSP Financial Assistance.</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$7.0 billion and $2.4 billion for the first six months of 2020 and 2019, respectively.</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investing activities in the first six months of 2020 included $5.8 billion in net purchases of short-term investments, expenditures of $1.2 billion for property and equipment, including six Airbus 321neo aircraft, three Embraer 175 aircraft and three Bombardier CRJ900 aircraft as well as a $386 million increase in restricted short-term investments primarily related to cash proceeds from special facility revenue bonds. These cash outflows were offset in part by $376 million of proceeds primarily from aircraft sale-leaseback transactions and $148 million of proceeds from the sale of property and equipment.</w:t>
      </w:r>
    </w:p>
    <w:p>
      <w:pPr>
        <w:spacing w:after="0" w:line="15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principal investing activities in the first six months of 2019 included expenditures of $2.3 billion for property and equipment, including 13 Embraer 175 aircraft, five Airbus 321neo aircraft, five Bombardier CRJ900 aircraft, four Boeing 737 MAX aircraft and two Boeing 787 Family aircraft as well as $590 million in net purchases of short-term investments. These cash outflows were offset in part by $518 million of proceeds primarily from aircraft sale-leaseback transactions.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733" w:right="339" w:bottom="1440" w:gutter="0" w:footer="0" w:header="0"/>
        </w:sectPr>
      </w:pPr>
    </w:p>
    <w:bookmarkStart w:id="72" w:name="page73"/>
    <w:bookmarkEnd w:id="72"/>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provided by financing activities was $8.2 billion and $70 million for the first six months of 2020 and 2019, respectively.</w:t>
      </w:r>
    </w:p>
    <w:p>
      <w:pPr>
        <w:spacing w:after="0" w:line="17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principal financing activities in the first six months of 2020 included $9.5 billion in proceeds from the issuance of debt and $1.5 billion in proceeds from the issuance of equity. These proceeds principally include $2.8 billion borrowed under the 2014 Revolving Facility, the 2013 Revolving Facility and the April 2016 Revolving Facility, $2.5 billion in aggregate principal amount of 11.75% senior secured notes, $1.5 billion in aggregate principal amount under the PSP Promissory Note, $1.0 billion in aggregate principal amount of AAG’s 6.50% convertible senior notes, $1.0 billion under the Delayed Draw Term Loan Credit Facility, $500 million in aggregate principal amount of 3.75% unsecured senior notes due 2025 and the $360 million issuance of special facility revenue bonds as well as $1.1 billion of net proceeds from a public offering of common stock. These cash inflows were offset in part by $2.5 billion in debt repayments, consisting of approximately $1.5 billion in scheduled debt repayments, including repayment of $500 million of 4.625% senior notes, and the prepayment of the $1.0 billion Delayed Draw Term Loan Credit Facility, as well as $173 million in share repurchases (which occurred in the first quarter of 2020), $84 million of deferred financing costs and $43 million in dividend payments (which occurred in the first quarter of 2020).</w:t>
      </w:r>
    </w:p>
    <w:p>
      <w:pPr>
        <w:spacing w:after="0" w:line="15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principal financing activities in the first six months of 2019 included proceeds of $2.6 billion from the issuance of debt, including the issuance of $750 million principal amount of 5.000% senior notes and the financing of certain aircraft and spare engines. These cash inflows were offset in part by $1.8 billion in debt repayments, consisting of $1.3 billion in scheduled debt repayments and the prepayment of $464 million of secured loans. We also had $625 million in share repurchases and $90 million in dividend payments.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American’s net cash provided by operating activities was $2.3 billion for each of the first six months of 2020 and 2019. American's operating cash flow in the first six months of 2020 was flat as compared to the first six months of 2019 as intercompany cash receipts from AAG's financing transactions more than offset the decrease in operating cash flow due to a net loss in the first six months of 2020. The net loss was primarily driven by lower revenues as a result of declining passenger demand and government travel restrictions related to COVID-19, offset in part by a decrease in expenses due to American's reduced schedule and cost reduction actions. Additionally, American received cash proceeds of $3.3 billion in the first six months of 2020 associated with the PSP Financial Assistance.</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$6.9 billion and $2.3 billion for the first six months of 2020 and 2019, respectively.</w:t>
      </w:r>
    </w:p>
    <w:p>
      <w:pPr>
        <w:spacing w:after="0" w:line="17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American’s principal investing activities in the first six months of 2020 included $5.8 billion in net purchases of short-term investments, expenditures of $1.2 billion for property and equipment, including six Airbus 321neo aircraft, three Embraer 175 aircraft and three Bombardier CRJ900 aircraft as well as a $386 million increase in restricted short-term investments primarily related to cash proceeds from special facility revenue bonds. These cash outflows were offset in part by $376 million of proceeds primarily from aircraft sale-leaseback transactions and $148 million of proceeds from the sale of property and equipment.</w:t>
      </w:r>
    </w:p>
    <w:p>
      <w:pPr>
        <w:spacing w:after="0" w:line="15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principal investing activities in the first six months of 2019 included expenditures of $2.3 billion for property and equipment, including 13 Embraer 175 aircraft, five Airbus 321neo aircraft, five Bombardier CRJ900 aircraft, four Boeing 737 MAX aircraft and two Boeing 787 Family aircraft as well as $579 million in net purchases of short-term investments. These cash outflows were offset in part by $518 million of proceeds primarily from aircraft sale-leaseback transactions.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provided by financing activities was $4.8 billion and $45 million for the first six months of 2020 and 2019, respectively.</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financing activities in the first six months of 2020 included $6.9 billion in proceeds from the issuance of debt, including $2.8 billion borrowed under the 2014 Revolving Facility, the 2013 Revolving Facility and the April 2016 Revolving Facility, $2.5 billion in aggregate principal amount of 11.75% senior secured notes, $1.0 billion under the Delayed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796" w:right="339" w:bottom="1440" w:gutter="0" w:footer="0" w:header="0"/>
        </w:sectPr>
      </w:pPr>
    </w:p>
    <w:bookmarkStart w:id="73" w:name="page74"/>
    <w:bookmarkEnd w:id="73"/>
    <w:p>
      <w:pPr>
        <w:jc w:val="both"/>
        <w:spacing w:after="0" w:line="256" w:lineRule="auto"/>
        <w:rPr>
          <w:sz w:val="20"/>
          <w:szCs w:val="20"/>
          <w:color w:val="auto"/>
        </w:rPr>
      </w:pPr>
      <w:r>
        <w:rPr>
          <w:rFonts w:ascii="Arial" w:cs="Arial" w:eastAsia="Arial" w:hAnsi="Arial"/>
          <w:sz w:val="18"/>
          <w:szCs w:val="18"/>
          <w:color w:val="auto"/>
        </w:rPr>
        <w:t>Draw Term Loan Credit Facility and the $360 million issuance of special facility revenue bonds. These cash inflows were offset in part by $2.0 billion in debt repayments, consisting of the prepayment of the $1.0 billion Delayed Draw Term Loan Credit Facility and approximately $1.0 billion in scheduled debt repayments, as well as $75 million of deferred financing costs.</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financing activities in the first six months of 2019 included proceeds of $1.8 billion from the issuance of debt for the financing of certain aircraft and spare engines. These cash inflows were offset in part by $1.8 billion in debt repayments, consisting of $1.3 billion in scheduled debt repayments and the prepayment of $464 million of secured loans.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June 30, 2020, AAG had $31.4 billion in long-term debt, including current maturities of $2.5 billion. As of June 30, 2020, American had $27.6 billion in long-term debt, including current maturities of $ 2.5 billion. All material changes in our significant indebtedness since our 2019 Form 10-K are discussed in Note 6 to AAG’s Condensed Consolidated Financial Statements in Part I, Item 1A and Note 4 to American’s Condensed Consolidated Financial Statements in Part I, Item 1B.</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112"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8"/>
          <w:szCs w:val="18"/>
          <w:color w:val="auto"/>
        </w:rPr>
        <w:t xml:space="preserve">As of June 30, 2020, we had definitive purchase agreements with Airbus, Boeing and Embraer for the acquisition of the following mainline and regional aircraft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Remainder</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2025 and</w:t>
            </w:r>
          </w:p>
        </w:tc>
        <w:tc>
          <w:tcPr>
            <w:tcW w:w="100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of 2020</w:t>
            </w: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89"/>
        </w:trPr>
        <w:tc>
          <w:tcPr>
            <w:tcW w:w="40" w:type="dxa"/>
            <w:vAlign w:val="bottom"/>
            <w:tcBorders>
              <w:top w:val="single" w:sz="8" w:color="CCEEFF"/>
            </w:tcBorders>
            <w:shd w:val="clear" w:color="auto" w:fill="CCEEFF"/>
          </w:tcPr>
          <w:p>
            <w:pPr>
              <w:spacing w:after="0"/>
              <w:rPr>
                <w:sz w:val="16"/>
                <w:szCs w:val="16"/>
                <w:color w:val="auto"/>
              </w:rPr>
            </w:pPr>
          </w:p>
        </w:tc>
        <w:tc>
          <w:tcPr>
            <w:tcW w:w="312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Airbus</w:t>
            </w:r>
          </w:p>
        </w:tc>
        <w:tc>
          <w:tcPr>
            <w:tcW w:w="12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r>
      <w:tr>
        <w:trPr>
          <w:trHeight w:val="270"/>
        </w:trPr>
        <w:tc>
          <w:tcPr>
            <w:tcW w:w="40" w:type="dxa"/>
            <w:vAlign w:val="bottom"/>
          </w:tcPr>
          <w:p>
            <w:pPr>
              <w:spacing w:after="0"/>
              <w:rPr>
                <w:sz w:val="23"/>
                <w:szCs w:val="23"/>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 xml:space="preserve">A320 Family </w:t>
            </w:r>
            <w:r>
              <w:rPr>
                <w:rFonts w:ascii="Arial" w:cs="Arial" w:eastAsia="Arial" w:hAnsi="Arial"/>
                <w:sz w:val="21"/>
                <w:szCs w:val="21"/>
                <w:color w:val="auto"/>
                <w:vertAlign w:val="superscript"/>
              </w:rPr>
              <w:t>(2)</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102</w:t>
            </w:r>
          </w:p>
        </w:tc>
      </w:tr>
      <w:tr>
        <w:trPr>
          <w:trHeight w:val="203"/>
        </w:trPr>
        <w:tc>
          <w:tcPr>
            <w:tcW w:w="40" w:type="dxa"/>
            <w:vAlign w:val="bottom"/>
            <w:shd w:val="clear" w:color="auto" w:fill="CCEEFF"/>
          </w:tcPr>
          <w:p>
            <w:pPr>
              <w:spacing w:after="0"/>
              <w:rPr>
                <w:sz w:val="17"/>
                <w:szCs w:val="17"/>
                <w:color w:val="auto"/>
              </w:rPr>
            </w:pPr>
          </w:p>
        </w:tc>
        <w:tc>
          <w:tcPr>
            <w:tcW w:w="31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Boeing</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r>
      <w:tr>
        <w:trPr>
          <w:trHeight w:val="270"/>
        </w:trPr>
        <w:tc>
          <w:tcPr>
            <w:tcW w:w="40" w:type="dxa"/>
            <w:vAlign w:val="bottom"/>
          </w:tcPr>
          <w:p>
            <w:pPr>
              <w:spacing w:after="0"/>
              <w:rPr>
                <w:sz w:val="23"/>
                <w:szCs w:val="23"/>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 xml:space="preserve">737 MAX Family </w:t>
            </w:r>
            <w:r>
              <w:rPr>
                <w:rFonts w:ascii="Arial" w:cs="Arial" w:eastAsia="Arial" w:hAnsi="Arial"/>
                <w:sz w:val="21"/>
                <w:szCs w:val="21"/>
                <w:color w:val="auto"/>
                <w:vertAlign w:val="superscript"/>
              </w:rPr>
              <w:t>(3)</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70"/>
        </w:trPr>
        <w:tc>
          <w:tcPr>
            <w:tcW w:w="40" w:type="dxa"/>
            <w:vAlign w:val="bottom"/>
            <w:shd w:val="clear" w:color="auto" w:fill="CCEEFF"/>
          </w:tcPr>
          <w:p>
            <w:pPr>
              <w:spacing w:after="0"/>
              <w:rPr>
                <w:sz w:val="23"/>
                <w:szCs w:val="23"/>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r>
      <w:tr>
        <w:trPr>
          <w:trHeight w:val="202"/>
        </w:trPr>
        <w:tc>
          <w:tcPr>
            <w:tcW w:w="40" w:type="dxa"/>
            <w:vAlign w:val="bottom"/>
          </w:tcPr>
          <w:p>
            <w:pPr>
              <w:spacing w:after="0"/>
              <w:rPr>
                <w:sz w:val="17"/>
                <w:szCs w:val="17"/>
                <w:color w:val="auto"/>
              </w:rPr>
            </w:pPr>
          </w:p>
        </w:tc>
        <w:tc>
          <w:tcPr>
            <w:tcW w:w="31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Embraer</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E175</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37"/>
        </w:trPr>
        <w:tc>
          <w:tcPr>
            <w:tcW w:w="40" w:type="dxa"/>
            <w:vAlign w:val="bottom"/>
          </w:tcPr>
          <w:p>
            <w:pPr>
              <w:spacing w:after="0"/>
              <w:rPr>
                <w:sz w:val="20"/>
                <w:szCs w:val="20"/>
                <w:color w:val="auto"/>
              </w:rPr>
            </w:pPr>
          </w:p>
        </w:tc>
        <w:tc>
          <w:tcPr>
            <w:tcW w:w="3120" w:type="dxa"/>
            <w:vAlign w:val="bottom"/>
            <w:gridSpan w:val="4"/>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201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80" w:right="20" w:hanging="329"/>
        <w:spacing w:after="0" w:line="225" w:lineRule="auto"/>
        <w:tabs>
          <w:tab w:leader="none" w:pos="58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Delivery schedule represents our best estimate as of the date of this report. Actual delivery dates are subject to change based on many potential factors including production delays by the manufacturer.</w:t>
      </w:r>
    </w:p>
    <w:p>
      <w:pPr>
        <w:spacing w:after="0" w:line="162" w:lineRule="exact"/>
        <w:rPr>
          <w:rFonts w:ascii="Arial" w:cs="Arial" w:eastAsia="Arial" w:hAnsi="Arial"/>
          <w:sz w:val="22"/>
          <w:szCs w:val="22"/>
          <w:color w:val="auto"/>
          <w:vertAlign w:val="superscript"/>
        </w:rPr>
      </w:pPr>
    </w:p>
    <w:p>
      <w:pPr>
        <w:jc w:val="both"/>
        <w:ind w:left="580" w:hanging="329"/>
        <w:spacing w:after="0" w:line="239" w:lineRule="auto"/>
        <w:tabs>
          <w:tab w:leader="none" w:pos="58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In October 2019, the Office of the U.S. Trade Representative announced a 10% tariff on new Airbus aircraft imported from Europe. Effective March 18, 2020, this tariff rate increased to 15%. We continue to take every effort to mitigate the effect of these tariffs on our Airbus deliveries. See Part II, Item 1A. Risk Factors - “</w:t>
      </w:r>
      <w:r>
        <w:rPr>
          <w:rFonts w:ascii="Arial" w:cs="Arial" w:eastAsia="Arial" w:hAnsi="Arial"/>
          <w:sz w:val="18"/>
          <w:szCs w:val="18"/>
          <w:i w:val="1"/>
          <w:iCs w:val="1"/>
          <w:color w:val="auto"/>
        </w:rPr>
        <w:t>We operate a global business with international operations that are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economic and political instability and have been, and in the future may continue to be, adversely affected by numerous events, circumstances or government actions beyond our control.</w:t>
      </w:r>
      <w:r>
        <w:rPr>
          <w:rFonts w:ascii="Arial" w:cs="Arial" w:eastAsia="Arial" w:hAnsi="Arial"/>
          <w:sz w:val="18"/>
          <w:szCs w:val="18"/>
          <w:color w:val="auto"/>
        </w:rPr>
        <w:t>”</w:t>
      </w:r>
    </w:p>
    <w:p>
      <w:pPr>
        <w:spacing w:after="0" w:line="165" w:lineRule="exact"/>
        <w:rPr>
          <w:rFonts w:ascii="Arial" w:cs="Arial" w:eastAsia="Arial" w:hAnsi="Arial"/>
          <w:sz w:val="22"/>
          <w:szCs w:val="22"/>
          <w:color w:val="auto"/>
          <w:vertAlign w:val="superscript"/>
        </w:rPr>
      </w:pPr>
    </w:p>
    <w:p>
      <w:pPr>
        <w:jc w:val="both"/>
        <w:ind w:left="580" w:hanging="329"/>
        <w:spacing w:after="0" w:line="246" w:lineRule="auto"/>
        <w:tabs>
          <w:tab w:leader="none" w:pos="58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On March 13, 2019, a directive from the Federal Aviation Administration (FAA) grounded all U.S.-registered Boeing 737 MAX aircraft. Our fleet currently includes 24 Boeing 737 MAX aircraft with an additional 76 on order. We have removed all Boeing 737 MAX aircraft flying from our flight schedule through September 9, 2020 and continue to assess this timeline. In addition, we have not taken delivery of any Boeing 737 MAX Family aircraft since the grounding. The extent of the delay to the scheduled deliveries of the Boeing 737 MAX aircraft included in the table above is expected to be impacted by the length of time the FAA order remains in place, Boeing's production rate and the pace at which Boeing can deliver aircraft following the lifting of the FAA order, among other factors. The above table reflects our estimate of future Boeing 737 MAX aircraft deliveries based on information currently available to us; however, the actual delivery schedule may differ from the table above, potentially materially.</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also have agreements for 32 spare engines to be delivered in 2020 and beyond.</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currently have financing commitments in place for all aircraft on order and scheduled to be delivered through 2020 with the exception of three Boeing 737 MAX Family aircraft. Additionally, we have financing commitments in place for 24 aircraft scheduled to be delivered in 2021: 13 Boeing 787 Family aircraft, six Boeing 737 MAX Family aircraft and five Embraer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733" w:right="339" w:bottom="1440" w:gutter="0" w:footer="0" w:header="0"/>
        </w:sectPr>
      </w:pPr>
    </w:p>
    <w:bookmarkStart w:id="74" w:name="page75"/>
    <w:bookmarkEnd w:id="74"/>
    <w:p>
      <w:pPr>
        <w:jc w:val="both"/>
        <w:spacing w:after="0" w:line="253" w:lineRule="auto"/>
        <w:rPr>
          <w:sz w:val="20"/>
          <w:szCs w:val="20"/>
          <w:color w:val="auto"/>
        </w:rPr>
      </w:pPr>
      <w:r>
        <w:rPr>
          <w:rFonts w:ascii="Arial" w:cs="Arial" w:eastAsia="Arial" w:hAnsi="Arial"/>
          <w:sz w:val="18"/>
          <w:szCs w:val="18"/>
          <w:color w:val="auto"/>
        </w:rPr>
        <w:t xml:space="preserve">175 aircraft. Our ability to draw on the financing commitments we have in place is subject to (1) the satisfaction of various terms and conditions, including in some cases, on our acquisition of the aircraft by a certain date and the lifting of the grounding directive from the FAA of the Boeing 737 MAX aircraft by a certain date and (2) the performance by the counterparty providing such financing commitments of its obligations thereunder. We do not have financing commitments in place for the remaining 20 aircraft scheduled to be delivered in 2021. See Part II, Item 1A. Risk Factors –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additional discussion.</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2019 Form 10-K.</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Labor Contracts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On March 26, 2020, a new five-year joint collective bargaining agreement was ratified between us and the TWU-IAM Association. The new agreement will significantly increase the cost of providing compensation and benefits to our mainline maintenance and fleet service team members.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following table provides details of our future cash contractual obligations as of June 30, 2020 (in millions). Except to the extent set forth in the applicable accompanying footnotes, the table does not include commitments that are contingent on events or other factors that are uncertain or unknown at this time.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75"/>
        </w:trPr>
        <w:tc>
          <w:tcPr>
            <w:tcW w:w="4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Remainder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2025 and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 2020</w:t>
            </w:r>
          </w:p>
        </w:tc>
        <w:tc>
          <w:tcPr>
            <w:tcW w:w="18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180" w:type="dxa"/>
            <w:vAlign w:val="bottom"/>
          </w:tcPr>
          <w:p>
            <w:pPr>
              <w:spacing w:after="0"/>
              <w:rPr>
                <w:sz w:val="17"/>
                <w:szCs w:val="17"/>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Total</w:t>
            </w:r>
          </w:p>
        </w:tc>
      </w:tr>
      <w:tr>
        <w:trPr>
          <w:trHeight w:val="25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American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0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7"/>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(a), (c)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27,584</w:t>
            </w:r>
          </w:p>
        </w:tc>
      </w:tr>
      <w:tr>
        <w:trPr>
          <w:trHeight w:val="270"/>
        </w:trPr>
        <w:tc>
          <w:tcPr>
            <w:tcW w:w="4020" w:type="dxa"/>
            <w:vAlign w:val="bottom"/>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 (c)</w:t>
            </w:r>
          </w:p>
        </w:tc>
        <w:tc>
          <w:tcPr>
            <w:tcW w:w="1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5,149</w:t>
            </w: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r>
      <w:tr>
        <w:trPr>
          <w:trHeight w:val="226"/>
        </w:trPr>
        <w:tc>
          <w:tcPr>
            <w:tcW w:w="4020" w:type="dxa"/>
            <w:vAlign w:val="bottom"/>
          </w:tcPr>
          <w:p>
            <w:pPr>
              <w:ind w:left="40"/>
              <w:spacing w:after="0"/>
              <w:rPr>
                <w:sz w:val="20"/>
                <w:szCs w:val="20"/>
                <w:color w:val="auto"/>
              </w:rPr>
            </w:pPr>
            <w:r>
              <w:rPr>
                <w:rFonts w:ascii="Arial" w:cs="Arial" w:eastAsia="Arial" w:hAnsi="Arial"/>
                <w:sz w:val="18"/>
                <w:szCs w:val="18"/>
                <w:color w:val="auto"/>
              </w:rPr>
              <w:t>Aircraft and engine purchase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4020" w:type="dxa"/>
            <w:vAlign w:val="bottom"/>
          </w:tcPr>
          <w:p>
            <w:pPr>
              <w:ind w:left="200"/>
              <w:spacing w:after="0" w:line="233" w:lineRule="exact"/>
              <w:rPr>
                <w:sz w:val="20"/>
                <w:szCs w:val="20"/>
                <w:color w:val="auto"/>
              </w:rPr>
            </w:pPr>
            <w:r>
              <w:rPr>
                <w:rFonts w:ascii="Arial" w:cs="Arial" w:eastAsia="Arial" w:hAnsi="Arial"/>
                <w:sz w:val="18"/>
                <w:szCs w:val="18"/>
                <w:color w:val="auto"/>
              </w:rPr>
              <w:t xml:space="preserve">commitments </w:t>
            </w:r>
            <w:r>
              <w:rPr>
                <w:rFonts w:ascii="Arial" w:cs="Arial" w:eastAsia="Arial" w:hAnsi="Arial"/>
                <w:sz w:val="21"/>
                <w:szCs w:val="21"/>
                <w:color w:val="auto"/>
                <w:vertAlign w:val="superscript"/>
              </w:rPr>
              <w:t>(d)</w:t>
            </w: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12,339</w:t>
            </w: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12,405</w:t>
            </w:r>
          </w:p>
        </w:tc>
      </w:tr>
      <w:tr>
        <w:trPr>
          <w:trHeight w:val="270"/>
        </w:trPr>
        <w:tc>
          <w:tcPr>
            <w:tcW w:w="4020" w:type="dxa"/>
            <w:vAlign w:val="bottom"/>
          </w:tcPr>
          <w:p>
            <w:pPr>
              <w:ind w:left="40"/>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1"/>
                <w:szCs w:val="21"/>
                <w:color w:val="auto"/>
                <w:vertAlign w:val="superscript"/>
              </w:rPr>
              <w:t>(e)</w:t>
            </w:r>
          </w:p>
        </w:tc>
        <w:tc>
          <w:tcPr>
            <w:tcW w:w="1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7,912</w:t>
            </w: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(f)</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2,978</w:t>
            </w:r>
          </w:p>
        </w:tc>
      </w:tr>
      <w:tr>
        <w:trPr>
          <w:trHeight w:val="263"/>
        </w:trPr>
        <w:tc>
          <w:tcPr>
            <w:tcW w:w="4020" w:type="dxa"/>
            <w:vAlign w:val="bottom"/>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1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359</w:t>
            </w:r>
          </w:p>
        </w:tc>
      </w:tr>
      <w:tr>
        <w:trPr>
          <w:trHeight w:val="27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1"/>
                <w:szCs w:val="21"/>
                <w:color w:val="auto"/>
                <w:vertAlign w:val="superscript"/>
              </w:rPr>
              <w:t>(g)</w:t>
            </w: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7,066</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Total American Contractual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5,420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10,448</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9,072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10,578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11,034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29,967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76,519</w:t>
            </w:r>
          </w:p>
        </w:tc>
      </w:tr>
      <w:tr>
        <w:trPr>
          <w:trHeight w:val="277"/>
        </w:trPr>
        <w:tc>
          <w:tcPr>
            <w:tcW w:w="4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i w:val="1"/>
                <w:iCs w:val="1"/>
                <w:color w:val="auto"/>
              </w:rPr>
              <w:t>AAG Parent and Other AAG Subsidiaries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70"/>
        </w:trPr>
        <w:tc>
          <w:tcPr>
            <w:tcW w:w="4020" w:type="dxa"/>
            <w:vAlign w:val="bottom"/>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3,814</w:t>
            </w:r>
          </w:p>
        </w:tc>
      </w:tr>
      <w:tr>
        <w:trPr>
          <w:trHeight w:val="270"/>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r>
      <w:tr>
        <w:trPr>
          <w:trHeight w:val="263"/>
        </w:trPr>
        <w:tc>
          <w:tcPr>
            <w:tcW w:w="4020" w:type="dxa"/>
            <w:vAlign w:val="bottom"/>
          </w:tcPr>
          <w:p>
            <w:pPr>
              <w:ind w:left="40"/>
              <w:spacing w:after="0"/>
              <w:rPr>
                <w:sz w:val="20"/>
                <w:szCs w:val="20"/>
                <w:color w:val="auto"/>
              </w:rPr>
            </w:pPr>
            <w:r>
              <w:rPr>
                <w:rFonts w:ascii="Arial" w:cs="Arial" w:eastAsia="Arial" w:hAnsi="Arial"/>
                <w:sz w:val="18"/>
                <w:szCs w:val="18"/>
                <w:color w:val="auto"/>
              </w:rPr>
              <w:t>Operating lease commitments</w:t>
            </w:r>
          </w:p>
        </w:tc>
        <w:tc>
          <w:tcPr>
            <w:tcW w:w="1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(f)</w:t>
            </w: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4"/>
        </w:trPr>
        <w:tc>
          <w:tcPr>
            <w:tcW w:w="4020" w:type="dxa"/>
            <w:vAlign w:val="bottom"/>
          </w:tcPr>
          <w:p>
            <w:pPr>
              <w:ind w:left="180"/>
              <w:spacing w:after="0"/>
              <w:rPr>
                <w:sz w:val="20"/>
                <w:szCs w:val="20"/>
                <w:color w:val="auto"/>
              </w:rPr>
            </w:pPr>
            <w:r>
              <w:rPr>
                <w:rFonts w:ascii="Arial" w:cs="Arial" w:eastAsia="Arial" w:hAnsi="Arial"/>
                <w:sz w:val="18"/>
                <w:szCs w:val="18"/>
                <w:color w:val="auto"/>
              </w:rPr>
              <w:t>Total AAG Contractual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5,466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10,610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9,962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10,694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11,146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33,380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81,258</w:t>
            </w: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19"/>
        </w:trPr>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5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240"/>
          </w:cols>
          <w:pgMar w:left="320" w:top="733" w:right="339" w:bottom="1440" w:gutter="0" w:footer="0" w:header="0"/>
        </w:sectPr>
      </w:pPr>
    </w:p>
    <w:bookmarkStart w:id="75" w:name="page76"/>
    <w:bookmarkEnd w:id="75"/>
    <w:p>
      <w:pPr>
        <w:jc w:val="both"/>
        <w:ind w:left="500" w:hanging="330"/>
        <w:spacing w:after="0" w:line="233"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13201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20165" cy="8890"/>
                    </a:xfrm>
                    <a:prstGeom prst="rect">
                      <a:avLst/>
                    </a:prstGeom>
                    <a:noFill/>
                  </pic:spPr>
                </pic:pic>
              </a:graphicData>
            </a:graphic>
          </wp:anchor>
        </w:drawing>
        <w:t>Amounts represent contractual amounts due. Excludes $277 million and $457 million of unamortized debt discount, premium and issuance costs as of June 30, 2020 for American and AAG Parent, respectively. For additional information, see Note 6 and Note 4 to AAG’s and American’s Condensed Consolidated Financial Statements in Part I, Items 1A and 1B, respectively.</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For variable-rate debt, future interest obligations are estimated using the current forward rates at June 30, 2020.</w:t>
      </w:r>
    </w:p>
    <w:p>
      <w:pPr>
        <w:spacing w:after="0" w:line="161"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Includes $11.4 billion of future principal payments and $2.1 billion of future interest payments as of June 30, 2020, related to EETCs associated with mortgage financings of certain aircraft and spare engines.</w:t>
      </w:r>
    </w:p>
    <w:p>
      <w:pPr>
        <w:spacing w:after="0" w:line="144"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in Part I, Item 2. Management’s Discussion and Analysis of Financial Condition and Results of Operations for additional information about the firm commitment aircraft delivery schedule, in particular the footnotes to the table thereunder as to potential changes to such delivery schedule. Due to uncertainty surrounding the timing of delivery of certain aircraft, the amounts in the table represent our current best estimate, including with respect to the delivery of Airbus A320 Family and Boeing 737 MAX aircraft; however, the actual delivery schedule may differ from the table above, potentially materially. Additionally, the amounts in the table exclude 20 787-8 aircraft to be delivered in 2020 and 2021 for which we have obtained committed lease financing. This financing is reflected in the operating lease commitments line above.</w:t>
      </w:r>
    </w:p>
    <w:p>
      <w:pPr>
        <w:spacing w:after="0" w:line="159"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163" w:lineRule="exact"/>
        <w:rPr>
          <w:rFonts w:ascii="Arial" w:cs="Arial" w:eastAsia="Arial" w:hAnsi="Arial"/>
          <w:sz w:val="22"/>
          <w:szCs w:val="22"/>
          <w:color w:val="auto"/>
          <w:vertAlign w:val="superscript"/>
        </w:rPr>
      </w:pPr>
    </w:p>
    <w:p>
      <w:pPr>
        <w:jc w:val="both"/>
        <w:ind w:left="500" w:hanging="330"/>
        <w:spacing w:after="0" w:line="239"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Includes minimum pension contributions based on actuarially determined estimates as of December 31, 2019 and is based on estimated payments through 2029. Pursuant to the CARES Act passed in March 2020, minimum required pension contributions to be made in the calendar year 2020 can be deferred to January 1, 2021, with interest accruing from the original due date to the new payment date. We expect to defer our $196 million 2020 minimum required contributions to January 1, 2021, which we intend to pay on December 31, 2020.</w:t>
      </w:r>
    </w:p>
    <w:p>
      <w:pPr>
        <w:spacing w:after="0" w:line="165"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Includes purchase commitments for aircraft fuel, construction projects, flight equipment maintenance and information technology support.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In light of the cash needs imposed by the current operating losses due to reduced demand in response to COVID-19 as well as our significant financial commitments related to, among other things, new flight equipment, the servicing and amortization of existing debt and equipment leasing arrangements, and future pension funding obligations,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(in particular the ongoing global outbreak of COVID-19), natural disasters or other causes could reduce the demand for air travel, which would reduce the amount of cash generated by operations. See Part II, Item 1A. Risk Factors – </w:t>
      </w:r>
      <w:r>
        <w:rPr>
          <w:rFonts w:ascii="Arial" w:cs="Arial" w:eastAsia="Arial" w:hAnsi="Arial"/>
          <w:sz w:val="18"/>
          <w:szCs w:val="18"/>
          <w:i w:val="1"/>
          <w:iCs w:val="1"/>
          <w:color w:val="auto"/>
        </w:rPr>
        <w:t>"The outbreak and global spread of COVID-19 has resulted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for additional discussion. An increase in costs, either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6 and Note 4 to AAG's and American's Condensed Consolidated Financial Statements in Part I, Items 1A and 1B, respectively.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138" w:right="339" w:bottom="1440" w:gutter="0" w:footer="0" w:header="0"/>
        </w:sectPr>
      </w:pPr>
    </w:p>
    <w:bookmarkStart w:id="76" w:name="page77"/>
    <w:bookmarkEnd w:id="76"/>
    <w:p>
      <w:pPr>
        <w:jc w:val="both"/>
        <w:ind w:right="20" w:firstLine="216"/>
        <w:spacing w:after="0" w:line="256"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2019 Form 10-K and Note 13 and Note 12 to AAG’s and American’s Condensed Consolidated Financial Statements in Part I, Items 1A and 1B,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Accounting Standards Update (ASU) 2016-13: Financial Instruments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Credit Losses (Topic 326)</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We adopted this accounting standard prospectively as of January 1, 2020, and it did not have a material impact on our condensed consolidated financial statements.</w:t>
      </w:r>
    </w:p>
    <w:p>
      <w:pPr>
        <w:spacing w:after="0" w:line="210" w:lineRule="exact"/>
        <w:rPr>
          <w:sz w:val="20"/>
          <w:szCs w:val="20"/>
          <w:color w:val="auto"/>
        </w:rPr>
      </w:pPr>
    </w:p>
    <w:p>
      <w:pPr>
        <w:ind w:right="4240"/>
        <w:spacing w:after="0" w:line="357"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jc w:val="both"/>
        <w:ind w:firstLine="216"/>
        <w:spacing w:after="0" w:line="261"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2019 Form 10-K except as updated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As of June 30, 2020,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Although spot prices for oil and jet fuel are presently very low by historical standards, we do not currently view the market opportunities to hedge fuel prices as attractive because, among other things, the forward curve for the purchase of such products, or hedges related to such products, is very steep, any hedging would potentially require significant capital or collateral to be placed at risk, and our future fuel needs remain unclear due to uncertainties regarding air travel demand. Based on our 2020 forecasted fuel consumption, we estimate that a one cent per gallon increase in the price of aircraft fuel would increase our 2020 annual fuel expense by $25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British pound sterling, Euro, Canadian dollar and various Latin American currencies, primarily the Brazilian real. We do not currently have a foreign currency hedge program.</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June 30, 2020 variable-rate debt and short-term investments balances,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733" w:right="339" w:bottom="1440" w:gutter="0" w:footer="0" w:header="0"/>
        </w:sectPr>
      </w:pPr>
    </w:p>
    <w:bookmarkStart w:id="77" w:name="page78"/>
    <w:bookmarkEnd w:id="77"/>
    <w:p>
      <w:pPr>
        <w:jc w:val="both"/>
        <w:spacing w:after="0" w:line="261" w:lineRule="auto"/>
        <w:rPr>
          <w:sz w:val="20"/>
          <w:szCs w:val="20"/>
          <w:color w:val="auto"/>
        </w:rPr>
      </w:pPr>
      <w:r>
        <w:rPr>
          <w:rFonts w:ascii="Arial" w:cs="Arial" w:eastAsia="Arial" w:hAnsi="Arial"/>
          <w:sz w:val="18"/>
          <w:szCs w:val="18"/>
          <w:color w:val="auto"/>
        </w:rPr>
        <w:t>annual interest expense on variable rate debt would increase by approximately $125 million and annual interest income on short-term investments would increase by approximately $100 million.</w:t>
      </w:r>
    </w:p>
    <w:p>
      <w:pPr>
        <w:spacing w:after="0" w:line="14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is considering replacing U.S. dollar LIBOR with a newly created index, calculated based on repurchase agreements backed by Treasury securities, we cannot currently predict whether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15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June 30, 2020, we had $12.4 billion of borrowings based on LIBOR. The replacement of LIBOR with a comparable or successor rate could cause the amount of interest payable on our long-term debt to be different or higher than expected.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June 30, 2020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June 30, 2020 at the reasonable assurance level.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2"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For the quarter ended June 30, 2020, there have been no changes in AAG’s or American’s internal control over financial reporting that have materially affected, or are reasonably likely to materially affect, AAG’s and American’s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June 30,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652"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(US Airways Group) by AMR (the Merger).</w:t>
      </w:r>
    </w:p>
    <w:p>
      <w:pPr>
        <w:spacing w:after="0" w:line="15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calculating earnings per common share. As disputed claims are resolved, the claimants receive distributions of shares from the Disputed Claims Reserve. We are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us but rather will be distributed to former AMR stockholders and former convertible noteholders treated as stockholders under the Plan. In February 2020, 2.2 million shares of AAG common stock were distributed from the Disputed Claims Reserve. After giving effect to this distribution, as of June 30, 2020, the Disputed Claims Reserve held 4.8 million shares of AAG common stock.</w:t>
      </w:r>
    </w:p>
    <w:p>
      <w:pPr>
        <w:spacing w:after="0" w:line="13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US Airways, Inc.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3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i w:val="1"/>
          <w:iCs w:val="1"/>
          <w:color w:val="auto"/>
        </w:rPr>
        <w:t xml:space="preserve">Pension Benefits Action. </w:t>
      </w:r>
      <w:r>
        <w:rPr>
          <w:rFonts w:ascii="Arial" w:cs="Arial" w:eastAsia="Arial" w:hAnsi="Arial"/>
          <w:sz w:val="18"/>
          <w:szCs w:val="18"/>
          <w:color w:val="auto"/>
        </w:rPr>
        <w:t>On December 11, 2018, a lawsuit captioned Torres, et al. v. American Airlines, Inc., The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John/Jane Does 1-5, was filed in the United States District Court for the Northern District of Texas. The plaintiffs in this lawsuit purport to represent a class consisting of all participants in and beneficiaries under each of American's defined benefit pension plans (except the pilot plan) who elected to receive an optional form of benefit other than a lump sum distribution of a participant’s vested benefit. Under the Employee Retirement Income Security Act, participants covered by defined benefit plans accrue retirement benefits in the form of a single life annuity payable upon retirement on a monthly basis until the employee’s death, and may elect certain alternative forms of benefit payments. Plaintiffs contend that the mortality tables used by American for purposes of calculations related to these alternative forms of benefits are outdated and that more recent mortality tables would have provided more generous benefits and should have been used to make those calculations. The parties have agreed to settle the case on an individual basis with the named plaintiffs, as well as a pilot who has threatened to bring suit under the pilot plan, for less than $1 million, which represents actual damages to the named and purported plaintiffs and attorneys' fees. The court has vacated the trial setting and all other deadlines and administratively closed the case, pending receipt of dismissal papers.</w:t>
      </w:r>
    </w:p>
    <w:p>
      <w:pPr>
        <w:spacing w:after="0" w:line="136" w:lineRule="exact"/>
        <w:rPr>
          <w:sz w:val="20"/>
          <w:szCs w:val="20"/>
          <w:color w:val="auto"/>
        </w:rPr>
      </w:pPr>
    </w:p>
    <w:p>
      <w:pPr>
        <w:jc w:val="both"/>
        <w:ind w:right="20" w:firstLine="216"/>
        <w:spacing w:after="0" w:line="282"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549" w:right="339" w:bottom="1440" w:gutter="0" w:footer="0" w:header="0"/>
        </w:sectPr>
      </w:pPr>
    </w:p>
    <w:bookmarkStart w:id="79" w:name="page80"/>
    <w:bookmarkEnd w:id="79"/>
    <w:p>
      <w:pPr>
        <w:jc w:val="both"/>
        <w:spacing w:after="0" w:line="254" w:lineRule="auto"/>
        <w:rPr>
          <w:sz w:val="20"/>
          <w:szCs w:val="20"/>
          <w:color w:val="auto"/>
        </w:rPr>
      </w:pPr>
      <w:r>
        <w:rPr>
          <w:rFonts w:ascii="Arial" w:cs="Arial" w:eastAsia="Arial" w:hAnsi="Arial"/>
          <w:sz w:val="18"/>
          <w:szCs w:val="18"/>
          <w:color w:val="auto"/>
        </w:rPr>
        <w:t xml:space="preserve">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normal course of business or otherwise, which could affect our financial position and liquidity” </w:t>
      </w:r>
      <w:r>
        <w:rPr>
          <w:rFonts w:ascii="Arial" w:cs="Arial" w:eastAsia="Arial" w:hAnsi="Arial"/>
          <w:sz w:val="18"/>
          <w:szCs w:val="18"/>
          <w:color w:val="auto"/>
        </w:rPr>
        <w:t>for additional discussion.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10"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b w:val="1"/>
          <w:bCs w:val="1"/>
          <w:i w:val="1"/>
          <w:iCs w:val="1"/>
          <w:color w:val="auto"/>
        </w:rPr>
        <w:t>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w:t>
      </w:r>
    </w:p>
    <w:p>
      <w:pPr>
        <w:spacing w:after="0" w:line="6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COVID-19 outbreak, along with the measures governments and private organizations worldwide have implemented in an attempt to contain the spread of this pandemic, has resulted in a severe decline in demand for air travel, which has adversely affected our business, operations and financial condition to an unprecedented extent. Measures ranging from travel restrictions, “shelter in place” and quarantine orders, limitations on public gatherings to cancellation of public events and many others have resulted in a precipitous decline in demand for both domestic and international business and leisure travel. In response to this material deterioration in demand, we have taken a number of aggressive actions to ameliorate our business, operations and financial condition. We have focused on reducing our capacity, making structural changes to our fleet, implementing cost reductions, preserving cash and improving our overall liquidity position. We have reduced our system-wide capacity and will continue to monitor conditions and to proactively evaluate and adjust our schedule to match demand. Additionally, we have determined to retire certain mainline aircraft earlier than planned including Boeing 757, Boeing 767, Airbus A330-300 and Embraer 190 aircraft as well as regional aircraft, including certain Embraer 140 and Bombardier CRJ200 aircraft, which we expect will allow us to be more efficient by reducing the number of sub-fleets we operate, and we have also placed a significant number of aircraft, including our A330-200 fleet and a number of Boeing 737-800 aircraft, into temporary storage. We have moved quickly to attempt to better align our costs with our reduced schedule and made other cost-saving initiatives (including reductions in maintenance expense, marketing expense, event and training expenses, airport facilities expense, salaries and benefits expense, and other volume-related expense reductions, including fuel). Nonetheless, we incurred significant negative cash flow in the first six months of 2020, we continue to do so, and we expect to continue to do so until there is a significant recovery in demand for air travel. The duration and severity of the COVID-19 pandemic remain uncertain, and there can be no assurance that these actions will suffice to sustain our business and operations through this pandemic. We expect our results of operations for fiscal 2020 to be materially impacted.</w:t>
      </w:r>
    </w:p>
    <w:p>
      <w:pPr>
        <w:spacing w:after="0" w:line="15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taken and will take additional actions to improve our financial position, including measures to improve liquidity, such as obtaining financial assistance under the CARES Act. We have been approved to receive approximately $5.8 billion from Treasury through the Payroll Support Program under the CARES Act of which $5.2 billion has been received as of June 30, 2020. In connection with the financial assistance we have received and expect to receive under the Payroll Support Program, we will be required to comply with certain provisions of the CARES Act, including the requirement that funds provided pursuant to the Payroll Support Program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provisions prohibiting the repurchase of AAG’s common stock and the payment of common stock dividends through September 30, 2021; and restrictions on the payment of certain executive compensation until March 24, 2022. Additionally, under the Payroll Support Program, we and certain of our subsidiaries are subject to substantial and continuing reporting obligations. American also signed a term sheet with Treasury for a secured loan in the amount of approximately $ 4.75 billion through the loan program under the CARES Act and are in the process of obtaining such secured loan, the timing and terms of which remain subject to ongoing negotiation, entry by the parties into definitive documentation and certain closing conditions. If we receive a secured loan from Treasury under the loan program, the stock repurchase, dividend and executive compensation restrictions will remain in place through the date that is one year after such secured loan is fully repaid. The substance and duration of these restrictions may materially affect our operations, and we may not be successful in managing these impacts.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733" w:right="339" w:bottom="1440" w:gutter="0" w:footer="0" w:header="0"/>
        </w:sectPr>
      </w:pPr>
    </w:p>
    <w:bookmarkStart w:id="80" w:name="page81"/>
    <w:bookmarkEnd w:id="80"/>
    <w:p>
      <w:pPr>
        <w:jc w:val="both"/>
        <w:ind w:firstLine="216"/>
        <w:spacing w:after="0" w:line="251" w:lineRule="auto"/>
        <w:rPr>
          <w:sz w:val="20"/>
          <w:szCs w:val="20"/>
          <w:color w:val="auto"/>
        </w:rPr>
      </w:pPr>
      <w:r>
        <w:rPr>
          <w:rFonts w:ascii="Arial" w:cs="Arial" w:eastAsia="Arial" w:hAnsi="Arial"/>
          <w:sz w:val="18"/>
          <w:szCs w:val="18"/>
          <w:color w:val="auto"/>
        </w:rPr>
        <w:t>We intend to pursue the issuance of additional unsecured and secured debt securities, equity securities and equity-linked securities and/or the entry into additional bilateral and syndicated secured and/or unsecured credit facilities.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of significant additional indebtedness or equity and could impose significant covenants and restrictions to which we are not currently subject. The measures we have taken to reduce our expenditures and to improve our liquidity, and any other strategic actions that we may take in the future in response to COVID-19 may not be effective in offsetting decreased demand, and we will not be permitted to take certain strategic actions, such as prescribed levels of furloughs and lay-offs or reductions in capacity as a result of the restrictions imposed by the CARES Act, which could result in a material adverse effect on our business, operating results and financial condition.</w:t>
      </w:r>
    </w:p>
    <w:p>
      <w:pPr>
        <w:spacing w:after="0" w:line="15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full extent of the ongoing impact of COVID-19 on our longer-term operational and financial performance will depend on future developments, many of which are outside our control, including the effectiveness of the mitigation strategies discussed above, the duration and spread of COVID-19, including any recurrence of the pandemic, and related travel advisories and restrictions, the impact of COVID-19 on overall long-term demand for air travel, the impact on demand and capacity which could result from government mandates on air service including, for instance, any requirement for passengers to wear face coverings while traveling or have their temperature checked or have administered other checks prior to entering an airport or boarding an airplane, or which would limit the number of seats that can be occupied on an aircraft to allow for social distancing, if our employees are unable to work because they are quarantined or sickened as a result of exposure to COVID-19, or if they are subject to additional governmental COVID-19 curfews or "shelter in place" health orders or similar restrictions, the impact of COVID-19 on the financial health and operations of our business partners and future governmental actions, all of which are highly uncertain and cannot be predicted. At this time, we are also not able to predict whether the COVID-19 pandemic will result in permanent changes to our customers' behavior, with such changes including but not limited to a permanent reduction in business travel as a result of increased usage of "virtual" and "teleconferencing" products and more broadly a general reluctance to travel by consumers, each of which could have a material impact on our business.</w:t>
      </w:r>
    </w:p>
    <w:p>
      <w:pPr>
        <w:spacing w:after="0" w:line="156"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adversely impact our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In particular, the ongoing COVID-19 pandemic and associated decline in economic activity and increase in unemployment levels are expected to have a severe and prolonged effect on the global economy generally and, in turn, is expected to depress demand for air travel into the foreseeable future. Due to the uncertainty surrounding the duration and severity of this pandemic, we can provide no assurance as to when and at what pace demand for air travel will return to pre-pandemic levels, if at all. Accordingly, we cannot predict the ultimate impact of COVID-19 on our business, financial condition and results of operations. See also </w:t>
      </w:r>
      <w:r>
        <w:rPr>
          <w:rFonts w:ascii="Arial" w:cs="Arial" w:eastAsia="Arial" w:hAnsi="Arial"/>
          <w:sz w:val="18"/>
          <w:szCs w:val="18"/>
          <w:i w:val="1"/>
          <w:iCs w:val="1"/>
          <w:color w:val="auto"/>
        </w:rPr>
        <w:t>“The outbreak and global spread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airline industry is intensely competitive and dynamic.”</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June 30, 2020, our planned aggregate expenditures for aircraft purchase commitments and certain engines on a consolidated basis for calendar years 2020-2024 would be approximately $8.1 billion. We may also require financing to refinance maturing obligations and to provide liquidity to fund other corporate requirements, in particular given the severe decline in revenue we have experienced as a result of COVID-19. If needed to meet our liquidity needs, it may be difficult for us to raise additional capital on acceptable terms, or at all, due to, among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733" w:right="339" w:bottom="1440" w:gutter="0" w:footer="0" w:header="0"/>
        </w:sectPr>
      </w:pPr>
    </w:p>
    <w:bookmarkStart w:id="81" w:name="page82"/>
    <w:bookmarkEnd w:id="81"/>
    <w:p>
      <w:pPr>
        <w:jc w:val="both"/>
        <w:spacing w:after="0" w:line="251" w:lineRule="auto"/>
        <w:rPr>
          <w:sz w:val="20"/>
          <w:szCs w:val="20"/>
          <w:color w:val="auto"/>
        </w:rPr>
      </w:pPr>
      <w:r>
        <w:rPr>
          <w:rFonts w:ascii="Arial" w:cs="Arial" w:eastAsia="Arial" w:hAnsi="Arial"/>
          <w:sz w:val="18"/>
          <w:szCs w:val="18"/>
          <w:color w:val="auto"/>
        </w:rPr>
        <w:t>other factors: our substantial level of existing indebtedness, particularly following the additional liquidity transactions completed and contemplated in response to the impact of COVID-19; our non-investment grade credit rating; market conditions; the availability of assets to use as collateral for loans or other indebtedness, which has been reduced as a result of certain financing transactions we have undertaken since the beginning of 2020 and may be further reduced as we continue to seek significant additional liquidity; and the effect the COVID-19 pandemic has had on the global economy generally and the air transportation industry in particular. Accordingly, we will need substantial financing or other capital resources to finance such aircraft and engines and meet such other liquidity needs. If we are unable to arrange such financing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4"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substantial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51"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integration costs and general corporate purposes, and adversely affect the terms on which such funding can be obtained;</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43"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47"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hanging="656"/>
        <w:spacing w:after="0" w:line="261" w:lineRule="auto"/>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143" w:lineRule="exact"/>
        <w:rPr>
          <w:rFonts w:ascii="Arial" w:cs="Arial" w:eastAsia="Arial" w:hAnsi="Arial"/>
          <w:sz w:val="18"/>
          <w:szCs w:val="18"/>
          <w:color w:val="auto"/>
        </w:rPr>
      </w:pPr>
    </w:p>
    <w:p>
      <w:pPr>
        <w:ind w:left="1960" w:hanging="656"/>
        <w:spacing w:after="0"/>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17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addition, in response to the travel restrictions, decreased demand and other effects the COVID-19 pandemic has had and is expected to have on our business, we currently anticipate that it will be necessary to obtain a significant amount of additional financing in the near-term from a variety of sources. Such financing may include the issuance of additional unsecured or secured debt securities, equity securities and equity-linked securities as well as additional bilateral 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652" w:right="339" w:bottom="1440" w:gutter="0" w:footer="0" w:header="0"/>
        </w:sectPr>
      </w:pPr>
    </w:p>
    <w:bookmarkStart w:id="82" w:name="page83"/>
    <w:bookmarkEnd w:id="82"/>
    <w:p>
      <w:pPr>
        <w:jc w:val="both"/>
        <w:spacing w:after="0" w:line="251" w:lineRule="auto"/>
        <w:rPr>
          <w:sz w:val="20"/>
          <w:szCs w:val="20"/>
          <w:color w:val="auto"/>
        </w:rPr>
      </w:pPr>
      <w:r>
        <w:rPr>
          <w:rFonts w:ascii="Arial" w:cs="Arial" w:eastAsia="Arial" w:hAnsi="Arial"/>
          <w:sz w:val="18"/>
          <w:szCs w:val="18"/>
          <w:color w:val="auto"/>
        </w:rPr>
        <w:t>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of significant additional indebtedness or equity and could impose significant covenants and restrictions to which we are not currently subject. In particular, in connection with the financial assistance we have received and expect to receive through the Payroll Support Program and loan program under the CARES Act, we will be required to comply with the relevant provisions of the CARES Act, including the requirement that funds provided pursuant to the Payroll Support Program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provisions prohibiting the repurchase of AAG common stock and the payment of common stock dividends through September 30, 2021; and restrictions on the payment of certain executive compensation until March 24, 2022. If we receive a secured loan from Treasury under the loan program, the stock repurchase, dividend and executive compensation restrictions will remain in place through the date that is one year after such secured loan is fully repaid. Additionally, under the Payroll Support Program we and certain of our subsidiaries are subject to substantial and continuing reporting obligations. Moreover, as a result of the recent financing activities we have undertaken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15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obligations discussed above, including those imposed as a result of the CARES Act and any additional financings we may be required to undertake as a result of the impact of COVID-19, could also impact our ability to obtain additional financing, if needed, and our flexibility in the conduct of our business, and could materially adversely affect our liquidity, results of operations and financial condition.</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Further, a substantial portion of our long-term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July 27, 2017, the U.K.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is considering replacing U.S. dollar LIBOR with a newly created index, calculated based on repurchase agreements backed by treasury securities, we cannot currently predict whether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15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an agreement with our lenders on any such amendments. As of June 30, 2020, we had $12.4 billion of borrowings based on LIBOR. The replacement of LIBOR with a comparable or successor rate could cause the amount of interest payable on our long-term debt to be different or higher than expected.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733" w:right="339" w:bottom="1440" w:gutter="0" w:footer="0" w:header="0"/>
        </w:sectPr>
      </w:pPr>
    </w:p>
    <w:bookmarkStart w:id="83" w:name="page84"/>
    <w:bookmarkEnd w:id="83"/>
    <w:p>
      <w:pPr>
        <w:ind w:left="260" w:right="20"/>
        <w:spacing w:after="0" w:line="28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Among other things, the CARES Act imposes significant restrictions on executive compensation which, assuming we receive a secured loan from Treasury, will remain in place through the date that is one year after such secured loan is fully repaid. Such restrictions, over time, will likely result in lower executive compensation in the airline industry than is prevailing in other industries which may present retention challenges in the case of executives presented with alternative, non-airline opportunities. Any inability to retain or attract significant numbers of qualified management and other personnel would have a material adverse effect on our business, results of operations and financial condition.</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ultra-low-cost carriers).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(such as the current one caused by the COVID-19 pandemic), as airlines under financial stress, or in bankruptcy, may institute pricing structures intended to achieve near-term survival rather than long-term viability.</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The actions of existing or future low-cost carriers, including those described above, could have a material adverse effect on our operations and financial performance.</w:t>
      </w:r>
    </w:p>
    <w:p>
      <w:pPr>
        <w:spacing w:after="0" w:line="15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provide air travel internationally, directly as well as through joint business, alliance,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continuing outbreak of COVID-19 and the speed with which demand for travel to these regions returns.</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We believe these state-owned and state-affiliated carriers in the Gulf region, including their affiliated carriers, benefit from significant government subsidies, which have allowed them to grow quickly, reinvest in their product and expand their global presence.</w:t>
      </w:r>
    </w:p>
    <w:p>
      <w:pPr>
        <w:spacing w:after="0" w:line="15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Our international service exposes us to foreign economies and the potential for reduced demand when any foreign country we serve suffers adverse local economic conditions or if governments restrict commercial air service to or from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792" w:right="339" w:bottom="1440" w:gutter="0" w:footer="0" w:header="0"/>
        </w:sectPr>
      </w:pPr>
    </w:p>
    <w:bookmarkStart w:id="84" w:name="page85"/>
    <w:bookmarkEnd w:id="84"/>
    <w:p>
      <w:pPr>
        <w:jc w:val="both"/>
        <w:spacing w:after="0" w:line="252" w:lineRule="auto"/>
        <w:rPr>
          <w:sz w:val="20"/>
          <w:szCs w:val="20"/>
          <w:color w:val="auto"/>
        </w:rPr>
      </w:pPr>
      <w:r>
        <w:rPr>
          <w:rFonts w:ascii="Arial" w:cs="Arial" w:eastAsia="Arial" w:hAnsi="Arial"/>
          <w:sz w:val="18"/>
          <w:szCs w:val="18"/>
          <w:color w:val="auto"/>
        </w:rPr>
        <w:t xml:space="preserve">any of these markets. For example, the COVID-19 pandemic has resulted in a precipitous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is subject to extensive government regulation, which may result in increases in our costs, disruptions to our operations, limits on our operating flexibility, reductions in the demand for air travel, and competitive disadvantages.”</w:t>
      </w:r>
    </w:p>
    <w:p>
      <w:pPr>
        <w:spacing w:after="0" w:line="154"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5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has established a transatlantic joint business agreement (JBA) with British Airways, Iberia and Finnair, a transpacific JBA with Japan Airlines and a JBA relating to Australia and New Zealand with Qantas Airways, each of which has been granted antitrust immunity. The transatlantic JBA relationship benefits from a grant of antitrust immunity from the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are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JBA. We continue to fully cooperate with the CMA. An application for antitrust immunity is also pending with the DOT to add Aer Lingus, which is owned by the parent company of British Airways and Iberia, to the transatlantic JBA. The foregoing arrangements are important aspects of our international network and we are dependent on the performance and continued cooperation of the other airlines party to those agreements. No assurances can be given as to any benefits that we may derive from such arrangements or any other arrangements that may ultimately be implemented, or whether or not regulators will, or if granted continue to, approve or impose material conditions on our business activities.</w:t>
      </w:r>
    </w:p>
    <w:p>
      <w:pPr>
        <w:spacing w:after="0" w:line="156"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decrease our overall market share and revenues. Such consolidation is not limited to the U.S., but could include further consolidation among international carriers in Europe and elsewhere.</w:t>
      </w:r>
    </w:p>
    <w:p>
      <w:pPr>
        <w:spacing w:after="0" w:line="154"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intend to use certain assets from our AAdvantage loyalty program as the collateral for the secured loan from Treasury for which we have applied, in which event we would expect the credit agreement governing that secured loan to impose restrictions on certain amendments or changes to our AAdvantage loyalty program. These competitive factors affect our ability to attract and retain customers, increase usage of our loyalty program and maximize the revenue generated by our loyalty program.</w:t>
      </w:r>
    </w:p>
    <w:p>
      <w:pPr>
        <w:spacing w:after="0" w:line="210"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58" w:lineRule="exact"/>
        <w:rPr>
          <w:sz w:val="20"/>
          <w:szCs w:val="20"/>
          <w:color w:val="auto"/>
        </w:rPr>
      </w:pPr>
    </w:p>
    <w:p>
      <w:pPr>
        <w:ind w:firstLine="216"/>
        <w:spacing w:after="0" w:line="261"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44" w:lineRule="exact"/>
        <w:rPr>
          <w:sz w:val="20"/>
          <w:szCs w:val="20"/>
          <w:color w:val="auto"/>
        </w:rPr>
      </w:pPr>
    </w:p>
    <w:p>
      <w:pPr>
        <w:ind w:left="1300" w:hanging="644"/>
        <w:spacing w:after="0" w:line="261"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733" w:right="339" w:bottom="1440" w:gutter="0" w:footer="0" w:header="0"/>
        </w:sectPr>
      </w:pPr>
    </w:p>
    <w:bookmarkStart w:id="85" w:name="page86"/>
    <w:bookmarkEnd w:id="85"/>
    <w:p>
      <w:pPr>
        <w:ind w:left="1300" w:hanging="644"/>
        <w:spacing w:after="0" w:line="261"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potential disruptions to the United States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4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In particular, an outbreak of a contagious disease such as the Ebola virus, Middle East Respiratory Syndrome, Severe Acute Respiratory Syndrome, H1N1 influenza virus, avian flu, Zika virus, COVID-19 or any other similar illness, if it were to become associated with air travel or persist for an extended period, could materially affect the airline industry and us by reducing revenues and adversely impacting our operations and passengers’ travel behavior. See also </w:t>
      </w:r>
      <w:r>
        <w:rPr>
          <w:rFonts w:ascii="Arial" w:cs="Arial" w:eastAsia="Arial" w:hAnsi="Arial"/>
          <w:sz w:val="18"/>
          <w:szCs w:val="18"/>
          <w:i w:val="1"/>
          <w:iCs w:val="1"/>
          <w:color w:val="auto"/>
        </w:rPr>
        <w:t>"The outbreak and global spread of COVID-19 has resulted in a severe decline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As a result of these or other conditions beyond our control, our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6"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5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5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For instance, effective January 1, 2020, rules adopted by the International Maritime Organization restrict the sulfur content allowable in marine fuels from 3.5% to 0.5%, which is expected to cause increased demand by maritime shipping companies for low-sulfur fuel and potentially lead to increased costs of aircraft fuel.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56"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Although spot prices for oil and jet fuel are presently very low by historical standards, we do not currently view the market opportunities to hedge fuel prices as attractive because, among other things, the forward curve for the purchase of such products, or hedges related to such products, is very steep, any hedging would potentially require significant capital or collateral to be placed at risk, and our future fuel needs remain unclear due to uncertainties regarding air travel demand. Accordingly, as of June 30, 2020, we did not have 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733" w:right="339" w:bottom="1440" w:gutter="0" w:footer="0" w:header="0"/>
        </w:sectPr>
      </w:pPr>
    </w:p>
    <w:bookmarkStart w:id="86" w:name="page87"/>
    <w:bookmarkEnd w:id="86"/>
    <w:p>
      <w:pPr>
        <w:jc w:val="both"/>
        <w:spacing w:after="0" w:line="253" w:lineRule="auto"/>
        <w:rPr>
          <w:sz w:val="20"/>
          <w:szCs w:val="20"/>
          <w:color w:val="auto"/>
        </w:rPr>
      </w:pPr>
      <w:r>
        <w:rPr>
          <w:rFonts w:ascii="Arial" w:cs="Arial" w:eastAsia="Arial" w:hAnsi="Arial"/>
          <w:sz w:val="18"/>
          <w:szCs w:val="18"/>
          <w:color w:val="auto"/>
        </w:rPr>
        <w:t xml:space="preserve">fuel hedging contracts outstanding to hedge our fuel consumption. As such, and assuming we do not enter into any future transactions to hedge our fuel consumption, we will continue to be fully exposed to fluctuations in fuel prices and, while the price of fuel has been at historically low levels during the COVID-19 pandemic, there is no assurance that it will remain so and any increase in fuel prices, coupled with the severe reduction in demand we are experiencing, during the COVID-19 pandemic will materially affect our business in an adverse manner.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2019 Form 10-K.</w:t>
      </w:r>
    </w:p>
    <w:p>
      <w:pPr>
        <w:spacing w:after="0" w:line="15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2019 Form 10-K.</w:t>
      </w:r>
    </w:p>
    <w:p>
      <w:pPr>
        <w:spacing w:after="0" w:line="2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of December 31, 2019, approximately 85% of our employees were represented for collective bargaining purposes by labor unions. Currently, we believe our labor costs are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10"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increased materially beginning in 2019. In addition, we have significant obligations for retiree medical and other postretirement benefits. Additionally, we participate in the International Association of Machinists &amp; Aerospace Workers (IAM) National Pension Fund (the IAM Pension Fund). The funding status of the IAM Pension Fund is subject to the risk that other employers may not meet their obligations, which under certain circumstances could cause our obligations to increase. Furthermore, if we were to withdraw from the IAM Pension Fund, if the IAM Pension fund were to terminate, or if the IAM Pension Fund were to undergo a mass withdrawal, we could be subject to liability as imposed by law.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733" w:right="339" w:bottom="1440" w:gutter="0" w:footer="0" w:header="0"/>
        </w:sectPr>
      </w:pPr>
    </w:p>
    <w:bookmarkStart w:id="87" w:name="page88"/>
    <w:bookmarkEnd w:id="87"/>
    <w:p>
      <w:pPr>
        <w:ind w:left="24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13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the outbreak and spread of COVID-19 have adversely impacted consumer perceptions of the health and safety of travel, and in particular airline travel, and these negative perceptions could continue even after the pandemic subsides. Actual or perceived risk of infection on our flights could have a material adverse effect on the public's perception of us, which could harm our reputation and business. We have taken various measures to reassure our team members and the traveling public of the safety of air travel, including requirements that passengers wear face coverings, the provision of protective equipment for team members and enhanced cleaning procedures onboard aircraft and in airports. We expect that we will continue to incur COVID-19 related costs as we sanitize aircraft, implement additional hygiene-related protocols and take other actions to limit the threat of infection among our employees and passengers. However, we cannot assure that these or any other actions we might take in response to COVID-19 will be sufficient to restore the confidence of consumers in the safety of air travel.</w:t>
      </w:r>
    </w:p>
    <w:p>
      <w:pPr>
        <w:spacing w:after="0" w:line="215"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5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employees.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6"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Transportation Security Administration, the Department of Homeland Security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grounding of aircraft types altogether (including the March 2019 grounding of all Boeing 737 MAX aircraft, including the 24 aircraft in our fleet, which remains in place as of the date of this report),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792" w:right="339" w:bottom="1440" w:gutter="0" w:footer="0" w:header="0"/>
        </w:sectPr>
      </w:pPr>
    </w:p>
    <w:bookmarkStart w:id="88" w:name="page89"/>
    <w:bookmarkEnd w:id="88"/>
    <w:p>
      <w:pPr>
        <w:jc w:val="both"/>
        <w:ind w:firstLine="216"/>
        <w:spacing w:after="0" w:line="252"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 In 2020, the DOT is expected to implement a number of new regulations that will impact us, including disability rules for accessible lavatories and refunds for checked bag fees in the event of certain delays in delivery.</w:t>
      </w:r>
    </w:p>
    <w:p>
      <w:pPr>
        <w:spacing w:after="0" w:line="15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50"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44" w:lineRule="exact"/>
        <w:rPr>
          <w:sz w:val="20"/>
          <w:szCs w:val="20"/>
          <w:color w:val="auto"/>
        </w:rPr>
      </w:pPr>
    </w:p>
    <w:p>
      <w:pPr>
        <w:ind w:left="1300" w:hanging="644"/>
        <w:spacing w:after="0" w:line="261"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right="20" w:hanging="644"/>
        <w:spacing w:after="0" w:line="261"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related to COVID-19.</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in a timely manner and the substantial costs that may be imposed on airlines, including ourselves, in order to fund a modernized ATC system may have a material adverse effect on our business.</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ATC and security screening resources and related travel delays, as well as disruption in the ability of the FAA to grant required regulatory approvals, such as those that are involved when a new aircraft is first placed into service.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733" w:right="339" w:bottom="1440" w:gutter="0" w:footer="0" w:header="0"/>
        </w:sectPr>
      </w:pPr>
    </w:p>
    <w:bookmarkStart w:id="89" w:name="page90"/>
    <w:bookmarkEnd w:id="89"/>
    <w:p>
      <w:pPr>
        <w:jc w:val="both"/>
        <w:ind w:firstLine="216"/>
        <w:spacing w:after="0" w:line="251"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many countries,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JBAs, and other alliance arrangements by and among other airlines could impair the value of our business and assets on the open skies routes.</w:t>
      </w:r>
    </w:p>
    <w:p>
      <w:pPr>
        <w:spacing w:after="0" w:line="15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Brexit occurred on January 31, 2020 under the terms of the agreement on the withdrawal of the United Kingdom of Great Britain and Northern Ireland from the EU and the European Atomic Energy Community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 potential extension of up to two years, although the United Kingdom government has passed legislation preventing any such extension of the transition period.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However, Brexit will mandate further modification in the current regulatory regime, including in relation to commercial air service. The precise scope of traffic rights between the EU and the United Kingdom remains uncertain and therefore the continuation of our current services, and those of our partners, is not assured and could be subject to disruption. During the transition period, the United Kingdom and the EU will seek to implement a new air services agreement. We cannot predict the terms of any such successor air services agreement or whether changes in the relationship between the United Kingdom and the EU, including whether or not an agreement governing their future relationship is reached before the end of the transition period,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3"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outbreak and global spread of COVID-19 has severely impacted the demand for international travel and has resulted in the imposition of significant governmental restrictions on commercial air service to or from certain regions. We have responded by suspending a significant portion of our international flights through the summer of 2021 and delaying the introduction of certain new international routes. We can provide no assurance as to when such restrictions will be eased or lifted, when demand for international travel will return to pre-pandemic levels, if at all, or whether certain international destinations we previously served will be economical in the future.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733" w:right="339" w:bottom="1440" w:gutter="0" w:footer="0" w:header="0"/>
        </w:sectPr>
      </w:pPr>
    </w:p>
    <w:bookmarkStart w:id="90" w:name="page91"/>
    <w:bookmarkEnd w:id="90"/>
    <w:p>
      <w:pPr>
        <w:jc w:val="both"/>
        <w:ind w:firstLine="216"/>
        <w:spacing w:after="0" w:line="256" w:lineRule="auto"/>
        <w:rPr>
          <w:sz w:val="20"/>
          <w:szCs w:val="20"/>
          <w:color w:val="auto"/>
        </w:rPr>
      </w:pPr>
      <w:r>
        <w:rPr>
          <w:rFonts w:ascii="Arial" w:cs="Arial" w:eastAsia="Arial" w:hAnsi="Arial"/>
          <w:sz w:val="18"/>
          <w:szCs w:val="18"/>
          <w:color w:val="auto"/>
        </w:rPr>
        <w:t>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in foreign countries, and the imposition of new tariffs, or any increase in existing tariffs, by the U.S. government in respect of the importation of such products could materially increase the amounts we pay for them. In particular, on October 2, 2019, the Office of the U.S. Trade Representative (USTR), as part of an ongoing dispute with the EU before the World Trade Organization (WTO) concerning, among other things, aircraft subsidies, was authorized by an arbitration tribunal of the WTO to impose up to $7.5 billion per year in import tariffs on certain goods originating from the EU. In October 2019, the USTR imposed tariffs on certain imports from the EU, including certain Airbus aircraft that we previously contracted to purchase, which were initially subject to an ad valorem duty of 10%. On February 14, 2020, the USTR increased such duty to 15% effective March 18, 2020. While the scope and rate of these tariffs are subject to change, if and to the extent these tariffs are imposed on us without any available means for us to mitigate or pass on the burden of these tariffs to Airbus, the effective cost of new Airbus aircraft required to implement our fleet plan would increase.</w:t>
      </w:r>
    </w:p>
    <w:p>
      <w:pPr>
        <w:spacing w:after="0" w:line="155"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Brexit occurred on January 31, 2020 under the terms of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 potential extension of up to two years, although the United Kingdom government has passed legislation preventing any such extension of the transition period.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The precise scope of traffic rights between the EU and the United Kingdom remains uncertain and therefore the continuation of our current services, and those of our partners, is not assured and could be subject to disruption. During the transition period, the United Kingdom and the EU will seek to implement a new air services agreement. We cannot predict the terms of any such successor air services agreement or whether changes in the relationship between the United Kingdom and the EU, including whether or not an agreement governing their future relationship is reached before the end of the transition period, could materially adversely affect our business, results of operations and financial condition.</w:t>
      </w:r>
    </w:p>
    <w:p>
      <w:pPr>
        <w:spacing w:after="0" w:line="15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Moreover, Brexit could adversely affect European or worldwide economic or market conditions and could contribute to further instability in global financial markets. In addition,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Brexit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JBA. We continue to fully cooperate with the CMA.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215"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733" w:right="339" w:bottom="1440" w:gutter="0" w:footer="0" w:header="0"/>
        </w:sectPr>
      </w:pPr>
    </w:p>
    <w:bookmarkStart w:id="91" w:name="page92"/>
    <w:bookmarkEnd w:id="91"/>
    <w:p>
      <w:pPr>
        <w:jc w:val="both"/>
        <w:spacing w:after="0" w:line="251" w:lineRule="auto"/>
        <w:rPr>
          <w:sz w:val="20"/>
          <w:szCs w:val="20"/>
          <w:color w:val="auto"/>
        </w:rPr>
      </w:pPr>
      <w:r>
        <w:rPr>
          <w:rFonts w:ascii="Arial" w:cs="Arial" w:eastAsia="Arial" w:hAnsi="Arial"/>
          <w:sz w:val="18"/>
          <w:szCs w:val="18"/>
          <w:color w:val="auto"/>
        </w:rPr>
        <w:t>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171" w:lineRule="exact"/>
        <w:rPr>
          <w:sz w:val="20"/>
          <w:szCs w:val="20"/>
          <w:color w:val="auto"/>
        </w:rPr>
      </w:pPr>
    </w:p>
    <w:p>
      <w:pPr>
        <w:ind w:left="260"/>
        <w:spacing w:after="0" w:line="280"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1"/>
          <w:szCs w:val="21"/>
          <w:b w:val="1"/>
          <w:bCs w:val="1"/>
          <w:i w:val="1"/>
          <w:iCs w:val="1"/>
          <w:color w:val="auto"/>
          <w:vertAlign w:val="subscript"/>
        </w:rPr>
        <w:t>2</w:t>
      </w:r>
      <w:r>
        <w:rPr>
          <w:rFonts w:ascii="Arial" w:cs="Arial" w:eastAsia="Arial" w:hAnsi="Arial"/>
          <w:sz w:val="18"/>
          <w:szCs w:val="18"/>
          <w:b w:val="1"/>
          <w:bCs w:val="1"/>
          <w:i w:val="1"/>
          <w:iCs w:val="1"/>
          <w:color w:val="auto"/>
        </w:rPr>
        <w:t xml:space="preserve"> emissions and the potential increased impacts of severe weather events on our operations and infrastructure.</w:t>
      </w:r>
    </w:p>
    <w:p>
      <w:pPr>
        <w:spacing w:after="0" w:line="2"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8"/>
          <w:szCs w:val="18"/>
          <w:color w:val="auto"/>
        </w:rPr>
        <w:t>There is increasing global regulatory focus on climate change and greenhouse gas (GHG) emissions, including carbon dioxide (CO</w:t>
      </w:r>
      <w:r>
        <w:rPr>
          <w:rFonts w:ascii="Arial" w:cs="Arial" w:eastAsia="Arial" w:hAnsi="Arial"/>
          <w:sz w:val="21"/>
          <w:szCs w:val="21"/>
          <w:color w:val="auto"/>
          <w:vertAlign w:val="subscript"/>
        </w:rPr>
        <w:t>2</w:t>
      </w:r>
      <w:r>
        <w:rPr>
          <w:rFonts w:ascii="Arial" w:cs="Arial" w:eastAsia="Arial" w:hAnsi="Arial"/>
          <w:sz w:val="18"/>
          <w:szCs w:val="18"/>
          <w:color w:val="auto"/>
        </w:rPr>
        <w:t>). In particular, the International Civil Aviation Organization is in the process of adopting rules, including the Carbon Offsetting and Reduction Scheme for International Aviation (CORSIA), that will require American to limit the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emissions of a significant majority of our international flights.</w:t>
      </w:r>
    </w:p>
    <w:p>
      <w:pPr>
        <w:spacing w:after="0" w:line="154" w:lineRule="exact"/>
        <w:rPr>
          <w:sz w:val="20"/>
          <w:szCs w:val="20"/>
          <w:color w:val="auto"/>
        </w:rPr>
      </w:pPr>
    </w:p>
    <w:p>
      <w:pPr>
        <w:jc w:val="both"/>
        <w:ind w:firstLine="243"/>
        <w:spacing w:after="0" w:line="245" w:lineRule="auto"/>
        <w:rPr>
          <w:sz w:val="20"/>
          <w:szCs w:val="20"/>
          <w:color w:val="auto"/>
        </w:rPr>
      </w:pPr>
      <w:r>
        <w:rPr>
          <w:rFonts w:ascii="Arial" w:cs="Arial" w:eastAsia="Arial" w:hAnsi="Arial"/>
          <w:sz w:val="18"/>
          <w:szCs w:val="18"/>
          <w:color w:val="auto"/>
        </w:rPr>
        <w:t>At this time, the costs of our obligations under CORSIA are uncertain and cannot be fully predicted. For example, we will not directly control our CORSIA compliance costs during the CORSIA Pilot and First Phases because such phases include a sharing mechanism for the growth in emissions for the global aviation sector. In addition, there is uncertainty with respect to the future supply, demand and price of sustainable or lower carbon aircraft fuel, carbon offset credits and technologies that could allow airlines to reduce their emissions of CO</w:t>
      </w:r>
      <w:r>
        <w:rPr>
          <w:rFonts w:ascii="Arial" w:cs="Arial" w:eastAsia="Arial" w:hAnsi="Arial"/>
          <w:sz w:val="21"/>
          <w:szCs w:val="21"/>
          <w:color w:val="auto"/>
          <w:vertAlign w:val="subscript"/>
        </w:rPr>
        <w:t>2</w:t>
      </w:r>
      <w:r>
        <w:rPr>
          <w:rFonts w:ascii="Arial" w:cs="Arial" w:eastAsia="Arial" w:hAnsi="Arial"/>
          <w:sz w:val="18"/>
          <w:szCs w:val="18"/>
          <w:color w:val="auto"/>
        </w:rPr>
        <w:t>.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16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will often affect global competitors differently and frequently offer no meaningful aviation environmental improvements. Concerns over climate change are likely to result in continued attempts by municipal, state, regional, and federal agencies to adopt requirements or change business environments related to aviation that, if successful, may result in increased costs to the airline industry and us. In addition, several countries and U.S. states have adopted or are considering adopting programs to regulate domestic GHG emissions. Finally, certain airports have adopted, and others could in the future adopt, GHG emission or climate-neutral goals that could impact our operations or require us to make changes or investments in our infrastructure.</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make capital investments to modernize certain aspects of our operations, purchase carbon offset credits, or otherwise incur additional costs related to our emissions. Such activity may also impact us indirectly by increasing our operating costs, including fuel costs.</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Finally, the potential physical effects of climate change, such as increased frequency and severity of storms, floods, fires, sea-level rise and other climate-related events, could affect our operations, infrastructure and financial results. Operational impacts, such as the canceling of flights, could result in loss of revenue. We could incur significant costs to improve the climate resiliency of our infrastructure and otherwise prepare for, respond to, and mitigate such physical effects of climate change. We are not able to accurately predict the materiality of any potential losses or costs associated with the physical effects of climate change.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652" w:right="339" w:bottom="1440" w:gutter="0" w:footer="0" w:header="0"/>
        </w:sectPr>
      </w:pPr>
    </w:p>
    <w:bookmarkStart w:id="92" w:name="page93"/>
    <w:bookmarkEnd w:id="92"/>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5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5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under our current fleet plan, by the end of 2020 all of our mainline aircraft will have been manufactured by either Airbus or Boeing and all of our regional aircraft will have been manufactured by either Bombardier or Embraer. Further, our supplier base continues to consolidate as evidenced by the recent acquisition of Rockwell Collins by United Technologies, the recent transactions involving Airbus and Bombardier and Bombardier and Mitsubishi.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 In particular, in March 2019, the FAA ordered the grounding of all Boeing 737 MAX aircraft, which remains in place as of the date of this report.</w:t>
      </w:r>
    </w:p>
    <w:p>
      <w:pPr>
        <w:spacing w:after="0" w:line="217"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aircraft, including the 24 aircraft in our fleet. For the duration of the Boeing 737 MAX grounding, we have been unable to take delivery of the Boeing 737 MAX aircraft we have on order from Boeing and have in some instances been required to extend the service lives of older, less efficient aircraft and delay service that we planned to offer. Further, deliveries of Boeing 737 MAX aircraft have remained suspended following the grounding, and Boeing is not currently manufacturing new 737 MAX aircraft. Depending on the ultimate duration of the grounding, various Boeing 737 MAX aircraft financings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792" w:right="339" w:bottom="1440" w:gutter="0" w:footer="0" w:header="0"/>
        </w:sectPr>
      </w:pPr>
    </w:p>
    <w:bookmarkStart w:id="93" w:name="page94"/>
    <w:bookmarkEnd w:id="93"/>
    <w:p>
      <w:pPr>
        <w:jc w:val="both"/>
        <w:spacing w:after="0" w:line="251" w:lineRule="auto"/>
        <w:rPr>
          <w:sz w:val="20"/>
          <w:szCs w:val="20"/>
          <w:color w:val="auto"/>
        </w:rPr>
      </w:pPr>
      <w:r>
        <w:rPr>
          <w:rFonts w:ascii="Arial" w:cs="Arial" w:eastAsia="Arial" w:hAnsi="Arial"/>
          <w:sz w:val="18"/>
          <w:szCs w:val="18"/>
          <w:color w:val="auto"/>
        </w:rPr>
        <w:t>and financing commitments we previously obtained may be terminated and, as a result, we may be required to obtain alternate financing and financing commitments for these aircraft, which may not be available on terms and conditions as favorable as the previously obtained financings and financing commitments. Further, once the grounding has been lifted, we are likely to be subject to training requirements. Boeing has recommended that pilots receive special flight simulator training before operating the Boeing 737 MAX aircraft, and although the FAA is ultimately responsible for establishing training requirements for operating the Boeing 737 MAX, such additional training would further delay the aircraft’s return to service and impose restrictions on our ability to optimize our fleet. This and other operational requirements and uncertainties regarding the timing of the delivery of Boeing 737 MAX aircraft we have on order and how rapidly we will be able to take delivery of and integrate such Boeing 737 MAX aircraft into our fleet could potentially result in further significant constraints on our operating efficiency, capacity and growth plans. In addition, the timing of the 737 MAX’s recertification and return to service, and the resumption of deliveries, could be significantly impacted by the COVID-19 pandemic.</w:t>
      </w:r>
    </w:p>
    <w:p>
      <w:pPr>
        <w:spacing w:after="0" w:line="216"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56"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While we have to date successfully integrated many of our computer, communication and other technology systems in connection with the merger of US Airways and American,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652" w:right="339" w:bottom="1440" w:gutter="0" w:footer="0" w:header="0"/>
        </w:sectPr>
      </w:pPr>
    </w:p>
    <w:bookmarkStart w:id="94" w:name="page95"/>
    <w:bookmarkEnd w:id="94"/>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w:t>
      </w:r>
    </w:p>
    <w:p>
      <w:pPr>
        <w:spacing w:after="0" w:line="15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harm our reputation and adversely impact our relationship with our customers, employees and stockholders. Accordingly, failure to appropriately address these issues could result in material financial and other liabilities and cause significant reputational harm to our company.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792" w:right="339" w:bottom="1440" w:gutter="0" w:footer="0" w:header="0"/>
        </w:sectPr>
      </w:pPr>
    </w:p>
    <w:bookmarkStart w:id="95" w:name="page96"/>
    <w:bookmarkEnd w:id="95"/>
    <w:p>
      <w:pPr>
        <w:ind w:left="260"/>
        <w:spacing w:after="0" w:line="28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In particular, the significant decline in demand for air travel resulting from the COVID-19 pandemic and related governmental restrictions on travel have materially impacted demand for services provided by our regional carriers and, as a result, we have significantly reduced our regional capacity and expect to maintain these reduced levels of capacity for the foreseeable future. We expect the disruption to services resulting from the COVID-19 pandemic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5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792" w:right="339" w:bottom="1440" w:gutter="0" w:footer="0" w:header="0"/>
        </w:sectPr>
      </w:pPr>
    </w:p>
    <w:bookmarkStart w:id="96" w:name="page97"/>
    <w:bookmarkEnd w:id="96"/>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Los Angeles International Airport (LAX), LaGuardia Airport (LGA) and Ronald Reagan Washington National Airport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John F. Kennedy International Airport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resulting from the COVID-19 pandemic, we are in many instances relying on exemptions granted by applicable authorities from the requirement that we continuously use certain slots, gates and routes or risk having such operating rights revoked, and we cannot predict whether such exemptions will continue to be granted or whether we ultimately could be at risk of losing valuable operating rights. We cannot provide any assurance that regulatory changes regarding the allocation of slots, the continued enforcement of a perimeter rule or similar regulatory authority will not have a material adverse impact on our operations.</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 and other facilities are currently inadequate to accommodate all of the service that we would like to provide, or airports such as Dallas Love Field Airport where we have no access to gates at all.</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operate principally through our hubs and gateways in Charlotte, Chicago, Dallas/Fort Worth, London Heathrow, Los Angeles, Miami, New York, Philadelphia, Phoenix and Washington, D.C.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792" w:right="339" w:bottom="1440" w:gutter="0" w:footer="0" w:header="0"/>
        </w:sectPr>
      </w:pPr>
    </w:p>
    <w:bookmarkStart w:id="97" w:name="page98"/>
    <w:bookmarkEnd w:id="97"/>
    <w:p>
      <w:pPr>
        <w:jc w:val="both"/>
        <w:spacing w:after="0" w:line="254" w:lineRule="auto"/>
        <w:rPr>
          <w:sz w:val="20"/>
          <w:szCs w:val="20"/>
          <w:color w:val="auto"/>
        </w:rPr>
      </w:pPr>
      <w:r>
        <w:rPr>
          <w:rFonts w:ascii="Arial" w:cs="Arial" w:eastAsia="Arial" w:hAnsi="Arial"/>
          <w:sz w:val="18"/>
          <w:szCs w:val="18"/>
          <w:color w:val="auto"/>
        </w:rPr>
        <w:t>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0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have recently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increasing other pre-existing fees, reconfiguration of our aircraft cabins, and efforts to optimize our network including by focusing growth on a limited number of large hubs.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 challenges that could harm the operational performance of our airline or result in decreased demand. Also, our 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6" w:lineRule="exact"/>
        <w:rPr>
          <w:sz w:val="20"/>
          <w:szCs w:val="20"/>
          <w:color w:val="auto"/>
        </w:rPr>
      </w:pPr>
    </w:p>
    <w:p>
      <w:pPr>
        <w:ind w:left="240"/>
        <w:spacing w:after="0" w:line="28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212"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214"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58" w:lineRule="exact"/>
        <w:rPr>
          <w:sz w:val="20"/>
          <w:szCs w:val="20"/>
          <w:color w:val="auto"/>
        </w:rPr>
      </w:pPr>
    </w:p>
    <w:p>
      <w:pPr>
        <w:ind w:right="20" w:firstLine="243"/>
        <w:spacing w:after="0" w:line="261"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652" w:right="339" w:bottom="1440" w:gutter="0" w:footer="0" w:header="0"/>
        </w:sectPr>
      </w:pPr>
    </w:p>
    <w:bookmarkStart w:id="98" w:name="page99"/>
    <w:bookmarkEnd w:id="98"/>
    <w:p>
      <w:pPr>
        <w:jc w:val="both"/>
        <w:spacing w:after="0" w:line="251" w:lineRule="auto"/>
        <w:rPr>
          <w:sz w:val="20"/>
          <w:szCs w:val="20"/>
          <w:color w:val="auto"/>
        </w:rPr>
      </w:pPr>
      <w:r>
        <w:rPr>
          <w:rFonts w:ascii="Arial" w:cs="Arial" w:eastAsia="Arial" w:hAnsi="Arial"/>
          <w:sz w:val="18"/>
          <w:szCs w:val="18"/>
          <w:color w:val="auto"/>
        </w:rPr>
        <w:t>certification standards, and our pilots and other crew members must adhere to flight time and rest requirements. Commencing in 2013, the minimum flight hour requirement to achieve a commercial pilot’s license in the United States (an Air Transport Pilot’s certificate)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5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2019, we had available NOL Carryforwards of approximately $9.1 billion for regular federal income tax purposes that will expire, if unused, beginning in 2023, and approximately $3.0 billion for state income tax purposes that will expire, if unused, between 2020 and 2039. Our NOL Carryforwards are subject to adjustment on audit by the Internal Revenue Service and the respective state taxing authorities.</w:t>
      </w:r>
    </w:p>
    <w:p>
      <w:pPr>
        <w:spacing w:after="0" w:line="15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We presently do not have a valuation allowance on our net deferred tax assets. If our financial results continue to be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652" w:right="339" w:bottom="1440" w:gutter="0" w:footer="0" w:header="0"/>
        </w:sectPr>
      </w:pPr>
    </w:p>
    <w:bookmarkStart w:id="99" w:name="page100"/>
    <w:bookmarkEnd w:id="99"/>
    <w:p>
      <w:pPr>
        <w:jc w:val="both"/>
        <w:spacing w:after="0" w:line="256" w:lineRule="auto"/>
        <w:rPr>
          <w:sz w:val="20"/>
          <w:szCs w:val="20"/>
          <w:color w:val="auto"/>
        </w:rPr>
      </w:pPr>
      <w:r>
        <w:rPr>
          <w:rFonts w:ascii="Arial" w:cs="Arial" w:eastAsia="Arial" w:hAnsi="Arial"/>
          <w:sz w:val="18"/>
          <w:szCs w:val="18"/>
          <w:color w:val="auto"/>
        </w:rPr>
        <w:t>adversely impacted by COVID-19, there can be no assurance that a valuation allowance on our net deferred tax assets will not be required in the future. Such valuation allowance could be material. Additionally, the NOL Carryforwards may expire before we can generate sufficient taxable income to use them.</w:t>
      </w:r>
    </w:p>
    <w:p>
      <w:pPr>
        <w:spacing w:after="0" w:line="14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In 2013, we experienced an ownership change in connection with our emergence from bankruptcy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$ 9.0 billion (with $7.3 billion of unlimited NOL still remaining at December 31, 2019)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a government acquisition of warrants, stock options, common or preferred stock or other equity acquired in relation to the program does not result in an ownership change for purposes of section 382. This exception does not apply for companies issuing warrants, stock options, common or preferred stock or other equity pursuant to the Payroll Support Program and accordingly will not apply to the warrants issued by us under that program.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54"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 See also “</w:t>
      </w:r>
      <w:r>
        <w:rPr>
          <w:rFonts w:ascii="Arial" w:cs="Arial" w:eastAsia="Arial" w:hAnsi="Arial"/>
          <w:sz w:val="18"/>
          <w:szCs w:val="18"/>
          <w:i w:val="1"/>
          <w:iCs w:val="1"/>
          <w:color w:val="auto"/>
        </w:rPr>
        <w:t>Certain provisions of AAG’s Certificate of Incorporation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Bylaws make it difficult for stockholders to change the composition of our Board of Directors and may discourage takeover attempts that some of our stockholders might consider beneficial</w:t>
      </w:r>
      <w:r>
        <w:rPr>
          <w:rFonts w:ascii="Arial" w:cs="Arial" w:eastAsia="Arial" w:hAnsi="Arial"/>
          <w:sz w:val="18"/>
          <w:szCs w:val="18"/>
          <w:color w:val="auto"/>
        </w:rPr>
        <w:t>.”</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commercial relationships that we have with other airlines, including any related equity investment, may not produce the returns or results we expect.</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recent instance involving China Southern Airlines, by making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In addition, as a result of the global spread of COVID-19, the industry has experienced a precipitous decline in demand for air travel both internationally and domestically, which is expected to continue into the foreseeable future and could materially disrupt the timely execution of our strategic operating plans, including the finalization, approval and implementation of new strategic relationships or the expansion of existing relationships. These events could have a material adverse effect on our business, results of operations and financial condition.</w:t>
      </w:r>
    </w:p>
    <w:p>
      <w:pPr>
        <w:spacing w:after="0" w:line="215"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(a holdback) equal to some or all of the advance ticket sales that have been processed by that credit card processor, but for which we have not yet provided the air transportation. Additionally, such credit card processing companies may require cash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733" w:right="339" w:bottom="1440" w:gutter="0" w:footer="0" w:header="0"/>
        </w:sectPr>
      </w:pPr>
    </w:p>
    <w:bookmarkStart w:id="100" w:name="page101"/>
    <w:bookmarkEnd w:id="100"/>
    <w:p>
      <w:pPr>
        <w:jc w:val="both"/>
        <w:spacing w:after="0" w:line="251" w:lineRule="auto"/>
        <w:rPr>
          <w:sz w:val="20"/>
          <w:szCs w:val="20"/>
          <w:color w:val="auto"/>
        </w:rPr>
      </w:pPr>
      <w:r>
        <w:rPr>
          <w:rFonts w:ascii="Arial" w:cs="Arial" w:eastAsia="Arial" w:hAnsi="Arial"/>
          <w:sz w:val="18"/>
          <w:szCs w:val="18"/>
          <w:color w:val="auto"/>
        </w:rPr>
        <w:t>other collateral reserves to be established.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or the triggering of a liquidity covenant. In light of the effect COVID-19 is having on demand for air travel and, in turn, capacity, we have seen an increase in demand from consumers for refunds on their tickets, and we anticipate this will continue to be the case for the near future. Requests for refunds and the ongoing impact of COVID-19 on our longer-term financial performance may reduce our liquidity and cause us to be forced to post cash or other collateral with the credit card processing companies in respect of advance ticket sales. The imposition of holdback requirements,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p>
    <w:p>
      <w:pPr>
        <w:spacing w:after="0" w:line="216"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In the first six months of 2020, we recorded an $838 million impairment charge associated with our decision to retire certain mainline aircraft, principally Boeing 757, Boeing 767, Airbus A330-300 and Embraer 190 aircraft as well as regional aircraft, including certain Embraer 140 and Bombardier CRJ200 aircraft, earlier than previously planned as a result of the decline in demand for air travel due to COVID-19. We can provide no assurance that a material impairment loss of tangible or intangible assets will not occur in a future period, and the risk of future material impairments has been significantly heightened as result of the effects of the COVID-19 pandemic on our flight schedules and business. Such impairment charges could have a material adverse effect on our business, results of operations and financial condition.</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112"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The market price of AAG common stock has fluctuated in the past, and may fluctuate substantially in the future, due to a variety of factors, many of which are beyond our control, including:</w:t>
      </w:r>
    </w:p>
    <w:p>
      <w:pPr>
        <w:spacing w:after="0" w:line="144"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 (which we have suspended for an indefinite period in accordance with the applicable requirements under the CARES Act);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652" w:right="339" w:bottom="1440" w:gutter="0" w:footer="0" w:header="0"/>
        </w:sectPr>
      </w:pPr>
    </w:p>
    <w:bookmarkStart w:id="101" w:name="page102"/>
    <w:bookmarkEnd w:id="101"/>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restricted stock unit awards, stock appreciation rights, or other securities that may be issued from time to time, including warrants we have or will issue in connection with our receipt of funds under the CARES Act;</w:t>
      </w:r>
    </w:p>
    <w:p>
      <w:pPr>
        <w:spacing w:after="0" w:line="147"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230"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b w:val="1"/>
          <w:bCs w:val="1"/>
          <w:i w:val="1"/>
          <w:iCs w:val="1"/>
          <w:color w:val="auto"/>
        </w:rPr>
        <w:t>We have ceased making repurchases of our common stock and paying dividends on our common stock as required by the CARES Act. Following the end of those restrictions, if we do decide to make repurchases of or pay dividends on our common stock, we cannot guarantee that we will continue to do so or that our capital deployment program will enhance long-term stockholder value. Our capital deployment program could increase the volatility of the price of our common stock and diminish our cash reserves.</w:t>
      </w:r>
    </w:p>
    <w:p>
      <w:pPr>
        <w:spacing w:after="0" w:line="66"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Since July 2014, as part of our capital deployment program, our Board of Directors had approved seven share repurchase programs aggregating $13.0 billion of authority. As of June 30, 2020, there was $420 million of remaining authority to repurchase shares under our current $2.0 billion share repurchase program. In connection with our receipt of payroll support under the CARES Act, we agreed not to repurchase shares of AAG common stock through September 30, 2021. If we receive a secured loan from Treasury pursuant to the CARES Act, we will be prohibited from repurchasing shares of AAG common stock through the date that is one year after such secured loan is fully repaid. If we determine to make any share repurchases in the future, such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again at any time at our discretion and without prior notice. The timing and amount of repurchases, if any, will be subject to market and economic conditions, applicable legal requirements, such as the requirements of the CARES Act and other relevant factors. Our repurchase of AAG common stock may be limited, suspended or discontinued at any time at our discretion and without prior notice.</w:t>
      </w:r>
    </w:p>
    <w:p>
      <w:pPr>
        <w:spacing w:after="0" w:line="156" w:lineRule="exact"/>
        <w:rPr>
          <w:sz w:val="20"/>
          <w:szCs w:val="20"/>
          <w:color w:val="auto"/>
        </w:rPr>
      </w:pPr>
    </w:p>
    <w:p>
      <w:pPr>
        <w:jc w:val="both"/>
        <w:ind w:firstLine="229"/>
        <w:spacing w:after="0" w:line="251" w:lineRule="auto"/>
        <w:rPr>
          <w:sz w:val="20"/>
          <w:szCs w:val="20"/>
          <w:color w:val="auto"/>
        </w:rPr>
      </w:pPr>
      <w:r>
        <w:rPr>
          <w:rFonts w:ascii="Arial" w:cs="Arial" w:eastAsia="Arial" w:hAnsi="Arial"/>
          <w:sz w:val="18"/>
          <w:szCs w:val="18"/>
          <w:color w:val="auto"/>
        </w:rPr>
        <w:t>Our Board of Directors commenced declaring quarterly cash dividends in July 2014 as part of our capital deployment program. In connection with our receipt of payroll support under the CARES Act, we agreed not to pay dividends on AAG common stock through September 30, 2021. If we receive a secured loan from Treasury pursuant to the CARES Act, we will be prohibited from paying dividends on AAG common stock through the date that is one year after such secured loan is fully repaid.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57" w:lineRule="exact"/>
        <w:rPr>
          <w:sz w:val="20"/>
          <w:szCs w:val="20"/>
          <w:color w:val="auto"/>
        </w:rPr>
      </w:pPr>
    </w:p>
    <w:p>
      <w:pPr>
        <w:jc w:val="both"/>
        <w:ind w:firstLine="229"/>
        <w:spacing w:after="0" w:line="252"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they will do so.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733" w:right="339" w:bottom="1440" w:gutter="0" w:footer="0" w:header="0"/>
        </w:sectPr>
      </w:pPr>
    </w:p>
    <w:bookmarkStart w:id="102" w:name="page103"/>
    <w:bookmarkEnd w:id="102"/>
    <w:p>
      <w:pPr>
        <w:ind w:left="260"/>
        <w:spacing w:after="0" w:line="28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in our 2019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48"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jc w:val="both"/>
        <w:ind w:left="260" w:right="20"/>
        <w:spacing w:after="0" w:line="268"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Payroll Support Program and in connection with the loan under the CARES Act, could depress the trading price of our common stock and the Convertible Notes.</w:t>
      </w:r>
    </w:p>
    <w:p>
      <w:pPr>
        <w:spacing w:after="0" w:line="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may conduct future offerings of common stock, preferred stock or other securities that are convertible into or exercisable for our common stock to finance our operations, to fund acquisitions, or for other purposes at any time and from time to time. If these additional shares are sold, or if it is perceived that they will be sold, into the public market, the price of our common stock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could decline substantially.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792" w:right="339" w:bottom="1440" w:gutter="0" w:footer="0" w:header="0"/>
        </w:sectPr>
      </w:pPr>
    </w:p>
    <w:bookmarkStart w:id="103" w:name="page104"/>
    <w:bookmarkEnd w:id="103"/>
    <w:p>
      <w:pPr>
        <w:jc w:val="both"/>
        <w:ind w:firstLine="216"/>
        <w:spacing w:after="0" w:line="252" w:lineRule="auto"/>
        <w:rPr>
          <w:sz w:val="20"/>
          <w:szCs w:val="20"/>
          <w:color w:val="auto"/>
        </w:rPr>
      </w:pPr>
      <w:r>
        <w:rPr>
          <w:rFonts w:ascii="Arial" w:cs="Arial" w:eastAsia="Arial" w:hAnsi="Arial"/>
          <w:sz w:val="18"/>
          <w:szCs w:val="18"/>
          <w:color w:val="auto"/>
        </w:rPr>
        <w:t>We and our executive officers and our board members have entered into lock-up agreements with the underwriters of our recent offerings of common stock and the Convertible Notes under which we, our executive officers and our board members until August 21, 2020 (such period, the "lock-up period"), have agreed, subject to certain exceptions, not to sell, directly or indirectly, any shares of our common stock without the permission of the representatives of these underwriters. When the lock-up period expires, we, our executive officers and our board members will be able to sell our common stock in the public market, subject to compliance with applicable securities laws restrictions. Sales of a substantial number of such shares of our common stock upon expiration of the lock-up period or otherwise, the perception that such sales may occur, or early release of these agreements, could cause the market price of our common stock to fall or make it more difficult for stockholders to sell shares at a time and price they deem appropriate.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733" w:right="339" w:bottom="1440" w:gutter="0" w:footer="0" w:header="0"/>
        </w:sectPr>
      </w:pPr>
    </w:p>
    <w:bookmarkStart w:id="104" w:name="page105"/>
    <w:bookmarkEnd w:id="104"/>
    <w:tbl>
      <w:tblPr>
        <w:tblLayout w:type="fixed"/>
        <w:tblInd w:w="32"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Description</w:t>
            </w:r>
          </w:p>
        </w:tc>
        <w:tc>
          <w:tcPr>
            <w:tcW w:w="4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640" w:type="dxa"/>
            <w:vAlign w:val="bottom"/>
            <w:gridSpan w:val="2"/>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rPr>
            </w:pPr>
            <w:hyperlink r:id="rId100">
              <w:r>
                <w:rPr>
                  <w:rFonts w:ascii="Arial" w:cs="Arial" w:eastAsia="Arial" w:hAnsi="Arial"/>
                  <w:sz w:val="18"/>
                  <w:szCs w:val="18"/>
                  <w:color w:val="0000FF"/>
                </w:rPr>
                <w:t>Warrant Agreement, dated as of April 20, 2020, between American Airlines Group, Inc. and the United States Department of the</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Treasury (incorporated by reference to Exhibit 4.3 to AAG’s Quarterly Report on Form 10-Q for the quarter ended March 31,</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gridSpan w:val="12"/>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2020 (Commission File No. 1-8400)).</w:t>
              </w:r>
            </w:hyperlink>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rPr>
            </w:pPr>
            <w:hyperlink r:id="rId100">
              <w:r>
                <w:rPr>
                  <w:rFonts w:ascii="Arial" w:cs="Arial" w:eastAsia="Arial" w:hAnsi="Arial"/>
                  <w:sz w:val="18"/>
                  <w:szCs w:val="18"/>
                  <w:color w:val="0000FF"/>
                </w:rPr>
                <w:t>Form of Warrant (incorporated by reference to Annex B to Exhibit 4.3 to AAG’s Quarterly Report on Form 10-Q for the quarter</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gridSpan w:val="12"/>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ended March 31, 2020 (Commission File No. 1-8400)).</w:t>
              </w:r>
            </w:hyperlink>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rPr>
            </w:pPr>
            <w:hyperlink r:id="rId101">
              <w:r>
                <w:rPr>
                  <w:rFonts w:ascii="Arial" w:cs="Arial" w:eastAsia="Arial" w:hAnsi="Arial"/>
                  <w:sz w:val="18"/>
                  <w:szCs w:val="18"/>
                  <w:color w:val="0000FF"/>
                </w:rPr>
                <w:t>Indenture, dated as of June 25, 2020, by and between American Airlines Group Inc. and Wilmington Trust, National Association,</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as trustee (incorporated by reference to Exhibit 4.1 to AAG’s Current Report on Form 8-K filed on June 25, 2020 (Commission</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101">
              <w:r>
                <w:rPr>
                  <w:rFonts w:ascii="Arial" w:cs="Arial" w:eastAsia="Arial" w:hAnsi="Arial"/>
                  <w:sz w:val="18"/>
                  <w:szCs w:val="18"/>
                  <w:color w:val="0000FF"/>
                  <w:w w:val="98"/>
                </w:rPr>
                <w:t>File No. 1-8400)).</w:t>
              </w:r>
            </w:hyperlink>
          </w:p>
        </w:tc>
        <w:tc>
          <w:tcPr>
            <w:tcW w:w="88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40" w:type="dxa"/>
            <w:vAlign w:val="bottom"/>
            <w:gridSpan w:val="2"/>
          </w:tcPr>
          <w:p>
            <w:pPr>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First Supplemental Indenture, dated as of June 25, 2020, by and among American Airlines Group Inc., American Airlines, Inc.</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102">
              <w:r>
                <w:rPr>
                  <w:rFonts w:ascii="Arial" w:cs="Arial" w:eastAsia="Arial" w:hAnsi="Arial"/>
                  <w:sz w:val="18"/>
                  <w:szCs w:val="18"/>
                  <w:color w:val="0000FF"/>
                  <w:w w:val="99"/>
                </w:rPr>
                <w:t>and Wilmington Trust, National Association, as trustee (incorporated by reference to Exhibit 4.2 to AAG’s Current Report on Form</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gridSpan w:val="12"/>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8-K filed on June 25, 2020 (Commission File No. 1-8400)).</w:t>
              </w:r>
            </w:hyperlink>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Form of 6.50% Convertible Senior Notes due 2025 (incorporated by reference to Exhibit A to Exhibit 4.2 to AAG’s Current Report</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gridSpan w:val="12"/>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on Form 8-K filed on June 25, 2020 (Commission File No. 1-8400)).</w:t>
              </w:r>
            </w:hyperlink>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Indenture, dated as of June 30, 2020, by and among American Airlines, Inc., American Airlines Group, Inc. and Wilmington Trust,</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National Association, as trustee (incorporated by reference to Exhibit 4.1 to AAG’s Current Report on Form 8-K filed on July 2,</w:t>
              </w:r>
            </w:hyperlink>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gridSpan w:val="12"/>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2020 (Commission File No. 1-8400)).</w:t>
              </w:r>
            </w:hyperlink>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rPr>
            </w:pPr>
            <w:hyperlink r:id="rId103">
              <w:r>
                <w:rPr>
                  <w:rFonts w:ascii="Arial" w:cs="Arial" w:eastAsia="Arial" w:hAnsi="Arial"/>
                  <w:sz w:val="18"/>
                  <w:szCs w:val="18"/>
                  <w:color w:val="0000FF"/>
                </w:rPr>
                <w:t>Form of 11.75% Senior Notes due 2025 (incorporated by reference to Exhibit A to Exhibit 4.1 to AAG’s Current Report on Form</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4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8-K filed on July 2, 2020 (Commission File Number 1-8400)).</w:t>
              </w:r>
            </w:hyperlink>
          </w:p>
        </w:tc>
        <w:tc>
          <w:tcPr>
            <w:tcW w:w="54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rPr>
            </w:pPr>
            <w:hyperlink r:id="rId104">
              <w:r>
                <w:rPr>
                  <w:rFonts w:ascii="Arial" w:cs="Arial" w:eastAsia="Arial" w:hAnsi="Arial"/>
                  <w:sz w:val="18"/>
                  <w:szCs w:val="18"/>
                  <w:color w:val="0000FF"/>
                </w:rPr>
                <w:t>Payroll Support Program Agreement, dated as of April 20, 2020, between American Airlines, Inc. and the United States</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Department of the Treasury (incorporated by reference to Exhibit 10.5 to AAG’s Quarterly Report on Form 10-Q for the quarter</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gridSpan w:val="12"/>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ended March 31, 2020 (Commission File No. 1-8400)).</w:t>
              </w:r>
            </w:hyperlink>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rPr>
            </w:pPr>
            <w:hyperlink r:id="rId104">
              <w:r>
                <w:rPr>
                  <w:rFonts w:ascii="Arial" w:cs="Arial" w:eastAsia="Arial" w:hAnsi="Arial"/>
                  <w:sz w:val="18"/>
                  <w:szCs w:val="18"/>
                  <w:color w:val="0000FF"/>
                </w:rPr>
                <w:t>Promissory Note, dated as of April 20, 2020, issued by American Airlines Group Inc. in the name of the United States</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Department of the Treasury and guaranteed by American Airlines, Inc., Envoy Air Inc., Piedmont Airlines, Inc. and PSA Airlines,</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Inc. (incorporated by reference to Exhibit 10.5 to AAG’s Quarterly Report on Form 10-Q for the quarter ended March 31, 2020</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(Commission File No. 1-8400)).</w:t>
              </w:r>
            </w:hyperlink>
          </w:p>
        </w:tc>
        <w:tc>
          <w:tcPr>
            <w:tcW w:w="77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Amendment No. 12, dated as of June 26, 2020, to the A320 Family Aircraft Purchase Agreement between Airbus S.A.S., as</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w:anchor="page107">
              <w:r>
                <w:rPr>
                  <w:rFonts w:ascii="Arial" w:cs="Arial" w:eastAsia="Arial" w:hAnsi="Arial"/>
                  <w:sz w:val="18"/>
                  <w:szCs w:val="18"/>
                  <w:color w:val="0000FF"/>
                </w:rPr>
                <w:t>seller, and American Airlines, Inc. as buyer, dated as of July 20, 2011, as amended, restated, amended and restated,</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w:anchor="page107">
              <w:r>
                <w:rPr>
                  <w:rFonts w:ascii="Arial" w:cs="Arial" w:eastAsia="Arial" w:hAnsi="Arial"/>
                  <w:sz w:val="18"/>
                  <w:szCs w:val="18"/>
                  <w:color w:val="0000FF"/>
                  <w:w w:val="99"/>
                </w:rPr>
                <w:t>supplemented or otherwise.*</w:t>
              </w:r>
            </w:hyperlink>
          </w:p>
        </w:tc>
        <w:tc>
          <w:tcPr>
            <w:tcW w:w="80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280" w:type="dxa"/>
            <w:vAlign w:val="bottom"/>
            <w:gridSpan w:val="12"/>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Certification of AAG Chief Executive Officer pursuant to Rule 13a-14(a).</w:t>
              </w:r>
            </w:hyperlink>
          </w:p>
        </w:tc>
        <w:tc>
          <w:tcPr>
            <w:tcW w:w="0" w:type="dxa"/>
            <w:vAlign w:val="bottom"/>
          </w:tcPr>
          <w:p>
            <w:pPr>
              <w:spacing w:after="0"/>
              <w:rPr>
                <w:sz w:val="1"/>
                <w:szCs w:val="1"/>
                <w:color w:val="auto"/>
              </w:rPr>
            </w:pPr>
          </w:p>
        </w:tc>
      </w:tr>
      <w:tr>
        <w:trPr>
          <w:trHeight w:val="257"/>
        </w:trPr>
        <w:tc>
          <w:tcPr>
            <w:tcW w:w="640" w:type="dxa"/>
            <w:vAlign w:val="bottom"/>
            <w:gridSpan w:val="2"/>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2"/>
                <w:szCs w:val="22"/>
                <w:color w:val="auto"/>
              </w:rPr>
            </w:pPr>
          </w:p>
        </w:tc>
        <w:tc>
          <w:tcPr>
            <w:tcW w:w="10280" w:type="dxa"/>
            <w:vAlign w:val="bottom"/>
            <w:gridSpan w:val="12"/>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Certification of AAG Chief Financial Officer pursuant to Rule 13a-14(a).</w:t>
              </w:r>
            </w:hyperlink>
          </w:p>
        </w:tc>
        <w:tc>
          <w:tcPr>
            <w:tcW w:w="0" w:type="dxa"/>
            <w:vAlign w:val="bottom"/>
          </w:tcPr>
          <w:p>
            <w:pPr>
              <w:spacing w:after="0"/>
              <w:rPr>
                <w:sz w:val="1"/>
                <w:szCs w:val="1"/>
                <w:color w:val="auto"/>
              </w:rPr>
            </w:pPr>
          </w:p>
        </w:tc>
      </w:tr>
      <w:tr>
        <w:trPr>
          <w:trHeight w:val="256"/>
        </w:trPr>
        <w:tc>
          <w:tcPr>
            <w:tcW w:w="640" w:type="dxa"/>
            <w:vAlign w:val="bottom"/>
            <w:gridSpan w:val="2"/>
          </w:tcPr>
          <w:p>
            <w:pPr>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2"/>
                <w:szCs w:val="22"/>
                <w:color w:val="auto"/>
              </w:rPr>
            </w:pPr>
          </w:p>
        </w:tc>
        <w:tc>
          <w:tcPr>
            <w:tcW w:w="10280" w:type="dxa"/>
            <w:vAlign w:val="bottom"/>
            <w:gridSpan w:val="12"/>
          </w:tcPr>
          <w:p>
            <w:pPr>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Certification of American Chief Executive Officer pursuant to Rule 13a-14(a).</w:t>
              </w:r>
            </w:hyperlink>
          </w:p>
        </w:tc>
        <w:tc>
          <w:tcPr>
            <w:tcW w:w="0" w:type="dxa"/>
            <w:vAlign w:val="bottom"/>
          </w:tcPr>
          <w:p>
            <w:pPr>
              <w:spacing w:after="0"/>
              <w:rPr>
                <w:sz w:val="1"/>
                <w:szCs w:val="1"/>
                <w:color w:val="auto"/>
              </w:rPr>
            </w:pPr>
          </w:p>
        </w:tc>
      </w:tr>
      <w:tr>
        <w:trPr>
          <w:trHeight w:val="257"/>
        </w:trPr>
        <w:tc>
          <w:tcPr>
            <w:tcW w:w="640" w:type="dxa"/>
            <w:vAlign w:val="bottom"/>
            <w:gridSpan w:val="2"/>
          </w:tcPr>
          <w:p>
            <w:pPr>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22"/>
                <w:szCs w:val="22"/>
                <w:color w:val="auto"/>
              </w:rPr>
            </w:pPr>
          </w:p>
        </w:tc>
        <w:tc>
          <w:tcPr>
            <w:tcW w:w="10280" w:type="dxa"/>
            <w:vAlign w:val="bottom"/>
            <w:gridSpan w:val="12"/>
          </w:tcPr>
          <w:p>
            <w:pPr>
              <w:spacing w:after="0"/>
              <w:rPr>
                <w:rFonts w:ascii="Arial" w:cs="Arial" w:eastAsia="Arial" w:hAnsi="Arial"/>
                <w:sz w:val="18"/>
                <w:szCs w:val="18"/>
                <w:color w:val="0000FF"/>
              </w:rPr>
            </w:pPr>
            <w:hyperlink w:anchor="page115">
              <w:r>
                <w:rPr>
                  <w:rFonts w:ascii="Arial" w:cs="Arial" w:eastAsia="Arial" w:hAnsi="Arial"/>
                  <w:sz w:val="18"/>
                  <w:szCs w:val="18"/>
                  <w:u w:val="single" w:color="auto"/>
                  <w:color w:val="0000FF"/>
                </w:rPr>
                <w:t>Certification of American Chief Financial Officer pursuant to Rule 13a-14(a)</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AAG Certification pursuant to Rule 13a-14(b) and section 906 of the Sarbanes-Oxley Act of 2002 (subsections (a) and (b) of</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2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w:anchor="page116">
              <w:r>
                <w:rPr>
                  <w:rFonts w:ascii="Arial" w:cs="Arial" w:eastAsia="Arial" w:hAnsi="Arial"/>
                  <w:sz w:val="18"/>
                  <w:szCs w:val="18"/>
                  <w:color w:val="0000FF"/>
                  <w:w w:val="99"/>
                </w:rPr>
                <w:t>section 1350, chapter 63 of title 18, United States Code).</w:t>
              </w:r>
            </w:hyperlink>
          </w:p>
        </w:tc>
        <w:tc>
          <w:tcPr>
            <w:tcW w:w="57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40" w:type="dxa"/>
            <w:vAlign w:val="bottom"/>
            <w:gridSpan w:val="2"/>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0"/>
                <w:szCs w:val="20"/>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American Certification pursuant to Rule 13a-14(b) and section 906 of the Sarbanes-Oxley Act of 2002 (subsections (a) and (b) of</w:t>
              </w:r>
            </w:hyperlink>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2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w:anchor="page117">
              <w:r>
                <w:rPr>
                  <w:rFonts w:ascii="Arial" w:cs="Arial" w:eastAsia="Arial" w:hAnsi="Arial"/>
                  <w:sz w:val="18"/>
                  <w:szCs w:val="18"/>
                  <w:color w:val="0000FF"/>
                  <w:w w:val="99"/>
                </w:rPr>
                <w:t>section 1350, chapter 63 of title 18, United States Code).</w:t>
              </w:r>
            </w:hyperlink>
          </w:p>
        </w:tc>
        <w:tc>
          <w:tcPr>
            <w:tcW w:w="57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40" w:type="dxa"/>
            <w:vAlign w:val="bottom"/>
            <w:gridSpan w:val="2"/>
          </w:tcPr>
          <w:p>
            <w:pPr>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2"/>
                <w:szCs w:val="22"/>
                <w:color w:val="auto"/>
              </w:rPr>
            </w:pPr>
          </w:p>
        </w:tc>
        <w:tc>
          <w:tcPr>
            <w:tcW w:w="10280" w:type="dxa"/>
            <w:vAlign w:val="bottom"/>
            <w:gridSpan w:val="12"/>
          </w:tcPr>
          <w:p>
            <w:pPr>
              <w:spacing w:after="0"/>
              <w:rPr>
                <w:sz w:val="20"/>
                <w:szCs w:val="20"/>
                <w:color w:val="auto"/>
              </w:rPr>
            </w:pPr>
            <w:r>
              <w:rPr>
                <w:rFonts w:ascii="Arial" w:cs="Arial" w:eastAsia="Arial" w:hAnsi="Arial"/>
                <w:sz w:val="18"/>
                <w:szCs w:val="18"/>
                <w:color w:val="auto"/>
              </w:rPr>
              <w:t>Interactive data files pursuant to Rule 405 of Regulation S-T, formatted in Inline XBRL (eXtensible Business Reporting</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80" w:type="dxa"/>
            <w:vAlign w:val="bottom"/>
            <w:gridSpan w:val="12"/>
          </w:tcPr>
          <w:p>
            <w:pPr>
              <w:spacing w:after="0"/>
              <w:rPr>
                <w:sz w:val="20"/>
                <w:szCs w:val="20"/>
                <w:color w:val="auto"/>
              </w:rPr>
            </w:pPr>
            <w:r>
              <w:rPr>
                <w:rFonts w:ascii="Arial" w:cs="Arial" w:eastAsia="Arial" w:hAnsi="Arial"/>
                <w:sz w:val="18"/>
                <w:szCs w:val="18"/>
                <w:color w:val="auto"/>
              </w:rPr>
              <w:t>Language).</w:t>
            </w:r>
          </w:p>
        </w:tc>
        <w:tc>
          <w:tcPr>
            <w:tcW w:w="0" w:type="dxa"/>
            <w:vAlign w:val="bottom"/>
          </w:tcPr>
          <w:p>
            <w:pPr>
              <w:spacing w:after="0"/>
              <w:rPr>
                <w:sz w:val="1"/>
                <w:szCs w:val="1"/>
                <w:color w:val="auto"/>
              </w:rPr>
            </w:pPr>
          </w:p>
        </w:tc>
      </w:tr>
      <w:tr>
        <w:trPr>
          <w:trHeight w:val="257"/>
        </w:trPr>
        <w:tc>
          <w:tcPr>
            <w:tcW w:w="640" w:type="dxa"/>
            <w:vAlign w:val="bottom"/>
            <w:gridSpan w:val="2"/>
          </w:tcPr>
          <w:p>
            <w:pPr>
              <w:spacing w:after="0"/>
              <w:rPr>
                <w:sz w:val="20"/>
                <w:szCs w:val="20"/>
                <w:color w:val="auto"/>
              </w:rPr>
            </w:pPr>
            <w:r>
              <w:rPr>
                <w:rFonts w:ascii="Arial" w:cs="Arial" w:eastAsia="Arial" w:hAnsi="Arial"/>
                <w:sz w:val="18"/>
                <w:szCs w:val="18"/>
                <w:color w:val="auto"/>
              </w:rPr>
              <w:t>104.1</w:t>
            </w:r>
          </w:p>
        </w:tc>
        <w:tc>
          <w:tcPr>
            <w:tcW w:w="140" w:type="dxa"/>
            <w:vAlign w:val="bottom"/>
          </w:tcPr>
          <w:p>
            <w:pPr>
              <w:spacing w:after="0"/>
              <w:rPr>
                <w:sz w:val="22"/>
                <w:szCs w:val="22"/>
                <w:color w:val="auto"/>
              </w:rPr>
            </w:pPr>
          </w:p>
        </w:tc>
        <w:tc>
          <w:tcPr>
            <w:tcW w:w="1028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8" w:firstLine="8"/>
        <w:spacing w:after="0" w:line="225" w:lineRule="auto"/>
        <w:tabs>
          <w:tab w:leader="none" w:pos="64" w:val="left"/>
        </w:tabs>
        <w:numPr>
          <w:ilvl w:val="0"/>
          <w:numId w:val="56"/>
        </w:numPr>
        <w:rPr>
          <w:rFonts w:ascii="Arial" w:cs="Arial" w:eastAsia="Arial" w:hAnsi="Arial"/>
          <w:sz w:val="22"/>
          <w:szCs w:val="22"/>
          <w:color w:val="auto"/>
          <w:vertAlign w:val="superscript"/>
        </w:rPr>
      </w:pPr>
      <w:r>
        <w:rPr>
          <w:rFonts w:ascii="Arial" w:cs="Arial" w:eastAsia="Arial" w:hAnsi="Arial"/>
          <w:sz w:val="18"/>
          <w:szCs w:val="18"/>
          <w:color w:val="auto"/>
        </w:rPr>
        <w:t>Certain confidential information contained in this agreement has been omitted because it (i) is not material and (ii) would be competitively harmful if publicly disclosed.</w:t>
      </w: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32"/>
          </w:cols>
          <w:pgMar w:left="328" w:top="882"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21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Group Inc.</w:t>
      </w:r>
    </w:p>
    <w:p>
      <w:pPr>
        <w:spacing w:after="0" w:line="396" w:lineRule="exact"/>
        <w:rPr>
          <w:sz w:val="20"/>
          <w:szCs w:val="20"/>
          <w:color w:val="auto"/>
        </w:rPr>
      </w:pPr>
    </w:p>
    <w:p>
      <w:pPr>
        <w:ind w:left="40"/>
        <w:spacing w:after="0"/>
        <w:tabs>
          <w:tab w:leader="none" w:pos="4800" w:val="left"/>
          <w:tab w:leader="none" w:pos="5440" w:val="left"/>
        </w:tabs>
        <w:rPr>
          <w:sz w:val="20"/>
          <w:szCs w:val="20"/>
          <w:color w:val="auto"/>
        </w:rPr>
      </w:pPr>
      <w:r>
        <w:rPr>
          <w:rFonts w:ascii="Arial" w:cs="Arial" w:eastAsia="Arial" w:hAnsi="Arial"/>
          <w:sz w:val="18"/>
          <w:szCs w:val="18"/>
          <w:color w:val="auto"/>
        </w:rPr>
        <w:t>Date: July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14605</wp:posOffset>
            </wp:positionV>
            <wp:extent cx="3437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39" w:lineRule="exact"/>
        <w:rPr>
          <w:sz w:val="20"/>
          <w:szCs w:val="20"/>
          <w:color w:val="auto"/>
        </w:rPr>
      </w:pPr>
    </w:p>
    <w:p>
      <w:pPr>
        <w:ind w:firstLine="21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Inc.</w:t>
      </w:r>
    </w:p>
    <w:p>
      <w:pPr>
        <w:spacing w:after="0" w:line="396" w:lineRule="exact"/>
        <w:rPr>
          <w:sz w:val="20"/>
          <w:szCs w:val="20"/>
          <w:color w:val="auto"/>
        </w:rPr>
      </w:pPr>
    </w:p>
    <w:p>
      <w:pPr>
        <w:ind w:left="40"/>
        <w:spacing w:after="0"/>
        <w:tabs>
          <w:tab w:leader="none" w:pos="4800" w:val="left"/>
          <w:tab w:leader="none" w:pos="5440" w:val="left"/>
        </w:tabs>
        <w:rPr>
          <w:sz w:val="20"/>
          <w:szCs w:val="20"/>
          <w:color w:val="auto"/>
        </w:rPr>
      </w:pPr>
      <w:r>
        <w:rPr>
          <w:rFonts w:ascii="Arial" w:cs="Arial" w:eastAsia="Arial" w:hAnsi="Arial"/>
          <w:sz w:val="18"/>
          <w:szCs w:val="18"/>
          <w:color w:val="auto"/>
        </w:rPr>
        <w:t>Date: July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14605</wp:posOffset>
            </wp:positionV>
            <wp:extent cx="3437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549" w:right="339" w:bottom="1440" w:gutter="0" w:footer="0" w:header="0"/>
        </w:sectPr>
      </w:pPr>
    </w:p>
    <w:bookmarkStart w:id="106" w:name="page107"/>
    <w:bookmarkEnd w:id="106"/>
    <w:p>
      <w:pPr>
        <w:ind w:left="10120"/>
        <w:spacing w:after="0"/>
        <w:rPr>
          <w:sz w:val="20"/>
          <w:szCs w:val="20"/>
          <w:color w:val="auto"/>
        </w:rPr>
      </w:pPr>
      <w:r>
        <w:rPr>
          <w:rFonts w:ascii="Arial" w:cs="Arial" w:eastAsia="Arial" w:hAnsi="Arial"/>
          <w:sz w:val="19"/>
          <w:szCs w:val="19"/>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0575" cy="3600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40575" cy="3600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0" w:right="120"/>
        <w:spacing w:after="0" w:line="256" w:lineRule="auto"/>
        <w:rPr>
          <w:sz w:val="20"/>
          <w:szCs w:val="20"/>
          <w:color w:val="auto"/>
        </w:rPr>
      </w:pPr>
      <w:r>
        <w:rPr>
          <w:rFonts w:ascii="Arial" w:cs="Arial" w:eastAsia="Arial" w:hAnsi="Arial"/>
          <w:sz w:val="22"/>
          <w:szCs w:val="22"/>
          <w:b w:val="1"/>
          <w:bCs w:val="1"/>
          <w:color w:val="auto"/>
        </w:rPr>
        <w:t>Certain confidential information contained in this document, marked by brackets, has been omitted because it is both (i) not material and (ii) would be competitively harmful if publicly disclosed.</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A320 Family Aircraft Purchase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made July 20, 2011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between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AIRBUS S.A.S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AIRLINES, INC.</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This Amendment No. 12 to the A320 Family Aircraft Purchase Agreement dated July 20, 2011 (the “</w:t>
      </w:r>
      <w:r>
        <w:rPr>
          <w:rFonts w:ascii="Arial" w:cs="Arial" w:eastAsia="Arial" w:hAnsi="Arial"/>
          <w:sz w:val="19"/>
          <w:szCs w:val="19"/>
          <w:b w:val="1"/>
          <w:bCs w:val="1"/>
          <w:color w:val="auto"/>
        </w:rPr>
        <w:t>Amendment</w:t>
      </w:r>
      <w:r>
        <w:rPr>
          <w:rFonts w:ascii="Arial" w:cs="Arial" w:eastAsia="Arial" w:hAnsi="Arial"/>
          <w:sz w:val="19"/>
          <w:szCs w:val="19"/>
          <w:color w:val="auto"/>
        </w:rPr>
        <w:t xml:space="preserve">”), dated as of June 26, 2020, is entered into by and between </w:t>
      </w:r>
      <w:r>
        <w:rPr>
          <w:rFonts w:ascii="Arial" w:cs="Arial" w:eastAsia="Arial" w:hAnsi="Arial"/>
          <w:sz w:val="19"/>
          <w:szCs w:val="19"/>
          <w:b w:val="1"/>
          <w:bCs w:val="1"/>
          <w:color w:val="auto"/>
        </w:rPr>
        <w:t>AIRBUS S.A.S</w:t>
      </w:r>
      <w:r>
        <w:rPr>
          <w:rFonts w:ascii="Arial" w:cs="Arial" w:eastAsia="Arial" w:hAnsi="Arial"/>
          <w:sz w:val="19"/>
          <w:szCs w:val="19"/>
          <w:color w:val="auto"/>
        </w:rPr>
        <w:t xml:space="preserve">., a </w:t>
      </w:r>
      <w:r>
        <w:rPr>
          <w:rFonts w:ascii="Arial" w:cs="Arial" w:eastAsia="Arial" w:hAnsi="Arial"/>
          <w:sz w:val="19"/>
          <w:szCs w:val="19"/>
          <w:i w:val="1"/>
          <w:iCs w:val="1"/>
          <w:color w:val="auto"/>
        </w:rPr>
        <w:t>société par actions simplifiée</w:t>
      </w:r>
      <w:r>
        <w:rPr>
          <w:rFonts w:ascii="Arial" w:cs="Arial" w:eastAsia="Arial" w:hAnsi="Arial"/>
          <w:sz w:val="19"/>
          <w:szCs w:val="19"/>
          <w:color w:val="auto"/>
        </w:rPr>
        <w:t xml:space="preserve">, created and existing under French law having its registered office at 2 Rond-Point Emile Dewoitine, 31700 Blagnac, France and registered with the Toulouse </w:t>
      </w:r>
      <w:r>
        <w:rPr>
          <w:rFonts w:ascii="Arial" w:cs="Arial" w:eastAsia="Arial" w:hAnsi="Arial"/>
          <w:sz w:val="19"/>
          <w:szCs w:val="19"/>
          <w:i w:val="1"/>
          <w:iCs w:val="1"/>
          <w:color w:val="auto"/>
        </w:rPr>
        <w:t>Registre du Commerce</w:t>
      </w:r>
      <w:r>
        <w:rPr>
          <w:rFonts w:ascii="Arial" w:cs="Arial" w:eastAsia="Arial" w:hAnsi="Arial"/>
          <w:sz w:val="19"/>
          <w:szCs w:val="19"/>
          <w:color w:val="auto"/>
        </w:rPr>
        <w:t xml:space="preserve"> under number RCS Toulouse 383 474 814 (the “</w:t>
      </w:r>
      <w:r>
        <w:rPr>
          <w:rFonts w:ascii="Arial" w:cs="Arial" w:eastAsia="Arial" w:hAnsi="Arial"/>
          <w:sz w:val="19"/>
          <w:szCs w:val="19"/>
          <w:b w:val="1"/>
          <w:bCs w:val="1"/>
          <w:color w:val="auto"/>
        </w:rPr>
        <w:t>Seller</w:t>
      </w:r>
      <w:r>
        <w:rPr>
          <w:rFonts w:ascii="Arial" w:cs="Arial" w:eastAsia="Arial" w:hAnsi="Arial"/>
          <w:sz w:val="19"/>
          <w:szCs w:val="19"/>
          <w:color w:val="auto"/>
        </w:rPr>
        <w:t xml:space="preserve">”), and </w:t>
      </w:r>
      <w:r>
        <w:rPr>
          <w:rFonts w:ascii="Arial" w:cs="Arial" w:eastAsia="Arial" w:hAnsi="Arial"/>
          <w:sz w:val="19"/>
          <w:szCs w:val="19"/>
          <w:b w:val="1"/>
          <w:bCs w:val="1"/>
          <w:color w:val="auto"/>
        </w:rPr>
        <w:t>AMERICAN AIRLINES, INC</w:t>
      </w:r>
      <w:r>
        <w:rPr>
          <w:rFonts w:ascii="Arial" w:cs="Arial" w:eastAsia="Arial" w:hAnsi="Arial"/>
          <w:sz w:val="19"/>
          <w:szCs w:val="19"/>
          <w:color w:val="auto"/>
        </w:rPr>
        <w:t>., a Delaware corporation having its principal office at 1 Skyview Drive, Fort Worth, Texas 76155, United States of America (the “</w:t>
      </w:r>
      <w:r>
        <w:rPr>
          <w:rFonts w:ascii="Arial" w:cs="Arial" w:eastAsia="Arial" w:hAnsi="Arial"/>
          <w:sz w:val="19"/>
          <w:szCs w:val="19"/>
          <w:b w:val="1"/>
          <w:bCs w:val="1"/>
          <w:color w:val="auto"/>
        </w:rPr>
        <w:t>Buyer</w:t>
      </w:r>
      <w:r>
        <w:rPr>
          <w:rFonts w:ascii="Arial" w:cs="Arial" w:eastAsia="Arial" w:hAnsi="Arial"/>
          <w:sz w:val="19"/>
          <w:szCs w:val="19"/>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WHEREAS, the Buyer and the Seller entered into an Airbus A320 Family Aircraft Purchase Agreement, dated as of July 20, 2011, which, together with all Exhibits, Appendices and Letter Agreements attached thereto and as amended, modified or supplemented from time to time, is hereinafter called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WHEREAS, the Parties have agreed to amend certain terms of the the Agreement relating to Option Aircraft.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NOW, THEREFORE, IT IS AGREED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terms used herein and not otherwise defined in this Amendment will have the meanings assigned to them in the Agreement.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terms “herein,” “hereof,” and “hereunder” and words of similar import refer to this Amendment.</w:t>
      </w:r>
    </w:p>
    <w:p>
      <w:pPr>
        <w:spacing w:after="0" w:line="16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OPTION AIRCRAFT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color w:val="auto"/>
        </w:rPr>
        <w:t>The definitions of “[****]” and “[****]” are deleted in their entirety and replaced with the following quoted text: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00" w:lineRule="exact"/>
        <w:rPr>
          <w:sz w:val="20"/>
          <w:szCs w:val="20"/>
          <w:color w:val="auto"/>
        </w:rPr>
      </w:pPr>
    </w:p>
    <w:p>
      <w:pPr>
        <w:spacing w:after="0" w:line="249" w:lineRule="exact"/>
        <w:rPr>
          <w:sz w:val="20"/>
          <w:szCs w:val="20"/>
          <w:color w:val="auto"/>
        </w:rPr>
      </w:pPr>
    </w:p>
    <w:p>
      <w:pPr>
        <w:spacing w:after="0"/>
        <w:tabs>
          <w:tab w:leader="none" w:pos="2500" w:val="left"/>
        </w:tabs>
        <w:rPr>
          <w:sz w:val="20"/>
          <w:szCs w:val="20"/>
          <w:color w:val="auto"/>
        </w:rPr>
      </w:pPr>
      <w:r>
        <w:rPr>
          <w:rFonts w:ascii="Arial" w:cs="Arial" w:eastAsia="Arial" w:hAnsi="Arial"/>
          <w:sz w:val="14"/>
          <w:szCs w:val="14"/>
          <w:color w:val="auto"/>
        </w:rPr>
        <w:t>CT1001520_AMD 12_AAL_A320 PA</w:t>
      </w:r>
      <w:r>
        <w:rPr>
          <w:sz w:val="20"/>
          <w:szCs w:val="20"/>
          <w:color w:val="auto"/>
        </w:rPr>
        <w:tab/>
      </w:r>
      <w:r>
        <w:rPr>
          <w:rFonts w:ascii="Arial" w:cs="Arial" w:eastAsia="Arial" w:hAnsi="Arial"/>
          <w:sz w:val="12"/>
          <w:szCs w:val="12"/>
          <w:color w:val="auto"/>
        </w:rPr>
        <w:t>Page 1</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409" w:right="339" w:bottom="1440" w:gutter="0" w:footer="0" w:header="0"/>
        </w:sectPr>
      </w:pPr>
    </w:p>
    <w:bookmarkStart w:id="107" w:name="page108"/>
    <w:bookmarkEnd w:id="107"/>
    <w:p>
      <w:pPr>
        <w:ind w:left="660"/>
        <w:spacing w:after="0"/>
        <w:rPr>
          <w:sz w:val="20"/>
          <w:szCs w:val="20"/>
          <w:color w:val="auto"/>
        </w:rPr>
      </w:pPr>
      <w:r>
        <w:rPr>
          <w:rFonts w:ascii="Arial" w:cs="Arial" w:eastAsia="Arial" w:hAnsi="Arial"/>
          <w:sz w:val="20"/>
          <w:szCs w:val="20"/>
          <w:b w:val="1"/>
          <w:bCs w:val="1"/>
          <w:color w:val="auto"/>
        </w:rPr>
        <w:t>[****]</w:t>
      </w:r>
    </w:p>
    <w:p>
      <w:pPr>
        <w:spacing w:after="0" w:line="189"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color w:val="auto"/>
        </w:rPr>
        <w:t>Schedule IIA and Schedule III to Letter Agreement No.4 are deleted in their entirety and replaced with Schedule IIA and Schedule III to Letter Agreement No.4, each dated as of the date of this Amendment and attached as Exhibit 1 hereto.</w:t>
      </w:r>
    </w:p>
    <w:p>
      <w:pPr>
        <w:spacing w:after="0" w:line="15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color w:val="auto"/>
        </w:rPr>
        <w:t xml:space="preserve">Clause 1.1 and 1.2 of this Amendment has the effect of </w:t>
      </w:r>
      <w:r>
        <w:rPr>
          <w:rFonts w:ascii="Arial" w:cs="Arial" w:eastAsia="Arial" w:hAnsi="Arial"/>
          <w:sz w:val="20"/>
          <w:szCs w:val="20"/>
          <w:b w:val="1"/>
          <w:bCs w:val="1"/>
          <w:color w:val="auto"/>
        </w:rPr>
        <w:t>[****]</w:t>
      </w:r>
      <w:r>
        <w:rPr>
          <w:rFonts w:ascii="Arial" w:cs="Arial" w:eastAsia="Arial" w:hAnsi="Arial"/>
          <w:sz w:val="20"/>
          <w:szCs w:val="20"/>
          <w:color w:val="auto"/>
        </w:rPr>
        <w:t xml:space="preserve"> of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as defined in the Agreement prior to the date of this Amendment, by </w:t>
      </w:r>
      <w:r>
        <w:rPr>
          <w:rFonts w:ascii="Arial" w:cs="Arial" w:eastAsia="Arial" w:hAnsi="Arial"/>
          <w:sz w:val="20"/>
          <w:szCs w:val="20"/>
          <w:b w:val="1"/>
          <w:bCs w:val="1"/>
          <w:color w:val="auto"/>
        </w:rPr>
        <w:t>[****]</w:t>
      </w:r>
      <w:r>
        <w:rPr>
          <w:rFonts w:ascii="Arial" w:cs="Arial" w:eastAsia="Arial" w:hAnsi="Arial"/>
          <w:sz w:val="20"/>
          <w:szCs w:val="20"/>
          <w:color w:val="auto"/>
        </w:rPr>
        <w:t xml:space="preserve"> from the Agreement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(collectively the “</w:t>
      </w:r>
      <w:r>
        <w:rPr>
          <w:rFonts w:ascii="Arial" w:cs="Arial" w:eastAsia="Arial" w:hAnsi="Arial"/>
          <w:sz w:val="20"/>
          <w:szCs w:val="20"/>
          <w:b w:val="1"/>
          <w:bCs w:val="1"/>
          <w:color w:val="auto"/>
        </w:rPr>
        <w:t>[****]</w:t>
      </w:r>
      <w:r>
        <w:rPr>
          <w:rFonts w:ascii="Arial" w:cs="Arial" w:eastAsia="Arial" w:hAnsi="Arial"/>
          <w:sz w:val="20"/>
          <w:szCs w:val="20"/>
          <w:color w:val="auto"/>
        </w:rPr>
        <w:t xml:space="preserve">”). As such, Buyer shall have </w:t>
      </w:r>
      <w:r>
        <w:rPr>
          <w:rFonts w:ascii="Arial" w:cs="Arial" w:eastAsia="Arial" w:hAnsi="Arial"/>
          <w:sz w:val="20"/>
          <w:szCs w:val="20"/>
          <w:b w:val="1"/>
          <w:bCs w:val="1"/>
          <w:color w:val="auto"/>
        </w:rPr>
        <w:t>[****]</w:t>
      </w:r>
      <w:r>
        <w:rPr>
          <w:rFonts w:ascii="Arial" w:cs="Arial" w:eastAsia="Arial" w:hAnsi="Arial"/>
          <w:sz w:val="20"/>
          <w:szCs w:val="20"/>
          <w:color w:val="auto"/>
        </w:rPr>
        <w:t xml:space="preserve"> to and the </w:t>
      </w:r>
      <w:r>
        <w:rPr>
          <w:rFonts w:ascii="Arial" w:cs="Arial" w:eastAsia="Arial" w:hAnsi="Arial"/>
          <w:sz w:val="20"/>
          <w:szCs w:val="20"/>
          <w:b w:val="1"/>
          <w:bCs w:val="1"/>
          <w:color w:val="auto"/>
        </w:rPr>
        <w:t>[****]</w:t>
      </w:r>
      <w:r>
        <w:rPr>
          <w:rFonts w:ascii="Arial" w:cs="Arial" w:eastAsia="Arial" w:hAnsi="Arial"/>
          <w:sz w:val="20"/>
          <w:szCs w:val="20"/>
          <w:color w:val="auto"/>
        </w:rPr>
        <w:t xml:space="preserve"> with respect to such </w:t>
      </w:r>
      <w:r>
        <w:rPr>
          <w:rFonts w:ascii="Arial" w:cs="Arial" w:eastAsia="Arial" w:hAnsi="Arial"/>
          <w:sz w:val="20"/>
          <w:szCs w:val="20"/>
          <w:b w:val="1"/>
          <w:bCs w:val="1"/>
          <w:color w:val="auto"/>
        </w:rPr>
        <w:t>[****]</w:t>
      </w:r>
      <w:r>
        <w:rPr>
          <w:rFonts w:ascii="Arial" w:cs="Arial" w:eastAsia="Arial" w:hAnsi="Arial"/>
          <w:sz w:val="20"/>
          <w:szCs w:val="20"/>
          <w:color w:val="auto"/>
        </w:rPr>
        <w:t xml:space="preserve">. Notwithstanding any to the contrary in the Agreement, the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by the Buyer to the Seller </w:t>
      </w:r>
      <w:r>
        <w:rPr>
          <w:rFonts w:ascii="Arial" w:cs="Arial" w:eastAsia="Arial" w:hAnsi="Arial"/>
          <w:sz w:val="20"/>
          <w:szCs w:val="20"/>
          <w:b w:val="1"/>
          <w:bCs w:val="1"/>
          <w:color w:val="auto"/>
        </w:rPr>
        <w:t>[****]</w:t>
      </w:r>
      <w:r>
        <w:rPr>
          <w:rFonts w:ascii="Arial" w:cs="Arial" w:eastAsia="Arial" w:hAnsi="Arial"/>
          <w:sz w:val="20"/>
          <w:szCs w:val="20"/>
          <w:color w:val="auto"/>
        </w:rPr>
        <w:t xml:space="preserve"> in respect of such </w:t>
      </w:r>
      <w:r>
        <w:rPr>
          <w:rFonts w:ascii="Arial" w:cs="Arial" w:eastAsia="Arial" w:hAnsi="Arial"/>
          <w:sz w:val="20"/>
          <w:szCs w:val="20"/>
          <w:b w:val="1"/>
          <w:bCs w:val="1"/>
          <w:color w:val="auto"/>
        </w:rPr>
        <w:t>[****]</w:t>
      </w:r>
      <w:r>
        <w:rPr>
          <w:rFonts w:ascii="Arial" w:cs="Arial" w:eastAsia="Arial" w:hAnsi="Arial"/>
          <w:sz w:val="20"/>
          <w:szCs w:val="20"/>
          <w:color w:val="auto"/>
        </w:rPr>
        <w:t xml:space="preserve"> (collectively, the “</w:t>
      </w:r>
      <w:r>
        <w:rPr>
          <w:rFonts w:ascii="Arial" w:cs="Arial" w:eastAsia="Arial" w:hAnsi="Arial"/>
          <w:sz w:val="20"/>
          <w:szCs w:val="20"/>
          <w:b w:val="1"/>
          <w:bCs w:val="1"/>
          <w:color w:val="auto"/>
        </w:rPr>
        <w:t>[****]</w:t>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xml:space="preserve"> are </w:t>
      </w:r>
      <w:r>
        <w:rPr>
          <w:rFonts w:ascii="Arial" w:cs="Arial" w:eastAsia="Arial" w:hAnsi="Arial"/>
          <w:sz w:val="20"/>
          <w:szCs w:val="20"/>
          <w:b w:val="1"/>
          <w:bCs w:val="1"/>
          <w:color w:val="auto"/>
        </w:rPr>
        <w:t>[****]</w:t>
      </w:r>
      <w:r>
        <w:rPr>
          <w:rFonts w:ascii="Arial" w:cs="Arial" w:eastAsia="Arial" w:hAnsi="Arial"/>
          <w:sz w:val="20"/>
          <w:szCs w:val="20"/>
          <w:color w:val="auto"/>
        </w:rPr>
        <w:t xml:space="preserve"> by, and </w:t>
      </w:r>
      <w:r>
        <w:rPr>
          <w:rFonts w:ascii="Arial" w:cs="Arial" w:eastAsia="Arial" w:hAnsi="Arial"/>
          <w:sz w:val="20"/>
          <w:szCs w:val="20"/>
          <w:b w:val="1"/>
          <w:bCs w:val="1"/>
          <w:color w:val="auto"/>
        </w:rPr>
        <w:t>[****]</w:t>
      </w:r>
      <w:r>
        <w:rPr>
          <w:rFonts w:ascii="Arial" w:cs="Arial" w:eastAsia="Arial" w:hAnsi="Arial"/>
          <w:sz w:val="20"/>
          <w:szCs w:val="20"/>
          <w:color w:val="auto"/>
        </w:rPr>
        <w:t xml:space="preserve"> of, the Seller as </w:t>
      </w:r>
      <w:r>
        <w:rPr>
          <w:rFonts w:ascii="Arial" w:cs="Arial" w:eastAsia="Arial" w:hAnsi="Arial"/>
          <w:sz w:val="20"/>
          <w:szCs w:val="20"/>
          <w:b w:val="1"/>
          <w:bCs w:val="1"/>
          <w:color w:val="auto"/>
        </w:rPr>
        <w:t>[****]</w:t>
      </w:r>
      <w:r>
        <w:rPr>
          <w:rFonts w:ascii="Arial" w:cs="Arial" w:eastAsia="Arial" w:hAnsi="Arial"/>
          <w:sz w:val="20"/>
          <w:szCs w:val="20"/>
          <w:color w:val="auto"/>
        </w:rPr>
        <w:t xml:space="preserve"> thereof and the Buyer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5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EFFECT OF THE AMENDMENT</w:t>
      </w:r>
    </w:p>
    <w:p>
      <w:pPr>
        <w:spacing w:after="0" w:line="19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The Agreement will be deemed amended to the extent herein provided, and, except as specifically amended hereby, will continue in full force and effect in accordance with its original terms. This Amendment contains the entire agreement between the Buyer and the Seller with respect to the subject matter hereof and supersedes any previous understandings, commitments, or representations whatsoever, whether oral or written, related to the subject matter of this Amendment.</w:t>
      </w:r>
    </w:p>
    <w:p>
      <w:pPr>
        <w:spacing w:after="0" w:line="149"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Both parties agree that this Amendment will constitute an integral, nonseverable part of the Agreement and will be governed by its provisions, except that if the Agreement and this Amendment have specific provisions that are inconsistent, the specific provisions contained in this Amendment will govern.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This Amendment will become effective upon its execution.</w:t>
      </w:r>
    </w:p>
    <w:p>
      <w:pPr>
        <w:spacing w:after="0" w:line="183"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AGREEMENT</w:t>
      </w:r>
    </w:p>
    <w:p>
      <w:pPr>
        <w:spacing w:after="0" w:line="194" w:lineRule="exact"/>
        <w:rPr>
          <w:rFonts w:ascii="Arial" w:cs="Arial" w:eastAsia="Arial" w:hAnsi="Arial"/>
          <w:sz w:val="20"/>
          <w:szCs w:val="20"/>
          <w:b w:val="1"/>
          <w:bCs w:val="1"/>
          <w:color w:val="auto"/>
        </w:rPr>
      </w:pPr>
    </w:p>
    <w:p>
      <w:pPr>
        <w:ind w:left="66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Any reference to “Agreement” in the Agreement, shall mean a reference to the Agreement as amended, modified or supplemented from time to time, including by the is Amendment No. 12.</w:t>
      </w:r>
    </w:p>
    <w:p>
      <w:pPr>
        <w:spacing w:after="0" w:line="144"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w:t>
      </w:r>
    </w:p>
    <w:p>
      <w:pPr>
        <w:spacing w:after="0" w:line="194"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9"/>
          <w:szCs w:val="19"/>
          <w:color w:val="auto"/>
        </w:rPr>
        <w:t>This Amendment and the rights and obligations of the parties are subject to the provisions of this Clause 21 of the Agreement.</w:t>
      </w:r>
    </w:p>
    <w:p>
      <w:pPr>
        <w:spacing w:after="0" w:line="194" w:lineRule="exact"/>
        <w:rPr>
          <w:rFonts w:ascii="Arial" w:cs="Arial" w:eastAsia="Arial" w:hAnsi="Arial"/>
          <w:sz w:val="20"/>
          <w:szCs w:val="20"/>
          <w:b w:val="1"/>
          <w:bCs w:val="1"/>
          <w:color w:val="auto"/>
        </w:rPr>
      </w:pPr>
    </w:p>
    <w:p>
      <w:pPr>
        <w:ind w:left="660" w:hanging="652"/>
        <w:spacing w:after="0"/>
        <w:tabs>
          <w:tab w:leader="none" w:pos="6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194" w:lineRule="exact"/>
        <w:rPr>
          <w:rFonts w:ascii="Arial" w:cs="Arial" w:eastAsia="Arial" w:hAnsi="Arial"/>
          <w:sz w:val="20"/>
          <w:szCs w:val="20"/>
          <w:b w:val="1"/>
          <w:bCs w:val="1"/>
          <w:color w:val="auto"/>
        </w:rPr>
      </w:pPr>
    </w:p>
    <w:p>
      <w:pPr>
        <w:jc w:val="both"/>
        <w:ind w:left="66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Seller and the Buyer agree not to disclose the terms and conditions of this Amendment to any person without the prior written consent of the other party. Notwithstanding the foregoing, the Seller and the Buyer agree that such terms and conditions may be disclosed without such prior written consent to (i) as required by law or as necessary in connection with the enforcement of such party’s rights hereunder, and (ii) to the board of directors, managers, employees, auditors, and legal, financial and technical advisors of each party.</w:t>
      </w:r>
    </w:p>
    <w:p>
      <w:pPr>
        <w:spacing w:after="0" w:line="161" w:lineRule="exact"/>
        <w:rPr>
          <w:rFonts w:ascii="Arial" w:cs="Arial" w:eastAsia="Arial" w:hAnsi="Arial"/>
          <w:sz w:val="20"/>
          <w:szCs w:val="20"/>
          <w:b w:val="1"/>
          <w:bCs w:val="1"/>
          <w:color w:val="auto"/>
        </w:rPr>
      </w:pPr>
    </w:p>
    <w:p>
      <w:pPr>
        <w:ind w:left="660" w:hanging="652"/>
        <w:spacing w:after="0"/>
        <w:tabs>
          <w:tab w:leader="none" w:pos="6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194" w:lineRule="exact"/>
        <w:rPr>
          <w:rFonts w:ascii="Arial" w:cs="Arial" w:eastAsia="Arial" w:hAnsi="Arial"/>
          <w:sz w:val="20"/>
          <w:szCs w:val="20"/>
          <w:b w:val="1"/>
          <w:bCs w:val="1"/>
          <w:color w:val="auto"/>
        </w:rPr>
      </w:pPr>
    </w:p>
    <w:p>
      <w:pPr>
        <w:jc w:val="both"/>
        <w:ind w:left="66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This Amendment may be executed by the parties hereto in separate counterparts, each of which when so executed and delivered (including counterparts delivered by e-mail or facsimile) will be an original, but all such counterparts will together constitute but one and the same instrument.</w:t>
      </w:r>
    </w:p>
    <w:p>
      <w:pPr>
        <w:spacing w:after="0" w:line="200" w:lineRule="exact"/>
        <w:rPr>
          <w:sz w:val="20"/>
          <w:szCs w:val="20"/>
          <w:color w:val="auto"/>
        </w:rPr>
      </w:pPr>
    </w:p>
    <w:p>
      <w:pPr>
        <w:spacing w:after="0" w:line="213" w:lineRule="exact"/>
        <w:rPr>
          <w:sz w:val="20"/>
          <w:szCs w:val="20"/>
          <w:color w:val="auto"/>
        </w:rPr>
      </w:pPr>
    </w:p>
    <w:p>
      <w:pPr>
        <w:spacing w:after="0"/>
        <w:tabs>
          <w:tab w:leader="none" w:pos="2500" w:val="left"/>
        </w:tabs>
        <w:rPr>
          <w:sz w:val="20"/>
          <w:szCs w:val="20"/>
          <w:color w:val="auto"/>
        </w:rPr>
      </w:pPr>
      <w:r>
        <w:rPr>
          <w:rFonts w:ascii="Arial" w:cs="Arial" w:eastAsia="Arial" w:hAnsi="Arial"/>
          <w:sz w:val="14"/>
          <w:szCs w:val="14"/>
          <w:color w:val="auto"/>
        </w:rPr>
        <w:t>CT1001520_AMD 12_AAL_A320 PA</w:t>
      </w:r>
      <w:r>
        <w:rPr>
          <w:sz w:val="20"/>
          <w:szCs w:val="20"/>
          <w:color w:val="auto"/>
        </w:rPr>
        <w:tab/>
      </w:r>
      <w:r>
        <w:rPr>
          <w:rFonts w:ascii="Arial" w:cs="Arial" w:eastAsia="Arial" w:hAnsi="Arial"/>
          <w:sz w:val="12"/>
          <w:szCs w:val="12"/>
          <w:color w:val="auto"/>
        </w:rPr>
        <w:t>Page 2</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40"/>
          </w:cols>
          <w:pgMar w:left="320" w:top="522" w:right="3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IN WITNESS WHEREOF, this Amendment was entered into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AIRBUS S.A.S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28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/s/ Airbus S.A.S</w:t>
            </w:r>
          </w:p>
        </w:tc>
      </w:tr>
      <w:tr>
        <w:trPr>
          <w:trHeight w:val="912"/>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Senior Vice President, Contracts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680" w:type="dxa"/>
        <w:tblCellMar>
          <w:top w:w="0" w:type="dxa"/>
          <w:left w:w="0" w:type="dxa"/>
          <w:bottom w:w="0" w:type="dxa"/>
          <w:right w:w="0" w:type="dxa"/>
        </w:tblCellMar>
      </w:tblPr>
      <w:tr>
        <w:trPr>
          <w:trHeight w:val="28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/s/ American Airlines, Inc.</w:t>
            </w:r>
          </w:p>
        </w:tc>
      </w:tr>
      <w:tr>
        <w:trPr>
          <w:trHeight w:val="871"/>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2500" w:val="left"/>
        </w:tabs>
        <w:rPr>
          <w:sz w:val="20"/>
          <w:szCs w:val="20"/>
          <w:color w:val="auto"/>
        </w:rPr>
      </w:pPr>
      <w:r>
        <w:rPr>
          <w:rFonts w:ascii="Arial" w:cs="Arial" w:eastAsia="Arial" w:hAnsi="Arial"/>
          <w:sz w:val="14"/>
          <w:szCs w:val="14"/>
          <w:color w:val="auto"/>
        </w:rPr>
        <w:t>CT1001520_AMD 12_AAL_A320 PA</w:t>
      </w:r>
      <w:r>
        <w:rPr>
          <w:sz w:val="20"/>
          <w:szCs w:val="20"/>
          <w:color w:val="auto"/>
        </w:rPr>
        <w:tab/>
      </w:r>
      <w:r>
        <w:rPr>
          <w:rFonts w:ascii="Arial" w:cs="Arial" w:eastAsia="Arial" w:hAnsi="Arial"/>
          <w:sz w:val="12"/>
          <w:szCs w:val="12"/>
          <w:color w:val="auto"/>
        </w:rPr>
        <w:t>Page 3</w:t>
      </w:r>
    </w:p>
    <w:p>
      <w:pPr>
        <w:sectPr>
          <w:pgSz w:w="11900" w:h="16838" w:orient="portrait"/>
          <w:cols w:equalWidth="0" w:num="1">
            <w:col w:w="10139"/>
          </w:cols>
          <w:pgMar w:left="320" w:top="348" w:right="1440" w:bottom="1440" w:gutter="0" w:footer="0" w:header="0"/>
        </w:sectPr>
      </w:pPr>
    </w:p>
    <w:bookmarkStart w:id="109" w:name="page110"/>
    <w:bookmarkEnd w:id="109"/>
    <w:tbl>
      <w:tblPr>
        <w:tblLayout w:type="fixed"/>
        <w:tblInd w:w="1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620" w:type="dxa"/>
            <w:vAlign w:val="bottom"/>
          </w:tcPr>
          <w:p>
            <w:pPr>
              <w:jc w:val="right"/>
              <w:spacing w:after="0"/>
              <w:rPr>
                <w:sz w:val="20"/>
                <w:szCs w:val="20"/>
                <w:color w:val="auto"/>
              </w:rPr>
            </w:pPr>
            <w:r>
              <w:rPr>
                <w:rFonts w:ascii="Arial" w:cs="Arial" w:eastAsia="Arial" w:hAnsi="Arial"/>
                <w:sz w:val="18"/>
                <w:szCs w:val="18"/>
                <w:color w:val="auto"/>
              </w:rPr>
              <w:t>EXHIBIT 1 to Amendment No. 12</w:t>
            </w:r>
          </w:p>
        </w:tc>
        <w:tc>
          <w:tcPr>
            <w:tcW w:w="0" w:type="dxa"/>
            <w:vAlign w:val="bottom"/>
          </w:tcPr>
          <w:p>
            <w:pPr>
              <w:spacing w:after="0"/>
              <w:rPr>
                <w:sz w:val="1"/>
                <w:szCs w:val="1"/>
                <w:color w:val="auto"/>
              </w:rPr>
            </w:pPr>
          </w:p>
        </w:tc>
      </w:tr>
      <w:tr>
        <w:trPr>
          <w:trHeight w:val="459"/>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620" w:type="dxa"/>
            <w:vAlign w:val="bottom"/>
          </w:tcPr>
          <w:p>
            <w:pPr>
              <w:jc w:val="right"/>
              <w:spacing w:after="0"/>
              <w:rPr>
                <w:sz w:val="20"/>
                <w:szCs w:val="20"/>
                <w:color w:val="auto"/>
              </w:rPr>
            </w:pPr>
            <w:r>
              <w:rPr>
                <w:rFonts w:ascii="Arial" w:cs="Arial" w:eastAsia="Arial" w:hAnsi="Arial"/>
                <w:sz w:val="22"/>
                <w:szCs w:val="22"/>
                <w:b w:val="1"/>
                <w:bCs w:val="1"/>
                <w:color w:val="auto"/>
              </w:rPr>
              <w:t>SCHEDULE IIA to Letter Agreement No.4</w:t>
            </w:r>
          </w:p>
        </w:tc>
        <w:tc>
          <w:tcPr>
            <w:tcW w:w="0" w:type="dxa"/>
            <w:vAlign w:val="bottom"/>
          </w:tcPr>
          <w:p>
            <w:pPr>
              <w:spacing w:after="0"/>
              <w:rPr>
                <w:sz w:val="1"/>
                <w:szCs w:val="1"/>
                <w:color w:val="auto"/>
              </w:rPr>
            </w:pPr>
          </w:p>
        </w:tc>
      </w:tr>
      <w:tr>
        <w:trPr>
          <w:trHeight w:val="280"/>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620" w:type="dxa"/>
            <w:vAlign w:val="bottom"/>
          </w:tcPr>
          <w:p>
            <w:pPr>
              <w:jc w:val="right"/>
              <w:spacing w:after="0"/>
              <w:rPr>
                <w:sz w:val="20"/>
                <w:szCs w:val="20"/>
                <w:color w:val="auto"/>
              </w:rPr>
            </w:pPr>
            <w:r>
              <w:rPr>
                <w:rFonts w:ascii="Arial" w:cs="Arial" w:eastAsia="Arial" w:hAnsi="Arial"/>
                <w:sz w:val="22"/>
                <w:szCs w:val="22"/>
                <w:b w:val="1"/>
                <w:bCs w:val="1"/>
                <w:color w:val="auto"/>
              </w:rPr>
              <w:t>Eff: June 26, 2020</w:t>
            </w:r>
          </w:p>
        </w:tc>
        <w:tc>
          <w:tcPr>
            <w:tcW w:w="0" w:type="dxa"/>
            <w:vAlign w:val="bottom"/>
          </w:tcPr>
          <w:p>
            <w:pPr>
              <w:spacing w:after="0"/>
              <w:rPr>
                <w:sz w:val="1"/>
                <w:szCs w:val="1"/>
                <w:color w:val="auto"/>
              </w:rPr>
            </w:pPr>
          </w:p>
        </w:tc>
      </w:tr>
      <w:tr>
        <w:trPr>
          <w:trHeight w:val="473"/>
        </w:trPr>
        <w:tc>
          <w:tcPr>
            <w:tcW w:w="564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1"/>
                <w:szCs w:val="21"/>
                <w:color w:val="auto"/>
              </w:rPr>
              <w:t>OPTION AIRCRAFT DELIVERY SCHEDULE</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5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5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2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color w:val="auto"/>
              </w:rPr>
              <w:t xml:space="preserve">Batch consisting of </w:t>
            </w:r>
            <w:r>
              <w:rPr>
                <w:rFonts w:ascii="Arial" w:cs="Arial" w:eastAsia="Arial" w:hAnsi="Arial"/>
                <w:sz w:val="22"/>
                <w:szCs w:val="22"/>
                <w:b w:val="1"/>
                <w:bCs w:val="1"/>
                <w:color w:val="auto"/>
              </w:rPr>
              <w:t>[****]</w:t>
            </w:r>
          </w:p>
        </w:tc>
        <w:tc>
          <w:tcPr>
            <w:tcW w:w="20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color w:val="auto"/>
              </w:rPr>
              <w:t>Scheduled Delivery Quarter</w:t>
            </w:r>
          </w:p>
        </w:tc>
        <w:tc>
          <w:tcPr>
            <w:tcW w:w="5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Option Exercise Notice Date</w:t>
            </w:r>
          </w:p>
        </w:tc>
        <w:tc>
          <w:tcPr>
            <w:tcW w:w="0" w:type="dxa"/>
            <w:vAlign w:val="bottom"/>
          </w:tcPr>
          <w:p>
            <w:pPr>
              <w:spacing w:after="0"/>
              <w:rPr>
                <w:sz w:val="1"/>
                <w:szCs w:val="1"/>
                <w:color w:val="auto"/>
              </w:rPr>
            </w:pPr>
          </w:p>
        </w:tc>
      </w:tr>
      <w:tr>
        <w:trPr>
          <w:trHeight w:val="153"/>
        </w:trPr>
        <w:tc>
          <w:tcPr>
            <w:tcW w:w="2520" w:type="dxa"/>
            <w:vAlign w:val="bottom"/>
            <w:tcBorders>
              <w:left w:val="single" w:sz="8" w:color="auto"/>
            </w:tcBorders>
            <w:vMerge w:val="restart"/>
          </w:tcPr>
          <w:p>
            <w:pPr>
              <w:ind w:left="40"/>
              <w:spacing w:after="0"/>
              <w:rPr>
                <w:sz w:val="20"/>
                <w:szCs w:val="20"/>
                <w:color w:val="auto"/>
              </w:rPr>
            </w:pPr>
            <w:r>
              <w:rPr>
                <w:rFonts w:ascii="Arial" w:cs="Arial" w:eastAsia="Arial" w:hAnsi="Arial"/>
                <w:sz w:val="22"/>
                <w:szCs w:val="22"/>
                <w:color w:val="auto"/>
                <w:w w:val="91"/>
              </w:rPr>
              <w:t>Option Aircraft bearing rank</w:t>
            </w:r>
          </w:p>
        </w:tc>
        <w:tc>
          <w:tcPr>
            <w:tcW w:w="200" w:type="dxa"/>
            <w:vAlign w:val="bottom"/>
            <w:tcBorders>
              <w:right w:val="single" w:sz="8" w:color="auto"/>
            </w:tcBorders>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5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520" w:type="dxa"/>
            <w:vAlign w:val="bottom"/>
            <w:tcBorders>
              <w:left w:val="single" w:sz="8" w:color="auto"/>
              <w:bottom w:val="single" w:sz="8" w:color="auto"/>
            </w:tcBorders>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56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609"/>
        </w:trPr>
        <w:tc>
          <w:tcPr>
            <w:tcW w:w="2520" w:type="dxa"/>
            <w:vAlign w:val="bottom"/>
          </w:tcPr>
          <w:p>
            <w:pPr>
              <w:spacing w:after="0"/>
              <w:rPr>
                <w:sz w:val="20"/>
                <w:szCs w:val="20"/>
                <w:color w:val="auto"/>
              </w:rPr>
            </w:pPr>
            <w:r>
              <w:rPr>
                <w:rFonts w:ascii="Arial" w:cs="Arial" w:eastAsia="Arial" w:hAnsi="Arial"/>
                <w:sz w:val="14"/>
                <w:szCs w:val="14"/>
                <w:color w:val="auto"/>
              </w:rPr>
              <w:t>CT1001520_AMD 12_AAL_A320 PA</w:t>
            </w:r>
          </w:p>
        </w:tc>
        <w:tc>
          <w:tcPr>
            <w:tcW w:w="3120" w:type="dxa"/>
            <w:vAlign w:val="bottom"/>
            <w:gridSpan w:val="2"/>
          </w:tcPr>
          <w:p>
            <w:pPr>
              <w:spacing w:after="0"/>
              <w:rPr>
                <w:sz w:val="20"/>
                <w:szCs w:val="20"/>
                <w:color w:val="auto"/>
              </w:rPr>
            </w:pPr>
            <w:r>
              <w:rPr>
                <w:rFonts w:ascii="Arial" w:cs="Arial" w:eastAsia="Arial" w:hAnsi="Arial"/>
                <w:sz w:val="14"/>
                <w:szCs w:val="14"/>
                <w:color w:val="auto"/>
              </w:rPr>
              <w:t>Page 4</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60"/>
          </w:cols>
          <w:pgMar w:left="320" w:top="557" w:right="31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620" w:type="dxa"/>
            <w:vAlign w:val="bottom"/>
          </w:tcPr>
          <w:p>
            <w:pPr>
              <w:jc w:val="right"/>
              <w:spacing w:after="0"/>
              <w:rPr>
                <w:sz w:val="20"/>
                <w:szCs w:val="20"/>
                <w:color w:val="auto"/>
              </w:rPr>
            </w:pPr>
            <w:r>
              <w:rPr>
                <w:rFonts w:ascii="Arial" w:cs="Arial" w:eastAsia="Arial" w:hAnsi="Arial"/>
                <w:sz w:val="18"/>
                <w:szCs w:val="18"/>
                <w:color w:val="auto"/>
              </w:rPr>
              <w:t>EXHIBIT 1 to Amendment No. 12</w:t>
            </w:r>
          </w:p>
        </w:tc>
        <w:tc>
          <w:tcPr>
            <w:tcW w:w="0" w:type="dxa"/>
            <w:vAlign w:val="bottom"/>
          </w:tcPr>
          <w:p>
            <w:pPr>
              <w:spacing w:after="0"/>
              <w:rPr>
                <w:sz w:val="1"/>
                <w:szCs w:val="1"/>
                <w:color w:val="auto"/>
              </w:rPr>
            </w:pPr>
          </w:p>
        </w:tc>
      </w:tr>
      <w:tr>
        <w:trPr>
          <w:trHeight w:val="459"/>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620" w:type="dxa"/>
            <w:vAlign w:val="bottom"/>
          </w:tcPr>
          <w:p>
            <w:pPr>
              <w:jc w:val="right"/>
              <w:spacing w:after="0"/>
              <w:rPr>
                <w:sz w:val="20"/>
                <w:szCs w:val="20"/>
                <w:color w:val="auto"/>
              </w:rPr>
            </w:pPr>
            <w:r>
              <w:rPr>
                <w:rFonts w:ascii="Arial" w:cs="Arial" w:eastAsia="Arial" w:hAnsi="Arial"/>
                <w:sz w:val="22"/>
                <w:szCs w:val="22"/>
                <w:b w:val="1"/>
                <w:bCs w:val="1"/>
                <w:color w:val="auto"/>
              </w:rPr>
              <w:t>SCHEDULE III to Letter Agreement No.4</w:t>
            </w:r>
          </w:p>
        </w:tc>
        <w:tc>
          <w:tcPr>
            <w:tcW w:w="0" w:type="dxa"/>
            <w:vAlign w:val="bottom"/>
          </w:tcPr>
          <w:p>
            <w:pPr>
              <w:spacing w:after="0"/>
              <w:rPr>
                <w:sz w:val="1"/>
                <w:szCs w:val="1"/>
                <w:color w:val="auto"/>
              </w:rPr>
            </w:pPr>
          </w:p>
        </w:tc>
      </w:tr>
      <w:tr>
        <w:trPr>
          <w:trHeight w:val="280"/>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620" w:type="dxa"/>
            <w:vAlign w:val="bottom"/>
          </w:tcPr>
          <w:p>
            <w:pPr>
              <w:jc w:val="right"/>
              <w:spacing w:after="0"/>
              <w:rPr>
                <w:sz w:val="20"/>
                <w:szCs w:val="20"/>
                <w:color w:val="auto"/>
              </w:rPr>
            </w:pPr>
            <w:r>
              <w:rPr>
                <w:rFonts w:ascii="Arial" w:cs="Arial" w:eastAsia="Arial" w:hAnsi="Arial"/>
                <w:sz w:val="22"/>
                <w:szCs w:val="22"/>
                <w:b w:val="1"/>
                <w:bCs w:val="1"/>
                <w:color w:val="auto"/>
              </w:rPr>
              <w:t>Eff: June 26, 2020</w:t>
            </w:r>
          </w:p>
        </w:tc>
        <w:tc>
          <w:tcPr>
            <w:tcW w:w="0" w:type="dxa"/>
            <w:vAlign w:val="bottom"/>
          </w:tcPr>
          <w:p>
            <w:pPr>
              <w:spacing w:after="0"/>
              <w:rPr>
                <w:sz w:val="1"/>
                <w:szCs w:val="1"/>
                <w:color w:val="auto"/>
              </w:rPr>
            </w:pPr>
          </w:p>
        </w:tc>
      </w:tr>
      <w:tr>
        <w:trPr>
          <w:trHeight w:val="473"/>
        </w:trPr>
        <w:tc>
          <w:tcPr>
            <w:tcW w:w="564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1"/>
                <w:szCs w:val="21"/>
                <w:color w:val="auto"/>
              </w:rPr>
              <w:t>OPTION AIRCRAFT DELIVERY SCHEDULE</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5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5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2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color w:val="auto"/>
              </w:rPr>
              <w:t xml:space="preserve">Batch consisting of </w:t>
            </w:r>
            <w:r>
              <w:rPr>
                <w:rFonts w:ascii="Arial" w:cs="Arial" w:eastAsia="Arial" w:hAnsi="Arial"/>
                <w:sz w:val="22"/>
                <w:szCs w:val="22"/>
                <w:b w:val="1"/>
                <w:bCs w:val="1"/>
                <w:color w:val="auto"/>
              </w:rPr>
              <w:t>[****]</w:t>
            </w:r>
          </w:p>
        </w:tc>
        <w:tc>
          <w:tcPr>
            <w:tcW w:w="20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color w:val="auto"/>
              </w:rPr>
              <w:t>Scheduled Delivery Quarter</w:t>
            </w:r>
          </w:p>
        </w:tc>
        <w:tc>
          <w:tcPr>
            <w:tcW w:w="5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Option Exercise Notice Date</w:t>
            </w:r>
          </w:p>
        </w:tc>
        <w:tc>
          <w:tcPr>
            <w:tcW w:w="0" w:type="dxa"/>
            <w:vAlign w:val="bottom"/>
          </w:tcPr>
          <w:p>
            <w:pPr>
              <w:spacing w:after="0"/>
              <w:rPr>
                <w:sz w:val="1"/>
                <w:szCs w:val="1"/>
                <w:color w:val="auto"/>
              </w:rPr>
            </w:pPr>
          </w:p>
        </w:tc>
      </w:tr>
      <w:tr>
        <w:trPr>
          <w:trHeight w:val="153"/>
        </w:trPr>
        <w:tc>
          <w:tcPr>
            <w:tcW w:w="2520" w:type="dxa"/>
            <w:vAlign w:val="bottom"/>
            <w:tcBorders>
              <w:left w:val="single" w:sz="8" w:color="auto"/>
            </w:tcBorders>
            <w:vMerge w:val="restart"/>
          </w:tcPr>
          <w:p>
            <w:pPr>
              <w:ind w:left="40"/>
              <w:spacing w:after="0"/>
              <w:rPr>
                <w:sz w:val="20"/>
                <w:szCs w:val="20"/>
                <w:color w:val="auto"/>
              </w:rPr>
            </w:pPr>
            <w:r>
              <w:rPr>
                <w:rFonts w:ascii="Arial" w:cs="Arial" w:eastAsia="Arial" w:hAnsi="Arial"/>
                <w:sz w:val="22"/>
                <w:szCs w:val="22"/>
                <w:color w:val="auto"/>
                <w:w w:val="91"/>
              </w:rPr>
              <w:t>Option Aircraft bearing rank</w:t>
            </w:r>
          </w:p>
        </w:tc>
        <w:tc>
          <w:tcPr>
            <w:tcW w:w="200" w:type="dxa"/>
            <w:vAlign w:val="bottom"/>
            <w:tcBorders>
              <w:right w:val="single" w:sz="8" w:color="auto"/>
            </w:tcBorders>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5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520" w:type="dxa"/>
            <w:vAlign w:val="bottom"/>
            <w:tcBorders>
              <w:left w:val="single" w:sz="8" w:color="auto"/>
              <w:bottom w:val="single" w:sz="8" w:color="auto"/>
            </w:tcBorders>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56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1"/>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20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825"/>
        </w:trPr>
        <w:tc>
          <w:tcPr>
            <w:tcW w:w="2520" w:type="dxa"/>
            <w:vAlign w:val="bottom"/>
          </w:tcPr>
          <w:p>
            <w:pPr>
              <w:spacing w:after="0"/>
              <w:rPr>
                <w:sz w:val="20"/>
                <w:szCs w:val="20"/>
                <w:color w:val="auto"/>
              </w:rPr>
            </w:pPr>
            <w:r>
              <w:rPr>
                <w:rFonts w:ascii="Arial" w:cs="Arial" w:eastAsia="Arial" w:hAnsi="Arial"/>
                <w:sz w:val="14"/>
                <w:szCs w:val="14"/>
                <w:color w:val="auto"/>
              </w:rPr>
              <w:t>CT1001520_AMD 12_AAL_A320 PA</w:t>
            </w:r>
          </w:p>
        </w:tc>
        <w:tc>
          <w:tcPr>
            <w:tcW w:w="3120" w:type="dxa"/>
            <w:vAlign w:val="bottom"/>
            <w:gridSpan w:val="2"/>
          </w:tcPr>
          <w:p>
            <w:pPr>
              <w:spacing w:after="0"/>
              <w:rPr>
                <w:sz w:val="20"/>
                <w:szCs w:val="20"/>
                <w:color w:val="auto"/>
              </w:rPr>
            </w:pPr>
            <w:r>
              <w:rPr>
                <w:rFonts w:ascii="Arial" w:cs="Arial" w:eastAsia="Arial" w:hAnsi="Arial"/>
                <w:sz w:val="14"/>
                <w:szCs w:val="14"/>
                <w:color w:val="auto"/>
              </w:rPr>
              <w:t>Page 5</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[****]=[CONFIDENTIAL PORTION HAS BEEN OMITTED BECAUSE IT (I) IS NOT MATERIAL AND (II) WOULD BE COMPETITIVELY HARMFUL IF PUBLICLY DISCLOSED</w:t>
      </w:r>
    </w:p>
    <w:p>
      <w:pPr>
        <w:sectPr>
          <w:pgSz w:w="11900" w:h="16838" w:orient="portrait"/>
          <w:cols w:equalWidth="0" w:num="1">
            <w:col w:w="11260"/>
          </w:cols>
          <w:pgMar w:left="320" w:top="557" w:right="3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2020</w:t>
      </w:r>
    </w:p>
    <w:p>
      <w:pPr>
        <w:spacing w:after="0" w:line="18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2885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660"/>
        <w:spacing w:after="0"/>
        <w:tabs>
          <w:tab w:leader="none" w:pos="72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549"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2020</w:t>
      </w:r>
    </w:p>
    <w:p>
      <w:pPr>
        <w:spacing w:after="0" w:line="18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2885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Executive Vice President and</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49"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2020</w:t>
      </w:r>
    </w:p>
    <w:p>
      <w:pPr>
        <w:spacing w:after="0" w:line="18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2885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549"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2020</w:t>
      </w:r>
    </w:p>
    <w:p>
      <w:pPr>
        <w:spacing w:after="0" w:line="18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2885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Executive Vice President and</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49"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June 30, 2020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23, 2020</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23, 2020</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549"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June 30, 2020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23, 2020</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23, 2020</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2"/>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lvl w:ilvl="1">
      <w:lvlJc w:val="left"/>
      <w:lvlText w:val="(%2)"/>
      <w:numFmt w:val="decimal"/>
      <w:start w:val="7"/>
    </w:lvl>
  </w:abstractNum>
  <w:abstractNum w:abstractNumId="7">
    <w:nsid w:val="77465F01"/>
    <w:multiLevelType w:val="hybridMultilevel"/>
    <w:lvl w:ilvl="0">
      <w:lvlJc w:val="left"/>
      <w:lvlText w:val="%1."/>
      <w:numFmt w:val="decimal"/>
      <w:start w:val="3"/>
    </w:lvl>
    <w:lvl w:ilvl="1">
      <w:lvlJc w:val="left"/>
      <w:lvlText w:val="%2"/>
      <w:numFmt w:val="decimal"/>
      <w:start w:val="1"/>
    </w:lvl>
  </w:abstractNum>
  <w:abstractNum w:abstractNumId="8">
    <w:nsid w:val="7724C67E"/>
    <w:multiLevelType w:val="hybridMultilevel"/>
    <w:lvl w:ilvl="0">
      <w:lvlJc w:val="left"/>
      <w:lvlText w:val="%1."/>
      <w:numFmt w:val="decimal"/>
      <w:start w:val="5"/>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6"/>
    </w:lvl>
  </w:abstractNum>
  <w:abstractNum w:abstractNumId="12">
    <w:nsid w:val="51EAD36B"/>
    <w:multiLevelType w:val="hybridMultilevel"/>
    <w:lvl w:ilvl="0">
      <w:lvlJc w:val="left"/>
      <w:lvlText w:val="%1."/>
      <w:numFmt w:val="decimal"/>
      <w:start w:val="8"/>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1"/>
      <w:numFmt w:val="decimal"/>
      <w:start w:val="1"/>
    </w:lvl>
    <w:lvl w:ilvl="1">
      <w:lvlJc w:val="left"/>
      <w:lvlText w:val="(%2)"/>
      <w:numFmt w:val="decimal"/>
      <w:start w:val="1"/>
    </w:lvl>
  </w:abstractNum>
  <w:abstractNum w:abstractNumId="16">
    <w:nsid w:val="3855585C"/>
    <w:multiLevelType w:val="hybridMultilevel"/>
    <w:lvl w:ilvl="0">
      <w:lvlJc w:val="left"/>
      <w:lvlText w:val="%1."/>
      <w:numFmt w:val="decimal"/>
      <w:start w:val="12"/>
    </w:lvl>
    <w:lvl w:ilvl="1">
      <w:lvlJc w:val="left"/>
      <w:lvlText w:val="%2"/>
      <w:numFmt w:val="decimal"/>
      <w:start w:val="1"/>
    </w:lvl>
  </w:abstractNum>
  <w:abstractNum w:abstractNumId="17">
    <w:nsid w:val="70A64E2A"/>
    <w:multiLevelType w:val="hybridMultilevel"/>
    <w:lvl w:ilvl="0">
      <w:lvlJc w:val="left"/>
      <w:lvlText w:val="%1."/>
      <w:numFmt w:val="decimal"/>
      <w:start w:val="13"/>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1"/>
    </w:lvl>
    <w:lvl w:ilvl="1">
      <w:lvlJc w:val="left"/>
      <w:lvlText w:val="(%2)"/>
      <w:numFmt w:val="lowerLetter"/>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2"/>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lvl w:ilvl="1">
      <w:lvlJc w:val="left"/>
      <w:lvlText w:val="(%2)"/>
      <w:numFmt w:val="decimal"/>
      <w:start w:val="2"/>
    </w:lvl>
  </w:abstractNum>
  <w:abstractNum w:abstractNumId="24">
    <w:nsid w:val="7A6D8D3C"/>
    <w:multiLevelType w:val="hybridMultilevel"/>
    <w:lvl w:ilvl="0">
      <w:lvlJc w:val="left"/>
      <w:lvlText w:val="%1."/>
      <w:numFmt w:val="decimal"/>
      <w:start w:val="3"/>
    </w:lvl>
    <w:lvl w:ilvl="1">
      <w:lvlJc w:val="left"/>
      <w:lvlText w:val="%2"/>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6"/>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7"/>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lvl w:ilvl="1">
      <w:lvlJc w:val="left"/>
      <w:lvlText w:val="(%2)"/>
      <w:numFmt w:val="decimal"/>
      <w:start w:val="1"/>
    </w:lvl>
  </w:abstractNum>
  <w:abstractNum w:abstractNumId="32">
    <w:nsid w:val="579478FE"/>
    <w:multiLevelType w:val="hybridMultilevel"/>
    <w:lvl w:ilvl="0">
      <w:lvlJc w:val="left"/>
      <w:lvlText w:val="%1."/>
      <w:numFmt w:val="decimal"/>
      <w:start w:val="10"/>
    </w:lvl>
    <w:lvl w:ilvl="1">
      <w:lvlJc w:val="left"/>
      <w:lvlText w:val="%2"/>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2"/>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lowerLetter"/>
      <w:start w:val="7"/>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9"/>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3"/>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
      <w:numFmt w:val="bullet"/>
      <w:start w:val="1"/>
    </w:lvl>
    <w:lvl w:ilvl="1">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2"/>
    </w:lvl>
  </w:abstractNum>
  <w:abstractNum w:abstractNumId="58">
    <w:nsid w:val="7E0C57B1"/>
    <w:multiLevelType w:val="hybridMultilevel"/>
    <w:lvl w:ilvl="0">
      <w:lvlJc w:val="left"/>
      <w:lvlText w:val="%1."/>
      <w:numFmt w:val="decimal"/>
      <w:start w:val="3"/>
    </w:lvl>
  </w:abstractNum>
  <w:abstractNum w:abstractNumId="59">
    <w:nsid w:val="77AE35EB"/>
    <w:multiLevelType w:val="hybridMultilevel"/>
    <w:lvl w:ilvl="0">
      <w:lvlJc w:val="left"/>
      <w:lvlText w:val="%1."/>
      <w:numFmt w:val="decimal"/>
      <w:start w:val="6"/>
    </w:lvl>
  </w:abstractNum>
  <w:abstractNum w:abstractNumId="60">
    <w:nsid w:val="579BE4F1"/>
    <w:multiLevelType w:val="hybridMultilevel"/>
    <w:lvl w:ilvl="0">
      <w:lvlJc w:val="left"/>
      <w:lvlText w:val="%1."/>
      <w:numFmt w:val="decimal"/>
      <w:start w:val="1"/>
    </w:lvl>
    <w:lvl w:ilvl="1">
      <w:lvlJc w:val="left"/>
      <w:lvlText w:val="(%2)"/>
      <w:numFmt w:val="lowerLetter"/>
      <w:start w:val="1"/>
    </w:lvl>
  </w:abstractNum>
  <w:abstractNum w:abstractNumId="61">
    <w:nsid w:val="310C50B3"/>
    <w:multiLevelType w:val="hybridMultilevel"/>
    <w:lvl w:ilvl="0">
      <w:lvlJc w:val="left"/>
      <w:lvlText w:val="%1."/>
      <w:numFmt w:val="decimal"/>
      <w:start w:val="1"/>
    </w:lvl>
    <w:lvl w:ilvl="1">
      <w:lvlJc w:val="left"/>
      <w:lvlText w:val="(%2)"/>
      <w:numFmt w:val="lowerLetter"/>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00" Type="http://schemas.openxmlformats.org/officeDocument/2006/relationships/hyperlink" Target="https://www.sec.gov/Archives/edgar/data/4515/000000620120000066/ex43q12010q.htm" TargetMode="External"/><Relationship Id="rId101" Type="http://schemas.openxmlformats.org/officeDocument/2006/relationships/hyperlink" Target="https://www.sec.gov/Archives/edgar/data/4515/000119312520179004/d948088dex41.htm" TargetMode="External"/><Relationship Id="rId102" Type="http://schemas.openxmlformats.org/officeDocument/2006/relationships/hyperlink" Target="https://www.sec.gov/Archives/edgar/data/4515/000119312520179004/d948088dex42.htm" TargetMode="External"/><Relationship Id="rId103" Type="http://schemas.openxmlformats.org/officeDocument/2006/relationships/hyperlink" Target="https://www.sec.gov/Archives/edgar/data/4515/000119312520185457/d32513dex41.htm" TargetMode="External"/><Relationship Id="rId104" Type="http://schemas.openxmlformats.org/officeDocument/2006/relationships/hyperlink" Target="https://www.sec.gov/Archives/edgar/data/4515/000000620120000066/ex105q120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2020-07-23T06:07:46Z</dcterms:created>
  <dcterms:modified xsi:type="dcterms:W3CDTF">2020-07-23T06:07:46Z</dcterms:modified>
</cp:coreProperties>
</file>