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148590</wp:posOffset>
            </wp:positionH>
            <wp:positionV relativeFrom="page">
              <wp:posOffset>542290</wp:posOffset>
            </wp:positionV>
            <wp:extent cx="72650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556895</wp:posOffset>
            </wp:positionV>
            <wp:extent cx="7265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7620"/>
                    </a:xfrm>
                    <a:prstGeom prst="rect">
                      <a:avLst/>
                    </a:prstGeom>
                    <a:noFill/>
                  </pic:spPr>
                </pic:pic>
              </a:graphicData>
            </a:graphic>
          </wp:anchor>
        </w:drawing>
        <w:t>UNITED STATES 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140335</wp:posOffset>
            </wp:positionV>
            <wp:extent cx="13296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spacing w:after="0" w:line="24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97155</wp:posOffset>
            </wp:positionV>
            <wp:extent cx="13296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spacing w:after="0" w:line="275" w:lineRule="exact"/>
        <w:rPr>
          <w:sz w:val="24"/>
          <w:szCs w:val="24"/>
          <w:color w:val="auto"/>
        </w:rPr>
      </w:pPr>
    </w:p>
    <w:p>
      <w:pPr>
        <w:ind w:left="700" w:hanging="683"/>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 the Quarterly Period Ended June 30, 2018</w:t>
      </w:r>
    </w:p>
    <w:p>
      <w:pPr>
        <w:spacing w:after="0" w:line="141" w:lineRule="exact"/>
        <w:rPr>
          <w:sz w:val="24"/>
          <w:szCs w:val="24"/>
          <w:color w:val="auto"/>
        </w:rPr>
      </w:pPr>
    </w:p>
    <w:p>
      <w:pPr>
        <w:ind w:left="700" w:hanging="683"/>
        <w:spacing w:after="0"/>
        <w:tabs>
          <w:tab w:leader="none" w:pos="7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440"/>
          </w:cols>
          <w:pgMar w:left="240" w:top="972" w:right="219" w:bottom="1440" w:gutter="0" w:footer="0" w:header="0"/>
        </w:sectPr>
      </w:pPr>
    </w:p>
    <w:p>
      <w:pPr>
        <w:spacing w:after="0" w:line="84" w:lineRule="exact"/>
        <w:rPr>
          <w:sz w:val="24"/>
          <w:szCs w:val="24"/>
          <w:color w:val="auto"/>
        </w:rPr>
      </w:pPr>
    </w:p>
    <w:p>
      <w:pPr>
        <w:ind w:left="4380"/>
        <w:spacing w:after="0"/>
        <w:rPr>
          <w:sz w:val="20"/>
          <w:szCs w:val="20"/>
          <w:color w:val="auto"/>
        </w:rPr>
      </w:pPr>
      <w:r>
        <w:rPr>
          <w:rFonts w:ascii="Arial" w:cs="Arial" w:eastAsia="Arial" w:hAnsi="Arial"/>
          <w:sz w:val="12"/>
          <w:szCs w:val="12"/>
          <w:b w:val="1"/>
          <w:bCs w:val="1"/>
          <w:color w:val="auto"/>
        </w:rPr>
        <w:t>For the Transition Period From</w:t>
      </w:r>
    </w:p>
    <w:p>
      <w:pPr>
        <w:spacing w:after="0" w:line="49" w:lineRule="exact"/>
        <w:rPr>
          <w:sz w:val="24"/>
          <w:szCs w:val="24"/>
          <w:color w:val="auto"/>
        </w:rPr>
      </w:pPr>
    </w:p>
    <w:p>
      <w:pPr>
        <w:ind w:left="4780"/>
        <w:spacing w:after="0"/>
        <w:rPr>
          <w:sz w:val="20"/>
          <w:szCs w:val="20"/>
          <w:color w:val="auto"/>
        </w:rPr>
      </w:pPr>
      <w:r>
        <w:rPr>
          <w:rFonts w:ascii="Arial" w:cs="Arial" w:eastAsia="Arial" w:hAnsi="Arial"/>
          <w:sz w:val="12"/>
          <w:szCs w:val="12"/>
          <w:b w:val="1"/>
          <w:bCs w:val="1"/>
          <w:color w:val="auto"/>
        </w:rPr>
        <w:t>Commission file number 1-8400</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387" w:lineRule="exact"/>
        <w:rPr>
          <w:sz w:val="24"/>
          <w:szCs w:val="24"/>
          <w:color w:val="auto"/>
        </w:rPr>
      </w:pPr>
    </w:p>
    <w:p>
      <w:pPr>
        <w:sectPr>
          <w:pgSz w:w="11900" w:h="16838" w:orient="portrait"/>
          <w:cols w:equalWidth="0" w:num="2">
            <w:col w:w="6660" w:space="260"/>
            <w:col w:w="4520"/>
          </w:cols>
          <w:pgMar w:left="240" w:top="972" w:right="219" w:bottom="1440" w:gutter="0" w:footer="0" w:header="0"/>
          <w:type w:val="continuous"/>
        </w:sectPr>
      </w:pPr>
    </w:p>
    <w:p>
      <w:pPr>
        <w:spacing w:after="0" w:line="35" w:lineRule="exact"/>
        <w:rPr>
          <w:sz w:val="24"/>
          <w:szCs w:val="24"/>
          <w:color w:val="auto"/>
        </w:rPr>
      </w:pPr>
    </w:p>
    <w:tbl>
      <w:tblPr>
        <w:tblLayout w:type="fixed"/>
        <w:tblInd w:w="1200" w:type="dxa"/>
        <w:tblCellMar>
          <w:top w:w="0" w:type="dxa"/>
          <w:left w:w="0" w:type="dxa"/>
          <w:bottom w:w="0" w:type="dxa"/>
          <w:right w:w="0" w:type="dxa"/>
        </w:tblCellMar>
      </w:tblP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60" w:type="dxa"/>
            <w:vAlign w:val="bottom"/>
          </w:tcPr>
          <w:p>
            <w:pPr>
              <w:spacing w:after="0"/>
              <w:rPr>
                <w:sz w:val="18"/>
                <w:szCs w:val="18"/>
                <w:color w:val="auto"/>
              </w:rPr>
            </w:pPr>
          </w:p>
        </w:tc>
        <w:tc>
          <w:tcPr>
            <w:tcW w:w="5080" w:type="dxa"/>
            <w:vAlign w:val="bottom"/>
            <w:gridSpan w:val="3"/>
          </w:tcPr>
          <w:p>
            <w:pPr>
              <w:jc w:val="center"/>
              <w:ind w:right="2133"/>
              <w:spacing w:after="0" w:line="211" w:lineRule="exact"/>
              <w:rPr>
                <w:sz w:val="20"/>
                <w:szCs w:val="20"/>
                <w:color w:val="auto"/>
              </w:rPr>
            </w:pPr>
            <w:r>
              <w:rPr>
                <w:rFonts w:ascii="Arial" w:cs="Arial" w:eastAsia="Arial" w:hAnsi="Arial"/>
                <w:sz w:val="19"/>
                <w:szCs w:val="19"/>
                <w:b w:val="1"/>
                <w:bCs w:val="1"/>
                <w:color w:val="auto"/>
                <w:w w:val="98"/>
              </w:rPr>
              <w:t>American Airlines Group Inc.</w:t>
            </w: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5080" w:type="dxa"/>
            <w:vAlign w:val="bottom"/>
            <w:gridSpan w:val="3"/>
          </w:tcPr>
          <w:p>
            <w:pPr>
              <w:jc w:val="center"/>
              <w:ind w:right="2133"/>
              <w:spacing w:after="0"/>
              <w:rPr>
                <w:sz w:val="20"/>
                <w:szCs w:val="20"/>
                <w:color w:val="auto"/>
              </w:rPr>
            </w:pPr>
            <w:r>
              <w:rPr>
                <w:rFonts w:ascii="Arial" w:cs="Arial" w:eastAsia="Arial" w:hAnsi="Arial"/>
                <w:sz w:val="9"/>
                <w:szCs w:val="9"/>
                <w:color w:val="auto"/>
              </w:rPr>
              <w:t>(Exact name of registrant as specified in its charter)</w:t>
            </w:r>
          </w:p>
        </w:tc>
        <w:tc>
          <w:tcPr>
            <w:tcW w:w="0" w:type="dxa"/>
            <w:vAlign w:val="bottom"/>
          </w:tcPr>
          <w:p>
            <w:pPr>
              <w:spacing w:after="0"/>
              <w:rPr>
                <w:sz w:val="1"/>
                <w:szCs w:val="1"/>
                <w:color w:val="auto"/>
              </w:rPr>
            </w:pPr>
          </w:p>
        </w:tc>
      </w:tr>
      <w:tr>
        <w:trPr>
          <w:trHeight w:val="124"/>
        </w:trPr>
        <w:tc>
          <w:tcPr>
            <w:tcW w:w="3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7"/>
        </w:trPr>
        <w:tc>
          <w:tcPr>
            <w:tcW w:w="3060" w:type="dxa"/>
            <w:vAlign w:val="bottom"/>
          </w:tcPr>
          <w:p>
            <w:pPr>
              <w:jc w:val="center"/>
              <w:ind w:right="105"/>
              <w:spacing w:after="0"/>
              <w:rPr>
                <w:sz w:val="20"/>
                <w:szCs w:val="20"/>
                <w:color w:val="auto"/>
              </w:rPr>
            </w:pPr>
            <w:r>
              <w:rPr>
                <w:rFonts w:ascii="Arial" w:cs="Arial" w:eastAsia="Arial" w:hAnsi="Arial"/>
                <w:sz w:val="12"/>
                <w:szCs w:val="12"/>
                <w:b w:val="1"/>
                <w:bCs w:val="1"/>
                <w:color w:val="auto"/>
              </w:rPr>
              <w:t>Delaware</w:t>
            </w:r>
          </w:p>
        </w:tc>
        <w:tc>
          <w:tcPr>
            <w:tcW w:w="5080" w:type="dxa"/>
            <w:vAlign w:val="bottom"/>
            <w:gridSpan w:val="3"/>
          </w:tcPr>
          <w:p>
            <w:pPr>
              <w:jc w:val="center"/>
              <w:ind w:left="2818"/>
              <w:spacing w:after="0"/>
              <w:rPr>
                <w:sz w:val="20"/>
                <w:szCs w:val="20"/>
                <w:color w:val="auto"/>
              </w:rPr>
            </w:pPr>
            <w:r>
              <w:rPr>
                <w:rFonts w:ascii="Arial" w:cs="Arial" w:eastAsia="Arial" w:hAnsi="Arial"/>
                <w:sz w:val="12"/>
                <w:szCs w:val="12"/>
                <w:b w:val="1"/>
                <w:bCs w:val="1"/>
                <w:color w:val="auto"/>
              </w:rPr>
              <w:t>75-1825172</w:t>
            </w:r>
          </w:p>
        </w:tc>
        <w:tc>
          <w:tcPr>
            <w:tcW w:w="0" w:type="dxa"/>
            <w:vAlign w:val="bottom"/>
          </w:tcPr>
          <w:p>
            <w:pPr>
              <w:spacing w:after="0"/>
              <w:rPr>
                <w:sz w:val="1"/>
                <w:szCs w:val="1"/>
                <w:color w:val="auto"/>
              </w:rPr>
            </w:pPr>
          </w:p>
        </w:tc>
      </w:tr>
      <w:tr>
        <w:trPr>
          <w:trHeight w:val="144"/>
        </w:trPr>
        <w:tc>
          <w:tcPr>
            <w:tcW w:w="3060" w:type="dxa"/>
            <w:vAlign w:val="bottom"/>
          </w:tcPr>
          <w:p>
            <w:pPr>
              <w:jc w:val="center"/>
              <w:ind w:right="105"/>
              <w:spacing w:after="0"/>
              <w:rPr>
                <w:sz w:val="20"/>
                <w:szCs w:val="20"/>
                <w:color w:val="auto"/>
              </w:rPr>
            </w:pPr>
            <w:r>
              <w:rPr>
                <w:rFonts w:ascii="Arial" w:cs="Arial" w:eastAsia="Arial" w:hAnsi="Arial"/>
                <w:sz w:val="9"/>
                <w:szCs w:val="9"/>
                <w:color w:val="auto"/>
              </w:rPr>
              <w:t>(State or other jurisdiction of incorporation or organization)</w:t>
            </w: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40" w:type="dxa"/>
            <w:vAlign w:val="bottom"/>
          </w:tcPr>
          <w:p>
            <w:pPr>
              <w:jc w:val="center"/>
              <w:ind w:left="293"/>
              <w:spacing w:after="0"/>
              <w:rPr>
                <w:sz w:val="20"/>
                <w:szCs w:val="20"/>
                <w:color w:val="auto"/>
              </w:rPr>
            </w:pPr>
            <w:r>
              <w:rPr>
                <w:rFonts w:ascii="Arial" w:cs="Arial" w:eastAsia="Arial" w:hAnsi="Arial"/>
                <w:sz w:val="9"/>
                <w:szCs w:val="9"/>
                <w:color w:val="auto"/>
              </w:rPr>
              <w:t>(I.R.S. Employer Identification No.)</w:t>
            </w:r>
          </w:p>
        </w:tc>
        <w:tc>
          <w:tcPr>
            <w:tcW w:w="0" w:type="dxa"/>
            <w:vAlign w:val="bottom"/>
          </w:tcPr>
          <w:p>
            <w:pPr>
              <w:spacing w:after="0"/>
              <w:rPr>
                <w:sz w:val="1"/>
                <w:szCs w:val="1"/>
                <w:color w:val="auto"/>
              </w:rPr>
            </w:pPr>
          </w:p>
        </w:tc>
      </w:tr>
      <w:tr>
        <w:trPr>
          <w:trHeight w:val="195"/>
        </w:trPr>
        <w:tc>
          <w:tcPr>
            <w:tcW w:w="3060" w:type="dxa"/>
            <w:vAlign w:val="bottom"/>
          </w:tcPr>
          <w:p>
            <w:pPr>
              <w:jc w:val="center"/>
              <w:ind w:right="105"/>
              <w:spacing w:after="0"/>
              <w:rPr>
                <w:sz w:val="20"/>
                <w:szCs w:val="20"/>
                <w:color w:val="auto"/>
              </w:rPr>
            </w:pPr>
            <w:r>
              <w:rPr>
                <w:rFonts w:ascii="Arial" w:cs="Arial" w:eastAsia="Arial" w:hAnsi="Arial"/>
                <w:sz w:val="12"/>
                <w:szCs w:val="12"/>
                <w:b w:val="1"/>
                <w:bCs w:val="1"/>
                <w:color w:val="auto"/>
              </w:rPr>
              <w:t>4333 Amon Carter Blvd., Fort Worth, Texas 76155</w:t>
            </w:r>
          </w:p>
        </w:tc>
        <w:tc>
          <w:tcPr>
            <w:tcW w:w="5080" w:type="dxa"/>
            <w:vAlign w:val="bottom"/>
            <w:gridSpan w:val="3"/>
          </w:tcPr>
          <w:p>
            <w:pPr>
              <w:jc w:val="center"/>
              <w:ind w:left="2818"/>
              <w:spacing w:after="0"/>
              <w:rPr>
                <w:sz w:val="20"/>
                <w:szCs w:val="20"/>
                <w:color w:val="auto"/>
              </w:rPr>
            </w:pPr>
            <w:r>
              <w:rPr>
                <w:rFonts w:ascii="Arial" w:cs="Arial" w:eastAsia="Arial" w:hAnsi="Arial"/>
                <w:sz w:val="12"/>
                <w:szCs w:val="12"/>
                <w:b w:val="1"/>
                <w:bCs w:val="1"/>
                <w:color w:val="auto"/>
              </w:rPr>
              <w:t>(817) 963-1234</w:t>
            </w:r>
          </w:p>
        </w:tc>
        <w:tc>
          <w:tcPr>
            <w:tcW w:w="0" w:type="dxa"/>
            <w:vAlign w:val="bottom"/>
          </w:tcPr>
          <w:p>
            <w:pPr>
              <w:spacing w:after="0"/>
              <w:rPr>
                <w:sz w:val="1"/>
                <w:szCs w:val="1"/>
                <w:color w:val="auto"/>
              </w:rPr>
            </w:pPr>
          </w:p>
        </w:tc>
      </w:tr>
      <w:tr>
        <w:trPr>
          <w:trHeight w:val="144"/>
        </w:trPr>
        <w:tc>
          <w:tcPr>
            <w:tcW w:w="3060" w:type="dxa"/>
            <w:vAlign w:val="bottom"/>
          </w:tcPr>
          <w:p>
            <w:pPr>
              <w:jc w:val="center"/>
              <w:ind w:right="85"/>
              <w:spacing w:after="0"/>
              <w:rPr>
                <w:sz w:val="20"/>
                <w:szCs w:val="20"/>
                <w:color w:val="auto"/>
              </w:rPr>
            </w:pPr>
            <w:r>
              <w:rPr>
                <w:rFonts w:ascii="Arial" w:cs="Arial" w:eastAsia="Arial" w:hAnsi="Arial"/>
                <w:sz w:val="9"/>
                <w:szCs w:val="9"/>
                <w:color w:val="auto"/>
              </w:rPr>
              <w:t>(Address of principal executive offices, including zip code)</w:t>
            </w: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40" w:type="dxa"/>
            <w:vAlign w:val="bottom"/>
          </w:tcPr>
          <w:p>
            <w:pPr>
              <w:jc w:val="center"/>
              <w:ind w:left="293"/>
              <w:spacing w:after="0"/>
              <w:rPr>
                <w:sz w:val="20"/>
                <w:szCs w:val="20"/>
                <w:color w:val="auto"/>
              </w:rPr>
            </w:pPr>
            <w:r>
              <w:rPr>
                <w:rFonts w:ascii="Arial" w:cs="Arial" w:eastAsia="Arial" w:hAnsi="Arial"/>
                <w:sz w:val="9"/>
                <w:szCs w:val="9"/>
                <w:color w:val="auto"/>
              </w:rPr>
              <w:t>(Registrant’s telephone number, including area code)</w:t>
            </w: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40" w:type="dxa"/>
            <w:vAlign w:val="bottom"/>
            <w:gridSpan w:val="2"/>
          </w:tcPr>
          <w:p>
            <w:pPr>
              <w:jc w:val="center"/>
              <w:ind w:right="2553"/>
              <w:spacing w:after="0"/>
              <w:rPr>
                <w:sz w:val="20"/>
                <w:szCs w:val="20"/>
                <w:color w:val="auto"/>
              </w:rPr>
            </w:pPr>
            <w:r>
              <w:rPr>
                <w:rFonts w:ascii="Arial" w:cs="Arial" w:eastAsia="Arial" w:hAnsi="Arial"/>
                <w:sz w:val="12"/>
                <w:szCs w:val="12"/>
                <w:b w:val="1"/>
                <w:bCs w:val="1"/>
                <w:color w:val="auto"/>
              </w:rPr>
              <w:t>Commission file number 1-2691</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vMerge w:val="restart"/>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5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100" w:type="dxa"/>
            <w:vAlign w:val="bottom"/>
          </w:tcPr>
          <w:p>
            <w:pPr>
              <w:jc w:val="center"/>
              <w:ind w:right="2"/>
              <w:spacing w:after="0" w:line="211" w:lineRule="exact"/>
              <w:rPr>
                <w:sz w:val="20"/>
                <w:szCs w:val="20"/>
                <w:color w:val="auto"/>
              </w:rPr>
            </w:pPr>
            <w:r>
              <w:rPr>
                <w:rFonts w:ascii="Arial" w:cs="Arial" w:eastAsia="Arial" w:hAnsi="Arial"/>
                <w:sz w:val="19"/>
                <w:szCs w:val="19"/>
                <w:b w:val="1"/>
                <w:bCs w:val="1"/>
                <w:color w:val="auto"/>
                <w:w w:val="98"/>
              </w:rPr>
              <w:t>American Airlines, Inc.</w:t>
            </w:r>
          </w:p>
        </w:tc>
        <w:tc>
          <w:tcPr>
            <w:tcW w:w="2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5080" w:type="dxa"/>
            <w:vAlign w:val="bottom"/>
            <w:gridSpan w:val="3"/>
          </w:tcPr>
          <w:p>
            <w:pPr>
              <w:jc w:val="center"/>
              <w:ind w:right="2133"/>
              <w:spacing w:after="0"/>
              <w:rPr>
                <w:sz w:val="20"/>
                <w:szCs w:val="20"/>
                <w:color w:val="auto"/>
              </w:rPr>
            </w:pPr>
            <w:r>
              <w:rPr>
                <w:rFonts w:ascii="Arial" w:cs="Arial" w:eastAsia="Arial" w:hAnsi="Arial"/>
                <w:sz w:val="9"/>
                <w:szCs w:val="9"/>
                <w:color w:val="auto"/>
              </w:rPr>
              <w:t>(Exact name of registrant as specified in its charter)</w:t>
            </w:r>
          </w:p>
        </w:tc>
        <w:tc>
          <w:tcPr>
            <w:tcW w:w="0" w:type="dxa"/>
            <w:vAlign w:val="bottom"/>
          </w:tcPr>
          <w:p>
            <w:pPr>
              <w:spacing w:after="0"/>
              <w:rPr>
                <w:sz w:val="1"/>
                <w:szCs w:val="1"/>
                <w:color w:val="auto"/>
              </w:rPr>
            </w:pPr>
          </w:p>
        </w:tc>
      </w:tr>
      <w:tr>
        <w:trPr>
          <w:trHeight w:val="124"/>
        </w:trPr>
        <w:tc>
          <w:tcPr>
            <w:tcW w:w="3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7"/>
        </w:trPr>
        <w:tc>
          <w:tcPr>
            <w:tcW w:w="3060" w:type="dxa"/>
            <w:vAlign w:val="bottom"/>
          </w:tcPr>
          <w:p>
            <w:pPr>
              <w:jc w:val="center"/>
              <w:ind w:right="105"/>
              <w:spacing w:after="0"/>
              <w:rPr>
                <w:sz w:val="20"/>
                <w:szCs w:val="20"/>
                <w:color w:val="auto"/>
              </w:rPr>
            </w:pPr>
            <w:r>
              <w:rPr>
                <w:rFonts w:ascii="Arial" w:cs="Arial" w:eastAsia="Arial" w:hAnsi="Arial"/>
                <w:sz w:val="12"/>
                <w:szCs w:val="12"/>
                <w:b w:val="1"/>
                <w:bCs w:val="1"/>
                <w:color w:val="auto"/>
              </w:rPr>
              <w:t>Delaware</w:t>
            </w:r>
          </w:p>
        </w:tc>
        <w:tc>
          <w:tcPr>
            <w:tcW w:w="5080" w:type="dxa"/>
            <w:vAlign w:val="bottom"/>
            <w:gridSpan w:val="3"/>
          </w:tcPr>
          <w:p>
            <w:pPr>
              <w:jc w:val="center"/>
              <w:ind w:left="2818"/>
              <w:spacing w:after="0"/>
              <w:rPr>
                <w:sz w:val="20"/>
                <w:szCs w:val="20"/>
                <w:color w:val="auto"/>
              </w:rPr>
            </w:pPr>
            <w:r>
              <w:rPr>
                <w:rFonts w:ascii="Arial" w:cs="Arial" w:eastAsia="Arial" w:hAnsi="Arial"/>
                <w:sz w:val="12"/>
                <w:szCs w:val="12"/>
                <w:b w:val="1"/>
                <w:bCs w:val="1"/>
                <w:color w:val="auto"/>
              </w:rPr>
              <w:t>13-1502798</w:t>
            </w:r>
          </w:p>
        </w:tc>
        <w:tc>
          <w:tcPr>
            <w:tcW w:w="0" w:type="dxa"/>
            <w:vAlign w:val="bottom"/>
          </w:tcPr>
          <w:p>
            <w:pPr>
              <w:spacing w:after="0"/>
              <w:rPr>
                <w:sz w:val="1"/>
                <w:szCs w:val="1"/>
                <w:color w:val="auto"/>
              </w:rPr>
            </w:pPr>
          </w:p>
        </w:tc>
      </w:tr>
      <w:tr>
        <w:trPr>
          <w:trHeight w:val="144"/>
        </w:trPr>
        <w:tc>
          <w:tcPr>
            <w:tcW w:w="3060" w:type="dxa"/>
            <w:vAlign w:val="bottom"/>
          </w:tcPr>
          <w:p>
            <w:pPr>
              <w:jc w:val="center"/>
              <w:ind w:right="105"/>
              <w:spacing w:after="0"/>
              <w:rPr>
                <w:sz w:val="20"/>
                <w:szCs w:val="20"/>
                <w:color w:val="auto"/>
              </w:rPr>
            </w:pPr>
            <w:r>
              <w:rPr>
                <w:rFonts w:ascii="Arial" w:cs="Arial" w:eastAsia="Arial" w:hAnsi="Arial"/>
                <w:sz w:val="9"/>
                <w:szCs w:val="9"/>
                <w:color w:val="auto"/>
              </w:rPr>
              <w:t>(State or other jurisdiction of incorporation or organization)</w:t>
            </w: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40" w:type="dxa"/>
            <w:vAlign w:val="bottom"/>
          </w:tcPr>
          <w:p>
            <w:pPr>
              <w:jc w:val="center"/>
              <w:ind w:left="293"/>
              <w:spacing w:after="0"/>
              <w:rPr>
                <w:sz w:val="20"/>
                <w:szCs w:val="20"/>
                <w:color w:val="auto"/>
              </w:rPr>
            </w:pPr>
            <w:r>
              <w:rPr>
                <w:rFonts w:ascii="Arial" w:cs="Arial" w:eastAsia="Arial" w:hAnsi="Arial"/>
                <w:sz w:val="9"/>
                <w:szCs w:val="9"/>
                <w:color w:val="auto"/>
              </w:rPr>
              <w:t>(I.R.S. Employer Identification No.)</w:t>
            </w:r>
          </w:p>
        </w:tc>
        <w:tc>
          <w:tcPr>
            <w:tcW w:w="0" w:type="dxa"/>
            <w:vAlign w:val="bottom"/>
          </w:tcPr>
          <w:p>
            <w:pPr>
              <w:spacing w:after="0"/>
              <w:rPr>
                <w:sz w:val="1"/>
                <w:szCs w:val="1"/>
                <w:color w:val="auto"/>
              </w:rPr>
            </w:pPr>
          </w:p>
        </w:tc>
      </w:tr>
      <w:tr>
        <w:trPr>
          <w:trHeight w:val="195"/>
        </w:trPr>
        <w:tc>
          <w:tcPr>
            <w:tcW w:w="3060" w:type="dxa"/>
            <w:vAlign w:val="bottom"/>
          </w:tcPr>
          <w:p>
            <w:pPr>
              <w:jc w:val="center"/>
              <w:ind w:right="105"/>
              <w:spacing w:after="0"/>
              <w:rPr>
                <w:sz w:val="20"/>
                <w:szCs w:val="20"/>
                <w:color w:val="auto"/>
              </w:rPr>
            </w:pPr>
            <w:r>
              <w:rPr>
                <w:rFonts w:ascii="Arial" w:cs="Arial" w:eastAsia="Arial" w:hAnsi="Arial"/>
                <w:sz w:val="12"/>
                <w:szCs w:val="12"/>
                <w:b w:val="1"/>
                <w:bCs w:val="1"/>
                <w:color w:val="auto"/>
              </w:rPr>
              <w:t>4333 Amon Carter Blvd., Fort Worth, Texas 76155</w:t>
            </w:r>
          </w:p>
        </w:tc>
        <w:tc>
          <w:tcPr>
            <w:tcW w:w="5080" w:type="dxa"/>
            <w:vAlign w:val="bottom"/>
            <w:gridSpan w:val="3"/>
          </w:tcPr>
          <w:p>
            <w:pPr>
              <w:jc w:val="center"/>
              <w:ind w:left="2818"/>
              <w:spacing w:after="0"/>
              <w:rPr>
                <w:sz w:val="20"/>
                <w:szCs w:val="20"/>
                <w:color w:val="auto"/>
              </w:rPr>
            </w:pPr>
            <w:r>
              <w:rPr>
                <w:rFonts w:ascii="Arial" w:cs="Arial" w:eastAsia="Arial" w:hAnsi="Arial"/>
                <w:sz w:val="12"/>
                <w:szCs w:val="12"/>
                <w:b w:val="1"/>
                <w:bCs w:val="1"/>
                <w:color w:val="auto"/>
              </w:rPr>
              <w:t>(817) 963-1234</w:t>
            </w:r>
          </w:p>
        </w:tc>
        <w:tc>
          <w:tcPr>
            <w:tcW w:w="0" w:type="dxa"/>
            <w:vAlign w:val="bottom"/>
          </w:tcPr>
          <w:p>
            <w:pPr>
              <w:spacing w:after="0"/>
              <w:rPr>
                <w:sz w:val="1"/>
                <w:szCs w:val="1"/>
                <w:color w:val="auto"/>
              </w:rPr>
            </w:pPr>
          </w:p>
        </w:tc>
      </w:tr>
      <w:tr>
        <w:trPr>
          <w:trHeight w:val="144"/>
        </w:trPr>
        <w:tc>
          <w:tcPr>
            <w:tcW w:w="3060" w:type="dxa"/>
            <w:vAlign w:val="bottom"/>
          </w:tcPr>
          <w:p>
            <w:pPr>
              <w:jc w:val="center"/>
              <w:ind w:right="85"/>
              <w:spacing w:after="0"/>
              <w:rPr>
                <w:sz w:val="20"/>
                <w:szCs w:val="20"/>
                <w:color w:val="auto"/>
              </w:rPr>
            </w:pPr>
            <w:r>
              <w:rPr>
                <w:rFonts w:ascii="Arial" w:cs="Arial" w:eastAsia="Arial" w:hAnsi="Arial"/>
                <w:sz w:val="9"/>
                <w:szCs w:val="9"/>
                <w:color w:val="auto"/>
              </w:rPr>
              <w:t>(Address of principal executive offices, including zip code)</w:t>
            </w:r>
          </w:p>
        </w:tc>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40" w:type="dxa"/>
            <w:vAlign w:val="bottom"/>
          </w:tcPr>
          <w:p>
            <w:pPr>
              <w:jc w:val="center"/>
              <w:ind w:left="293"/>
              <w:spacing w:after="0"/>
              <w:rPr>
                <w:sz w:val="20"/>
                <w:szCs w:val="20"/>
                <w:color w:val="auto"/>
              </w:rPr>
            </w:pPr>
            <w:r>
              <w:rPr>
                <w:rFonts w:ascii="Arial" w:cs="Arial" w:eastAsia="Arial" w:hAnsi="Arial"/>
                <w:sz w:val="9"/>
                <w:szCs w:val="9"/>
                <w:color w:val="auto"/>
              </w:rPr>
              <w:t>(Registrant’s telephone number, including area code)</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0"/>
        <w:spacing w:after="0" w:line="265" w:lineRule="auto"/>
        <w:rPr>
          <w:sz w:val="20"/>
          <w:szCs w:val="20"/>
          <w:color w:val="auto"/>
        </w:rPr>
      </w:pPr>
      <w:r>
        <w:rPr>
          <w:rFonts w:ascii="Arial" w:cs="Arial" w:eastAsia="Arial" w:hAnsi="Arial"/>
          <w:sz w:val="9"/>
          <w:szCs w:val="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40"/>
          </w:cols>
          <w:pgMar w:left="240" w:top="972" w:right="219" w:bottom="1440" w:gutter="0" w:footer="0" w:header="0"/>
          <w:type w:val="continuous"/>
        </w:sectPr>
      </w:pPr>
    </w:p>
    <w:p>
      <w:pPr>
        <w:spacing w:after="0" w:line="122" w:lineRule="exact"/>
        <w:rPr>
          <w:sz w:val="24"/>
          <w:szCs w:val="24"/>
          <w:color w:val="auto"/>
        </w:rPr>
      </w:pPr>
    </w:p>
    <w:p>
      <w:pPr>
        <w:ind w:left="20"/>
        <w:spacing w:after="0"/>
        <w:rPr>
          <w:sz w:val="20"/>
          <w:szCs w:val="20"/>
          <w:color w:val="auto"/>
        </w:rPr>
      </w:pPr>
      <w:r>
        <w:rPr>
          <w:rFonts w:ascii="Arial" w:cs="Arial" w:eastAsia="Arial" w:hAnsi="Arial"/>
          <w:sz w:val="9"/>
          <w:szCs w:val="9"/>
          <w:color w:val="auto"/>
        </w:rPr>
        <w:t>American Airlines Group Inc.</w:t>
      </w:r>
    </w:p>
    <w:p>
      <w:pPr>
        <w:spacing w:after="0" w:line="49" w:lineRule="exact"/>
        <w:rPr>
          <w:sz w:val="24"/>
          <w:szCs w:val="24"/>
          <w:color w:val="auto"/>
        </w:rPr>
      </w:pPr>
    </w:p>
    <w:p>
      <w:pPr>
        <w:ind w:left="20"/>
        <w:spacing w:after="0"/>
        <w:rPr>
          <w:sz w:val="20"/>
          <w:szCs w:val="20"/>
          <w:color w:val="auto"/>
        </w:rPr>
      </w:pPr>
      <w:r>
        <w:rPr>
          <w:rFonts w:ascii="Arial" w:cs="Arial" w:eastAsia="Arial" w:hAnsi="Arial"/>
          <w:sz w:val="9"/>
          <w:szCs w:val="9"/>
          <w:color w:val="auto"/>
        </w:rPr>
        <w:t>American Airlines, Inc.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62"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60"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72"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49"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72" w:lineRule="exact"/>
        <w:rPr>
          <w:sz w:val="24"/>
          <w:szCs w:val="24"/>
          <w:color w:val="auto"/>
        </w:rPr>
      </w:pPr>
    </w:p>
    <w:p>
      <w:pPr>
        <w:sectPr>
          <w:pgSz w:w="11900" w:h="16838" w:orient="portrait"/>
          <w:cols w:equalWidth="0" w:num="5">
            <w:col w:w="9140" w:space="720"/>
            <w:col w:w="100" w:space="520"/>
            <w:col w:w="140" w:space="160"/>
            <w:col w:w="80" w:space="440"/>
            <w:col w:w="140"/>
          </w:cols>
          <w:pgMar w:left="240" w:top="972" w:right="219" w:bottom="1440" w:gutter="0" w:footer="0" w:header="0"/>
          <w:type w:val="continuous"/>
        </w:sectPr>
      </w:pPr>
    </w:p>
    <w:p>
      <w:pPr>
        <w:ind w:left="200" w:right="20"/>
        <w:spacing w:after="0" w:line="265" w:lineRule="auto"/>
        <w:rPr>
          <w:sz w:val="20"/>
          <w:szCs w:val="20"/>
          <w:color w:val="auto"/>
        </w:rPr>
      </w:pPr>
      <w:r>
        <w:rPr>
          <w:rFonts w:ascii="Arial" w:cs="Arial" w:eastAsia="Arial" w:hAnsi="Arial"/>
          <w:sz w:val="9"/>
          <w:szCs w:val="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40"/>
          </w:cols>
          <w:pgMar w:left="240" w:top="972" w:right="219" w:bottom="1440" w:gutter="0" w:footer="0" w:header="0"/>
          <w:type w:val="continuous"/>
        </w:sectPr>
      </w:pPr>
    </w:p>
    <w:p>
      <w:pPr>
        <w:spacing w:after="0" w:line="122" w:lineRule="exact"/>
        <w:rPr>
          <w:sz w:val="24"/>
          <w:szCs w:val="24"/>
          <w:color w:val="auto"/>
        </w:rPr>
      </w:pPr>
    </w:p>
    <w:p>
      <w:pPr>
        <w:ind w:left="20"/>
        <w:spacing w:after="0"/>
        <w:rPr>
          <w:sz w:val="20"/>
          <w:szCs w:val="20"/>
          <w:color w:val="auto"/>
        </w:rPr>
      </w:pPr>
      <w:r>
        <w:rPr>
          <w:rFonts w:ascii="Arial" w:cs="Arial" w:eastAsia="Arial" w:hAnsi="Arial"/>
          <w:sz w:val="9"/>
          <w:szCs w:val="9"/>
          <w:color w:val="auto"/>
        </w:rPr>
        <w:t>American Airlines Group Inc.</w:t>
      </w:r>
    </w:p>
    <w:p>
      <w:pPr>
        <w:spacing w:after="0" w:line="49" w:lineRule="exact"/>
        <w:rPr>
          <w:sz w:val="24"/>
          <w:szCs w:val="24"/>
          <w:color w:val="auto"/>
        </w:rPr>
      </w:pPr>
    </w:p>
    <w:p>
      <w:pPr>
        <w:ind w:left="20"/>
        <w:spacing w:after="0"/>
        <w:rPr>
          <w:sz w:val="20"/>
          <w:szCs w:val="20"/>
          <w:color w:val="auto"/>
        </w:rPr>
      </w:pPr>
      <w:r>
        <w:rPr>
          <w:rFonts w:ascii="Arial" w:cs="Arial" w:eastAsia="Arial" w:hAnsi="Arial"/>
          <w:sz w:val="9"/>
          <w:szCs w:val="9"/>
          <w:color w:val="auto"/>
        </w:rPr>
        <w:t>American Airlines, Inc.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62"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60"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72"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49"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72" w:lineRule="exact"/>
        <w:rPr>
          <w:sz w:val="24"/>
          <w:szCs w:val="24"/>
          <w:color w:val="auto"/>
        </w:rPr>
      </w:pPr>
    </w:p>
    <w:p>
      <w:pPr>
        <w:sectPr>
          <w:pgSz w:w="11900" w:h="16838" w:orient="portrait"/>
          <w:cols w:equalWidth="0" w:num="5">
            <w:col w:w="9140" w:space="720"/>
            <w:col w:w="100" w:space="520"/>
            <w:col w:w="140" w:space="160"/>
            <w:col w:w="80" w:space="440"/>
            <w:col w:w="140"/>
          </w:cols>
          <w:pgMar w:left="240" w:top="972" w:right="219" w:bottom="1440" w:gutter="0" w:footer="0" w:header="0"/>
          <w:type w:val="continuous"/>
        </w:sectPr>
      </w:pPr>
    </w:p>
    <w:p>
      <w:pPr>
        <w:ind w:left="200"/>
        <w:spacing w:after="0" w:line="265" w:lineRule="auto"/>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Group Inc.</w:t>
            </w:r>
          </w:p>
        </w:tc>
        <w:tc>
          <w:tcPr>
            <w:tcW w:w="1720" w:type="dxa"/>
            <w:vAlign w:val="bottom"/>
          </w:tcPr>
          <w:p>
            <w:pPr>
              <w:ind w:left="26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Large Accelerated Filer</w:t>
            </w:r>
          </w:p>
        </w:tc>
        <w:tc>
          <w:tcPr>
            <w:tcW w:w="1780" w:type="dxa"/>
            <w:vAlign w:val="bottom"/>
          </w:tcPr>
          <w:p>
            <w:pPr>
              <w:ind w:left="38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Accelerated Filer</w:t>
            </w:r>
          </w:p>
        </w:tc>
        <w:tc>
          <w:tcPr>
            <w:tcW w:w="1440" w:type="dxa"/>
            <w:vAlign w:val="bottom"/>
          </w:tcPr>
          <w:p>
            <w:pPr>
              <w:ind w:left="10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Non-accelerated Filer</w:t>
            </w:r>
          </w:p>
        </w:tc>
        <w:tc>
          <w:tcPr>
            <w:tcW w:w="2080" w:type="dxa"/>
            <w:vAlign w:val="bottom"/>
          </w:tcPr>
          <w:p>
            <w:pPr>
              <w:ind w:left="36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Smaller Reporting Company</w:t>
            </w:r>
          </w:p>
        </w:tc>
        <w:tc>
          <w:tcPr>
            <w:tcW w:w="1920" w:type="dxa"/>
            <w:vAlign w:val="bottom"/>
          </w:tcPr>
          <w:p>
            <w:pPr>
              <w:ind w:left="44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Emerging Growth Company</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Inc.</w:t>
            </w:r>
          </w:p>
        </w:tc>
        <w:tc>
          <w:tcPr>
            <w:tcW w:w="1720" w:type="dxa"/>
            <w:vAlign w:val="bottom"/>
          </w:tcPr>
          <w:p>
            <w:pPr>
              <w:ind w:left="26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Large Accelerated Filer</w:t>
            </w:r>
          </w:p>
        </w:tc>
        <w:tc>
          <w:tcPr>
            <w:tcW w:w="1780" w:type="dxa"/>
            <w:vAlign w:val="bottom"/>
          </w:tcPr>
          <w:p>
            <w:pPr>
              <w:ind w:left="38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Accelerated Filer</w:t>
            </w:r>
          </w:p>
        </w:tc>
        <w:tc>
          <w:tcPr>
            <w:tcW w:w="1440" w:type="dxa"/>
            <w:vAlign w:val="bottom"/>
          </w:tcPr>
          <w:p>
            <w:pPr>
              <w:ind w:left="10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Non-accelerated Filer</w:t>
            </w:r>
          </w:p>
        </w:tc>
        <w:tc>
          <w:tcPr>
            <w:tcW w:w="2080" w:type="dxa"/>
            <w:vAlign w:val="bottom"/>
          </w:tcPr>
          <w:p>
            <w:pPr>
              <w:ind w:left="36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Smaller Reporting Company</w:t>
            </w:r>
          </w:p>
        </w:tc>
        <w:tc>
          <w:tcPr>
            <w:tcW w:w="1920" w:type="dxa"/>
            <w:vAlign w:val="bottom"/>
          </w:tcPr>
          <w:p>
            <w:pPr>
              <w:ind w:left="440"/>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Emerging Growth Company</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700" w:type="dxa"/>
            <w:vAlign w:val="bottom"/>
            <w:gridSpan w:val="7"/>
          </w:tcPr>
          <w:p>
            <w:pPr>
              <w:ind w:left="200"/>
              <w:spacing w:after="0"/>
              <w:rPr>
                <w:sz w:val="20"/>
                <w:szCs w:val="20"/>
                <w:color w:val="auto"/>
              </w:rPr>
            </w:pPr>
            <w:r>
              <w:rPr>
                <w:rFonts w:ascii="Arial" w:cs="Arial" w:eastAsia="Arial" w:hAnsi="Arial"/>
                <w:sz w:val="9"/>
                <w:szCs w:val="9"/>
                <w:color w:val="auto"/>
              </w:rPr>
              <w:t>If an emerging growth company, indicate by checkmark if the registrant has elected not to use the extended transition period for complying with any new or revised financial accounting standards provided pursuant to Section 13(a) of the Exchange Act.</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Group Inc.</w:t>
            </w: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20" w:type="dxa"/>
            <w:vAlign w:val="bottom"/>
            <w:vMerge w:val="restart"/>
          </w:tcPr>
          <w:p>
            <w:pPr>
              <w:ind w:left="148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Inc.</w:t>
            </w: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20" w:type="dxa"/>
            <w:vAlign w:val="bottom"/>
            <w:vMerge w:val="restart"/>
          </w:tcPr>
          <w:p>
            <w:pPr>
              <w:ind w:left="148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4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980" w:type="dxa"/>
            <w:vAlign w:val="bottom"/>
            <w:gridSpan w:val="3"/>
          </w:tcPr>
          <w:p>
            <w:pPr>
              <w:ind w:left="200"/>
              <w:spacing w:after="0"/>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Group Inc.</w:t>
            </w:r>
          </w:p>
        </w:tc>
        <w:tc>
          <w:tcPr>
            <w:tcW w:w="17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20" w:type="dxa"/>
            <w:vAlign w:val="bottom"/>
          </w:tcPr>
          <w:p>
            <w:pPr>
              <w:ind w:left="136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tcPr>
          <w:p>
            <w:pPr>
              <w:ind w:left="60"/>
              <w:spacing w:after="0"/>
              <w:rPr>
                <w:sz w:val="20"/>
                <w:szCs w:val="20"/>
                <w:color w:val="auto"/>
              </w:rPr>
            </w:pPr>
            <w:r>
              <w:rPr>
                <w:rFonts w:ascii="Arial" w:cs="Arial" w:eastAsia="Arial" w:hAnsi="Arial"/>
                <w:sz w:val="9"/>
                <w:szCs w:val="9"/>
                <w:color w:val="auto"/>
              </w:rPr>
              <w:t>Yes</w:t>
            </w:r>
          </w:p>
        </w:tc>
        <w:tc>
          <w:tcPr>
            <w:tcW w:w="380" w:type="dxa"/>
            <w:vAlign w:val="bottom"/>
          </w:tcPr>
          <w:p>
            <w:pPr>
              <w:ind w:left="80"/>
              <w:spacing w:after="0" w:line="91" w:lineRule="exact"/>
              <w:rPr>
                <w:sz w:val="20"/>
                <w:szCs w:val="20"/>
                <w:color w:val="auto"/>
              </w:rPr>
            </w:pPr>
            <w:r>
              <w:rPr>
                <w:rFonts w:ascii="MS PGothic" w:cs="MS PGothic" w:eastAsia="MS PGothic" w:hAnsi="MS PGothic"/>
                <w:sz w:val="9"/>
                <w:szCs w:val="9"/>
                <w:color w:val="auto"/>
              </w:rPr>
              <w:t>☒</w:t>
            </w:r>
          </w:p>
        </w:tc>
        <w:tc>
          <w:tcPr>
            <w:tcW w:w="340" w:type="dxa"/>
            <w:vAlign w:val="bottom"/>
          </w:tcPr>
          <w:p>
            <w:pPr>
              <w:ind w:left="220"/>
              <w:spacing w:after="0"/>
              <w:rPr>
                <w:sz w:val="20"/>
                <w:szCs w:val="20"/>
                <w:color w:val="auto"/>
              </w:rPr>
            </w:pPr>
            <w:r>
              <w:rPr>
                <w:rFonts w:ascii="Arial" w:cs="Arial" w:eastAsia="Arial" w:hAnsi="Arial"/>
                <w:sz w:val="9"/>
                <w:szCs w:val="9"/>
                <w:color w:val="auto"/>
                <w:w w:val="86"/>
              </w:rPr>
              <w:t>No</w:t>
            </w:r>
          </w:p>
        </w:tc>
        <w:tc>
          <w:tcPr>
            <w:tcW w:w="0" w:type="dxa"/>
            <w:vAlign w:val="bottom"/>
          </w:tcPr>
          <w:p>
            <w:pPr>
              <w:spacing w:after="0"/>
              <w:rPr>
                <w:sz w:val="1"/>
                <w:szCs w:val="1"/>
                <w:color w:val="auto"/>
              </w:rPr>
            </w:pPr>
          </w:p>
        </w:tc>
      </w:tr>
      <w:tr>
        <w:trPr>
          <w:trHeight w:val="142"/>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Inc.</w:t>
            </w: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20" w:type="dxa"/>
            <w:vAlign w:val="bottom"/>
            <w:vMerge w:val="restart"/>
          </w:tcPr>
          <w:p>
            <w:pPr>
              <w:ind w:left="136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vMerge w:val="restart"/>
          </w:tcPr>
          <w:p>
            <w:pPr>
              <w:ind w:left="60"/>
              <w:spacing w:after="0"/>
              <w:rPr>
                <w:sz w:val="20"/>
                <w:szCs w:val="20"/>
                <w:color w:val="auto"/>
              </w:rPr>
            </w:pPr>
            <w:r>
              <w:rPr>
                <w:rFonts w:ascii="Arial" w:cs="Arial" w:eastAsia="Arial" w:hAnsi="Arial"/>
                <w:sz w:val="9"/>
                <w:szCs w:val="9"/>
                <w:color w:val="auto"/>
              </w:rPr>
              <w:t>Yes</w:t>
            </w:r>
          </w:p>
        </w:tc>
        <w:tc>
          <w:tcPr>
            <w:tcW w:w="380" w:type="dxa"/>
            <w:vAlign w:val="bottom"/>
            <w:vMerge w:val="restart"/>
          </w:tcPr>
          <w:p>
            <w:pPr>
              <w:ind w:left="80"/>
              <w:spacing w:after="0" w:line="91" w:lineRule="exact"/>
              <w:rPr>
                <w:sz w:val="20"/>
                <w:szCs w:val="20"/>
                <w:color w:val="auto"/>
              </w:rPr>
            </w:pPr>
            <w:r>
              <w:rPr>
                <w:rFonts w:ascii="MS PGothic" w:cs="MS PGothic" w:eastAsia="MS PGothic" w:hAnsi="MS PGothic"/>
                <w:sz w:val="9"/>
                <w:szCs w:val="9"/>
                <w:color w:val="auto"/>
              </w:rPr>
              <w:t>☒</w:t>
            </w:r>
          </w:p>
        </w:tc>
        <w:tc>
          <w:tcPr>
            <w:tcW w:w="340" w:type="dxa"/>
            <w:vAlign w:val="bottom"/>
            <w:vMerge w:val="restart"/>
          </w:tcPr>
          <w:p>
            <w:pPr>
              <w:ind w:left="220"/>
              <w:spacing w:after="0"/>
              <w:rPr>
                <w:sz w:val="20"/>
                <w:szCs w:val="20"/>
                <w:color w:val="auto"/>
              </w:rPr>
            </w:pPr>
            <w:r>
              <w:rPr>
                <w:rFonts w:ascii="Arial" w:cs="Arial" w:eastAsia="Arial" w:hAnsi="Arial"/>
                <w:sz w:val="9"/>
                <w:szCs w:val="9"/>
                <w:color w:val="auto"/>
                <w:w w:val="86"/>
              </w:rPr>
              <w:t>No</w:t>
            </w:r>
          </w:p>
        </w:tc>
        <w:tc>
          <w:tcPr>
            <w:tcW w:w="0" w:type="dxa"/>
            <w:vAlign w:val="bottom"/>
          </w:tcPr>
          <w:p>
            <w:pPr>
              <w:spacing w:after="0"/>
              <w:rPr>
                <w:sz w:val="1"/>
                <w:szCs w:val="1"/>
                <w:color w:val="auto"/>
              </w:rPr>
            </w:pPr>
          </w:p>
        </w:tc>
      </w:tr>
      <w:tr>
        <w:trPr>
          <w:trHeight w:val="92"/>
        </w:trPr>
        <w:tc>
          <w:tcPr>
            <w:tcW w:w="14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0420" w:type="dxa"/>
            <w:vAlign w:val="bottom"/>
            <w:gridSpan w:val="6"/>
          </w:tcPr>
          <w:p>
            <w:pPr>
              <w:ind w:left="200"/>
              <w:spacing w:after="0"/>
              <w:rPr>
                <w:sz w:val="20"/>
                <w:szCs w:val="20"/>
                <w:color w:val="auto"/>
              </w:rPr>
            </w:pPr>
            <w:r>
              <w:rPr>
                <w:rFonts w:ascii="Arial" w:cs="Arial" w:eastAsia="Arial" w:hAnsi="Arial"/>
                <w:sz w:val="9"/>
                <w:szCs w:val="9"/>
                <w:color w:val="auto"/>
              </w:rPr>
              <w:t>Indicate by check mark whether the registrant has filed all documents and reports required to be filed by Section 12, 13, or 15(d) of the Securities Exchange Act of 1934 subsequent to the distribution of securities under a plan confirmed by a court.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Group Inc.</w:t>
            </w:r>
          </w:p>
        </w:tc>
        <w:tc>
          <w:tcPr>
            <w:tcW w:w="17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20" w:type="dxa"/>
            <w:vAlign w:val="bottom"/>
          </w:tcPr>
          <w:p>
            <w:pPr>
              <w:ind w:left="136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tcPr>
          <w:p>
            <w:pPr>
              <w:ind w:left="60"/>
              <w:spacing w:after="0"/>
              <w:rPr>
                <w:sz w:val="20"/>
                <w:szCs w:val="20"/>
                <w:color w:val="auto"/>
              </w:rPr>
            </w:pPr>
            <w:r>
              <w:rPr>
                <w:rFonts w:ascii="Arial" w:cs="Arial" w:eastAsia="Arial" w:hAnsi="Arial"/>
                <w:sz w:val="9"/>
                <w:szCs w:val="9"/>
                <w:color w:val="auto"/>
              </w:rPr>
              <w:t>Yes</w:t>
            </w:r>
          </w:p>
        </w:tc>
        <w:tc>
          <w:tcPr>
            <w:tcW w:w="380" w:type="dxa"/>
            <w:vAlign w:val="bottom"/>
          </w:tcPr>
          <w:p>
            <w:pPr>
              <w:ind w:left="80"/>
              <w:spacing w:after="0" w:line="91" w:lineRule="exact"/>
              <w:rPr>
                <w:sz w:val="20"/>
                <w:szCs w:val="20"/>
                <w:color w:val="auto"/>
              </w:rPr>
            </w:pPr>
            <w:r>
              <w:rPr>
                <w:rFonts w:ascii="MS PGothic" w:cs="MS PGothic" w:eastAsia="MS PGothic" w:hAnsi="MS PGothic"/>
                <w:sz w:val="9"/>
                <w:szCs w:val="9"/>
                <w:color w:val="auto"/>
              </w:rPr>
              <w:t>☐</w:t>
            </w:r>
          </w:p>
        </w:tc>
        <w:tc>
          <w:tcPr>
            <w:tcW w:w="340" w:type="dxa"/>
            <w:vAlign w:val="bottom"/>
          </w:tcPr>
          <w:p>
            <w:pPr>
              <w:ind w:left="220"/>
              <w:spacing w:after="0"/>
              <w:rPr>
                <w:sz w:val="20"/>
                <w:szCs w:val="20"/>
                <w:color w:val="auto"/>
              </w:rPr>
            </w:pPr>
            <w:r>
              <w:rPr>
                <w:rFonts w:ascii="Arial" w:cs="Arial" w:eastAsia="Arial" w:hAnsi="Arial"/>
                <w:sz w:val="9"/>
                <w:szCs w:val="9"/>
                <w:color w:val="auto"/>
                <w:w w:val="86"/>
              </w:rPr>
              <w:t>No</w:t>
            </w:r>
          </w:p>
        </w:tc>
        <w:tc>
          <w:tcPr>
            <w:tcW w:w="0" w:type="dxa"/>
            <w:vAlign w:val="bottom"/>
          </w:tcPr>
          <w:p>
            <w:pPr>
              <w:spacing w:after="0"/>
              <w:rPr>
                <w:sz w:val="1"/>
                <w:szCs w:val="1"/>
                <w:color w:val="auto"/>
              </w:rPr>
            </w:pPr>
          </w:p>
        </w:tc>
      </w:tr>
      <w:tr>
        <w:trPr>
          <w:trHeight w:val="152"/>
        </w:trPr>
        <w:tc>
          <w:tcPr>
            <w:tcW w:w="1480" w:type="dxa"/>
            <w:vAlign w:val="bottom"/>
          </w:tcPr>
          <w:p>
            <w:pPr>
              <w:ind w:left="20"/>
              <w:spacing w:after="0"/>
              <w:rPr>
                <w:sz w:val="20"/>
                <w:szCs w:val="20"/>
                <w:color w:val="auto"/>
              </w:rPr>
            </w:pPr>
            <w:r>
              <w:rPr>
                <w:rFonts w:ascii="Arial" w:cs="Arial" w:eastAsia="Arial" w:hAnsi="Arial"/>
                <w:sz w:val="9"/>
                <w:szCs w:val="9"/>
                <w:color w:val="auto"/>
              </w:rPr>
              <w:t>American Airlines, Inc.</w:t>
            </w:r>
          </w:p>
        </w:tc>
        <w:tc>
          <w:tcPr>
            <w:tcW w:w="17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20" w:type="dxa"/>
            <w:vAlign w:val="bottom"/>
          </w:tcPr>
          <w:p>
            <w:pPr>
              <w:ind w:left="1360"/>
              <w:spacing w:after="0" w:line="91" w:lineRule="exact"/>
              <w:rPr>
                <w:sz w:val="20"/>
                <w:szCs w:val="20"/>
                <w:color w:val="auto"/>
              </w:rPr>
            </w:pPr>
            <w:r>
              <w:rPr>
                <w:rFonts w:ascii="MS PGothic" w:cs="MS PGothic" w:eastAsia="MS PGothic" w:hAnsi="MS PGothic"/>
                <w:sz w:val="9"/>
                <w:szCs w:val="9"/>
                <w:color w:val="auto"/>
              </w:rPr>
              <w:t>☒</w:t>
            </w:r>
          </w:p>
        </w:tc>
        <w:tc>
          <w:tcPr>
            <w:tcW w:w="280" w:type="dxa"/>
            <w:vAlign w:val="bottom"/>
          </w:tcPr>
          <w:p>
            <w:pPr>
              <w:ind w:left="60"/>
              <w:spacing w:after="0"/>
              <w:rPr>
                <w:sz w:val="20"/>
                <w:szCs w:val="20"/>
                <w:color w:val="auto"/>
              </w:rPr>
            </w:pPr>
            <w:r>
              <w:rPr>
                <w:rFonts w:ascii="Arial" w:cs="Arial" w:eastAsia="Arial" w:hAnsi="Arial"/>
                <w:sz w:val="9"/>
                <w:szCs w:val="9"/>
                <w:color w:val="auto"/>
              </w:rPr>
              <w:t>Yes</w:t>
            </w:r>
          </w:p>
        </w:tc>
        <w:tc>
          <w:tcPr>
            <w:tcW w:w="380" w:type="dxa"/>
            <w:vAlign w:val="bottom"/>
          </w:tcPr>
          <w:p>
            <w:pPr>
              <w:ind w:left="80"/>
              <w:spacing w:after="0" w:line="91" w:lineRule="exact"/>
              <w:rPr>
                <w:sz w:val="20"/>
                <w:szCs w:val="20"/>
                <w:color w:val="auto"/>
              </w:rPr>
            </w:pPr>
            <w:r>
              <w:rPr>
                <w:rFonts w:ascii="MS PGothic" w:cs="MS PGothic" w:eastAsia="MS PGothic" w:hAnsi="MS PGothic"/>
                <w:sz w:val="9"/>
                <w:szCs w:val="9"/>
                <w:color w:val="auto"/>
              </w:rPr>
              <w:t>☐</w:t>
            </w:r>
          </w:p>
        </w:tc>
        <w:tc>
          <w:tcPr>
            <w:tcW w:w="340" w:type="dxa"/>
            <w:vAlign w:val="bottom"/>
          </w:tcPr>
          <w:p>
            <w:pPr>
              <w:ind w:left="220"/>
              <w:spacing w:after="0"/>
              <w:rPr>
                <w:sz w:val="20"/>
                <w:szCs w:val="20"/>
                <w:color w:val="auto"/>
              </w:rPr>
            </w:pPr>
            <w:r>
              <w:rPr>
                <w:rFonts w:ascii="Arial" w:cs="Arial" w:eastAsia="Arial" w:hAnsi="Arial"/>
                <w:sz w:val="9"/>
                <w:szCs w:val="9"/>
                <w:color w:val="auto"/>
                <w:w w:val="86"/>
              </w:rPr>
              <w:t>No</w:t>
            </w:r>
          </w:p>
        </w:tc>
        <w:tc>
          <w:tcPr>
            <w:tcW w:w="0" w:type="dxa"/>
            <w:vAlign w:val="bottom"/>
          </w:tcPr>
          <w:p>
            <w:pPr>
              <w:spacing w:after="0"/>
              <w:rPr>
                <w:sz w:val="1"/>
                <w:szCs w:val="1"/>
                <w:color w:val="auto"/>
              </w:rPr>
            </w:pPr>
          </w:p>
        </w:tc>
      </w:tr>
      <w:tr>
        <w:trPr>
          <w:trHeight w:val="165"/>
        </w:trPr>
        <w:tc>
          <w:tcPr>
            <w:tcW w:w="4980" w:type="dxa"/>
            <w:vAlign w:val="bottom"/>
            <w:gridSpan w:val="3"/>
          </w:tcPr>
          <w:p>
            <w:pPr>
              <w:spacing w:after="0"/>
              <w:rPr>
                <w:sz w:val="20"/>
                <w:szCs w:val="20"/>
                <w:color w:val="auto"/>
              </w:rPr>
            </w:pPr>
            <w:r>
              <w:rPr>
                <w:rFonts w:ascii="Arial" w:cs="Arial" w:eastAsia="Arial" w:hAnsi="Arial"/>
                <w:sz w:val="9"/>
                <w:szCs w:val="9"/>
                <w:color w:val="auto"/>
              </w:rPr>
              <w:t>As of July 20, 2018, there were 460,509,216 shares of American Airlines Group Inc. common stock outstanding.</w:t>
            </w: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spacing w:after="0"/>
        <w:rPr>
          <w:sz w:val="20"/>
          <w:szCs w:val="20"/>
          <w:color w:val="auto"/>
        </w:rPr>
      </w:pPr>
      <w:r>
        <w:rPr>
          <w:rFonts w:ascii="Arial" w:cs="Arial" w:eastAsia="Arial" w:hAnsi="Arial"/>
          <w:sz w:val="9"/>
          <w:szCs w:val="9"/>
          <w:color w:val="auto"/>
        </w:rPr>
        <w:t>As of July 20, 2018,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65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5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ectPr>
          <w:pgSz w:w="11900" w:h="16838" w:orient="portrait"/>
          <w:cols w:equalWidth="0" w:num="1">
            <w:col w:w="11440"/>
          </w:cols>
          <w:pgMar w:left="240" w:top="972"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Quarterly Period Ended June 30, 2018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34" w:lineRule="exact"/>
        <w:rPr>
          <w:sz w:val="20"/>
          <w:szCs w:val="20"/>
          <w:color w:val="auto"/>
        </w:rPr>
      </w:pPr>
    </w:p>
    <w:p>
      <w:pPr>
        <w:jc w:val="right"/>
        <w:ind w:right="12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22860</wp:posOffset>
            </wp:positionV>
            <wp:extent cx="3568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870" cy="762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ectPr>
          <w:pgSz w:w="11900" w:h="16838" w:orient="portrait"/>
          <w:cols w:equalWidth="0" w:num="1">
            <w:col w:w="11400"/>
          </w:cols>
          <w:pgMar w:left="260" w:top="518" w:right="2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20"/>
                <w:szCs w:val="20"/>
                <w:color w:val="auto"/>
              </w:rPr>
            </w:pPr>
            <w:r>
              <w:rPr>
                <w:rFonts w:ascii="Arial" w:cs="Arial" w:eastAsia="Arial" w:hAnsi="Arial"/>
                <w:sz w:val="16"/>
                <w:szCs w:val="16"/>
                <w:color w:val="auto"/>
              </w:rPr>
              <w:t>Item 1A.</w:t>
            </w:r>
          </w:p>
        </w:tc>
        <w:tc>
          <w:tcPr>
            <w:tcW w:w="6120" w:type="dxa"/>
            <w:vAlign w:val="bottom"/>
            <w:gridSpan w:val="1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Financial Statements of American Airlines Group Inc.</w:t>
              </w:r>
            </w:hyperlink>
          </w:p>
        </w:tc>
      </w:tr>
      <w:tr>
        <w:trPr>
          <w:trHeight w:val="202"/>
        </w:trPr>
        <w:tc>
          <w:tcPr>
            <w:tcW w:w="17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6"/>
              </w:rPr>
            </w:pPr>
            <w:hyperlink w:anchor="page5">
              <w:r>
                <w:rPr>
                  <w:rFonts w:ascii="Arial" w:cs="Arial" w:eastAsia="Arial" w:hAnsi="Arial"/>
                  <w:sz w:val="16"/>
                  <w:szCs w:val="16"/>
                  <w:color w:val="0000EE"/>
                  <w:w w:val="96"/>
                </w:rPr>
                <w:t>Condensed Consolidated Statements of Operations</w:t>
              </w:r>
            </w:hyperlink>
          </w:p>
        </w:tc>
        <w:tc>
          <w:tcPr>
            <w:tcW w:w="1880" w:type="dxa"/>
            <w:vAlign w:val="bottom"/>
            <w:tcBorders>
              <w:top w:val="single" w:sz="8" w:color="0000EE"/>
            </w:tcBorders>
            <w:gridSpan w:val="6"/>
          </w:tcPr>
          <w:p>
            <w:pPr>
              <w:spacing w:after="0"/>
              <w:rPr>
                <w:sz w:val="17"/>
                <w:szCs w:val="17"/>
                <w:color w:val="auto"/>
              </w:rPr>
            </w:pPr>
          </w:p>
        </w:tc>
        <w:tc>
          <w:tcPr>
            <w:tcW w:w="680" w:type="dxa"/>
            <w:vAlign w:val="bottom"/>
          </w:tcPr>
          <w:p>
            <w:pPr>
              <w:spacing w:after="0"/>
              <w:rPr>
                <w:sz w:val="17"/>
                <w:szCs w:val="17"/>
                <w:color w:val="auto"/>
              </w:rPr>
            </w:pPr>
          </w:p>
        </w:tc>
      </w:tr>
      <w:tr>
        <w:trPr>
          <w:trHeight w:val="214"/>
        </w:trPr>
        <w:tc>
          <w:tcPr>
            <w:tcW w:w="1720" w:type="dxa"/>
            <w:vAlign w:val="bottom"/>
          </w:tcPr>
          <w:p>
            <w:pPr>
              <w:spacing w:after="0"/>
              <w:rPr>
                <w:sz w:val="18"/>
                <w:szCs w:val="18"/>
                <w:color w:val="auto"/>
              </w:rPr>
            </w:pPr>
          </w:p>
        </w:tc>
        <w:tc>
          <w:tcPr>
            <w:tcW w:w="6120" w:type="dxa"/>
            <w:vAlign w:val="bottom"/>
            <w:gridSpan w:val="1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Income</w:t>
              </w:r>
            </w:hyperlink>
          </w:p>
        </w:tc>
      </w:tr>
      <w:tr>
        <w:trPr>
          <w:trHeight w:val="214"/>
        </w:trPr>
        <w:tc>
          <w:tcPr>
            <w:tcW w:w="1720" w:type="dxa"/>
            <w:vAlign w:val="bottom"/>
          </w:tcPr>
          <w:p>
            <w:pPr>
              <w:spacing w:after="0"/>
              <w:rPr>
                <w:sz w:val="18"/>
                <w:szCs w:val="18"/>
                <w:color w:val="auto"/>
              </w:rPr>
            </w:pPr>
          </w:p>
        </w:tc>
        <w:tc>
          <w:tcPr>
            <w:tcW w:w="4440" w:type="dxa"/>
            <w:vAlign w:val="bottom"/>
            <w:tcBorders>
              <w:top w:val="single" w:sz="8" w:color="0000EE"/>
            </w:tcBorders>
            <w:gridSpan w:val="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Balance Sheets</w:t>
              </w:r>
            </w:hyperlink>
          </w:p>
        </w:tc>
        <w:tc>
          <w:tcPr>
            <w:tcW w:w="1680" w:type="dxa"/>
            <w:vAlign w:val="bottom"/>
            <w:gridSpan w:val="3"/>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14"/>
        </w:trPr>
        <w:tc>
          <w:tcPr>
            <w:tcW w:w="1720" w:type="dxa"/>
            <w:vAlign w:val="bottom"/>
          </w:tcPr>
          <w:p>
            <w:pPr>
              <w:spacing w:after="0"/>
              <w:rPr>
                <w:sz w:val="18"/>
                <w:szCs w:val="18"/>
                <w:color w:val="auto"/>
              </w:rPr>
            </w:pPr>
          </w:p>
        </w:tc>
        <w:tc>
          <w:tcPr>
            <w:tcW w:w="3620" w:type="dxa"/>
            <w:vAlign w:val="bottom"/>
            <w:tcBorders>
              <w:bottom w:val="single" w:sz="8" w:color="0000EE"/>
            </w:tcBorders>
            <w:gridSpan w:val="4"/>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Condensed Consolidated Statements of Cash Flows</w:t>
              </w:r>
            </w:hyperlink>
          </w:p>
        </w:tc>
        <w:tc>
          <w:tcPr>
            <w:tcW w:w="2500" w:type="dxa"/>
            <w:vAlign w:val="bottom"/>
            <w:gridSpan w:val="6"/>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4140" w:type="dxa"/>
            <w:vAlign w:val="bottom"/>
            <w:tcBorders>
              <w:bottom w:val="single" w:sz="8" w:color="0000EE"/>
            </w:tcBorders>
            <w:gridSpan w:val="6"/>
          </w:tcPr>
          <w:p>
            <w:pPr>
              <w:spacing w:after="0"/>
              <w:rPr>
                <w:rFonts w:ascii="Arial" w:cs="Arial" w:eastAsia="Arial" w:hAnsi="Arial"/>
                <w:sz w:val="16"/>
                <w:szCs w:val="16"/>
                <w:color w:val="0000EE"/>
                <w:w w:val="97"/>
              </w:rPr>
            </w:pPr>
            <w:hyperlink w:anchor="page9">
              <w:r>
                <w:rPr>
                  <w:rFonts w:ascii="Arial" w:cs="Arial" w:eastAsia="Arial" w:hAnsi="Arial"/>
                  <w:sz w:val="16"/>
                  <w:szCs w:val="16"/>
                  <w:color w:val="0000EE"/>
                  <w:w w:val="97"/>
                </w:rPr>
                <w:t>Notes to the Condensed Consolidated Financial Statements</w:t>
              </w:r>
            </w:hyperlink>
          </w:p>
        </w:tc>
        <w:tc>
          <w:tcPr>
            <w:tcW w:w="1980" w:type="dxa"/>
            <w:vAlign w:val="bottom"/>
            <w:gridSpan w:val="4"/>
          </w:tcPr>
          <w:p>
            <w:pPr>
              <w:spacing w:after="0"/>
              <w:rPr>
                <w:sz w:val="18"/>
                <w:szCs w:val="18"/>
                <w:color w:val="auto"/>
              </w:rPr>
            </w:pPr>
          </w:p>
        </w:tc>
      </w:tr>
      <w:tr>
        <w:trPr>
          <w:trHeight w:val="214"/>
        </w:trPr>
        <w:tc>
          <w:tcPr>
            <w:tcW w:w="1720" w:type="dxa"/>
            <w:vAlign w:val="bottom"/>
          </w:tcPr>
          <w:p>
            <w:pPr>
              <w:spacing w:after="0"/>
              <w:rPr>
                <w:sz w:val="20"/>
                <w:szCs w:val="20"/>
                <w:color w:val="auto"/>
              </w:rPr>
            </w:pPr>
            <w:r>
              <w:rPr>
                <w:rFonts w:ascii="Arial" w:cs="Arial" w:eastAsia="Arial" w:hAnsi="Arial"/>
                <w:sz w:val="16"/>
                <w:szCs w:val="16"/>
                <w:color w:val="auto"/>
              </w:rPr>
              <w:t>Item 1B.</w:t>
            </w:r>
          </w:p>
        </w:tc>
        <w:tc>
          <w:tcPr>
            <w:tcW w:w="5020" w:type="dxa"/>
            <w:vAlign w:val="bottom"/>
            <w:tcBorders>
              <w:bottom w:val="single" w:sz="8" w:color="0000EE"/>
            </w:tcBorders>
            <w:gridSpan w:val="8"/>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Condensed Consolidated Financial Statements of American Airlines, Inc.</w:t>
              </w:r>
            </w:hyperlink>
          </w:p>
        </w:tc>
        <w:tc>
          <w:tcPr>
            <w:tcW w:w="1100" w:type="dxa"/>
            <w:vAlign w:val="bottom"/>
            <w:gridSpan w:val="2"/>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356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24">
              <w:r>
                <w:rPr>
                  <w:rFonts w:ascii="Arial" w:cs="Arial" w:eastAsia="Arial" w:hAnsi="Arial"/>
                  <w:sz w:val="16"/>
                  <w:szCs w:val="16"/>
                  <w:color w:val="0000EE"/>
                  <w:w w:val="96"/>
                </w:rPr>
                <w:t>Condensed Consolidated Statements of Operations</w:t>
              </w:r>
            </w:hyperlink>
          </w:p>
        </w:tc>
        <w:tc>
          <w:tcPr>
            <w:tcW w:w="2560" w:type="dxa"/>
            <w:vAlign w:val="bottom"/>
            <w:gridSpan w:val="7"/>
          </w:tcPr>
          <w:p>
            <w:pPr>
              <w:spacing w:after="0"/>
              <w:rPr>
                <w:sz w:val="17"/>
                <w:szCs w:val="17"/>
                <w:color w:val="auto"/>
              </w:rPr>
            </w:pPr>
          </w:p>
        </w:tc>
      </w:tr>
      <w:tr>
        <w:trPr>
          <w:trHeight w:val="214"/>
        </w:trPr>
        <w:tc>
          <w:tcPr>
            <w:tcW w:w="1720" w:type="dxa"/>
            <w:vAlign w:val="bottom"/>
          </w:tcPr>
          <w:p>
            <w:pPr>
              <w:spacing w:after="0"/>
              <w:rPr>
                <w:sz w:val="18"/>
                <w:szCs w:val="18"/>
                <w:color w:val="auto"/>
              </w:rPr>
            </w:pPr>
          </w:p>
        </w:tc>
        <w:tc>
          <w:tcPr>
            <w:tcW w:w="6120" w:type="dxa"/>
            <w:vAlign w:val="bottom"/>
            <w:gridSpan w:val="10"/>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Condensed Consolidated Statements of Comprehensive Income</w:t>
              </w:r>
            </w:hyperlink>
          </w:p>
        </w:tc>
      </w:tr>
      <w:tr>
        <w:trPr>
          <w:trHeight w:val="214"/>
        </w:trPr>
        <w:tc>
          <w:tcPr>
            <w:tcW w:w="1720" w:type="dxa"/>
            <w:vAlign w:val="bottom"/>
          </w:tcPr>
          <w:p>
            <w:pPr>
              <w:spacing w:after="0"/>
              <w:rPr>
                <w:sz w:val="18"/>
                <w:szCs w:val="18"/>
                <w:color w:val="auto"/>
              </w:rPr>
            </w:pPr>
          </w:p>
        </w:tc>
        <w:tc>
          <w:tcPr>
            <w:tcW w:w="4440" w:type="dxa"/>
            <w:vAlign w:val="bottom"/>
            <w:tcBorders>
              <w:top w:val="single" w:sz="8" w:color="0000EE"/>
            </w:tcBorders>
            <w:gridSpan w:val="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Condensed Consolidated Balance Sheets</w:t>
              </w:r>
            </w:hyperlink>
          </w:p>
        </w:tc>
        <w:tc>
          <w:tcPr>
            <w:tcW w:w="1680" w:type="dxa"/>
            <w:vAlign w:val="bottom"/>
            <w:gridSpan w:val="3"/>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r>
      <w:tr>
        <w:trPr>
          <w:trHeight w:val="214"/>
        </w:trPr>
        <w:tc>
          <w:tcPr>
            <w:tcW w:w="1720" w:type="dxa"/>
            <w:vAlign w:val="bottom"/>
          </w:tcPr>
          <w:p>
            <w:pPr>
              <w:spacing w:after="0"/>
              <w:rPr>
                <w:sz w:val="18"/>
                <w:szCs w:val="18"/>
                <w:color w:val="auto"/>
              </w:rPr>
            </w:pPr>
          </w:p>
        </w:tc>
        <w:tc>
          <w:tcPr>
            <w:tcW w:w="3620" w:type="dxa"/>
            <w:vAlign w:val="bottom"/>
            <w:tcBorders>
              <w:bottom w:val="single" w:sz="8" w:color="0000EE"/>
            </w:tcBorders>
            <w:gridSpan w:val="4"/>
          </w:tcPr>
          <w:p>
            <w:pPr>
              <w:spacing w:after="0"/>
              <w:rPr>
                <w:rFonts w:ascii="Arial" w:cs="Arial" w:eastAsia="Arial" w:hAnsi="Arial"/>
                <w:sz w:val="16"/>
                <w:szCs w:val="16"/>
                <w:color w:val="0000EE"/>
                <w:w w:val="97"/>
              </w:rPr>
            </w:pPr>
            <w:hyperlink w:anchor="page27">
              <w:r>
                <w:rPr>
                  <w:rFonts w:ascii="Arial" w:cs="Arial" w:eastAsia="Arial" w:hAnsi="Arial"/>
                  <w:sz w:val="16"/>
                  <w:szCs w:val="16"/>
                  <w:color w:val="0000EE"/>
                  <w:w w:val="97"/>
                </w:rPr>
                <w:t>Condensed Consolidated Statements of Cash Flows</w:t>
              </w:r>
            </w:hyperlink>
          </w:p>
        </w:tc>
        <w:tc>
          <w:tcPr>
            <w:tcW w:w="2500" w:type="dxa"/>
            <w:vAlign w:val="bottom"/>
            <w:gridSpan w:val="6"/>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4140" w:type="dxa"/>
            <w:vAlign w:val="bottom"/>
            <w:tcBorders>
              <w:bottom w:val="single" w:sz="8" w:color="0000EE"/>
            </w:tcBorders>
            <w:gridSpan w:val="6"/>
          </w:tcPr>
          <w:p>
            <w:pPr>
              <w:spacing w:after="0"/>
              <w:rPr>
                <w:rFonts w:ascii="Arial" w:cs="Arial" w:eastAsia="Arial" w:hAnsi="Arial"/>
                <w:sz w:val="16"/>
                <w:szCs w:val="16"/>
                <w:color w:val="0000EE"/>
                <w:w w:val="97"/>
              </w:rPr>
            </w:pPr>
            <w:hyperlink w:anchor="page28">
              <w:r>
                <w:rPr>
                  <w:rFonts w:ascii="Arial" w:cs="Arial" w:eastAsia="Arial" w:hAnsi="Arial"/>
                  <w:sz w:val="16"/>
                  <w:szCs w:val="16"/>
                  <w:color w:val="0000EE"/>
                  <w:w w:val="97"/>
                </w:rPr>
                <w:t>Notes to the Condensed Consolidated Financial Statements</w:t>
              </w:r>
            </w:hyperlink>
          </w:p>
        </w:tc>
        <w:tc>
          <w:tcPr>
            <w:tcW w:w="1980" w:type="dxa"/>
            <w:vAlign w:val="bottom"/>
            <w:gridSpan w:val="4"/>
          </w:tcPr>
          <w:p>
            <w:pPr>
              <w:spacing w:after="0"/>
              <w:rPr>
                <w:sz w:val="18"/>
                <w:szCs w:val="18"/>
                <w:color w:val="auto"/>
              </w:rPr>
            </w:pPr>
          </w:p>
        </w:tc>
      </w:tr>
      <w:tr>
        <w:trPr>
          <w:trHeight w:val="214"/>
        </w:trPr>
        <w:tc>
          <w:tcPr>
            <w:tcW w:w="1720" w:type="dxa"/>
            <w:vAlign w:val="bottom"/>
          </w:tcPr>
          <w:p>
            <w:pPr>
              <w:spacing w:after="0"/>
              <w:rPr>
                <w:sz w:val="20"/>
                <w:szCs w:val="20"/>
                <w:color w:val="auto"/>
              </w:rPr>
            </w:pPr>
            <w:r>
              <w:rPr>
                <w:rFonts w:ascii="Arial" w:cs="Arial" w:eastAsia="Arial" w:hAnsi="Arial"/>
                <w:sz w:val="16"/>
                <w:szCs w:val="16"/>
                <w:color w:val="auto"/>
              </w:rPr>
              <w:t>Item 2.</w:t>
            </w:r>
          </w:p>
        </w:tc>
        <w:tc>
          <w:tcPr>
            <w:tcW w:w="6120" w:type="dxa"/>
            <w:vAlign w:val="bottom"/>
            <w:tcBorders>
              <w:bottom w:val="single" w:sz="8" w:color="0000EE"/>
            </w:tcBorders>
            <w:gridSpan w:val="10"/>
          </w:tcPr>
          <w:p>
            <w:pPr>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Management’s Discussion and Analysis of Financial Condition and Results of Operations</w:t>
              </w:r>
            </w:hyperlink>
          </w:p>
        </w:tc>
      </w:tr>
      <w:tr>
        <w:trPr>
          <w:trHeight w:val="202"/>
        </w:trPr>
        <w:tc>
          <w:tcPr>
            <w:tcW w:w="1720" w:type="dxa"/>
            <w:vAlign w:val="bottom"/>
          </w:tcPr>
          <w:p>
            <w:pPr>
              <w:spacing w:after="0"/>
              <w:rPr>
                <w:sz w:val="20"/>
                <w:szCs w:val="20"/>
                <w:color w:val="auto"/>
              </w:rPr>
            </w:pPr>
            <w:r>
              <w:rPr>
                <w:rFonts w:ascii="Arial" w:cs="Arial" w:eastAsia="Arial" w:hAnsi="Arial"/>
                <w:sz w:val="16"/>
                <w:szCs w:val="16"/>
                <w:color w:val="auto"/>
              </w:rPr>
              <w:t>Item 3.</w:t>
            </w:r>
          </w:p>
        </w:tc>
        <w:tc>
          <w:tcPr>
            <w:tcW w:w="4080" w:type="dxa"/>
            <w:vAlign w:val="bottom"/>
            <w:tcBorders>
              <w:bottom w:val="single" w:sz="8" w:color="0000EE"/>
            </w:tcBorders>
            <w:gridSpan w:val="5"/>
          </w:tcPr>
          <w:p>
            <w:pPr>
              <w:spacing w:after="0"/>
              <w:rPr>
                <w:rFonts w:ascii="Arial" w:cs="Arial" w:eastAsia="Arial" w:hAnsi="Arial"/>
                <w:sz w:val="16"/>
                <w:szCs w:val="16"/>
                <w:color w:val="0000EE"/>
                <w:w w:val="96"/>
              </w:rPr>
            </w:pPr>
            <w:hyperlink w:anchor="page72">
              <w:r>
                <w:rPr>
                  <w:rFonts w:ascii="Arial" w:cs="Arial" w:eastAsia="Arial" w:hAnsi="Arial"/>
                  <w:sz w:val="16"/>
                  <w:szCs w:val="16"/>
                  <w:color w:val="0000EE"/>
                  <w:w w:val="96"/>
                </w:rPr>
                <w:t>Quantitative and Qualitative Disclosures About Market Risk</w:t>
              </w:r>
            </w:hyperlink>
          </w:p>
        </w:tc>
        <w:tc>
          <w:tcPr>
            <w:tcW w:w="2040" w:type="dxa"/>
            <w:vAlign w:val="bottom"/>
            <w:gridSpan w:val="5"/>
          </w:tcPr>
          <w:p>
            <w:pPr>
              <w:spacing w:after="0"/>
              <w:rPr>
                <w:sz w:val="17"/>
                <w:szCs w:val="17"/>
                <w:color w:val="auto"/>
              </w:rPr>
            </w:pPr>
          </w:p>
        </w:tc>
      </w:tr>
      <w:tr>
        <w:trPr>
          <w:trHeight w:val="202"/>
        </w:trPr>
        <w:tc>
          <w:tcPr>
            <w:tcW w:w="1720" w:type="dxa"/>
            <w:vAlign w:val="bottom"/>
          </w:tcPr>
          <w:p>
            <w:pPr>
              <w:spacing w:after="0"/>
              <w:rPr>
                <w:sz w:val="20"/>
                <w:szCs w:val="20"/>
                <w:color w:val="auto"/>
              </w:rPr>
            </w:pPr>
            <w:r>
              <w:rPr>
                <w:rFonts w:ascii="Arial" w:cs="Arial" w:eastAsia="Arial" w:hAnsi="Arial"/>
                <w:sz w:val="16"/>
                <w:szCs w:val="16"/>
                <w:color w:val="auto"/>
              </w:rPr>
              <w:t>Item 4.</w:t>
            </w:r>
          </w:p>
        </w:tc>
        <w:tc>
          <w:tcPr>
            <w:tcW w:w="6120" w:type="dxa"/>
            <w:vAlign w:val="bottom"/>
            <w:gridSpan w:val="10"/>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Controls and Procedures</w:t>
              </w:r>
            </w:hyperlink>
          </w:p>
        </w:tc>
      </w:tr>
      <w:tr>
        <w:trPr>
          <w:trHeight w:val="237"/>
        </w:trPr>
        <w:tc>
          <w:tcPr>
            <w:tcW w:w="1720" w:type="dxa"/>
            <w:vAlign w:val="bottom"/>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440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OTHER INFORMATION</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5</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6</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7</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8</w:t>
        </w:r>
      </w:hyperlink>
    </w:p>
    <w:p>
      <w:pPr>
        <w:spacing w:after="0" w:line="38" w:lineRule="exact"/>
        <w:rPr>
          <w:sz w:val="20"/>
          <w:szCs w:val="20"/>
          <w:color w:val="auto"/>
        </w:rPr>
      </w:pPr>
    </w:p>
    <w:p>
      <w:pPr>
        <w:jc w:val="right"/>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23</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23</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24</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25</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26</w:t>
        </w:r>
      </w:hyperlink>
    </w:p>
    <w:p>
      <w:pPr>
        <w:spacing w:after="0" w:line="50" w:lineRule="exact"/>
        <w:rPr>
          <w:sz w:val="20"/>
          <w:szCs w:val="20"/>
          <w:color w:val="auto"/>
        </w:rPr>
      </w:pPr>
    </w:p>
    <w:p>
      <w:pPr>
        <w:jc w:val="right"/>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27</w:t>
        </w:r>
      </w:hyperlink>
    </w:p>
    <w:p>
      <w:pPr>
        <w:spacing w:after="0" w:line="38" w:lineRule="exact"/>
        <w:rPr>
          <w:sz w:val="20"/>
          <w:szCs w:val="20"/>
          <w:color w:val="auto"/>
        </w:rPr>
      </w:pPr>
    </w:p>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42</w:t>
        </w:r>
      </w:hyperlink>
    </w:p>
    <w:p>
      <w:pPr>
        <w:spacing w:after="0" w:line="38" w:lineRule="exact"/>
        <w:rPr>
          <w:sz w:val="20"/>
          <w:szCs w:val="20"/>
          <w:color w:val="auto"/>
        </w:rPr>
      </w:pPr>
    </w:p>
    <w:p>
      <w:pPr>
        <w:jc w:val="right"/>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71</w:t>
        </w:r>
      </w:hyperlink>
    </w:p>
    <w:p>
      <w:pPr>
        <w:spacing w:after="0" w:line="38" w:lineRule="exact"/>
        <w:rPr>
          <w:sz w:val="20"/>
          <w:szCs w:val="20"/>
          <w:color w:val="auto"/>
        </w:rPr>
      </w:pPr>
    </w:p>
    <w:p>
      <w:pPr>
        <w:jc w:val="right"/>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72</w:t>
        </w:r>
      </w:hyperlink>
    </w:p>
    <w:p>
      <w:pPr>
        <w:spacing w:after="0" w:line="229" w:lineRule="exact"/>
        <w:rPr>
          <w:sz w:val="20"/>
          <w:szCs w:val="20"/>
          <w:color w:val="auto"/>
        </w:rPr>
      </w:pPr>
    </w:p>
    <w:p>
      <w:pPr>
        <w:sectPr>
          <w:pgSz w:w="11900" w:h="16838" w:orient="portrait"/>
          <w:cols w:equalWidth="0" w:num="2">
            <w:col w:w="10500" w:space="720"/>
            <w:col w:w="180"/>
          </w:cols>
          <w:pgMar w:left="260" w:top="518" w:right="2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7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500" w:type="dxa"/>
            <w:vAlign w:val="bottom"/>
            <w:gridSpan w:val="5"/>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Legal Proceedings</w:t>
              </w:r>
            </w:hyperlink>
          </w:p>
        </w:tc>
        <w:tc>
          <w:tcPr>
            <w:tcW w:w="180" w:type="dxa"/>
            <w:vAlign w:val="bottom"/>
          </w:tcPr>
          <w:p>
            <w:pPr>
              <w:jc w:val="right"/>
              <w:spacing w:after="0"/>
              <w:rPr>
                <w:rFonts w:ascii="Arial" w:cs="Arial" w:eastAsia="Arial" w:hAnsi="Arial"/>
                <w:sz w:val="16"/>
                <w:szCs w:val="16"/>
                <w:color w:val="0000EE"/>
                <w:w w:val="89"/>
              </w:rPr>
            </w:pPr>
            <w:hyperlink w:anchor="page74">
              <w:r>
                <w:rPr>
                  <w:rFonts w:ascii="Arial" w:cs="Arial" w:eastAsia="Arial" w:hAnsi="Arial"/>
                  <w:sz w:val="16"/>
                  <w:szCs w:val="16"/>
                  <w:color w:val="0000EE"/>
                  <w:w w:val="89"/>
                </w:rPr>
                <w:t>73</w:t>
              </w:r>
            </w:hyperlink>
          </w:p>
        </w:tc>
      </w:tr>
      <w:tr>
        <w:trPr>
          <w:trHeight w:val="202"/>
        </w:trPr>
        <w:tc>
          <w:tcPr>
            <w:tcW w:w="17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1280" w:type="dxa"/>
            <w:vAlign w:val="bottom"/>
            <w:tcBorders>
              <w:top w:val="single" w:sz="8" w:color="0000EE"/>
            </w:tcBorders>
            <w:gridSpan w:val="3"/>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Risk Factors</w:t>
              </w:r>
            </w:hyperlink>
          </w:p>
        </w:tc>
        <w:tc>
          <w:tcPr>
            <w:tcW w:w="82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rPr>
                <w:rFonts w:ascii="Arial" w:cs="Arial" w:eastAsia="Arial" w:hAnsi="Arial"/>
                <w:sz w:val="16"/>
                <w:szCs w:val="16"/>
                <w:color w:val="0000EE"/>
                <w:w w:val="89"/>
              </w:rPr>
            </w:pPr>
            <w:hyperlink w:anchor="page75">
              <w:r>
                <w:rPr>
                  <w:rFonts w:ascii="Arial" w:cs="Arial" w:eastAsia="Arial" w:hAnsi="Arial"/>
                  <w:sz w:val="16"/>
                  <w:szCs w:val="16"/>
                  <w:color w:val="0000EE"/>
                  <w:w w:val="89"/>
                </w:rPr>
                <w:t>74</w:t>
              </w:r>
            </w:hyperlink>
          </w:p>
        </w:tc>
      </w:tr>
      <w:tr>
        <w:trPr>
          <w:trHeight w:val="20"/>
        </w:trPr>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02"/>
        </w:trPr>
        <w:tc>
          <w:tcPr>
            <w:tcW w:w="17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20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94">
              <w:r>
                <w:rPr>
                  <w:rFonts w:ascii="Arial" w:cs="Arial" w:eastAsia="Arial" w:hAnsi="Arial"/>
                  <w:sz w:val="16"/>
                  <w:szCs w:val="16"/>
                  <w:color w:val="0000EE"/>
                  <w:w w:val="96"/>
                </w:rPr>
                <w:t>Unregistered Sales of Equity Securities and Use of Proceeds</w:t>
              </w:r>
            </w:hyperlink>
          </w:p>
        </w:tc>
        <w:tc>
          <w:tcPr>
            <w:tcW w:w="530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93</w:t>
              </w:r>
            </w:hyperlink>
          </w:p>
        </w:tc>
      </w:tr>
      <w:tr>
        <w:trPr>
          <w:trHeight w:val="202"/>
        </w:trPr>
        <w:tc>
          <w:tcPr>
            <w:tcW w:w="17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500" w:type="dxa"/>
            <w:vAlign w:val="bottom"/>
            <w:gridSpan w:val="5"/>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Exhibits</w:t>
              </w:r>
            </w:hyperlink>
          </w:p>
        </w:tc>
        <w:tc>
          <w:tcPr>
            <w:tcW w:w="180" w:type="dxa"/>
            <w:vAlign w:val="bottom"/>
          </w:tcPr>
          <w:p>
            <w:pPr>
              <w:jc w:val="right"/>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93</w:t>
              </w:r>
            </w:hyperlink>
          </w:p>
        </w:tc>
      </w:tr>
      <w:tr>
        <w:trPr>
          <w:trHeight w:val="202"/>
        </w:trPr>
        <w:tc>
          <w:tcPr>
            <w:tcW w:w="1720" w:type="dxa"/>
            <w:vAlign w:val="bottom"/>
            <w:gridSpan w:val="2"/>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SIGNATURES</w:t>
              </w:r>
            </w:hyperlink>
          </w:p>
        </w:tc>
        <w:tc>
          <w:tcPr>
            <w:tcW w:w="5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80" w:type="dxa"/>
            <w:vAlign w:val="bottom"/>
            <w:tcBorders>
              <w:top w:val="single" w:sz="8" w:color="0000EE"/>
            </w:tcBorders>
          </w:tcPr>
          <w:p>
            <w:pPr>
              <w:jc w:val="right"/>
              <w:spacing w:after="0"/>
              <w:rPr>
                <w:rFonts w:ascii="Arial" w:cs="Arial" w:eastAsia="Arial" w:hAnsi="Arial"/>
                <w:sz w:val="16"/>
                <w:szCs w:val="16"/>
                <w:color w:val="0000EE"/>
                <w:w w:val="89"/>
              </w:rPr>
            </w:pPr>
            <w:hyperlink w:anchor="page97">
              <w:r>
                <w:rPr>
                  <w:rFonts w:ascii="Arial" w:cs="Arial" w:eastAsia="Arial" w:hAnsi="Arial"/>
                  <w:sz w:val="16"/>
                  <w:szCs w:val="16"/>
                  <w:color w:val="0000EE"/>
                  <w:w w:val="89"/>
                </w:rPr>
                <w:t>96</w:t>
              </w:r>
            </w:hyperlink>
          </w:p>
        </w:tc>
      </w:tr>
      <w:tr>
        <w:trPr>
          <w:trHeight w:val="611"/>
        </w:trPr>
        <w:tc>
          <w:tcPr>
            <w:tcW w:w="10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gridSpan w:val="4"/>
          </w:tcPr>
          <w:p>
            <w:pPr>
              <w:ind w:left="3940"/>
              <w:spacing w:after="0"/>
              <w:rPr>
                <w:sz w:val="20"/>
                <w:szCs w:val="20"/>
                <w:color w:val="auto"/>
              </w:rPr>
            </w:pPr>
            <w:r>
              <w:rPr>
                <w:rFonts w:ascii="Arial" w:cs="Arial" w:eastAsia="Arial" w:hAnsi="Arial"/>
                <w:sz w:val="16"/>
                <w:szCs w:val="16"/>
                <w:color w:val="auto"/>
              </w:rPr>
              <w:t>1</w:t>
            </w:r>
          </w:p>
        </w:tc>
        <w:tc>
          <w:tcPr>
            <w:tcW w:w="5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60" w:top="518" w:right="239" w:bottom="1440" w:gutter="0" w:footer="0" w:header="0"/>
          <w:type w:val="continuous"/>
        </w:sectPr>
      </w:pPr>
    </w:p>
    <w:bookmarkStart w:id="2" w:name="page3"/>
    <w:bookmarkEnd w:id="2"/>
    <w:p>
      <w:pPr>
        <w:jc w:val="both"/>
        <w:ind w:firstLine="187"/>
        <w:spacing w:after="0" w:line="244" w:lineRule="auto"/>
        <w:rPr>
          <w:sz w:val="20"/>
          <w:szCs w:val="20"/>
          <w:color w:val="auto"/>
        </w:rPr>
      </w:pPr>
      <w:r>
        <w:rPr>
          <w:rFonts w:ascii="Arial" w:cs="Arial" w:eastAsia="Arial" w:hAnsi="Arial"/>
          <w:sz w:val="16"/>
          <w:szCs w:val="16"/>
          <w:color w:val="auto"/>
        </w:rPr>
        <w:t>This report is filed by American Airlines Group Inc. (formerly named AMR Corporation) (AAG) and its wholly-owned subsidiary American Airlines, Inc. (American). References in this report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References to “US Airways Group” and “US Airways,” a subsidiary of US Airways Group, represent the entities during the period of time prior to the dissolution of those entities in connection with AAG’s internal corporate restructuring on December 30, 2015. References in this report to “mainline” refer to the operations of American only and exclude regional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Concerning Forward-Looking Statements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42"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36"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91" w:lineRule="exact"/>
        <w:rPr>
          <w:sz w:val="20"/>
          <w:szCs w:val="20"/>
          <w:color w:val="auto"/>
        </w:rPr>
      </w:pPr>
    </w:p>
    <w:p>
      <w:pPr>
        <w:ind w:firstLine="187"/>
        <w:spacing w:after="0" w:line="248" w:lineRule="auto"/>
        <w:rPr>
          <w:sz w:val="20"/>
          <w:szCs w:val="20"/>
          <w:color w:val="auto"/>
        </w:rPr>
      </w:pPr>
      <w:r>
        <w:rPr>
          <w:rFonts w:ascii="Arial" w:cs="Arial" w:eastAsia="Arial" w:hAnsi="Arial"/>
          <w:sz w:val="16"/>
          <w:szCs w:val="16"/>
          <w:color w:val="auto"/>
        </w:rPr>
        <w:t>This report on Form 10-Q is filed by both AAG and American and includes the Condensed Consolidated Financial Statements of each company in Item 1A and Item 1B,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18"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ITEM 1A. CONDENSED CONSOLIDATED FINANCIAL STATEMENTS OF AMERICAN AIRLINES GROUP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GROUP INC.</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6"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(In millions, except shares and per share amounts)(Unaudited)</w:t>
      </w:r>
    </w:p>
    <w:p>
      <w:pPr>
        <w:sectPr>
          <w:pgSz w:w="11900" w:h="16838" w:orient="portrait"/>
          <w:cols w:equalWidth="0" w:num="1">
            <w:col w:w="11440"/>
          </w:cols>
          <w:pgMar w:left="240" w:top="518" w:right="219" w:bottom="1440" w:gutter="0" w:footer="0" w:header="0"/>
        </w:sectPr>
      </w:pPr>
    </w:p>
    <w:p>
      <w:pPr>
        <w:spacing w:after="0" w:line="345"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22860</wp:posOffset>
            </wp:positionV>
            <wp:extent cx="1685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88" w:lineRule="exact"/>
        <w:rPr>
          <w:sz w:val="20"/>
          <w:szCs w:val="20"/>
          <w:color w:val="auto"/>
        </w:rPr>
      </w:pPr>
    </w:p>
    <w:p>
      <w:pPr>
        <w:ind w:left="6560"/>
        <w:spacing w:after="0"/>
        <w:tabs>
          <w:tab w:leader="none" w:pos="794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265035" cy="156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0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22860</wp:posOffset>
            </wp:positionV>
            <wp:extent cx="16567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6715" cy="7620"/>
                    </a:xfrm>
                    <a:prstGeom prst="rect">
                      <a:avLst/>
                    </a:prstGeom>
                    <a:noFill/>
                  </pic:spPr>
                </pic:pic>
              </a:graphicData>
            </a:graphic>
          </wp:anchor>
        </w:drawing>
      </w:r>
    </w:p>
    <w:p>
      <w:pPr>
        <w:spacing w:after="0" w:line="88"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40" w:lineRule="exact"/>
        <w:rPr>
          <w:sz w:val="20"/>
          <w:szCs w:val="20"/>
          <w:color w:val="auto"/>
        </w:rPr>
      </w:pPr>
    </w:p>
    <w:p>
      <w:pPr>
        <w:sectPr>
          <w:pgSz w:w="11900" w:h="16838" w:orient="portrait"/>
          <w:cols w:equalWidth="0" w:num="2">
            <w:col w:w="8600" w:space="720"/>
            <w:col w:w="2120"/>
          </w:cols>
          <w:pgMar w:left="240" w:top="518" w:right="2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ind w:left="320"/>
              <w:spacing w:after="0"/>
              <w:rPr>
                <w:sz w:val="20"/>
                <w:szCs w:val="20"/>
                <w:color w:val="auto"/>
              </w:rPr>
            </w:pPr>
            <w:r>
              <w:rPr>
                <w:rFonts w:ascii="Arial" w:cs="Arial" w:eastAsia="Arial" w:hAnsi="Arial"/>
                <w:sz w:val="16"/>
                <w:szCs w:val="16"/>
                <w:color w:val="auto"/>
              </w:rPr>
              <w:t>Passenger</w:t>
            </w: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10,674</w:t>
            </w:r>
          </w:p>
        </w:tc>
        <w:tc>
          <w:tcPr>
            <w:tcW w:w="10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10,353</w:t>
            </w:r>
          </w:p>
        </w:tc>
        <w:tc>
          <w:tcPr>
            <w:tcW w:w="10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20,154</w:t>
            </w:r>
          </w:p>
        </w:tc>
        <w:tc>
          <w:tcPr>
            <w:tcW w:w="100" w:type="dxa"/>
            <w:vAlign w:val="bottom"/>
          </w:tcPr>
          <w:p>
            <w:pPr>
              <w:spacing w:after="0"/>
              <w:rPr>
                <w:sz w:val="17"/>
                <w:szCs w:val="17"/>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19,350</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Cargo</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w:t>
            </w:r>
          </w:p>
        </w:tc>
      </w:tr>
      <w:tr>
        <w:trPr>
          <w:trHeight w:val="228"/>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1,287</w:t>
            </w:r>
          </w:p>
        </w:tc>
      </w:tr>
      <w:tr>
        <w:trPr>
          <w:trHeight w:val="220"/>
        </w:trPr>
        <w:tc>
          <w:tcPr>
            <w:tcW w:w="6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revenues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21,047</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4"/>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fuel and related taxes</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2,912</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Salaries, wages and benefits</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5,898</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Regional expenses</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3,194</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Maintenance, materials and repairs</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987</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rent and landing fees</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892</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Aircraft rent</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589</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expenses</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694</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822</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Special items, net</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320</w:t>
            </w:r>
          </w:p>
        </w:tc>
      </w:tr>
      <w:tr>
        <w:trPr>
          <w:trHeight w:val="228"/>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2,403</w:t>
            </w:r>
          </w:p>
        </w:tc>
      </w:tr>
      <w:tr>
        <w:trPr>
          <w:trHeight w:val="220"/>
        </w:trPr>
        <w:tc>
          <w:tcPr>
            <w:tcW w:w="6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9,628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18,711</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36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2,336</w:t>
            </w:r>
          </w:p>
        </w:tc>
      </w:tr>
      <w:tr>
        <w:trPr>
          <w:trHeight w:val="22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(expense):</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45</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28"/>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w:t>
            </w:r>
          </w:p>
        </w:tc>
      </w:tr>
      <w:tr>
        <w:trPr>
          <w:trHeight w:val="220"/>
        </w:trPr>
        <w:tc>
          <w:tcPr>
            <w:tcW w:w="6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6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1,924</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720</w:t>
            </w:r>
          </w:p>
        </w:tc>
      </w:tr>
      <w:tr>
        <w:trPr>
          <w:trHeight w:val="24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1,204</w:t>
            </w:r>
          </w:p>
        </w:tc>
      </w:tr>
      <w:tr>
        <w:trPr>
          <w:trHeight w:val="239"/>
        </w:trPr>
        <w:tc>
          <w:tcPr>
            <w:tcW w:w="6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4"/>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2.42</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2.41</w:t>
            </w:r>
          </w:p>
        </w:tc>
      </w:tr>
      <w:tr>
        <w:trPr>
          <w:trHeight w:val="22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 (in thousands):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463,533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490,818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467,915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497,360</w:t>
            </w:r>
          </w:p>
        </w:tc>
      </w:tr>
      <w:tr>
        <w:trPr>
          <w:trHeight w:val="240"/>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464,618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492,965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469,608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500,381</w:t>
            </w:r>
          </w:p>
        </w:tc>
      </w:tr>
      <w:tr>
        <w:trPr>
          <w:trHeight w:val="221"/>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Cash dividends declared per common share</w:t>
            </w: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9"/>
                <w:szCs w:val="19"/>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9"/>
                <w:szCs w:val="19"/>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9"/>
                <w:szCs w:val="19"/>
                <w:color w:val="auto"/>
              </w:rPr>
            </w:pP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0.20</w:t>
            </w:r>
          </w:p>
        </w:tc>
      </w:tr>
    </w:tbl>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18" w:right="21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AMERICAN AIRLINES GROUP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(In millions)(Unaudited)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6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60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2017</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7"/>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1,204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net of tax:</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Pension, retiree medical and other postretirement benefits</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Investments</w:t>
            </w:r>
          </w:p>
        </w:tc>
        <w:tc>
          <w:tcPr>
            <w:tcW w:w="860" w:type="dxa"/>
            <w:vAlign w:val="bottom"/>
          </w:tcPr>
          <w:p>
            <w:pPr>
              <w:spacing w:after="0"/>
              <w:rPr>
                <w:sz w:val="19"/>
                <w:szCs w:val="19"/>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other comprehensive loss, net of tax</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67"/>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1,175</w:t>
            </w: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518"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AMERICAN AIRLINES GROUP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shares and par value)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34"/>
              <w:spacing w:after="0"/>
              <w:rPr>
                <w:sz w:val="20"/>
                <w:szCs w:val="20"/>
                <w:color w:val="auto"/>
              </w:rPr>
            </w:pPr>
            <w:r>
              <w:rPr>
                <w:rFonts w:ascii="Arial" w:cs="Arial" w:eastAsia="Arial" w:hAnsi="Arial"/>
                <w:sz w:val="12"/>
                <w:szCs w:val="12"/>
                <w:b w:val="1"/>
                <w:bCs w:val="1"/>
                <w:color w:val="auto"/>
              </w:rPr>
              <w:t>June 30, 2018</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4"/>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214"/>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Cash</w:t>
            </w:r>
          </w:p>
        </w:tc>
        <w:tc>
          <w:tcPr>
            <w:tcW w:w="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293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80"/>
        </w:trPr>
        <w:tc>
          <w:tcPr>
            <w:tcW w:w="7660" w:type="dxa"/>
            <w:vAlign w:val="bottom"/>
          </w:tcPr>
          <w:p>
            <w:pPr>
              <w:ind w:left="320"/>
              <w:spacing w:after="0"/>
              <w:rPr>
                <w:sz w:val="20"/>
                <w:szCs w:val="20"/>
                <w:color w:val="auto"/>
              </w:rPr>
            </w:pPr>
            <w:r>
              <w:rPr>
                <w:rFonts w:ascii="Arial" w:cs="Arial" w:eastAsia="Arial" w:hAnsi="Arial"/>
                <w:sz w:val="13"/>
                <w:szCs w:val="13"/>
                <w:color w:val="auto"/>
              </w:rPr>
              <w:t>Short-term investments</w:t>
            </w:r>
          </w:p>
        </w:tc>
        <w:tc>
          <w:tcPr>
            <w:tcW w:w="320" w:type="dxa"/>
            <w:vAlign w:val="bottom"/>
          </w:tcPr>
          <w:p>
            <w:pPr>
              <w:spacing w:after="0"/>
              <w:rPr>
                <w:sz w:val="15"/>
                <w:szCs w:val="15"/>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3"/>
                <w:szCs w:val="13"/>
                <w:color w:val="auto"/>
              </w:rPr>
              <w:t>4,381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ind w:right="54"/>
              <w:spacing w:after="0"/>
              <w:rPr>
                <w:sz w:val="20"/>
                <w:szCs w:val="20"/>
                <w:color w:val="auto"/>
              </w:rPr>
            </w:pPr>
            <w:r>
              <w:rPr>
                <w:rFonts w:ascii="Arial" w:cs="Arial" w:eastAsia="Arial" w:hAnsi="Arial"/>
                <w:sz w:val="13"/>
                <w:szCs w:val="13"/>
                <w:color w:val="auto"/>
              </w:rPr>
              <w:t>4,771</w:t>
            </w:r>
          </w:p>
        </w:tc>
        <w:tc>
          <w:tcPr>
            <w:tcW w:w="0" w:type="dxa"/>
            <w:vAlign w:val="bottom"/>
          </w:tcPr>
          <w:p>
            <w:pPr>
              <w:spacing w:after="0"/>
              <w:rPr>
                <w:sz w:val="1"/>
                <w:szCs w:val="1"/>
                <w:color w:val="auto"/>
              </w:rPr>
            </w:pPr>
          </w:p>
        </w:tc>
      </w:tr>
      <w:tr>
        <w:trPr>
          <w:trHeight w:val="50"/>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Restricted cash and short-term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183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80"/>
        </w:trPr>
        <w:tc>
          <w:tcPr>
            <w:tcW w:w="7660" w:type="dxa"/>
            <w:vAlign w:val="bottom"/>
          </w:tcPr>
          <w:p>
            <w:pPr>
              <w:ind w:left="320"/>
              <w:spacing w:after="0"/>
              <w:rPr>
                <w:sz w:val="20"/>
                <w:szCs w:val="20"/>
                <w:color w:val="auto"/>
              </w:rPr>
            </w:pPr>
            <w:r>
              <w:rPr>
                <w:rFonts w:ascii="Arial" w:cs="Arial" w:eastAsia="Arial" w:hAnsi="Arial"/>
                <w:sz w:val="13"/>
                <w:szCs w:val="13"/>
                <w:color w:val="auto"/>
              </w:rPr>
              <w:t>Accounts receivable, net</w:t>
            </w:r>
          </w:p>
        </w:tc>
        <w:tc>
          <w:tcPr>
            <w:tcW w:w="320" w:type="dxa"/>
            <w:vAlign w:val="bottom"/>
          </w:tcPr>
          <w:p>
            <w:pPr>
              <w:spacing w:after="0"/>
              <w:rPr>
                <w:sz w:val="15"/>
                <w:szCs w:val="15"/>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3"/>
                <w:szCs w:val="13"/>
                <w:color w:val="auto"/>
              </w:rPr>
              <w:t>1,941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ind w:right="54"/>
              <w:spacing w:after="0"/>
              <w:rPr>
                <w:sz w:val="20"/>
                <w:szCs w:val="20"/>
                <w:color w:val="auto"/>
              </w:rPr>
            </w:pPr>
            <w:r>
              <w:rPr>
                <w:rFonts w:ascii="Arial" w:cs="Arial" w:eastAsia="Arial" w:hAnsi="Arial"/>
                <w:sz w:val="13"/>
                <w:szCs w:val="13"/>
                <w:color w:val="auto"/>
              </w:rPr>
              <w:t>1,752</w:t>
            </w:r>
          </w:p>
        </w:tc>
        <w:tc>
          <w:tcPr>
            <w:tcW w:w="0" w:type="dxa"/>
            <w:vAlign w:val="bottom"/>
          </w:tcPr>
          <w:p>
            <w:pPr>
              <w:spacing w:after="0"/>
              <w:rPr>
                <w:sz w:val="1"/>
                <w:szCs w:val="1"/>
                <w:color w:val="auto"/>
              </w:rPr>
            </w:pPr>
          </w:p>
        </w:tc>
      </w:tr>
      <w:tr>
        <w:trPr>
          <w:trHeight w:val="50"/>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Aircraft fuel, spare parts and supplies, net</w:t>
            </w: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1,522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80"/>
        </w:trPr>
        <w:tc>
          <w:tcPr>
            <w:tcW w:w="7660" w:type="dxa"/>
            <w:vAlign w:val="bottom"/>
          </w:tcPr>
          <w:p>
            <w:pPr>
              <w:ind w:left="320"/>
              <w:spacing w:after="0"/>
              <w:rPr>
                <w:sz w:val="20"/>
                <w:szCs w:val="20"/>
                <w:color w:val="auto"/>
              </w:rPr>
            </w:pPr>
            <w:r>
              <w:rPr>
                <w:rFonts w:ascii="Arial" w:cs="Arial" w:eastAsia="Arial" w:hAnsi="Arial"/>
                <w:sz w:val="13"/>
                <w:szCs w:val="13"/>
                <w:color w:val="auto"/>
              </w:rPr>
              <w:t>Prepaid expenses and other</w:t>
            </w:r>
          </w:p>
        </w:tc>
        <w:tc>
          <w:tcPr>
            <w:tcW w:w="320" w:type="dxa"/>
            <w:vAlign w:val="bottom"/>
          </w:tcPr>
          <w:p>
            <w:pPr>
              <w:spacing w:after="0"/>
              <w:rPr>
                <w:sz w:val="15"/>
                <w:szCs w:val="15"/>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3"/>
                <w:szCs w:val="13"/>
                <w:color w:val="auto"/>
              </w:rPr>
              <w:t>856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ind w:right="54"/>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50"/>
        </w:trPr>
        <w:tc>
          <w:tcPr>
            <w:tcW w:w="76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Total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9,176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9,146</w:t>
            </w:r>
          </w:p>
        </w:tc>
        <w:tc>
          <w:tcPr>
            <w:tcW w:w="0" w:type="dxa"/>
            <w:vAlign w:val="bottom"/>
          </w:tcPr>
          <w:p>
            <w:pPr>
              <w:spacing w:after="0"/>
              <w:rPr>
                <w:sz w:val="1"/>
                <w:szCs w:val="1"/>
                <w:color w:val="auto"/>
              </w:rPr>
            </w:pPr>
          </w:p>
        </w:tc>
      </w:tr>
      <w:tr>
        <w:trPr>
          <w:trHeight w:val="180"/>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Operating property and equipment</w:t>
            </w: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Flight equipment</w:t>
            </w: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40,854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40,318</w:t>
            </w:r>
          </w:p>
        </w:tc>
        <w:tc>
          <w:tcPr>
            <w:tcW w:w="0" w:type="dxa"/>
            <w:vAlign w:val="bottom"/>
          </w:tcPr>
          <w:p>
            <w:pPr>
              <w:spacing w:after="0"/>
              <w:rPr>
                <w:sz w:val="1"/>
                <w:szCs w:val="1"/>
                <w:color w:val="auto"/>
              </w:rPr>
            </w:pPr>
          </w:p>
        </w:tc>
      </w:tr>
      <w:tr>
        <w:trPr>
          <w:trHeight w:val="180"/>
        </w:trPr>
        <w:tc>
          <w:tcPr>
            <w:tcW w:w="7660" w:type="dxa"/>
            <w:vAlign w:val="bottom"/>
          </w:tcPr>
          <w:p>
            <w:pPr>
              <w:ind w:left="320"/>
              <w:spacing w:after="0"/>
              <w:rPr>
                <w:sz w:val="20"/>
                <w:szCs w:val="20"/>
                <w:color w:val="auto"/>
              </w:rPr>
            </w:pPr>
            <w:r>
              <w:rPr>
                <w:rFonts w:ascii="Arial" w:cs="Arial" w:eastAsia="Arial" w:hAnsi="Arial"/>
                <w:sz w:val="13"/>
                <w:szCs w:val="13"/>
                <w:color w:val="auto"/>
              </w:rPr>
              <w:t>Ground property and equipment</w:t>
            </w:r>
          </w:p>
        </w:tc>
        <w:tc>
          <w:tcPr>
            <w:tcW w:w="320" w:type="dxa"/>
            <w:vAlign w:val="bottom"/>
          </w:tcPr>
          <w:p>
            <w:pPr>
              <w:spacing w:after="0"/>
              <w:rPr>
                <w:sz w:val="15"/>
                <w:szCs w:val="15"/>
                <w:color w:val="auto"/>
              </w:rPr>
            </w:pPr>
          </w:p>
        </w:tc>
        <w:tc>
          <w:tcPr>
            <w:tcW w:w="1520" w:type="dxa"/>
            <w:vAlign w:val="bottom"/>
            <w:vMerge w:val="restart"/>
          </w:tcPr>
          <w:p>
            <w:pPr>
              <w:jc w:val="right"/>
              <w:ind w:right="54"/>
              <w:spacing w:after="0"/>
              <w:rPr>
                <w:sz w:val="20"/>
                <w:szCs w:val="20"/>
                <w:color w:val="auto"/>
              </w:rPr>
            </w:pPr>
            <w:r>
              <w:rPr>
                <w:rFonts w:ascii="Arial" w:cs="Arial" w:eastAsia="Arial" w:hAnsi="Arial"/>
                <w:sz w:val="13"/>
                <w:szCs w:val="13"/>
                <w:color w:val="auto"/>
              </w:rPr>
              <w:t>8,903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ind w:right="54"/>
              <w:spacing w:after="0"/>
              <w:rPr>
                <w:sz w:val="20"/>
                <w:szCs w:val="20"/>
                <w:color w:val="auto"/>
              </w:rPr>
            </w:pPr>
            <w:r>
              <w:rPr>
                <w:rFonts w:ascii="Arial" w:cs="Arial" w:eastAsia="Arial" w:hAnsi="Arial"/>
                <w:sz w:val="13"/>
                <w:szCs w:val="13"/>
                <w:color w:val="auto"/>
              </w:rPr>
              <w:t>8,267</w:t>
            </w:r>
          </w:p>
        </w:tc>
        <w:tc>
          <w:tcPr>
            <w:tcW w:w="0" w:type="dxa"/>
            <w:vAlign w:val="bottom"/>
          </w:tcPr>
          <w:p>
            <w:pPr>
              <w:spacing w:after="0"/>
              <w:rPr>
                <w:sz w:val="1"/>
                <w:szCs w:val="1"/>
                <w:color w:val="auto"/>
              </w:rPr>
            </w:pPr>
          </w:p>
        </w:tc>
      </w:tr>
      <w:tr>
        <w:trPr>
          <w:trHeight w:val="50"/>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Equipment purchase deposits</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1,217</w:t>
            </w:r>
          </w:p>
        </w:tc>
        <w:tc>
          <w:tcPr>
            <w:tcW w:w="0" w:type="dxa"/>
            <w:vAlign w:val="bottom"/>
          </w:tcPr>
          <w:p>
            <w:pPr>
              <w:spacing w:after="0"/>
              <w:rPr>
                <w:sz w:val="1"/>
                <w:szCs w:val="1"/>
                <w:color w:val="auto"/>
              </w:rPr>
            </w:pPr>
          </w:p>
        </w:tc>
      </w:tr>
      <w:tr>
        <w:trPr>
          <w:trHeight w:val="160"/>
        </w:trPr>
        <w:tc>
          <w:tcPr>
            <w:tcW w:w="7660" w:type="dxa"/>
            <w:vAlign w:val="bottom"/>
          </w:tcPr>
          <w:p>
            <w:pPr>
              <w:ind w:left="600"/>
              <w:spacing w:after="0"/>
              <w:rPr>
                <w:sz w:val="20"/>
                <w:szCs w:val="20"/>
                <w:color w:val="auto"/>
              </w:rPr>
            </w:pPr>
            <w:r>
              <w:rPr>
                <w:rFonts w:ascii="Arial" w:cs="Arial" w:eastAsia="Arial" w:hAnsi="Arial"/>
                <w:sz w:val="13"/>
                <w:szCs w:val="13"/>
                <w:color w:val="auto"/>
              </w:rPr>
              <w:t>Total property and equipment, at cost</w:t>
            </w:r>
          </w:p>
        </w:tc>
        <w:tc>
          <w:tcPr>
            <w:tcW w:w="3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51,149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49,802</w:t>
            </w:r>
          </w:p>
        </w:tc>
        <w:tc>
          <w:tcPr>
            <w:tcW w:w="0" w:type="dxa"/>
            <w:vAlign w:val="bottom"/>
          </w:tcPr>
          <w:p>
            <w:pPr>
              <w:spacing w:after="0"/>
              <w:rPr>
                <w:sz w:val="1"/>
                <w:szCs w:val="1"/>
                <w:color w:val="auto"/>
              </w:rPr>
            </w:pPr>
          </w:p>
        </w:tc>
      </w:tr>
      <w:tr>
        <w:trPr>
          <w:trHeight w:val="50"/>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Less accumulated 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(15,646)</w:t>
            </w:r>
          </w:p>
        </w:tc>
        <w:tc>
          <w:tcPr>
            <w:tcW w:w="0" w:type="dxa"/>
            <w:vAlign w:val="bottom"/>
          </w:tcPr>
          <w:p>
            <w:pPr>
              <w:spacing w:after="0"/>
              <w:rPr>
                <w:sz w:val="1"/>
                <w:szCs w:val="1"/>
                <w:color w:val="auto"/>
              </w:rPr>
            </w:pPr>
          </w:p>
        </w:tc>
      </w:tr>
      <w:tr>
        <w:trPr>
          <w:trHeight w:val="160"/>
        </w:trPr>
        <w:tc>
          <w:tcPr>
            <w:tcW w:w="7660" w:type="dxa"/>
            <w:vAlign w:val="bottom"/>
          </w:tcPr>
          <w:p>
            <w:pPr>
              <w:ind w:left="600"/>
              <w:spacing w:after="0"/>
              <w:rPr>
                <w:sz w:val="20"/>
                <w:szCs w:val="20"/>
                <w:color w:val="auto"/>
              </w:rPr>
            </w:pPr>
            <w:r>
              <w:rPr>
                <w:rFonts w:ascii="Arial" w:cs="Arial" w:eastAsia="Arial" w:hAnsi="Arial"/>
                <w:sz w:val="13"/>
                <w:szCs w:val="13"/>
                <w:color w:val="auto"/>
              </w:rPr>
              <w:t>Total property and equipment, net</w:t>
            </w:r>
          </w:p>
        </w:tc>
        <w:tc>
          <w:tcPr>
            <w:tcW w:w="3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34,424</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34,156</w:t>
            </w: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65035" cy="148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Other assets</w:t>
      </w:r>
    </w:p>
    <w:p>
      <w:pPr>
        <w:sectPr>
          <w:pgSz w:w="11900" w:h="16838" w:orient="portrait"/>
          <w:cols w:equalWidth="0" w:num="1">
            <w:col w:w="11440"/>
          </w:cols>
          <w:pgMar w:left="240" w:top="518" w:right="21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660" w:type="dxa"/>
            <w:vAlign w:val="bottom"/>
          </w:tcPr>
          <w:p>
            <w:pPr>
              <w:ind w:left="32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Intangibles, net of accumulated amortization of $643 and $622, respectively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Deferred tax asset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600"/>
              <w:spacing w:after="0"/>
              <w:rPr>
                <w:sz w:val="20"/>
                <w:szCs w:val="20"/>
                <w:color w:val="auto"/>
              </w:rPr>
            </w:pPr>
            <w:r>
              <w:rPr>
                <w:rFonts w:ascii="Arial" w:cs="Arial" w:eastAsia="Arial" w:hAnsi="Arial"/>
                <w:sz w:val="13"/>
                <w:szCs w:val="13"/>
                <w:color w:val="auto"/>
              </w:rPr>
              <w:t>Total other assets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88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76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Current maturities of long-term debt and capital leases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60" w:type="dxa"/>
            <w:vAlign w:val="bottom"/>
          </w:tcPr>
          <w:p>
            <w:pPr>
              <w:ind w:left="32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Accrued salaries and wages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Air traffic 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Loyalty program 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Other accrued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600"/>
              <w:spacing w:after="0"/>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Long-term debt and capital leases, net of current maturities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Pension and postretirement benefits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Loyalty program 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20"/>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600"/>
              <w:spacing w:after="0"/>
              <w:rPr>
                <w:sz w:val="20"/>
                <w:szCs w:val="20"/>
                <w:color w:val="auto"/>
              </w:rPr>
            </w:pPr>
            <w:r>
              <w:rPr>
                <w:rFonts w:ascii="Arial" w:cs="Arial" w:eastAsia="Arial" w:hAnsi="Arial"/>
                <w:sz w:val="13"/>
                <w:szCs w:val="13"/>
                <w:color w:val="auto"/>
              </w:rPr>
              <w:t>Total noncurrent 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Commitments and contingencies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Stockholders’ equity (deficit)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-3315335</wp:posOffset>
            </wp:positionV>
            <wp:extent cx="7265035" cy="148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-3018155</wp:posOffset>
            </wp:positionV>
            <wp:extent cx="7265035" cy="148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-2342515</wp:posOffset>
            </wp:positionV>
            <wp:extent cx="7265035" cy="148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-2045335</wp:posOffset>
            </wp:positionV>
            <wp:extent cx="7265035"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-1748155</wp:posOffset>
            </wp:positionV>
            <wp:extent cx="7265035" cy="148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7265035"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-1153795</wp:posOffset>
            </wp:positionV>
            <wp:extent cx="7265035" cy="148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-856615</wp:posOffset>
            </wp:positionV>
            <wp:extent cx="7265035" cy="148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-559435</wp:posOffset>
            </wp:positionV>
            <wp:extent cx="7265035"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7265035" cy="148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265035" cy="208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035" cy="2082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-2720975</wp:posOffset>
            </wp:positionV>
            <wp:extent cx="7265035"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54" w:lineRule="exact"/>
        <w:rPr>
          <w:sz w:val="20"/>
          <w:szCs w:val="20"/>
          <w:color w:val="auto"/>
        </w:rPr>
      </w:pPr>
    </w:p>
    <w:p>
      <w:pPr>
        <w:ind w:left="320" w:right="720"/>
        <w:spacing w:after="0" w:line="242" w:lineRule="auto"/>
        <w:rPr>
          <w:sz w:val="20"/>
          <w:szCs w:val="20"/>
          <w:color w:val="auto"/>
        </w:rPr>
      </w:pPr>
      <w:r>
        <w:rPr>
          <w:rFonts w:ascii="Arial" w:cs="Arial" w:eastAsia="Arial" w:hAnsi="Arial"/>
          <w:sz w:val="13"/>
          <w:szCs w:val="13"/>
          <w:color w:val="auto"/>
        </w:rPr>
        <w:t>Common stock, $0.01 par value; 1,750,000,000 shares authorized, 460,502,096 shares issued and outstanding at June 30, 2018; 475,507,887 shares issued and outstanding at December 31, 2017</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65035" cy="14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Accumulated other comprehensive loss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65035"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stockholders’ deficit</w:t>
      </w:r>
    </w:p>
    <w:p>
      <w:pPr>
        <w:spacing w:after="0" w:line="10" w:lineRule="exact"/>
        <w:rPr>
          <w:sz w:val="20"/>
          <w:szCs w:val="20"/>
          <w:color w:val="auto"/>
        </w:rPr>
      </w:pPr>
    </w:p>
    <w:p>
      <w:pPr>
        <w:jc w:val="right"/>
        <w:ind w:right="500"/>
        <w:spacing w:after="0"/>
        <w:tabs>
          <w:tab w:leader="none" w:pos="540" w:val="left"/>
        </w:tabs>
        <w:rPr>
          <w:sz w:val="20"/>
          <w:szCs w:val="20"/>
          <w:color w:val="auto"/>
        </w:rPr>
      </w:pPr>
      <w:r>
        <w:rPr>
          <w:rFonts w:ascii="Arial" w:cs="Arial" w:eastAsia="Arial" w:hAnsi="Arial"/>
          <w:sz w:val="13"/>
          <w:szCs w:val="13"/>
          <w:b w:val="1"/>
          <w:bCs w:val="1"/>
          <w:color w:val="auto"/>
        </w:rPr>
        <w:t>Total liabilities and stockholders’ equity (deficit)</w:t>
      </w:r>
      <w:r>
        <w:rPr>
          <w:sz w:val="20"/>
          <w:szCs w:val="20"/>
          <w:color w:val="auto"/>
        </w:rPr>
        <w:tab/>
      </w:r>
      <w:r>
        <w:rPr>
          <w:rFonts w:ascii="Arial" w:cs="Arial" w:eastAsia="Arial" w:hAnsi="Arial"/>
          <w:sz w:val="16"/>
          <w:szCs w:val="16"/>
          <w:color w:val="auto"/>
          <w:vertAlign w:val="subscript"/>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4,091</w:t>
            </w:r>
          </w:p>
        </w:tc>
        <w:tc>
          <w:tcPr>
            <w:tcW w:w="700" w:type="dxa"/>
            <w:vAlign w:val="bottom"/>
          </w:tcPr>
          <w:p>
            <w:pPr>
              <w:spacing w:after="0"/>
              <w:rPr>
                <w:sz w:val="13"/>
                <w:szCs w:val="13"/>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4,091</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2,157</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2,203</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1,399</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1,816</w:t>
            </w:r>
          </w:p>
        </w:tc>
      </w:tr>
      <w:tr>
        <w:trPr>
          <w:trHeight w:val="237"/>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1,375</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1,373</w:t>
            </w:r>
          </w:p>
        </w:tc>
      </w:tr>
      <w:tr>
        <w:trPr>
          <w:trHeight w:val="21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9,022</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9,483</w:t>
            </w:r>
          </w:p>
        </w:tc>
      </w:tr>
      <w:tr>
        <w:trPr>
          <w:trHeight w:val="202"/>
        </w:trPr>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52,622</w:t>
            </w: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52,785</w:t>
            </w:r>
          </w:p>
        </w:tc>
      </w:tr>
      <w:tr>
        <w:trPr>
          <w:trHeight w:val="20"/>
        </w:trPr>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79"/>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2,213</w:t>
            </w:r>
          </w:p>
        </w:tc>
        <w:tc>
          <w:tcPr>
            <w:tcW w:w="700" w:type="dxa"/>
            <w:vAlign w:val="bottom"/>
          </w:tcPr>
          <w:p>
            <w:pPr>
              <w:jc w:val="right"/>
              <w:ind w:right="53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2,554</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2,053</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1,688</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1,299</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1,672</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5,512</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4,042</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3,191</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3,121</w:t>
            </w:r>
          </w:p>
        </w:tc>
      </w:tr>
      <w:tr>
        <w:trPr>
          <w:trHeight w:val="237"/>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2,401</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2,281</w:t>
            </w:r>
          </w:p>
        </w:tc>
      </w:tr>
      <w:tr>
        <w:trPr>
          <w:trHeight w:val="211"/>
        </w:trPr>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16,669</w:t>
            </w:r>
          </w:p>
        </w:tc>
        <w:tc>
          <w:tcPr>
            <w:tcW w:w="7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15,358</w:t>
            </w:r>
          </w:p>
        </w:tc>
      </w:tr>
      <w:tr>
        <w:trPr>
          <w:trHeight w:val="468"/>
        </w:trPr>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21,863</w:t>
            </w:r>
          </w:p>
        </w:tc>
        <w:tc>
          <w:tcPr>
            <w:tcW w:w="70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22,511</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7,118</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7,497</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5,484</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5,701</w:t>
            </w:r>
          </w:p>
        </w:tc>
      </w:tr>
      <w:tr>
        <w:trPr>
          <w:trHeight w:val="237"/>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2,357</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2,498</w:t>
            </w:r>
          </w:p>
        </w:tc>
      </w:tr>
      <w:tr>
        <w:trPr>
          <w:trHeight w:val="211"/>
        </w:trPr>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36,822</w:t>
            </w:r>
          </w:p>
        </w:tc>
        <w:tc>
          <w:tcPr>
            <w:tcW w:w="7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38,207</w:t>
            </w:r>
          </w:p>
        </w:tc>
      </w:tr>
      <w:tr>
        <w:trPr>
          <w:trHeight w:val="795"/>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5</w:t>
            </w:r>
          </w:p>
        </w:tc>
        <w:tc>
          <w:tcPr>
            <w:tcW w:w="70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5</w:t>
            </w:r>
          </w:p>
        </w:tc>
      </w:tr>
      <w:tr>
        <w:trPr>
          <w:trHeight w:val="234"/>
        </w:trPr>
        <w:tc>
          <w:tcPr>
            <w:tcW w:w="640" w:type="dxa"/>
            <w:vAlign w:val="bottom"/>
          </w:tcPr>
          <w:p>
            <w:pPr>
              <w:jc w:val="right"/>
              <w:ind w:right="174"/>
              <w:spacing w:after="0"/>
              <w:rPr>
                <w:sz w:val="20"/>
                <w:szCs w:val="20"/>
                <w:color w:val="auto"/>
              </w:rPr>
            </w:pPr>
            <w:r>
              <w:rPr>
                <w:rFonts w:ascii="Arial" w:cs="Arial" w:eastAsia="Arial" w:hAnsi="Arial"/>
                <w:sz w:val="13"/>
                <w:szCs w:val="13"/>
                <w:color w:val="auto"/>
              </w:rPr>
              <w:t>4,923</w:t>
            </w:r>
          </w:p>
        </w:tc>
        <w:tc>
          <w:tcPr>
            <w:tcW w:w="70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5,714</w:t>
            </w:r>
          </w:p>
        </w:tc>
      </w:tr>
      <w:tr>
        <w:trPr>
          <w:trHeight w:val="234"/>
        </w:trPr>
        <w:tc>
          <w:tcPr>
            <w:tcW w:w="640" w:type="dxa"/>
            <w:vAlign w:val="bottom"/>
          </w:tcPr>
          <w:p>
            <w:pPr>
              <w:jc w:val="right"/>
              <w:ind w:right="114"/>
              <w:spacing w:after="0"/>
              <w:rPr>
                <w:sz w:val="20"/>
                <w:szCs w:val="20"/>
                <w:color w:val="auto"/>
              </w:rPr>
            </w:pPr>
            <w:r>
              <w:rPr>
                <w:rFonts w:ascii="Arial" w:cs="Arial" w:eastAsia="Arial" w:hAnsi="Arial"/>
                <w:sz w:val="13"/>
                <w:szCs w:val="13"/>
                <w:color w:val="auto"/>
              </w:rPr>
              <w:t>(5,187)</w:t>
            </w:r>
          </w:p>
        </w:tc>
        <w:tc>
          <w:tcPr>
            <w:tcW w:w="7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(5,154)</w:t>
            </w:r>
          </w:p>
        </w:tc>
      </w:tr>
      <w:tr>
        <w:trPr>
          <w:trHeight w:val="237"/>
        </w:trPr>
        <w:tc>
          <w:tcPr>
            <w:tcW w:w="640" w:type="dxa"/>
            <w:vAlign w:val="bottom"/>
          </w:tcPr>
          <w:p>
            <w:pPr>
              <w:jc w:val="right"/>
              <w:ind w:right="114"/>
              <w:spacing w:after="0"/>
              <w:rPr>
                <w:sz w:val="20"/>
                <w:szCs w:val="20"/>
                <w:color w:val="auto"/>
              </w:rPr>
            </w:pPr>
            <w:r>
              <w:rPr>
                <w:rFonts w:ascii="Arial" w:cs="Arial" w:eastAsia="Arial" w:hAnsi="Arial"/>
                <w:sz w:val="13"/>
                <w:szCs w:val="13"/>
                <w:color w:val="auto"/>
              </w:rPr>
              <w:t>(610)</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r>
      <w:tr>
        <w:trPr>
          <w:trHeight w:val="214"/>
        </w:trPr>
        <w:tc>
          <w:tcPr>
            <w:tcW w:w="640" w:type="dxa"/>
            <w:vAlign w:val="bottom"/>
          </w:tcPr>
          <w:p>
            <w:pPr>
              <w:jc w:val="right"/>
              <w:ind w:right="114"/>
              <w:spacing w:after="0"/>
              <w:rPr>
                <w:sz w:val="20"/>
                <w:szCs w:val="20"/>
                <w:color w:val="auto"/>
              </w:rPr>
            </w:pPr>
            <w:r>
              <w:rPr>
                <w:rFonts w:ascii="Arial" w:cs="Arial" w:eastAsia="Arial" w:hAnsi="Arial"/>
                <w:sz w:val="13"/>
                <w:szCs w:val="13"/>
                <w:color w:val="auto"/>
              </w:rPr>
              <w:t>(869)</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w:t>
            </w:r>
          </w:p>
        </w:tc>
      </w:tr>
      <w:tr>
        <w:trPr>
          <w:trHeight w:val="202"/>
        </w:trPr>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52,622</w:t>
            </w: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52,785</w:t>
            </w:r>
          </w:p>
        </w:tc>
      </w:tr>
      <w:tr>
        <w:trPr>
          <w:trHeight w:val="20"/>
        </w:trPr>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-21590</wp:posOffset>
            </wp:positionV>
            <wp:extent cx="11664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6495" cy="762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-6985</wp:posOffset>
            </wp:positionV>
            <wp:extent cx="11664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762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-162560</wp:posOffset>
            </wp:positionV>
            <wp:extent cx="11664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6495" cy="762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-1410970</wp:posOffset>
            </wp:positionV>
            <wp:extent cx="11664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6495" cy="762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-2301875</wp:posOffset>
            </wp:positionV>
            <wp:extent cx="11664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66495" cy="762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-3572510</wp:posOffset>
            </wp:positionV>
            <wp:extent cx="2392045" cy="81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92045" cy="8191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-3869690</wp:posOffset>
            </wp:positionV>
            <wp:extent cx="11664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60"/>
          </w:cols>
          <w:pgMar w:left="240" w:top="518" w:right="219" w:bottom="1440" w:gutter="0" w:footer="0" w:header="0"/>
          <w:type w:val="continuous"/>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40"/>
          </w:cols>
          <w:pgMar w:left="240" w:top="518" w:right="21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518" w:right="219" w:bottom="1440" w:gutter="0" w:footer="0" w:header="0"/>
          <w:type w:val="continuous"/>
        </w:sectPr>
      </w:pPr>
    </w:p>
    <w:bookmarkStart w:id="7" w:name="page8"/>
    <w:bookmarkEnd w:id="7"/>
    <w:p>
      <w:pPr>
        <w:jc w:val="center"/>
        <w:ind w:right="14"/>
        <w:spacing w:after="0"/>
        <w:rPr>
          <w:sz w:val="20"/>
          <w:szCs w:val="20"/>
          <w:color w:val="auto"/>
        </w:rPr>
      </w:pPr>
      <w:r>
        <w:rPr>
          <w:rFonts w:ascii="Arial" w:cs="Arial" w:eastAsia="Arial" w:hAnsi="Arial"/>
          <w:sz w:val="16"/>
          <w:szCs w:val="16"/>
          <w:b w:val="1"/>
          <w:bCs w:val="1"/>
          <w:color w:val="auto"/>
        </w:rPr>
        <w:t>AMERICAN AIRLINES GROUP INC.</w:t>
      </w:r>
    </w:p>
    <w:p>
      <w:pPr>
        <w:spacing w:after="0" w:line="21"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(In millions)(Unaudited)</w:t>
      </w:r>
    </w:p>
    <w:p>
      <w:pPr>
        <w:spacing w:after="0" w:line="275"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22860</wp:posOffset>
            </wp:positionV>
            <wp:extent cx="22510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51075" cy="7620"/>
                    </a:xfrm>
                    <a:prstGeom prst="rect">
                      <a:avLst/>
                    </a:prstGeom>
                    <a:noFill/>
                  </pic:spPr>
                </pic:pic>
              </a:graphicData>
            </a:graphic>
          </wp:anchor>
        </w:drawing>
      </w:r>
    </w:p>
    <w:p>
      <w:pPr>
        <w:spacing w:after="0" w:line="88" w:lineRule="exact"/>
        <w:rPr>
          <w:sz w:val="20"/>
          <w:szCs w:val="20"/>
          <w:color w:val="auto"/>
        </w:rPr>
      </w:pPr>
    </w:p>
    <w:p>
      <w:pPr>
        <w:ind w:left="8626"/>
        <w:spacing w:after="0"/>
        <w:tabs>
          <w:tab w:leader="none" w:pos="10426"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65035" cy="14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20" w:lineRule="exact"/>
        <w:rPr>
          <w:sz w:val="20"/>
          <w:szCs w:val="20"/>
          <w:color w:val="auto"/>
        </w:rPr>
      </w:pPr>
    </w:p>
    <w:p>
      <w:pPr>
        <w:ind w:left="26"/>
        <w:spacing w:after="0"/>
        <w:tabs>
          <w:tab w:leader="none" w:pos="7906" w:val="left"/>
          <w:tab w:leader="none" w:pos="9106" w:val="left"/>
          <w:tab w:leader="none" w:pos="9726" w:val="left"/>
          <w:tab w:leader="none" w:pos="10926" w:val="left"/>
        </w:tabs>
        <w:rPr>
          <w:sz w:val="20"/>
          <w:szCs w:val="20"/>
          <w:color w:val="auto"/>
        </w:rPr>
      </w:pPr>
      <w:r>
        <w:rPr>
          <w:rFonts w:ascii="Arial" w:cs="Arial" w:eastAsia="Arial" w:hAnsi="Arial"/>
          <w:sz w:val="16"/>
          <w:szCs w:val="16"/>
          <w:b w:val="1"/>
          <w:bCs w:val="1"/>
          <w:color w:val="auto"/>
        </w:rPr>
        <w:t>Net cash provided by operating activities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2,883</w:t>
        <w:tab/>
        <w:t>$</w:t>
      </w:r>
      <w:r>
        <w:rPr>
          <w:sz w:val="20"/>
          <w:szCs w:val="20"/>
          <w:color w:val="auto"/>
        </w:rPr>
        <w:tab/>
      </w:r>
      <w:r>
        <w:rPr>
          <w:rFonts w:ascii="Arial" w:cs="Arial" w:eastAsia="Arial" w:hAnsi="Arial"/>
          <w:sz w:val="14"/>
          <w:szCs w:val="14"/>
          <w:color w:val="auto"/>
        </w:rPr>
        <w:t>3,938</w:t>
      </w:r>
    </w:p>
    <w:p>
      <w:pPr>
        <w:spacing w:after="0" w:line="5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65035" cy="148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ectPr>
          <w:pgSz w:w="11900" w:h="16838" w:orient="portrait"/>
          <w:cols w:equalWidth="0" w:num="1">
            <w:col w:w="11446"/>
          </w:cols>
          <w:pgMar w:left="234" w:top="518" w:right="219" w:bottom="1440" w:gutter="0" w:footer="0" w:header="0"/>
        </w:sectPr>
      </w:pPr>
    </w:p>
    <w:p>
      <w:pPr>
        <w:spacing w:after="0" w:line="68" w:lineRule="exact"/>
        <w:rPr>
          <w:sz w:val="20"/>
          <w:szCs w:val="20"/>
          <w:color w:val="auto"/>
        </w:rPr>
      </w:pPr>
    </w:p>
    <w:p>
      <w:pPr>
        <w:ind w:left="326"/>
        <w:spacing w:after="0"/>
        <w:rPr>
          <w:sz w:val="20"/>
          <w:szCs w:val="20"/>
          <w:color w:val="auto"/>
        </w:rPr>
      </w:pPr>
      <w:r>
        <w:rPr>
          <w:rFonts w:ascii="Arial" w:cs="Arial" w:eastAsia="Arial" w:hAnsi="Arial"/>
          <w:sz w:val="16"/>
          <w:szCs w:val="16"/>
          <w:color w:val="auto"/>
        </w:rPr>
        <w:t>Capital expenditures and aircraft purchase deposits</w:t>
      </w:r>
    </w:p>
    <w:p>
      <w:pPr>
        <w:spacing w:after="0" w:line="50" w:lineRule="exact"/>
        <w:rPr>
          <w:sz w:val="20"/>
          <w:szCs w:val="20"/>
          <w:color w:val="auto"/>
        </w:rPr>
      </w:pPr>
    </w:p>
    <w:p>
      <w:pPr>
        <w:ind w:left="326"/>
        <w:spacing w:after="0"/>
        <w:rPr>
          <w:sz w:val="20"/>
          <w:szCs w:val="20"/>
          <w:color w:val="auto"/>
        </w:rPr>
      </w:pPr>
      <w:r>
        <w:rPr>
          <w:rFonts w:ascii="Arial" w:cs="Arial" w:eastAsia="Arial" w:hAnsi="Arial"/>
          <w:sz w:val="14"/>
          <w:szCs w:val="14"/>
          <w:color w:val="auto"/>
        </w:rPr>
        <w:t>Proceeds from sale of property and equipment and sale-leaseback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65035" cy="148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53" w:lineRule="exact"/>
        <w:rPr>
          <w:sz w:val="20"/>
          <w:szCs w:val="20"/>
          <w:color w:val="auto"/>
        </w:rPr>
      </w:pPr>
    </w:p>
    <w:p>
      <w:pPr>
        <w:ind w:left="326"/>
        <w:spacing w:after="0"/>
        <w:rPr>
          <w:sz w:val="20"/>
          <w:szCs w:val="20"/>
          <w:color w:val="auto"/>
        </w:rPr>
      </w:pPr>
      <w:r>
        <w:rPr>
          <w:rFonts w:ascii="Arial" w:cs="Arial" w:eastAsia="Arial" w:hAnsi="Arial"/>
          <w:sz w:val="16"/>
          <w:szCs w:val="16"/>
          <w:color w:val="auto"/>
        </w:rPr>
        <w:t>Purchases of short-term investments</w:t>
      </w:r>
    </w:p>
    <w:p>
      <w:pPr>
        <w:spacing w:after="0" w:line="50" w:lineRule="exact"/>
        <w:rPr>
          <w:sz w:val="20"/>
          <w:szCs w:val="20"/>
          <w:color w:val="auto"/>
        </w:rPr>
      </w:pPr>
    </w:p>
    <w:p>
      <w:pPr>
        <w:ind w:left="326"/>
        <w:spacing w:after="0"/>
        <w:rPr>
          <w:sz w:val="20"/>
          <w:szCs w:val="20"/>
          <w:color w:val="auto"/>
        </w:rPr>
      </w:pPr>
      <w:r>
        <w:rPr>
          <w:rFonts w:ascii="Arial" w:cs="Arial" w:eastAsia="Arial" w:hAnsi="Arial"/>
          <w:sz w:val="16"/>
          <w:szCs w:val="16"/>
          <w:color w:val="auto"/>
        </w:rPr>
        <w:t>Sales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326"/>
        <w:spacing w:after="0"/>
        <w:rPr>
          <w:sz w:val="20"/>
          <w:szCs w:val="20"/>
          <w:color w:val="auto"/>
        </w:rPr>
      </w:pPr>
      <w:r>
        <w:rPr>
          <w:rFonts w:ascii="Arial" w:cs="Arial" w:eastAsia="Arial" w:hAnsi="Arial"/>
          <w:sz w:val="16"/>
          <w:szCs w:val="16"/>
          <w:color w:val="auto"/>
        </w:rPr>
        <w:t>Decrease in restricted short-term investments</w:t>
      </w:r>
    </w:p>
    <w:p>
      <w:pPr>
        <w:spacing w:after="0" w:line="50" w:lineRule="exact"/>
        <w:rPr>
          <w:sz w:val="20"/>
          <w:szCs w:val="20"/>
          <w:color w:val="auto"/>
        </w:rPr>
      </w:pPr>
    </w:p>
    <w:p>
      <w:pPr>
        <w:ind w:left="606"/>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(1,731)</w:t>
      </w:r>
      <w:r>
        <w:rPr>
          <w:sz w:val="20"/>
          <w:szCs w:val="20"/>
          <w:color w:val="auto"/>
        </w:rPr>
        <w:tab/>
      </w:r>
      <w:r>
        <w:rPr>
          <w:rFonts w:ascii="Arial" w:cs="Arial" w:eastAsia="Arial" w:hAnsi="Arial"/>
          <w:sz w:val="14"/>
          <w:szCs w:val="14"/>
          <w:color w:val="auto"/>
        </w:rPr>
        <w:t>(3,194)</w:t>
      </w:r>
    </w:p>
    <w:p>
      <w:pPr>
        <w:spacing w:after="0" w:line="73"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6"/>
          <w:szCs w:val="16"/>
          <w:color w:val="auto"/>
        </w:rPr>
        <w:t>258</w:t>
      </w:r>
      <w:r>
        <w:rPr>
          <w:sz w:val="20"/>
          <w:szCs w:val="20"/>
          <w:color w:val="auto"/>
        </w:rPr>
        <w:tab/>
      </w:r>
      <w:r>
        <w:rPr>
          <w:rFonts w:ascii="Arial" w:cs="Arial" w:eastAsia="Arial" w:hAnsi="Arial"/>
          <w:sz w:val="16"/>
          <w:szCs w:val="16"/>
          <w:color w:val="auto"/>
        </w:rPr>
        <w:t>313</w:t>
      </w:r>
    </w:p>
    <w:p>
      <w:pPr>
        <w:spacing w:after="0" w:line="50"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(1,184)</w:t>
      </w:r>
      <w:r>
        <w:rPr>
          <w:sz w:val="20"/>
          <w:szCs w:val="20"/>
          <w:color w:val="auto"/>
        </w:rPr>
        <w:tab/>
      </w:r>
      <w:r>
        <w:rPr>
          <w:rFonts w:ascii="Arial" w:cs="Arial" w:eastAsia="Arial" w:hAnsi="Arial"/>
          <w:sz w:val="14"/>
          <w:szCs w:val="14"/>
          <w:color w:val="auto"/>
        </w:rPr>
        <w:t>(3,829)</w:t>
      </w:r>
    </w:p>
    <w:p>
      <w:pPr>
        <w:spacing w:after="0" w:line="73" w:lineRule="exact"/>
        <w:rPr>
          <w:sz w:val="20"/>
          <w:szCs w:val="20"/>
          <w:color w:val="auto"/>
        </w:rPr>
      </w:pPr>
    </w:p>
    <w:p>
      <w:pPr>
        <w:ind w:left="40"/>
        <w:spacing w:after="0"/>
        <w:tabs>
          <w:tab w:leader="none" w:pos="1840" w:val="left"/>
        </w:tabs>
        <w:rPr>
          <w:sz w:val="20"/>
          <w:szCs w:val="20"/>
          <w:color w:val="auto"/>
        </w:rPr>
      </w:pPr>
      <w:r>
        <w:rPr>
          <w:rFonts w:ascii="Arial" w:cs="Arial" w:eastAsia="Arial" w:hAnsi="Arial"/>
          <w:sz w:val="16"/>
          <w:szCs w:val="16"/>
          <w:color w:val="auto"/>
        </w:rPr>
        <w:t>1,579</w:t>
      </w:r>
      <w:r>
        <w:rPr>
          <w:sz w:val="20"/>
          <w:szCs w:val="20"/>
          <w:color w:val="auto"/>
        </w:rPr>
        <w:tab/>
      </w:r>
      <w:r>
        <w:rPr>
          <w:rFonts w:ascii="Arial" w:cs="Arial" w:eastAsia="Arial" w:hAnsi="Arial"/>
          <w:sz w:val="16"/>
          <w:szCs w:val="16"/>
          <w:color w:val="auto"/>
        </w:rPr>
        <w:t>3,373</w:t>
      </w:r>
    </w:p>
    <w:p>
      <w:pPr>
        <w:spacing w:after="0" w:line="50" w:lineRule="exact"/>
        <w:rPr>
          <w:sz w:val="20"/>
          <w:szCs w:val="20"/>
          <w:color w:val="auto"/>
        </w:rPr>
      </w:pPr>
    </w:p>
    <w:p>
      <w:pPr>
        <w:ind w:left="260"/>
        <w:spacing w:after="0"/>
        <w:tabs>
          <w:tab w:leader="none" w:pos="20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10160</wp:posOffset>
            </wp:positionV>
            <wp:extent cx="22510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1075" cy="7620"/>
                    </a:xfrm>
                    <a:prstGeom prst="rect">
                      <a:avLst/>
                    </a:prstGeom>
                    <a:noFill/>
                  </pic:spPr>
                </pic:pic>
              </a:graphicData>
            </a:graphic>
          </wp:anchor>
        </w:drawing>
      </w:r>
    </w:p>
    <w:p>
      <w:pPr>
        <w:spacing w:after="0" w:line="30"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(1,035)</w:t>
      </w:r>
      <w:r>
        <w:rPr>
          <w:sz w:val="20"/>
          <w:szCs w:val="20"/>
          <w:color w:val="auto"/>
        </w:rPr>
        <w:tab/>
      </w:r>
      <w:r>
        <w:rPr>
          <w:rFonts w:ascii="Arial" w:cs="Arial" w:eastAsia="Arial" w:hAnsi="Arial"/>
          <w:sz w:val="14"/>
          <w:szCs w:val="14"/>
          <w:color w:val="auto"/>
        </w:rPr>
        <w:t>(3,264)</w:t>
      </w:r>
    </w:p>
    <w:p>
      <w:pPr>
        <w:spacing w:after="0" w:line="295" w:lineRule="exact"/>
        <w:rPr>
          <w:sz w:val="20"/>
          <w:szCs w:val="20"/>
          <w:color w:val="auto"/>
        </w:rPr>
      </w:pPr>
    </w:p>
    <w:p>
      <w:pPr>
        <w:sectPr>
          <w:pgSz w:w="11900" w:h="16838" w:orient="portrait"/>
          <w:cols w:equalWidth="0" w:num="2">
            <w:col w:w="8366" w:space="720"/>
            <w:col w:w="2360"/>
          </w:cols>
          <w:pgMar w:left="234" w:top="518" w:right="219" w:bottom="1440" w:gutter="0" w:footer="0" w:header="0"/>
          <w:type w:val="continuous"/>
        </w:sectPr>
      </w:pPr>
    </w:p>
    <w:tbl>
      <w:tblPr>
        <w:tblLayout w:type="fixed"/>
        <w:tblInd w:w="6" w:type="dxa"/>
        <w:tblCellMar>
          <w:top w:w="0" w:type="dxa"/>
          <w:left w:w="0" w:type="dxa"/>
          <w:bottom w:w="0" w:type="dxa"/>
          <w:right w:w="0" w:type="dxa"/>
        </w:tblCellMar>
      </w:tblPr>
      <w:tr>
        <w:trPr>
          <w:trHeight w:val="205"/>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long-term debt</w:t>
            </w:r>
          </w:p>
        </w:tc>
        <w:tc>
          <w:tcPr>
            <w:tcW w:w="6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1,625</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Payments on long-term debt and capital leases</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28"/>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Deferred financing costs</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Treasury stock repurchases</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r>
      <w:tr>
        <w:trPr>
          <w:trHeight w:val="228"/>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Dividend payments</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financing activities</w:t>
            </w:r>
          </w:p>
        </w:tc>
        <w:tc>
          <w:tcPr>
            <w:tcW w:w="6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r>
      <w:tr>
        <w:trPr>
          <w:trHeight w:val="208"/>
        </w:trPr>
        <w:tc>
          <w:tcPr>
            <w:tcW w:w="78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Net cash used in financing activities</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2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restricted cash</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w:t>
            </w:r>
          </w:p>
        </w:tc>
      </w:tr>
      <w:tr>
        <w:trPr>
          <w:trHeight w:val="228"/>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436</w:t>
            </w:r>
          </w:p>
        </w:tc>
      </w:tr>
      <w:tr>
        <w:trPr>
          <w:trHeight w:val="22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Cash and restricted cash at end of period </w:t>
            </w:r>
            <w:r>
              <w:rPr>
                <w:rFonts w:ascii="Arial" w:cs="Arial" w:eastAsia="Arial" w:hAnsi="Arial"/>
                <w:sz w:val="18"/>
                <w:szCs w:val="18"/>
                <w:color w:val="auto"/>
                <w:vertAlign w:val="superscript"/>
              </w:rPr>
              <w:t>(a)</w:t>
            </w: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489</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1"/>
        </w:trPr>
        <w:tc>
          <w:tcPr>
            <w:tcW w:w="2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8"/>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Interest paid, net</w:t>
            </w:r>
          </w:p>
        </w:tc>
        <w:tc>
          <w:tcPr>
            <w:tcW w:w="6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516</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taxes paid</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r>
      <w:tr>
        <w:trPr>
          <w:trHeight w:val="222"/>
        </w:trPr>
        <w:tc>
          <w:tcPr>
            <w:tcW w:w="2120" w:type="dxa"/>
            <w:vAlign w:val="bottom"/>
            <w:tcBorders>
              <w:bottom w:val="single" w:sz="8" w:color="auto"/>
            </w:tcBorders>
          </w:tcPr>
          <w:p>
            <w:pPr>
              <w:spacing w:after="0"/>
              <w:rPr>
                <w:sz w:val="19"/>
                <w:szCs w:val="19"/>
                <w:color w:val="auto"/>
              </w:rPr>
            </w:pPr>
          </w:p>
        </w:tc>
        <w:tc>
          <w:tcPr>
            <w:tcW w:w="5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48" w:lineRule="exact"/>
        <w:rPr>
          <w:sz w:val="20"/>
          <w:szCs w:val="20"/>
          <w:color w:val="auto"/>
        </w:rPr>
      </w:pPr>
    </w:p>
    <w:p>
      <w:pPr>
        <w:ind w:left="146" w:hanging="146"/>
        <w:spacing w:after="0"/>
        <w:tabs>
          <w:tab w:leader="none" w:pos="146"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 following table provides a reconciliation of cash and restricted cash to amounts reported within the condensed consolidated balance sheets:</w:t>
      </w:r>
    </w:p>
    <w:p>
      <w:pPr>
        <w:spacing w:after="0" w:line="258"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386</w:t>
            </w:r>
          </w:p>
        </w:tc>
      </w:tr>
      <w:tr>
        <w:trPr>
          <w:trHeight w:val="22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restricted cash and short-term investments</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w:t>
            </w:r>
          </w:p>
        </w:tc>
      </w:tr>
      <w:tr>
        <w:trPr>
          <w:trHeight w:val="22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cash and restricted cash</w:t>
            </w: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489</w:t>
            </w:r>
          </w:p>
        </w:tc>
      </w:tr>
      <w:tr>
        <w:trPr>
          <w:trHeight w:val="20"/>
        </w:trPr>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6"/>
          </w:cols>
          <w:pgMar w:left="234" w:top="518" w:right="219" w:bottom="1440" w:gutter="0" w:footer="0" w:header="0"/>
          <w:type w:val="continuous"/>
        </w:sectPr>
      </w:pPr>
    </w:p>
    <w:bookmarkStart w:id="8" w:name="page9"/>
    <w:bookmarkEnd w:id="8"/>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p>
      <w:pPr>
        <w:ind w:left="166" w:hanging="166"/>
        <w:spacing w:after="0"/>
        <w:tabs>
          <w:tab w:leader="none" w:pos="16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Recent Accounting Pronouncements</w:t>
      </w:r>
    </w:p>
    <w:p>
      <w:pPr>
        <w:spacing w:after="0" w:line="73" w:lineRule="exact"/>
        <w:rPr>
          <w:rFonts w:ascii="Arial" w:cs="Arial" w:eastAsia="Arial" w:hAnsi="Arial"/>
          <w:sz w:val="16"/>
          <w:szCs w:val="16"/>
          <w:b w:val="1"/>
          <w:bCs w:val="1"/>
          <w:color w:val="auto"/>
        </w:rPr>
      </w:pPr>
    </w:p>
    <w:p>
      <w:pPr>
        <w:ind w:left="426" w:hanging="239"/>
        <w:spacing w:after="0"/>
        <w:tabs>
          <w:tab w:leader="none" w:pos="426"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91"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2017.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38"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Immediately thereafter, US Airways, Inc. (US Airways), a wholly-owned subsidiary of US Airways Group, merged with and into American, with American as the surviving corporation.</w:t>
      </w:r>
    </w:p>
    <w:p>
      <w:pPr>
        <w:spacing w:after="0" w:line="137" w:lineRule="exact"/>
        <w:rPr>
          <w:sz w:val="20"/>
          <w:szCs w:val="20"/>
          <w:color w:val="auto"/>
        </w:rPr>
      </w:pPr>
    </w:p>
    <w:p>
      <w:pPr>
        <w:jc w:val="both"/>
        <w:ind w:left="6" w:firstLine="187"/>
        <w:spacing w:after="0" w:line="244"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193" w:lineRule="exact"/>
        <w:rPr>
          <w:sz w:val="20"/>
          <w:szCs w:val="20"/>
          <w:color w:val="auto"/>
        </w:rPr>
      </w:pPr>
    </w:p>
    <w:p>
      <w:pPr>
        <w:ind w:left="186" w:right="8000" w:firstLine="1"/>
        <w:spacing w:after="0" w:line="397" w:lineRule="auto"/>
        <w:tabs>
          <w:tab w:leader="none" w:pos="429"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 Accounting Pronouncements </w:t>
      </w:r>
      <w:r>
        <w:rPr>
          <w:rFonts w:ascii="Arial" w:cs="Arial" w:eastAsia="Arial" w:hAnsi="Arial"/>
          <w:sz w:val="14"/>
          <w:szCs w:val="14"/>
          <w:i w:val="1"/>
          <w:iCs w:val="1"/>
          <w:u w:val="single" w:color="auto"/>
          <w:color w:val="auto"/>
        </w:rPr>
        <w:t>Standards Effective for 2018 Reporting Periods</w:t>
      </w:r>
    </w:p>
    <w:p>
      <w:pPr>
        <w:ind w:left="186"/>
        <w:spacing w:after="0"/>
        <w:rPr>
          <w:rFonts w:ascii="Arial" w:cs="Arial" w:eastAsia="Arial" w:hAnsi="Arial"/>
          <w:sz w:val="14"/>
          <w:szCs w:val="14"/>
          <w:b w:val="1"/>
          <w:bCs w:val="1"/>
          <w:color w:val="auto"/>
        </w:rPr>
      </w:pPr>
      <w:r>
        <w:rPr>
          <w:rFonts w:ascii="Arial" w:cs="Arial" w:eastAsia="Arial" w:hAnsi="Arial"/>
          <w:sz w:val="16"/>
          <w:szCs w:val="16"/>
          <w:color w:val="auto"/>
        </w:rPr>
        <w:t>Effective January 1, 2018, we adopted the accounting pronouncements described below.</w:t>
      </w:r>
    </w:p>
    <w:p>
      <w:pPr>
        <w:spacing w:after="0" w:line="196" w:lineRule="exact"/>
        <w:rPr>
          <w:sz w:val="20"/>
          <w:szCs w:val="20"/>
          <w:color w:val="auto"/>
        </w:rPr>
      </w:pPr>
    </w:p>
    <w:p>
      <w:pPr>
        <w:ind w:left="186"/>
        <w:spacing w:after="0"/>
        <w:rPr>
          <w:sz w:val="20"/>
          <w:szCs w:val="20"/>
          <w:color w:val="auto"/>
        </w:rPr>
      </w:pPr>
      <w:r>
        <w:rPr>
          <w:rFonts w:ascii="Arial" w:cs="Arial" w:eastAsia="Arial" w:hAnsi="Arial"/>
          <w:sz w:val="16"/>
          <w:szCs w:val="16"/>
          <w:b w:val="1"/>
          <w:bCs w:val="1"/>
          <w:i w:val="1"/>
          <w:iCs w:val="1"/>
          <w:color w:val="auto"/>
        </w:rPr>
        <w:t>ASU 2014-09: Revenue from Contracts with Customers (Topic 606) (the New Revenue Standard)</w:t>
      </w:r>
    </w:p>
    <w:p>
      <w:pPr>
        <w:spacing w:after="0" w:line="91"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34" w:lineRule="exact"/>
        <w:rPr>
          <w:sz w:val="20"/>
          <w:szCs w:val="20"/>
          <w:color w:val="auto"/>
        </w:rPr>
      </w:pPr>
    </w:p>
    <w:p>
      <w:pPr>
        <w:jc w:val="both"/>
        <w:ind w:left="6" w:firstLine="187"/>
        <w:spacing w:after="0" w:line="244" w:lineRule="auto"/>
        <w:rPr>
          <w:sz w:val="20"/>
          <w:szCs w:val="20"/>
          <w:color w:val="auto"/>
        </w:rPr>
      </w:pPr>
      <w:r>
        <w:rPr>
          <w:rFonts w:ascii="Arial" w:cs="Arial" w:eastAsia="Arial" w:hAnsi="Arial"/>
          <w:sz w:val="16"/>
          <w:szCs w:val="16"/>
          <w:color w:val="auto"/>
        </w:rPr>
        <w:t>The adoption of the New Revenue Standard impacted our accounting for outstanding mileage credits earned through travel by AAdvantage loyalty program members. There was no change in accounting for sales of mileage credits to co-branded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41" w:lineRule="exact"/>
        <w:rPr>
          <w:sz w:val="20"/>
          <w:szCs w:val="20"/>
          <w:color w:val="auto"/>
        </w:rPr>
      </w:pPr>
    </w:p>
    <w:p>
      <w:pPr>
        <w:jc w:val="both"/>
        <w:ind w:left="6" w:right="20" w:firstLine="187"/>
        <w:spacing w:after="0" w:line="246" w:lineRule="auto"/>
        <w:rPr>
          <w:sz w:val="20"/>
          <w:szCs w:val="20"/>
          <w:color w:val="auto"/>
        </w:rPr>
      </w:pPr>
      <w:r>
        <w:rPr>
          <w:rFonts w:ascii="Arial" w:cs="Arial" w:eastAsia="Arial" w:hAnsi="Arial"/>
          <w:sz w:val="16"/>
          <w:szCs w:val="16"/>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condensed consolidated statement of operations for certain revenues and expenses that had previously been presented on a net basis.</w:t>
      </w:r>
    </w:p>
    <w:p>
      <w:pPr>
        <w:spacing w:after="0" w:line="136" w:lineRule="exact"/>
        <w:rPr>
          <w:sz w:val="20"/>
          <w:szCs w:val="20"/>
          <w:color w:val="auto"/>
        </w:rPr>
      </w:pPr>
    </w:p>
    <w:p>
      <w:pPr>
        <w:jc w:val="both"/>
        <w:ind w:left="6" w:right="20" w:firstLine="199"/>
        <w:spacing w:after="0" w:line="248" w:lineRule="auto"/>
        <w:rPr>
          <w:sz w:val="20"/>
          <w:szCs w:val="20"/>
          <w:color w:val="auto"/>
        </w:rPr>
      </w:pPr>
      <w:r>
        <w:rPr>
          <w:rFonts w:ascii="Arial" w:cs="Arial" w:eastAsia="Arial" w:hAnsi="Arial"/>
          <w:sz w:val="16"/>
          <w:szCs w:val="16"/>
          <w:color w:val="auto"/>
        </w:rPr>
        <w:t>See recast condensed consolidated statement of operations data for the three and six months ended June 30, 2017 and recast consolidated balance sheet data as of December 31, 2017 presented below for the effects of adoption.</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6"/>
          </w:cols>
          <w:pgMar w:left="234" w:top="518"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jc w:val="both"/>
        <w:ind w:firstLine="187"/>
        <w:spacing w:after="0" w:line="271" w:lineRule="auto"/>
        <w:rPr>
          <w:sz w:val="20"/>
          <w:szCs w:val="20"/>
          <w:color w:val="auto"/>
        </w:rPr>
      </w:pPr>
      <w:r>
        <w:rPr>
          <w:rFonts w:ascii="Arial" w:cs="Arial" w:eastAsia="Arial" w:hAnsi="Arial"/>
          <w:sz w:val="16"/>
          <w:szCs w:val="16"/>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7"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See recast condensed consolidated statement of operations data for the three and six months ended June 30, 2017 presented below for the effects of adoption.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2016-01: Financial Instruments - Overall (Subtopic 825-10)</w:t>
      </w:r>
    </w:p>
    <w:p>
      <w:pPr>
        <w:spacing w:after="0" w:line="91"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$77 million cumulative effect adjustment credit to retained earnings related to our investment in China Southern Airlines Company Limited (China Southern Airlines), which was previously accounted for under the cost method.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ASU 2016-18: Statement of Cash Flows (Topic 230): Restricted Cash</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This ASU required that the change in total cash, cash at beginning of period and cash at end of period on the statement of cash flows include restricted cash and restricted cash equivalents and also requires companies who report cash and restricted cash separately on the balance sheet to reconcile those amounts to the statement of cash flows. This standard was applied retrospectively, which resulted in the recast of the prior reporting period in the statement of cash flows. For the six months ended June 30, 2018 and 2017, $12 million and $103 million, respectively, of restricted cash is included in the total of cash and restricted cash balance at the end of period. A reconciliation of cash and restricted cash from our condensed consolidated statement of cash flows to the amounts reported within our condensed consolidated balance sheet is also included in a table below our condensed consolidated statement of cash flows.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Impacts to Prior Period Results</w:t>
      </w:r>
    </w:p>
    <w:p>
      <w:pPr>
        <w:spacing w:after="0" w:line="91" w:lineRule="exact"/>
        <w:rPr>
          <w:sz w:val="20"/>
          <w:szCs w:val="20"/>
          <w:color w:val="auto"/>
        </w:rPr>
      </w:pPr>
    </w:p>
    <w:p>
      <w:pPr>
        <w:jc w:val="both"/>
        <w:ind w:right="20" w:firstLine="211"/>
        <w:spacing w:after="0" w:line="248" w:lineRule="auto"/>
        <w:rPr>
          <w:sz w:val="20"/>
          <w:szCs w:val="20"/>
          <w:color w:val="auto"/>
        </w:rPr>
      </w:pPr>
      <w:r>
        <w:rPr>
          <w:rFonts w:ascii="Arial" w:cs="Arial" w:eastAsia="Arial" w:hAnsi="Arial"/>
          <w:sz w:val="16"/>
          <w:szCs w:val="16"/>
          <w:color w:val="auto"/>
        </w:rPr>
        <w:t>The effects of adoption of the New Revenue Standard and New Retirement Standard to our condensed consolidated statement of operations for the three and six months ended June 30, 2017 were as follows (in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Three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c>
          <w:tcPr>
            <w:tcW w:w="0" w:type="dxa"/>
            <w:vAlign w:val="bottom"/>
          </w:tcPr>
          <w:p>
            <w:pPr>
              <w:spacing w:after="0"/>
              <w:rPr>
                <w:sz w:val="1"/>
                <w:szCs w:val="1"/>
                <w:color w:val="auto"/>
              </w:rPr>
            </w:pPr>
          </w:p>
        </w:tc>
      </w:tr>
      <w:tr>
        <w:trPr>
          <w:trHeight w:val="23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9,582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11,227</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9,628</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ind w:left="3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vMerge w:val="restart"/>
          </w:tcPr>
          <w:p>
            <w:pPr>
              <w:jc w:val="right"/>
              <w:ind w:right="1085"/>
              <w:spacing w:after="0"/>
              <w:rPr>
                <w:sz w:val="20"/>
                <w:szCs w:val="20"/>
                <w:color w:val="auto"/>
              </w:rPr>
            </w:pPr>
            <w:r>
              <w:rPr>
                <w:rFonts w:ascii="Arial" w:cs="Arial" w:eastAsia="Arial" w:hAnsi="Arial"/>
                <w:sz w:val="16"/>
                <w:szCs w:val="16"/>
                <w:color w:val="auto"/>
              </w:rPr>
              <w:t>9</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08"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Six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r>
      <w:tr>
        <w:trPr>
          <w:trHeight w:val="23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17,737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19,350</w:t>
            </w: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410</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2,624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1,287</w:t>
            </w: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21,047</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18,593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18,711</w:t>
            </w: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2,336</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1,924</w:t>
            </w: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720</w:t>
            </w: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000" w:type="dxa"/>
            <w:vAlign w:val="bottom"/>
            <w:gridSpan w:val="2"/>
          </w:tcPr>
          <w:p>
            <w:pPr>
              <w:ind w:left="3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2.41</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effects of adoption of the New Revenue Standard to our December 31, 2017 consolidated balance sheet are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As Reported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New Revenue Standard</w:t>
            </w:r>
          </w:p>
        </w:tc>
        <w:tc>
          <w:tcPr>
            <w:tcW w:w="360" w:type="dxa"/>
            <w:vAlign w:val="bottom"/>
          </w:tcPr>
          <w:p>
            <w:pPr>
              <w:spacing w:after="0"/>
              <w:rPr>
                <w:sz w:val="14"/>
                <w:szCs w:val="14"/>
                <w:color w:val="auto"/>
              </w:rPr>
            </w:pPr>
          </w:p>
        </w:tc>
        <w:tc>
          <w:tcPr>
            <w:tcW w:w="1460" w:type="dxa"/>
            <w:vAlign w:val="bottom"/>
          </w:tcPr>
          <w:p>
            <w:pPr>
              <w:jc w:val="right"/>
              <w:ind w:right="545"/>
              <w:spacing w:after="0"/>
              <w:rPr>
                <w:sz w:val="20"/>
                <w:szCs w:val="20"/>
                <w:color w:val="auto"/>
              </w:rPr>
            </w:pPr>
            <w:r>
              <w:rPr>
                <w:rFonts w:ascii="Arial" w:cs="Arial" w:eastAsia="Arial" w:hAnsi="Arial"/>
                <w:sz w:val="12"/>
                <w:szCs w:val="12"/>
                <w:b w:val="1"/>
                <w:bCs w:val="1"/>
                <w:color w:val="auto"/>
              </w:rPr>
              <w:t>As Recast</w:t>
            </w:r>
          </w:p>
        </w:tc>
      </w:tr>
      <w:tr>
        <w:trPr>
          <w:trHeight w:val="21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1,389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1,816</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Air traffic liability</w:t>
            </w:r>
          </w:p>
        </w:tc>
        <w:tc>
          <w:tcPr>
            <w:tcW w:w="132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99"/>
              </w:rPr>
              <w:t>3,978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4,042</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loyalty program liability</w:t>
            </w: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9"/>
              </w:rPr>
              <w:t>2,791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3,121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Noncurrent loyalty program liability</w:t>
            </w:r>
          </w:p>
        </w:tc>
        <w:tc>
          <w:tcPr>
            <w:tcW w:w="13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5,701</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9"/>
              </w:rPr>
              <w:t>3,926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bl>
    <w:p>
      <w:pPr>
        <w:spacing w:after="0" w:line="334"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Standards Effective for 2019 Reporting Periods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2016-02: Leases (Topic 842) (the New Lease Standard)</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We will adopt the New Lease Standard effective January 1, 2019. We are currently evaluating how the adoption of the New Lease Standard will impact our consolidated financial statements. Interpretations are on-going and could have a material impact on our implementation. Currently, we expect that the adoption of the New Lease Standard will have a material impact on our consolidated balance sheet due to the recognition of right-of-use assets and lease liabilities principally for certain leases currently accounted for as operating leases.</w:t>
      </w:r>
    </w:p>
    <w:p>
      <w:pPr>
        <w:spacing w:after="0" w:line="193" w:lineRule="exact"/>
        <w:rPr>
          <w:sz w:val="20"/>
          <w:szCs w:val="20"/>
          <w:color w:val="auto"/>
        </w:rPr>
      </w:pPr>
    </w:p>
    <w:p>
      <w:pPr>
        <w:jc w:val="both"/>
        <w:ind w:firstLine="187"/>
        <w:spacing w:after="0" w:line="271" w:lineRule="auto"/>
        <w:rPr>
          <w:sz w:val="20"/>
          <w:szCs w:val="20"/>
          <w:color w:val="auto"/>
        </w:rPr>
      </w:pPr>
      <w:r>
        <w:rPr>
          <w:rFonts w:ascii="Arial" w:cs="Arial" w:eastAsia="Arial" w:hAnsi="Arial"/>
          <w:sz w:val="16"/>
          <w:szCs w:val="16"/>
          <w:b w:val="1"/>
          <w:bCs w:val="1"/>
          <w:i w:val="1"/>
          <w:iCs w:val="1"/>
          <w:color w:val="auto"/>
        </w:rPr>
        <w:t>ASU 2018-02: Income Statement - Reporting Comprehensive Income (Topic 220): Reclassification of Certain Tax Effects from Accumulated Other Comprehensive Income</w:t>
      </w:r>
    </w:p>
    <w:p>
      <w:pPr>
        <w:spacing w:after="0" w:line="47"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This ASU provides financial statement preparers with an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We expect we will adopt this standard effective January 1, 2019. The adoption of the standard may impact tax amounts stranded in accumulated other comprehensive income related to our pension and retiree medical and other postretirement benefit plans.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308" w:right="219" w:bottom="1440" w:gutter="0" w:footer="0" w:header="0"/>
        </w:sectPr>
      </w:pPr>
    </w:p>
    <w:bookmarkStart w:id="11" w:name="page12"/>
    <w:bookmarkEnd w:id="11"/>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66" w:hanging="166"/>
        <w:spacing w:after="0"/>
        <w:tabs>
          <w:tab w:leader="none" w:pos="16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Special Items, Net</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Special items, net in the condensed consolidated statements of operations consisted of the following expenses (income) (in millions):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5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130</w:t>
            </w: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Mark-to-market adjustments on bankruptcy obligations </w:t>
            </w:r>
            <w:r>
              <w:rPr>
                <w:rFonts w:ascii="Arial" w:cs="Arial" w:eastAsia="Arial" w:hAnsi="Arial"/>
                <w:sz w:val="18"/>
                <w:szCs w:val="18"/>
                <w:color w:val="auto"/>
                <w:vertAlign w:val="superscript"/>
              </w:rPr>
              <w:t>(3)</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Labor contract expenses</w:t>
            </w:r>
          </w:p>
        </w:tc>
        <w:tc>
          <w:tcPr>
            <w:tcW w:w="100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45</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charges, net</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r>
      <w:tr>
        <w:trPr>
          <w:trHeight w:val="208"/>
        </w:trPr>
        <w:tc>
          <w:tcPr>
            <w:tcW w:w="5040" w:type="dxa"/>
            <w:vAlign w:val="bottom"/>
          </w:tcPr>
          <w:p>
            <w:pPr>
              <w:ind w:left="220"/>
              <w:spacing w:after="0"/>
              <w:rPr>
                <w:sz w:val="20"/>
                <w:szCs w:val="20"/>
                <w:color w:val="auto"/>
              </w:rPr>
            </w:pPr>
            <w:r>
              <w:rPr>
                <w:rFonts w:ascii="Arial" w:cs="Arial" w:eastAsia="Arial" w:hAnsi="Arial"/>
                <w:sz w:val="16"/>
                <w:szCs w:val="16"/>
                <w:color w:val="auto"/>
              </w:rPr>
              <w:t>Mainline operating special items, net</w:t>
            </w:r>
          </w:p>
        </w:tc>
        <w:tc>
          <w:tcPr>
            <w:tcW w:w="100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320</w:t>
            </w:r>
          </w:p>
        </w:tc>
      </w:tr>
      <w:tr>
        <w:trPr>
          <w:trHeight w:val="252"/>
        </w:trPr>
        <w:tc>
          <w:tcPr>
            <w:tcW w:w="5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Regional operating special items, net</w:t>
            </w:r>
          </w:p>
        </w:tc>
        <w:tc>
          <w:tcPr>
            <w:tcW w:w="100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w:t>
            </w:r>
          </w:p>
        </w:tc>
      </w:tr>
      <w:tr>
        <w:trPr>
          <w:trHeight w:val="287"/>
        </w:trPr>
        <w:tc>
          <w:tcPr>
            <w:tcW w:w="5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Mark-to-market adjustments on equity investments </w:t>
            </w:r>
            <w:r>
              <w:rPr>
                <w:rFonts w:ascii="Arial" w:cs="Arial" w:eastAsia="Arial" w:hAnsi="Arial"/>
                <w:sz w:val="18"/>
                <w:szCs w:val="18"/>
                <w:color w:val="auto"/>
                <w:vertAlign w:val="superscript"/>
              </w:rPr>
              <w:t>(5)</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refinancing and extinguishment charges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Nonoperating special items, net</w:t>
            </w:r>
          </w:p>
        </w:tc>
        <w:tc>
          <w:tcPr>
            <w:tcW w:w="100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7</w:t>
            </w:r>
          </w:p>
        </w:tc>
      </w:tr>
      <w:tr>
        <w:trPr>
          <w:trHeight w:val="287"/>
        </w:trPr>
        <w:tc>
          <w:tcPr>
            <w:tcW w:w="5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2"/>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Income tax special items, net </w:t>
            </w:r>
            <w:r>
              <w:rPr>
                <w:rFonts w:ascii="Arial" w:cs="Arial" w:eastAsia="Arial" w:hAnsi="Arial"/>
                <w:sz w:val="18"/>
                <w:szCs w:val="18"/>
                <w:color w:val="auto"/>
                <w:vertAlign w:val="superscript"/>
              </w:rPr>
              <w:t>(6)</w:t>
            </w:r>
          </w:p>
        </w:tc>
        <w:tc>
          <w:tcPr>
            <w:tcW w:w="1000" w:type="dxa"/>
            <w:vAlign w:val="bottom"/>
          </w:tcPr>
          <w:p>
            <w:pPr>
              <w:spacing w:after="0"/>
              <w:rPr>
                <w:sz w:val="23"/>
                <w:szCs w:val="23"/>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13442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26" w:hanging="286"/>
        <w:spacing w:after="0" w:line="223" w:lineRule="auto"/>
        <w:tabs>
          <w:tab w:leader="none" w:pos="426" w:val="left"/>
        </w:tabs>
        <w:numPr>
          <w:ilvl w:val="0"/>
          <w:numId w:val="7"/>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7"/>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our remaining integration projects, principally our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7"/>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our common stock. Accordingly, fluctuations in our stock price result in mark-to-market adjustments to these obligations.</w:t>
      </w:r>
    </w:p>
    <w:p>
      <w:pPr>
        <w:sectPr>
          <w:pgSz w:w="11900" w:h="16838" w:orient="portrait"/>
          <w:cols w:equalWidth="0" w:num="1">
            <w:col w:w="11446"/>
          </w:cols>
          <w:pgMar w:left="234" w:top="308" w:right="219" w:bottom="1440" w:gutter="0" w:footer="0" w:header="0"/>
        </w:sectPr>
      </w:pPr>
    </w:p>
    <w:p>
      <w:pPr>
        <w:spacing w:after="0" w:line="139" w:lineRule="exact"/>
        <w:rPr>
          <w:sz w:val="20"/>
          <w:szCs w:val="20"/>
          <w:color w:val="auto"/>
        </w:rPr>
      </w:pPr>
    </w:p>
    <w:p>
      <w:pPr>
        <w:ind w:left="146"/>
        <w:spacing w:after="0"/>
        <w:rPr>
          <w:sz w:val="20"/>
          <w:szCs w:val="20"/>
          <w:color w:val="auto"/>
        </w:rPr>
      </w:pPr>
      <w:r>
        <w:rPr>
          <w:rFonts w:ascii="Arial" w:cs="Arial" w:eastAsia="Arial" w:hAnsi="Arial"/>
          <w:sz w:val="8"/>
          <w:szCs w:val="8"/>
          <w:color w:val="auto"/>
        </w:rPr>
        <w:t>(4)</w:t>
      </w:r>
    </w:p>
    <w:p>
      <w:pPr>
        <w:spacing w:after="0" w:line="236" w:lineRule="exact"/>
        <w:rPr>
          <w:sz w:val="20"/>
          <w:szCs w:val="20"/>
          <w:color w:val="auto"/>
        </w:rPr>
      </w:pPr>
    </w:p>
    <w:p>
      <w:pPr>
        <w:ind w:left="146"/>
        <w:spacing w:after="0"/>
        <w:rPr>
          <w:sz w:val="20"/>
          <w:szCs w:val="20"/>
          <w:color w:val="auto"/>
        </w:rPr>
      </w:pPr>
      <w:r>
        <w:rPr>
          <w:rFonts w:ascii="Arial" w:cs="Arial" w:eastAsia="Arial" w:hAnsi="Arial"/>
          <w:sz w:val="8"/>
          <w:szCs w:val="8"/>
          <w:color w:val="auto"/>
        </w:rPr>
        <w:t>(5)</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 impairment includes a non-cash charge to write-off our Brazil route authority as a result of ratification of the U.S.-Brazil open skies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Mark-to-market adjustments on equity investments principally relate to unrealized losses on our investment in China Southern Airlines.</w:t>
      </w:r>
    </w:p>
    <w:p>
      <w:pPr>
        <w:spacing w:after="0" w:line="144" w:lineRule="exact"/>
        <w:rPr>
          <w:sz w:val="20"/>
          <w:szCs w:val="20"/>
          <w:color w:val="auto"/>
        </w:rPr>
      </w:pPr>
    </w:p>
    <w:p>
      <w:pPr>
        <w:sectPr>
          <w:pgSz w:w="11900" w:h="16838" w:orient="portrait"/>
          <w:cols w:equalWidth="0" w:num="2">
            <w:col w:w="246" w:space="180"/>
            <w:col w:w="11020"/>
          </w:cols>
          <w:pgMar w:left="234" w:top="308" w:right="219" w:bottom="1440" w:gutter="0" w:footer="0" w:header="0"/>
          <w:type w:val="continuous"/>
        </w:sectPr>
      </w:pPr>
    </w:p>
    <w:p>
      <w:pPr>
        <w:jc w:val="both"/>
        <w:ind w:left="426" w:hanging="286"/>
        <w:spacing w:after="0" w:line="229" w:lineRule="auto"/>
        <w:tabs>
          <w:tab w:leader="none" w:pos="426" w:val="left"/>
        </w:tabs>
        <w:numPr>
          <w:ilvl w:val="0"/>
          <w:numId w:val="8"/>
        </w:numPr>
        <w:rPr>
          <w:rFonts w:ascii="Arial" w:cs="Arial" w:eastAsia="Arial" w:hAnsi="Arial"/>
          <w:sz w:val="19"/>
          <w:szCs w:val="19"/>
          <w:color w:val="auto"/>
          <w:vertAlign w:val="superscript"/>
        </w:rPr>
      </w:pPr>
      <w:r>
        <w:rPr>
          <w:rFonts w:ascii="Arial" w:cs="Arial" w:eastAsia="Arial" w:hAnsi="Arial"/>
          <w:sz w:val="16"/>
          <w:szCs w:val="16"/>
          <w:color w:val="auto"/>
        </w:rPr>
        <w:t>Income tax special items for the three months ended June 30, 2018 included an $18 million charge related to an international income tax matter. Additionally, the six months ended June 30, 2018 included a $22 million charge to income tax expense to establish a required valuation allowance related to our estimated refund for Alternative Minimum Tax (AMT) credits.</w:t>
      </w:r>
    </w:p>
    <w:p>
      <w:pPr>
        <w:spacing w:after="0" w:line="21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6"/>
          </w:cols>
          <w:pgMar w:left="234" w:top="308" w:right="219" w:bottom="1440" w:gutter="0" w:footer="0" w:header="0"/>
          <w:type w:val="continuous"/>
        </w:sectPr>
      </w:pPr>
    </w:p>
    <w:bookmarkStart w:id="12" w:name="page13"/>
    <w:bookmarkEnd w:id="12"/>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66" w:hanging="166"/>
        <w:spacing w:after="0"/>
        <w:tabs>
          <w:tab w:leader="none" w:pos="16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Common Share</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sets forth the computation of basic and diluted earnings per common share (EPS) (in millions, except share and per share amounts):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June 30,</w:t>
            </w:r>
          </w:p>
        </w:tc>
        <w:tc>
          <w:tcPr>
            <w:tcW w:w="300" w:type="dxa"/>
            <w:vAlign w:val="bottom"/>
          </w:tcPr>
          <w:p>
            <w:pPr>
              <w:spacing w:after="0"/>
              <w:rPr>
                <w:sz w:val="14"/>
                <w:szCs w:val="14"/>
                <w:color w:val="auto"/>
              </w:rPr>
            </w:pPr>
          </w:p>
        </w:tc>
        <w:tc>
          <w:tcPr>
            <w:tcW w:w="2320" w:type="dxa"/>
            <w:vAlign w:val="bottom"/>
            <w:gridSpan w:val="4"/>
          </w:tcPr>
          <w:p>
            <w:pPr>
              <w:jc w:val="right"/>
              <w:ind w:right="424"/>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60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2017</w:t>
            </w:r>
          </w:p>
        </w:tc>
      </w:tr>
      <w:tr>
        <w:trPr>
          <w:trHeight w:val="211"/>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9"/>
                <w:szCs w:val="19"/>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9"/>
                <w:szCs w:val="19"/>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9"/>
                <w:szCs w:val="19"/>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1,204</w:t>
            </w:r>
          </w:p>
        </w:tc>
      </w:tr>
      <w:tr>
        <w:trPr>
          <w:trHeight w:val="24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(in thousands)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463,533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490,818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467,915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497,360</w:t>
            </w:r>
          </w:p>
        </w:tc>
      </w:tr>
      <w:tr>
        <w:trPr>
          <w:trHeight w:val="24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 EPS</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2.42</w:t>
            </w:r>
          </w:p>
        </w:tc>
      </w:tr>
      <w:tr>
        <w:trPr>
          <w:trHeight w:val="227"/>
        </w:trPr>
        <w:tc>
          <w:tcPr>
            <w:tcW w:w="6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for purposes of computing diluted EPS</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1,204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Share computation for diluted EPS (in thousands):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weighted average common shares outstanding</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463,533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490,818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467,915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497,360</w:t>
            </w:r>
          </w:p>
        </w:tc>
      </w:tr>
      <w:tr>
        <w:trPr>
          <w:trHeight w:val="22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Dilutive effect of stock awards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1,085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3,021</w:t>
            </w:r>
          </w:p>
        </w:tc>
      </w:tr>
      <w:tr>
        <w:trPr>
          <w:trHeight w:val="220"/>
        </w:trPr>
        <w:tc>
          <w:tcPr>
            <w:tcW w:w="60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 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464,618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492,965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469,608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500,381</w:t>
            </w:r>
          </w:p>
        </w:tc>
      </w:tr>
      <w:tr>
        <w:trPr>
          <w:trHeight w:val="248"/>
        </w:trPr>
        <w:tc>
          <w:tcPr>
            <w:tcW w:w="60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Diluted EPS</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2.41</w:t>
            </w:r>
          </w:p>
        </w:tc>
      </w:tr>
      <w:tr>
        <w:trPr>
          <w:trHeight w:val="227"/>
        </w:trPr>
        <w:tc>
          <w:tcPr>
            <w:tcW w:w="6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6"/>
                <w:szCs w:val="16"/>
                <w:color w:val="auto"/>
              </w:rPr>
              <w:t>Restricted stock unit awards excluded from the calculation of diluted EPS because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7"/>
        </w:trPr>
        <w:tc>
          <w:tcPr>
            <w:tcW w:w="6060" w:type="dxa"/>
            <w:vAlign w:val="bottom"/>
          </w:tcPr>
          <w:p>
            <w:pPr>
              <w:ind w:left="20"/>
              <w:spacing w:after="0"/>
              <w:rPr>
                <w:sz w:val="20"/>
                <w:szCs w:val="20"/>
                <w:color w:val="auto"/>
              </w:rPr>
            </w:pPr>
            <w:r>
              <w:rPr>
                <w:rFonts w:ascii="Arial" w:cs="Arial" w:eastAsia="Arial" w:hAnsi="Arial"/>
                <w:sz w:val="16"/>
                <w:szCs w:val="16"/>
                <w:color w:val="auto"/>
              </w:rPr>
              <w:t>inclusion would be antidilutive (in thousands)</w:t>
            </w:r>
          </w:p>
        </w:tc>
        <w:tc>
          <w:tcPr>
            <w:tcW w:w="28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616</w:t>
            </w:r>
          </w:p>
        </w:tc>
      </w:tr>
    </w:tbl>
    <w:p>
      <w:pPr>
        <w:spacing w:after="0" w:line="20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4. Share Repurchase Programs and Dividends</w:t>
      </w:r>
    </w:p>
    <w:p>
      <w:pPr>
        <w:spacing w:after="0" w:line="91" w:lineRule="exact"/>
        <w:rPr>
          <w:sz w:val="20"/>
          <w:szCs w:val="20"/>
          <w:color w:val="auto"/>
        </w:rPr>
      </w:pPr>
    </w:p>
    <w:p>
      <w:pPr>
        <w:jc w:val="both"/>
        <w:ind w:left="6" w:firstLine="187"/>
        <w:spacing w:after="0" w:line="244" w:lineRule="auto"/>
        <w:rPr>
          <w:sz w:val="20"/>
          <w:szCs w:val="20"/>
          <w:color w:val="auto"/>
        </w:rPr>
      </w:pPr>
      <w:r>
        <w:rPr>
          <w:rFonts w:ascii="Arial" w:cs="Arial" w:eastAsia="Arial" w:hAnsi="Arial"/>
          <w:sz w:val="16"/>
          <w:szCs w:val="16"/>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June 30, 2018, there was $1.7 billion remaining authority to repurchase shares under our new $2.0 billion share repurchase program.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141"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During the three months ended June 30, 2018, we repurchased 8.2 million shares of AAG common stock for $350 million at a weighted average cost per share of $42.81. During the six months ended June 30, 2018, we repurchased 16.6 million shares of AAG common stock for $800 million at a weighted average cost per share of $48.15. Since the inception of our share repurchase programs in July 2014, we have repurchased 278.9 million shares of AAG common stock for $11.3 billion at a weighted average cost per share of $40.69.</w:t>
      </w:r>
    </w:p>
    <w:p>
      <w:pPr>
        <w:spacing w:after="0" w:line="138" w:lineRule="exact"/>
        <w:rPr>
          <w:sz w:val="20"/>
          <w:szCs w:val="20"/>
          <w:color w:val="auto"/>
        </w:rPr>
      </w:pPr>
    </w:p>
    <w:p>
      <w:pPr>
        <w:ind w:left="186"/>
        <w:spacing w:after="0"/>
        <w:rPr>
          <w:sz w:val="20"/>
          <w:szCs w:val="20"/>
          <w:color w:val="auto"/>
        </w:rPr>
      </w:pPr>
      <w:r>
        <w:rPr>
          <w:rFonts w:ascii="Arial" w:cs="Arial" w:eastAsia="Arial" w:hAnsi="Arial"/>
          <w:sz w:val="14"/>
          <w:szCs w:val="14"/>
          <w:color w:val="auto"/>
        </w:rPr>
        <w:t>Our Board of Directors declared a cash dividend of $0.10 per share for stockholders of record as of May 8, 2018 and paid on May 22, 2018, totaling $46 million.</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the first six months of 2018, we paid total quarterly cash dividends of $94 million.</w:t>
      </w:r>
    </w:p>
    <w:p>
      <w:pPr>
        <w:spacing w:after="0" w:line="196" w:lineRule="exact"/>
        <w:rPr>
          <w:sz w:val="20"/>
          <w:szCs w:val="20"/>
          <w:color w:val="auto"/>
        </w:rPr>
      </w:pPr>
    </w:p>
    <w:p>
      <w:pPr>
        <w:ind w:left="166" w:hanging="166"/>
        <w:spacing w:after="0"/>
        <w:tabs>
          <w:tab w:leader="none" w:pos="16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73" w:lineRule="exact"/>
        <w:rPr>
          <w:rFonts w:ascii="Arial" w:cs="Arial" w:eastAsia="Arial" w:hAnsi="Arial"/>
          <w:sz w:val="16"/>
          <w:szCs w:val="16"/>
          <w:b w:val="1"/>
          <w:bCs w:val="1"/>
          <w:color w:val="auto"/>
        </w:rPr>
      </w:pPr>
    </w:p>
    <w:p>
      <w:pPr>
        <w:ind w:left="426" w:hanging="228"/>
        <w:spacing w:after="0"/>
        <w:tabs>
          <w:tab w:leader="none" w:pos="426"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91" w:lineRule="exact"/>
        <w:rPr>
          <w:sz w:val="20"/>
          <w:szCs w:val="20"/>
          <w:color w:val="auto"/>
        </w:rPr>
      </w:pPr>
    </w:p>
    <w:p>
      <w:pPr>
        <w:jc w:val="both"/>
        <w:ind w:left="6" w:firstLine="199"/>
        <w:spacing w:after="0" w:line="245" w:lineRule="auto"/>
        <w:rPr>
          <w:sz w:val="20"/>
          <w:szCs w:val="20"/>
          <w:color w:val="auto"/>
        </w:rPr>
      </w:pPr>
      <w:r>
        <w:rPr>
          <w:rFonts w:ascii="Arial" w:cs="Arial" w:eastAsia="Arial" w:hAnsi="Arial"/>
          <w:sz w:val="16"/>
          <w:szCs w:val="16"/>
          <w:color w:val="auto"/>
        </w:rPr>
        <w:t>Effective January 1, 2018, we adopted the New Revenue Standard using the full retrospective method, which resulted in the recast of prior reporting periods. See Recent Accounting Pronouncements in Note 1(b) above for effects of adoption on our condensed consolidated statement of operations for the three and six months ended June 30, 2017 and on our consolidated balance sheet as of December 31, 2017. Under the New Revenue Standard, revenue is recognized upon transfer of control of promised products or services to our customers in an amount that reflects the consideration we expect to receive in exchange for those products or services.</w:t>
      </w:r>
    </w:p>
    <w:p>
      <w:pPr>
        <w:spacing w:after="0" w:line="20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6"/>
          </w:cols>
          <w:pgMar w:left="234" w:top="308"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are the significant categories comprising our reported operating revenues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4"/>
                <w:szCs w:val="14"/>
                <w:color w:val="auto"/>
              </w:rPr>
            </w:pPr>
          </w:p>
        </w:tc>
        <w:tc>
          <w:tcPr>
            <w:tcW w:w="2500" w:type="dxa"/>
            <w:vAlign w:val="bottom"/>
            <w:gridSpan w:val="4"/>
          </w:tcPr>
          <w:p>
            <w:pPr>
              <w:jc w:val="right"/>
              <w:ind w:right="524"/>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21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r>
      <w:tr>
        <w:trPr>
          <w:trHeight w:val="23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8"/>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Passenger travel</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9,877</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18,507</w:t>
            </w:r>
          </w:p>
        </w:tc>
        <w:tc>
          <w:tcPr>
            <w:tcW w:w="10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17,795</w:t>
            </w:r>
          </w:p>
        </w:tc>
      </w:tr>
      <w:tr>
        <w:trPr>
          <w:trHeight w:val="240"/>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 xml:space="preserve">Loyalty revenue - travel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1,555</w:t>
            </w:r>
          </w:p>
        </w:tc>
      </w:tr>
      <w:tr>
        <w:trPr>
          <w:trHeight w:val="208"/>
        </w:trPr>
        <w:tc>
          <w:tcPr>
            <w:tcW w:w="5600" w:type="dxa"/>
            <w:vAlign w:val="bottom"/>
            <w:gridSpan w:val="2"/>
          </w:tcPr>
          <w:p>
            <w:pPr>
              <w:ind w:left="420"/>
              <w:spacing w:after="0"/>
              <w:rPr>
                <w:sz w:val="20"/>
                <w:szCs w:val="20"/>
                <w:color w:val="auto"/>
              </w:rPr>
            </w:pPr>
            <w:r>
              <w:rPr>
                <w:rFonts w:ascii="Arial" w:cs="Arial" w:eastAsia="Arial" w:hAnsi="Arial"/>
                <w:sz w:val="16"/>
                <w:szCs w:val="16"/>
                <w:color w:val="auto"/>
              </w:rPr>
              <w:t>Total passenger revenue</w:t>
            </w:r>
          </w:p>
        </w:tc>
        <w:tc>
          <w:tcPr>
            <w:tcW w:w="340" w:type="dxa"/>
            <w:vAlign w:val="bottom"/>
          </w:tcPr>
          <w:p>
            <w:pPr>
              <w:spacing w:after="0"/>
              <w:rPr>
                <w:sz w:val="18"/>
                <w:szCs w:val="18"/>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10,353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20,154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19,350</w:t>
            </w:r>
          </w:p>
        </w:tc>
      </w:tr>
      <w:tr>
        <w:trPr>
          <w:trHeight w:val="24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Cargo</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410</w:t>
            </w:r>
          </w:p>
        </w:tc>
      </w:tr>
      <w:tr>
        <w:trPr>
          <w:trHeight w:val="228"/>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0"/>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Loyalty revenue - marketing services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1,047</w:t>
            </w:r>
          </w:p>
        </w:tc>
      </w:tr>
      <w:tr>
        <w:trPr>
          <w:trHeight w:val="228"/>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revenue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240</w:t>
            </w:r>
          </w:p>
        </w:tc>
      </w:tr>
      <w:tr>
        <w:trPr>
          <w:trHeight w:val="214"/>
        </w:trPr>
        <w:tc>
          <w:tcPr>
            <w:tcW w:w="5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Total 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1,287</w:t>
            </w:r>
          </w:p>
        </w:tc>
      </w:tr>
      <w:tr>
        <w:trPr>
          <w:trHeight w:val="220"/>
        </w:trPr>
        <w:tc>
          <w:tcPr>
            <w:tcW w:w="5600" w:type="dxa"/>
            <w:vAlign w:val="bottom"/>
            <w:gridSpan w:val="2"/>
          </w:tcPr>
          <w:p>
            <w:pPr>
              <w:ind w:left="60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11,643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11,227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22,044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21,047</w:t>
            </w:r>
          </w:p>
        </w:tc>
      </w:tr>
      <w:tr>
        <w:trPr>
          <w:trHeight w:val="20"/>
        </w:trPr>
        <w:tc>
          <w:tcPr>
            <w:tcW w:w="2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120" w:type="dxa"/>
            <w:vAlign w:val="bottom"/>
            <w:tcBorders>
              <w:bottom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57" w:lineRule="exact"/>
        <w:rPr>
          <w:sz w:val="20"/>
          <w:szCs w:val="20"/>
          <w:color w:val="auto"/>
        </w:rPr>
      </w:pPr>
    </w:p>
    <w:p>
      <w:pPr>
        <w:ind w:left="420" w:hanging="286"/>
        <w:spacing w:after="0" w:line="223" w:lineRule="auto"/>
        <w:tabs>
          <w:tab w:leader="none" w:pos="420" w:val="left"/>
        </w:tabs>
        <w:numPr>
          <w:ilvl w:val="0"/>
          <w:numId w:val="11"/>
        </w:numPr>
        <w:rPr>
          <w:rFonts w:ascii="Arial" w:cs="Arial" w:eastAsia="Arial" w:hAnsi="Arial"/>
          <w:sz w:val="19"/>
          <w:szCs w:val="19"/>
          <w:color w:val="auto"/>
          <w:vertAlign w:val="superscript"/>
        </w:rPr>
      </w:pPr>
      <w:r>
        <w:rPr>
          <w:rFonts w:ascii="Arial" w:cs="Arial" w:eastAsia="Arial" w:hAnsi="Arial"/>
          <w:sz w:val="16"/>
          <w:szCs w:val="16"/>
          <w:color w:val="auto"/>
        </w:rPr>
        <w:t>Loyalty revenue included in passenger revenue is principally comprised of mileage credit redemptions for air travel awards from mileage credits earned through travel and mileage credits sold to co-branded card and other partners. See discussion of Loyalty Revenue below.</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is our total passenger revenue by geographic region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4"/>
                <w:szCs w:val="14"/>
                <w:color w:val="auto"/>
              </w:rPr>
            </w:pPr>
          </w:p>
        </w:tc>
        <w:tc>
          <w:tcPr>
            <w:tcW w:w="2500" w:type="dxa"/>
            <w:vAlign w:val="bottom"/>
            <w:gridSpan w:val="4"/>
          </w:tcPr>
          <w:p>
            <w:pPr>
              <w:jc w:val="right"/>
              <w:ind w:right="525"/>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5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2017</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7,685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14,359</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340" w:type="dxa"/>
            <w:vAlign w:val="bottom"/>
          </w:tcPr>
          <w:p>
            <w:pPr>
              <w:spacing w:after="0"/>
              <w:rPr>
                <w:sz w:val="19"/>
                <w:szCs w:val="19"/>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2,440</w:t>
            </w: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1,806</w:t>
            </w:r>
          </w:p>
        </w:tc>
      </w:tr>
      <w:tr>
        <w:trPr>
          <w:trHeight w:val="22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Pacific</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745</w:t>
            </w:r>
          </w:p>
        </w:tc>
      </w:tr>
      <w:tr>
        <w:trPr>
          <w:trHeight w:val="214"/>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passenger revenue</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10,353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20,154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19,350</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attribute passenger revenue by geographic region based upon the origin and destination of each flight segment.</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Passenger Revenue</w:t>
      </w:r>
    </w:p>
    <w:p>
      <w:pPr>
        <w:spacing w:after="0" w:line="89" w:lineRule="exact"/>
        <w:rPr>
          <w:sz w:val="20"/>
          <w:szCs w:val="20"/>
          <w:color w:val="auto"/>
        </w:rPr>
      </w:pPr>
    </w:p>
    <w:p>
      <w:pPr>
        <w:jc w:val="both"/>
        <w:ind w:firstLine="199"/>
        <w:spacing w:after="0" w:line="245" w:lineRule="auto"/>
        <w:rPr>
          <w:sz w:val="20"/>
          <w:szCs w:val="20"/>
          <w:color w:val="auto"/>
        </w:rPr>
      </w:pPr>
      <w:r>
        <w:rPr>
          <w:rFonts w:ascii="Arial" w:cs="Arial" w:eastAsia="Arial" w:hAnsi="Arial"/>
          <w:sz w:val="16"/>
          <w:szCs w:val="16"/>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pacing w:after="0" w:line="138"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4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Various taxes and fees assessed on the sale of tickets to end customers are collected by us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308"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Loyalty Revenue</w:t>
      </w:r>
    </w:p>
    <w:p>
      <w:pPr>
        <w:spacing w:after="0" w:line="71" w:lineRule="exact"/>
        <w:rPr>
          <w:sz w:val="20"/>
          <w:szCs w:val="20"/>
          <w:color w:val="auto"/>
        </w:rPr>
      </w:pPr>
    </w:p>
    <w:p>
      <w:pPr>
        <w:jc w:val="both"/>
        <w:ind w:firstLine="187"/>
        <w:spacing w:after="0" w:line="300" w:lineRule="auto"/>
        <w:rPr>
          <w:sz w:val="20"/>
          <w:szCs w:val="20"/>
          <w:color w:val="auto"/>
        </w:rPr>
      </w:pPr>
      <w:r>
        <w:rPr>
          <w:rFonts w:ascii="Arial" w:cs="Arial" w:eastAsia="Arial" w:hAnsi="Arial"/>
          <w:sz w:val="14"/>
          <w:szCs w:val="14"/>
          <w:color w:val="auto"/>
        </w:rPr>
        <w:t xml:space="preserve">We currently operate the loyalty program, AAdvantage. This program awards mileage credits to passengers who fly on American, any </w:t>
      </w:r>
      <w:r>
        <w:rPr>
          <w:rFonts w:ascii="Arial" w:cs="Arial" w:eastAsia="Arial" w:hAnsi="Arial"/>
          <w:sz w:val="14"/>
          <w:szCs w:val="14"/>
          <w:b w:val="1"/>
          <w:bCs w:val="1"/>
          <w:color w:val="auto"/>
        </w:rPr>
        <w:t>one</w:t>
      </w:r>
      <w:r>
        <w:rPr>
          <w:rFonts w:ascii="Arial" w:cs="Arial" w:eastAsia="Arial" w:hAnsi="Arial"/>
          <w:sz w:val="14"/>
          <w:szCs w:val="14"/>
          <w:color w:val="auto"/>
        </w:rPr>
        <w:t>world airline or other partner airlines, or by using the services of other program participants, such as the Citi and Barclays US co-branded 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earned through travel</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sold to co-branded cards and other partners</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We sell mileage credits to participating airline partners and non-airline business partners including our co-branded card partners, under contracts with terms extending generally for one to nine years. Sales of mileage credits to non-airline business partners are comprised of two components, transportation and marketing. We allocate the consideration received from the sale of mileage credits based on the relative selling price of each product or service delivered.</w:t>
      </w:r>
    </w:p>
    <w:p>
      <w:pPr>
        <w:spacing w:after="0" w:line="136"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Our most significant partner agreements are our co-branded card program agreements with Citi and Barclays US that we entered into in 2016. We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138"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For the portion of our outstanding mileage credits that we estimate will not be redeemed, we recognize the associated value proportionally as the remaining mileage credits are redeemed. Our estimates are based on analysis of historical redemptions.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Cargo Revenue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Cargo revenue is recognized when we provide the transportation.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Other Revenue</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Other revenue includes revenue associated with our loyalty program, which is comprised principally of the marketing component of mileage sales to co-branded card and other partners and other marketing related payments. For the three and six months ended June 30, 2018, loyalty revenue included in other revenue was $582 million and $1.2 billion, respectively. For the three and six months ended June 30, 2017, loyalty revenue included in other revenue was $533 million and $1.0 billion, respectively. The accounting and recognition for the loyalty program marketing services are discussed above in Loyalty Revenue. The remaining amounts included within other revenue relate to airport clubs, advertising and vacation-related services.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308"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 Contract Balances</w:t>
      </w:r>
    </w:p>
    <w:p>
      <w:pPr>
        <w:spacing w:after="0" w:line="91"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Our significant contract liabilities are comprised of (1) outstanding loyalty program mileage credits that may be redeemed for future travel and other non-air travel awards, reported as loyalty program liability on our condensed consolidated balance sheet and (2) ticket sales for transportation that has not yet been provided, reported as air traffic liability on our condensed consolidated balance sheet.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June 30, 2018</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December 31, 2017</w:t>
            </w:r>
          </w:p>
        </w:tc>
      </w:tr>
      <w:tr>
        <w:trPr>
          <w:trHeight w:val="214"/>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gridSpan w:val="4"/>
          </w:tcPr>
          <w:p>
            <w:pPr>
              <w:jc w:val="right"/>
              <w:ind w:right="1386"/>
              <w:spacing w:after="0"/>
              <w:rPr>
                <w:sz w:val="20"/>
                <w:szCs w:val="20"/>
                <w:color w:val="auto"/>
              </w:rPr>
            </w:pPr>
            <w:r>
              <w:rPr>
                <w:rFonts w:ascii="Arial" w:cs="Arial" w:eastAsia="Arial" w:hAnsi="Arial"/>
                <w:sz w:val="12"/>
                <w:szCs w:val="12"/>
                <w:b w:val="1"/>
                <w:bCs w:val="1"/>
                <w:color w:val="auto"/>
              </w:rPr>
              <w:t>(In millions)</w:t>
            </w:r>
          </w:p>
        </w:tc>
      </w:tr>
      <w:tr>
        <w:trPr>
          <w:trHeight w:val="23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Loyalty program liability</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8,675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8,822</w:t>
            </w:r>
          </w:p>
        </w:tc>
      </w:tr>
      <w:tr>
        <w:trPr>
          <w:trHeight w:val="22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Air traffic liability</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5,512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4,042</w:t>
            </w:r>
          </w:p>
        </w:tc>
      </w:tr>
      <w:tr>
        <w:trPr>
          <w:trHeight w:val="22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14,187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12,864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-615950</wp:posOffset>
            </wp:positionV>
            <wp:extent cx="6667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330"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The balance of the loyalty program liability fluctuates based on seasonal patterns, which impact the volume of mileage credits issued through travel or sold to co-branded card and other partners (deferral of revenue) and mileage credits redeemed (recognition of revenue). Changes in loyalty program liability are as follows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8,822</w:t>
            </w:r>
          </w:p>
        </w:tc>
      </w:tr>
      <w:tr>
        <w:trPr>
          <w:trHeight w:val="216"/>
        </w:trPr>
        <w:tc>
          <w:tcPr>
            <w:tcW w:w="9720" w:type="dxa"/>
            <w:vAlign w:val="bottom"/>
          </w:tcPr>
          <w:p>
            <w:pPr>
              <w:ind w:left="220"/>
              <w:spacing w:after="0"/>
              <w:rPr>
                <w:sz w:val="20"/>
                <w:szCs w:val="20"/>
                <w:color w:val="auto"/>
              </w:rPr>
            </w:pPr>
            <w:r>
              <w:rPr>
                <w:rFonts w:ascii="Arial" w:cs="Arial" w:eastAsia="Arial" w:hAnsi="Arial"/>
                <w:sz w:val="16"/>
                <w:szCs w:val="16"/>
                <w:color w:val="auto"/>
              </w:rPr>
              <w:t>Deferral of revenue</w:t>
            </w:r>
          </w:p>
        </w:tc>
        <w:tc>
          <w:tcPr>
            <w:tcW w:w="64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1,586</w:t>
            </w:r>
          </w:p>
        </w:tc>
      </w:tr>
      <w:tr>
        <w:trPr>
          <w:trHeight w:val="229"/>
        </w:trPr>
        <w:tc>
          <w:tcPr>
            <w:tcW w:w="9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Recognition of revenue </w:t>
            </w:r>
            <w:r>
              <w:rPr>
                <w:rFonts w:ascii="Arial" w:cs="Arial" w:eastAsia="Arial" w:hAnsi="Arial"/>
                <w:sz w:val="18"/>
                <w:szCs w:val="18"/>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r>
      <w:tr>
        <w:trPr>
          <w:trHeight w:val="214"/>
        </w:trPr>
        <w:tc>
          <w:tcPr>
            <w:tcW w:w="9720" w:type="dxa"/>
            <w:vAlign w:val="bottom"/>
          </w:tcPr>
          <w:p>
            <w:pPr>
              <w:ind w:left="20"/>
              <w:spacing w:after="0"/>
              <w:rPr>
                <w:sz w:val="20"/>
                <w:szCs w:val="20"/>
                <w:color w:val="auto"/>
              </w:rPr>
            </w:pPr>
            <w:r>
              <w:rPr>
                <w:rFonts w:ascii="Arial" w:cs="Arial" w:eastAsia="Arial" w:hAnsi="Arial"/>
                <w:sz w:val="16"/>
                <w:szCs w:val="16"/>
                <w:color w:val="auto"/>
              </w:rPr>
              <w:t xml:space="preserve">Balance at June 30, 2018 </w:t>
            </w:r>
            <w:r>
              <w:rPr>
                <w:rFonts w:ascii="Arial" w:cs="Arial" w:eastAsia="Arial" w:hAnsi="Arial"/>
                <w:sz w:val="18"/>
                <w:szCs w:val="18"/>
                <w:color w:val="auto"/>
                <w:vertAlign w:val="superscript"/>
              </w:rPr>
              <w:t>(2)</w:t>
            </w:r>
          </w:p>
        </w:tc>
        <w:tc>
          <w:tcPr>
            <w:tcW w:w="6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8,675</w:t>
            </w:r>
          </w:p>
        </w:tc>
      </w:tr>
      <w:tr>
        <w:trPr>
          <w:trHeight w:val="20"/>
        </w:trPr>
        <w:tc>
          <w:tcPr>
            <w:tcW w:w="9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140970</wp:posOffset>
            </wp:positionV>
            <wp:extent cx="13150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283" w:lineRule="exact"/>
        <w:rPr>
          <w:sz w:val="20"/>
          <w:szCs w:val="20"/>
          <w:color w:val="auto"/>
        </w:rPr>
      </w:pPr>
    </w:p>
    <w:p>
      <w:pPr>
        <w:jc w:val="both"/>
        <w:ind w:left="420" w:hanging="286"/>
        <w:spacing w:after="0" w:line="229" w:lineRule="auto"/>
        <w:tabs>
          <w:tab w:leader="none" w:pos="420" w:val="left"/>
        </w:tabs>
        <w:numPr>
          <w:ilvl w:val="0"/>
          <w:numId w:val="12"/>
        </w:numPr>
        <w:rPr>
          <w:rFonts w:ascii="Arial" w:cs="Arial" w:eastAsia="Arial" w:hAnsi="Arial"/>
          <w:sz w:val="19"/>
          <w:szCs w:val="19"/>
          <w:color w:val="auto"/>
          <w:vertAlign w:val="superscript"/>
        </w:rPr>
      </w:pPr>
      <w:r>
        <w:rPr>
          <w:rFonts w:ascii="Arial" w:cs="Arial" w:eastAsia="Arial" w:hAnsi="Arial"/>
          <w:sz w:val="16"/>
          <w:szCs w:val="16"/>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2" w:lineRule="exact"/>
        <w:rPr>
          <w:rFonts w:ascii="Arial" w:cs="Arial" w:eastAsia="Arial" w:hAnsi="Arial"/>
          <w:sz w:val="19"/>
          <w:szCs w:val="19"/>
          <w:color w:val="auto"/>
          <w:vertAlign w:val="superscript"/>
        </w:rPr>
      </w:pPr>
    </w:p>
    <w:p>
      <w:pPr>
        <w:jc w:val="both"/>
        <w:ind w:left="420" w:hanging="286"/>
        <w:spacing w:after="0" w:line="233" w:lineRule="auto"/>
        <w:tabs>
          <w:tab w:leader="none" w:pos="420" w:val="left"/>
        </w:tabs>
        <w:numPr>
          <w:ilvl w:val="0"/>
          <w:numId w:val="12"/>
        </w:numPr>
        <w:rPr>
          <w:rFonts w:ascii="Arial" w:cs="Arial" w:eastAsia="Arial" w:hAnsi="Arial"/>
          <w:sz w:val="19"/>
          <w:szCs w:val="19"/>
          <w:color w:val="auto"/>
          <w:vertAlign w:val="superscript"/>
        </w:rPr>
      </w:pPr>
      <w:r>
        <w:rPr>
          <w:rFonts w:ascii="Arial" w:cs="Arial" w:eastAsia="Arial" w:hAnsi="Arial"/>
          <w:sz w:val="16"/>
          <w:szCs w:val="16"/>
          <w:color w:val="auto"/>
        </w:rPr>
        <w:t>Mileage credits can be redeemed at any time and do not expire as long as that AAdvantage member has any type of qualifying activity at least every 18 months. As of June 30, 2018, our current loyalty program liability was $3.2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41"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air traffic liability principally represents tickets sold for future travel dates and estimated future refunds and exchanges of tickets sold for past travel dates. The balance in our air traffic liability also fluctuates with seasonal travel patterns. The contract duration of passenger tickets is one year. Accordingly, any revenue associated with tickets sold for future travel dates will be recognized within twelve months. For the six months ended June 30, 2018, $2.9 billion of revenue was recognized in passenger revenue that was included in our air traffic liability at December 31, 2017.</w:t>
      </w:r>
    </w:p>
    <w:p>
      <w:pPr>
        <w:spacing w:after="0" w:line="138"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With respect to contract receivables, reflected as accounts receivable, net on the accompanying condensed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308" w:right="219" w:bottom="1440" w:gutter="0" w:footer="0" w:header="0"/>
        </w:sectPr>
      </w:pPr>
    </w:p>
    <w:bookmarkStart w:id="16" w:name="page17"/>
    <w:bookmarkEnd w:id="16"/>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Long-term debt and capital lease obligations included in the condensed consolidated balance sheets consisted of (in millions):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2018</w:t>
            </w:r>
          </w:p>
        </w:tc>
        <w:tc>
          <w:tcPr>
            <w:tcW w:w="200" w:type="dxa"/>
            <w:vAlign w:val="bottom"/>
          </w:tcPr>
          <w:p>
            <w:pPr>
              <w:spacing w:after="0"/>
              <w:rPr>
                <w:sz w:val="14"/>
                <w:szCs w:val="14"/>
                <w:color w:val="auto"/>
              </w:rPr>
            </w:pPr>
          </w:p>
        </w:tc>
        <w:tc>
          <w:tcPr>
            <w:tcW w:w="1520" w:type="dxa"/>
            <w:vAlign w:val="bottom"/>
          </w:tcPr>
          <w:p>
            <w:pPr>
              <w:jc w:val="right"/>
              <w:ind w:right="223"/>
              <w:spacing w:after="0"/>
              <w:rPr>
                <w:sz w:val="20"/>
                <w:szCs w:val="20"/>
                <w:color w:val="auto"/>
              </w:rPr>
            </w:pPr>
            <w:r>
              <w:rPr>
                <w:rFonts w:ascii="Arial" w:cs="Arial" w:eastAsia="Arial" w:hAnsi="Arial"/>
                <w:sz w:val="12"/>
                <w:szCs w:val="12"/>
                <w:b w:val="1"/>
                <w:bCs w:val="1"/>
                <w:color w:val="auto"/>
              </w:rPr>
              <w:t>December 31, 2017</w:t>
            </w:r>
          </w:p>
        </w:tc>
      </w:tr>
      <w:tr>
        <w:trPr>
          <w:trHeight w:val="211"/>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Secured</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2013 Credit Facilities, variable interest rate of 3.85%, installments through 2025</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9"/>
                <w:szCs w:val="19"/>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1,825</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2014 Credit Facilities, variable interest rate of 4.05%, installments through 2021</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728</w:t>
            </w: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April 2016 Credit Facilities, variable interest rate of 4.09%, installments through 2023</w:t>
            </w:r>
          </w:p>
        </w:tc>
        <w:tc>
          <w:tcPr>
            <w:tcW w:w="30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990</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2016 Credit Facilities, variable interest rate of 4.07%, installments through 2023</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1,238</w:t>
            </w:r>
          </w:p>
        </w:tc>
      </w:tr>
      <w:tr>
        <w:trPr>
          <w:trHeight w:val="198"/>
        </w:trPr>
        <w:tc>
          <w:tcPr>
            <w:tcW w:w="7880" w:type="dxa"/>
            <w:vAlign w:val="bottom"/>
          </w:tcPr>
          <w:p>
            <w:pPr>
              <w:ind w:left="140"/>
              <w:spacing w:after="0"/>
              <w:rPr>
                <w:sz w:val="20"/>
                <w:szCs w:val="20"/>
                <w:color w:val="auto"/>
              </w:rPr>
            </w:pPr>
            <w:r>
              <w:rPr>
                <w:rFonts w:ascii="Arial" w:cs="Arial" w:eastAsia="Arial" w:hAnsi="Arial"/>
                <w:sz w:val="16"/>
                <w:szCs w:val="16"/>
                <w:color w:val="auto"/>
              </w:rPr>
              <w:t>Aircraft enhanced equipment trust certificates (EETCs), fixed interest rates ranging from 3.00% to 9.75%,</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3"/>
        </w:trPr>
        <w:tc>
          <w:tcPr>
            <w:tcW w:w="7880" w:type="dxa"/>
            <w:vAlign w:val="bottom"/>
          </w:tcPr>
          <w:p>
            <w:pPr>
              <w:ind w:left="280"/>
              <w:spacing w:after="0"/>
              <w:rPr>
                <w:sz w:val="20"/>
                <w:szCs w:val="20"/>
                <w:color w:val="auto"/>
              </w:rPr>
            </w:pPr>
            <w:r>
              <w:rPr>
                <w:rFonts w:ascii="Arial" w:cs="Arial" w:eastAsia="Arial" w:hAnsi="Arial"/>
                <w:sz w:val="16"/>
                <w:szCs w:val="16"/>
                <w:color w:val="auto"/>
              </w:rPr>
              <w:t>averaging 4.24%, maturing from 2018 to 2029</w:t>
            </w:r>
          </w:p>
        </w:tc>
        <w:tc>
          <w:tcPr>
            <w:tcW w:w="30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11,906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11,881</w:t>
            </w:r>
          </w:p>
        </w:tc>
      </w:tr>
      <w:tr>
        <w:trPr>
          <w:trHeight w:val="204"/>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loans and other notes payable, fixed and variable interest rates ranging from 3.40% to 8.48%,</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averaging 4.07%, maturing from 2018 to 2029</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5,259</w:t>
            </w: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Special facility revenue bonds, fixed interest rates ranging from 5.00% to 8.00%, maturing from 2018 to 2035</w:t>
            </w:r>
          </w:p>
        </w:tc>
        <w:tc>
          <w:tcPr>
            <w:tcW w:w="30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857</w:t>
            </w:r>
          </w:p>
        </w:tc>
      </w:tr>
      <w:tr>
        <w:trPr>
          <w:trHeight w:val="234"/>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secured obligations, fixed interest rates ranging from 3.81% to 12.24%, maturing from 2021 to 2028</w:t>
            </w: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773</w:t>
            </w:r>
          </w:p>
        </w:tc>
      </w:tr>
      <w:tr>
        <w:trPr>
          <w:trHeight w:val="214"/>
        </w:trPr>
        <w:tc>
          <w:tcPr>
            <w:tcW w:w="7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23,059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23,551</w:t>
            </w:r>
          </w:p>
        </w:tc>
      </w:tr>
      <w:tr>
        <w:trPr>
          <w:trHeight w:val="21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Unsecured</w:t>
            </w:r>
          </w:p>
        </w:tc>
        <w:tc>
          <w:tcPr>
            <w:tcW w:w="3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5.50% senior notes, interest only payments until due in 2019</w:t>
            </w:r>
          </w:p>
        </w:tc>
        <w:tc>
          <w:tcPr>
            <w:tcW w:w="30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750</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4.625% senior notes, interest only payments until due in 2020</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500</w:t>
            </w: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6.125% senior notes, interest only payments until due in 2018</w:t>
            </w:r>
          </w:p>
        </w:tc>
        <w:tc>
          <w:tcPr>
            <w:tcW w:w="3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500</w:t>
            </w:r>
          </w:p>
        </w:tc>
      </w:tr>
      <w:tr>
        <w:trPr>
          <w:trHeight w:val="220"/>
        </w:trPr>
        <w:tc>
          <w:tcPr>
            <w:tcW w:w="78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1,750</w:t>
            </w:r>
          </w:p>
        </w:tc>
      </w:tr>
      <w:tr>
        <w:trPr>
          <w:trHeight w:val="208"/>
        </w:trPr>
        <w:tc>
          <w:tcPr>
            <w:tcW w:w="7880" w:type="dxa"/>
            <w:vAlign w:val="bottom"/>
          </w:tcPr>
          <w:p>
            <w:pPr>
              <w:ind w:left="20"/>
              <w:spacing w:after="0"/>
              <w:rPr>
                <w:sz w:val="20"/>
                <w:szCs w:val="20"/>
                <w:color w:val="auto"/>
              </w:rPr>
            </w:pPr>
            <w:r>
              <w:rPr>
                <w:rFonts w:ascii="Arial" w:cs="Arial" w:eastAsia="Arial" w:hAnsi="Arial"/>
                <w:sz w:val="16"/>
                <w:szCs w:val="16"/>
                <w:color w:val="auto"/>
              </w:rPr>
              <w:t>Total long-term debt and capital lease obligations</w:t>
            </w:r>
          </w:p>
        </w:tc>
        <w:tc>
          <w:tcPr>
            <w:tcW w:w="300" w:type="dxa"/>
            <w:vAlign w:val="bottom"/>
          </w:tcPr>
          <w:p>
            <w:pPr>
              <w:spacing w:after="0"/>
              <w:rPr>
                <w:sz w:val="18"/>
                <w:szCs w:val="18"/>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24,309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25,301</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Total unamortized debt discount, premium and issuance costs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236</w:t>
            </w:r>
          </w:p>
        </w:tc>
      </w:tr>
      <w:tr>
        <w:trPr>
          <w:trHeight w:val="228"/>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Current maturities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2,554</w:t>
            </w: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21,863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22,511</w:t>
            </w: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06"/>
        <w:spacing w:after="0"/>
        <w:rPr>
          <w:sz w:val="20"/>
          <w:szCs w:val="20"/>
          <w:color w:val="auto"/>
        </w:rPr>
      </w:pPr>
      <w:r>
        <w:rPr>
          <w:rFonts w:ascii="Arial" w:cs="Arial" w:eastAsia="Arial" w:hAnsi="Arial"/>
          <w:sz w:val="16"/>
          <w:szCs w:val="16"/>
          <w:color w:val="auto"/>
        </w:rPr>
        <w:t>The table below shows the maximum availability under revolving credit facilities, all of which were undrawn, as of June 30, 2018 (in millions):</w:t>
      </w:r>
    </w:p>
    <w:p>
      <w:pPr>
        <w:spacing w:after="0" w:line="261"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 Revolving Facility</w:t>
            </w:r>
          </w:p>
        </w:tc>
        <w:tc>
          <w:tcPr>
            <w:tcW w:w="66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1,200</w:t>
            </w: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2014 Revolving Facility</w:t>
            </w:r>
          </w:p>
        </w:tc>
        <w:tc>
          <w:tcPr>
            <w:tcW w:w="66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2016 Revolving Facility</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300</w:t>
            </w:r>
          </w:p>
        </w:tc>
      </w:tr>
      <w:tr>
        <w:trPr>
          <w:trHeight w:val="208"/>
        </w:trPr>
        <w:tc>
          <w:tcPr>
            <w:tcW w:w="9720" w:type="dxa"/>
            <w:vAlign w:val="bottom"/>
          </w:tcPr>
          <w:p>
            <w:pPr>
              <w:ind w:left="14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2,500</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366"/>
        <w:spacing w:after="0"/>
        <w:rPr>
          <w:sz w:val="20"/>
          <w:szCs w:val="20"/>
          <w:color w:val="auto"/>
        </w:rPr>
      </w:pPr>
      <w:r>
        <w:rPr>
          <w:rFonts w:ascii="Arial" w:cs="Arial" w:eastAsia="Arial" w:hAnsi="Arial"/>
          <w:sz w:val="16"/>
          <w:szCs w:val="16"/>
          <w:color w:val="auto"/>
        </w:rPr>
        <w:t>The December 2016 Credit Facilities provide for a revolving credit facility that may be established in the future.</w:t>
      </w:r>
    </w:p>
    <w:p>
      <w:pPr>
        <w:spacing w:after="0" w:line="214" w:lineRule="exact"/>
        <w:rPr>
          <w:sz w:val="20"/>
          <w:szCs w:val="20"/>
          <w:color w:val="auto"/>
        </w:rPr>
      </w:pPr>
    </w:p>
    <w:p>
      <w:pPr>
        <w:ind w:left="5626"/>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6"/>
          </w:cols>
          <w:pgMar w:left="234" w:top="308"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2018 Aircraft Financing Activities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2017-2 EETCs</w:t>
      </w:r>
    </w:p>
    <w:p>
      <w:pPr>
        <w:spacing w:after="0" w:line="89"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As of June 30, 2018, all remaining net proceeds of the Series 2017-2 Class AA, Class A and Class B EETCs (the 2017-2 EETCs), had been used to purchase equipment notes issued by American in connection with the financing of 30 aircraft financed under the 2017-2 EETCs. During the first six months of 2018, $283 million of the $1.0 billion total net proceeds from the issuance of certain enhanced equipment trust certificates in August and October 2017 (the 2017-2 EETCs) were used to purchase equipment notes issued by American in connection with financing 6 of the 30 aircraft financed under the 2017-2 EETCs. Approximately $735 million of proceeds from the 2017-2 EETCs were used in 2017 to purchase equipment notes issued by American in connection with the financing of 24 aircraft.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information regarding the 2017-2 EETC equipment notes as of June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255270</wp:posOffset>
            </wp:positionV>
            <wp:extent cx="317944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9445" cy="76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614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2017-2 EETCs</w:t>
            </w:r>
          </w:p>
        </w:tc>
        <w:tc>
          <w:tcPr>
            <w:tcW w:w="1440" w:type="dxa"/>
            <w:vAlign w:val="bottom"/>
            <w:tcBorders>
              <w:bottom w:val="single" w:sz="8" w:color="auto"/>
            </w:tcBorders>
          </w:tcPr>
          <w:p>
            <w:pPr>
              <w:spacing w:after="0"/>
              <w:rPr>
                <w:sz w:val="14"/>
                <w:szCs w:val="14"/>
                <w:color w:val="auto"/>
              </w:rPr>
            </w:pPr>
          </w:p>
        </w:tc>
      </w:tr>
      <w:tr>
        <w:trPr>
          <w:trHeight w:val="226"/>
        </w:trPr>
        <w:tc>
          <w:tcPr>
            <w:tcW w:w="61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AA</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A</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B</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principal issued</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$545 million</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$252 million</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$221 million</w:t>
            </w:r>
          </w:p>
        </w:tc>
      </w:tr>
      <w:tr>
        <w:trPr>
          <w:trHeight w:val="228"/>
        </w:trPr>
        <w:tc>
          <w:tcPr>
            <w:tcW w:w="6140" w:type="dxa"/>
            <w:vAlign w:val="bottom"/>
          </w:tcPr>
          <w:p>
            <w:pPr>
              <w:ind w:left="20"/>
              <w:spacing w:after="0"/>
              <w:rPr>
                <w:sz w:val="20"/>
                <w:szCs w:val="20"/>
                <w:color w:val="auto"/>
              </w:rPr>
            </w:pPr>
            <w:r>
              <w:rPr>
                <w:rFonts w:ascii="Arial" w:cs="Arial" w:eastAsia="Arial" w:hAnsi="Arial"/>
                <w:sz w:val="16"/>
                <w:szCs w:val="16"/>
                <w:color w:val="auto"/>
              </w:rPr>
              <w:t>Fixed interest rate per annum</w:t>
            </w: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3.35%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3.60%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3.70%</w:t>
            </w:r>
          </w:p>
        </w:tc>
      </w:tr>
      <w:tr>
        <w:trPr>
          <w:trHeight w:val="24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Maturity date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October 2029</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October 2029</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October 2025</w:t>
            </w:r>
          </w:p>
        </w:tc>
      </w:tr>
    </w:tbl>
    <w:p>
      <w:pPr>
        <w:spacing w:after="0" w:line="33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2012-2C(R) EETCs</w:t>
      </w:r>
    </w:p>
    <w:p>
      <w:pPr>
        <w:spacing w:after="0" w:line="89" w:lineRule="exact"/>
        <w:rPr>
          <w:sz w:val="20"/>
          <w:szCs w:val="20"/>
          <w:color w:val="auto"/>
        </w:rPr>
      </w:pPr>
    </w:p>
    <w:p>
      <w:pPr>
        <w:jc w:val="both"/>
        <w:ind w:firstLine="199"/>
        <w:spacing w:after="0" w:line="246" w:lineRule="auto"/>
        <w:rPr>
          <w:sz w:val="20"/>
          <w:szCs w:val="20"/>
          <w:color w:val="auto"/>
        </w:rPr>
      </w:pPr>
      <w:r>
        <w:rPr>
          <w:rFonts w:ascii="Arial" w:cs="Arial" w:eastAsia="Arial" w:hAnsi="Arial"/>
          <w:sz w:val="16"/>
          <w:szCs w:val="16"/>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beginning in December 2018.</w:t>
      </w:r>
    </w:p>
    <w:p>
      <w:pPr>
        <w:spacing w:after="0" w:line="136" w:lineRule="exact"/>
        <w:rPr>
          <w:sz w:val="20"/>
          <w:szCs w:val="20"/>
          <w:color w:val="auto"/>
        </w:rPr>
      </w:pPr>
    </w:p>
    <w:p>
      <w:pPr>
        <w:jc w:val="both"/>
        <w:ind w:firstLine="199"/>
        <w:spacing w:after="0" w:line="292" w:lineRule="auto"/>
        <w:rPr>
          <w:sz w:val="20"/>
          <w:szCs w:val="20"/>
          <w:color w:val="auto"/>
        </w:rPr>
      </w:pPr>
      <w:r>
        <w:rPr>
          <w:rFonts w:ascii="Arial" w:cs="Arial" w:eastAsia="Arial" w:hAnsi="Arial"/>
          <w:sz w:val="14"/>
          <w:szCs w:val="14"/>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information regarding the 2012-2 Class C(R) EETC equipment notes as of June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255270</wp:posOffset>
            </wp:positionV>
            <wp:extent cx="133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04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2012-2C(R) EETCs</w:t>
            </w:r>
          </w:p>
        </w:tc>
      </w:tr>
      <w:tr>
        <w:trPr>
          <w:trHeight w:val="179"/>
        </w:trPr>
        <w:tc>
          <w:tcPr>
            <w:tcW w:w="904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C(R)</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principal issued</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$100 million</w:t>
            </w: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color w:val="auto"/>
              </w:rPr>
              <w:t>Fixed interest rate per annum</w:t>
            </w:r>
          </w:p>
        </w:tc>
        <w:tc>
          <w:tcPr>
            <w:tcW w:w="2100" w:type="dxa"/>
            <w:vAlign w:val="bottom"/>
          </w:tcPr>
          <w:p>
            <w:pPr>
              <w:jc w:val="center"/>
              <w:spacing w:after="0"/>
              <w:rPr>
                <w:sz w:val="20"/>
                <w:szCs w:val="20"/>
                <w:color w:val="auto"/>
              </w:rPr>
            </w:pPr>
            <w:r>
              <w:rPr>
                <w:rFonts w:ascii="Arial" w:cs="Arial" w:eastAsia="Arial" w:hAnsi="Arial"/>
                <w:sz w:val="16"/>
                <w:szCs w:val="16"/>
                <w:color w:val="auto"/>
              </w:rPr>
              <w:t>4.70%</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Maturity date</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June 2021</w:t>
            </w:r>
          </w:p>
        </w:tc>
      </w:tr>
    </w:tbl>
    <w:p>
      <w:pPr>
        <w:spacing w:after="0" w:line="33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Equipment Loans and Other Notes Payable Issued in 2018</w:t>
      </w:r>
    </w:p>
    <w:p>
      <w:pPr>
        <w:spacing w:after="0" w:line="89" w:lineRule="exact"/>
        <w:rPr>
          <w:sz w:val="20"/>
          <w:szCs w:val="20"/>
          <w:color w:val="auto"/>
        </w:rPr>
      </w:pPr>
    </w:p>
    <w:p>
      <w:pPr>
        <w:ind w:right="20" w:firstLine="199"/>
        <w:spacing w:after="0" w:line="248" w:lineRule="auto"/>
        <w:rPr>
          <w:sz w:val="20"/>
          <w:szCs w:val="20"/>
          <w:color w:val="auto"/>
        </w:rPr>
      </w:pPr>
      <w:r>
        <w:rPr>
          <w:rFonts w:ascii="Arial" w:cs="Arial" w:eastAsia="Arial" w:hAnsi="Arial"/>
          <w:sz w:val="16"/>
          <w:szCs w:val="16"/>
          <w:color w:val="auto"/>
        </w:rPr>
        <w:t>In the first six months of 2018, American entered into agreements under which it borrowed $509 million in connection with the financing of certain aircraft. Debt incurred under these agreements matures in 2023 through 2029.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0"/>
          </w:cols>
          <w:pgMar w:left="240" w:top="308" w:right="219" w:bottom="1440" w:gutter="0" w:footer="0" w:header="0"/>
        </w:sectPr>
      </w:pPr>
    </w:p>
    <w:bookmarkStart w:id="18" w:name="page19"/>
    <w:bookmarkEnd w:id="18"/>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u w:val="single" w:color="auto"/>
          <w:color w:val="auto"/>
        </w:rPr>
        <w:t>Other Financing Activities</w:t>
      </w:r>
    </w:p>
    <w:p>
      <w:pPr>
        <w:spacing w:after="0" w:line="75"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2013 Credit Facilities</w:t>
      </w:r>
    </w:p>
    <w:p>
      <w:pPr>
        <w:spacing w:after="0" w:line="89" w:lineRule="exact"/>
        <w:rPr>
          <w:sz w:val="20"/>
          <w:szCs w:val="20"/>
          <w:color w:val="auto"/>
        </w:rPr>
      </w:pPr>
    </w:p>
    <w:p>
      <w:pPr>
        <w:jc w:val="both"/>
        <w:ind w:left="6" w:firstLine="199"/>
        <w:spacing w:after="0" w:line="244" w:lineRule="auto"/>
        <w:rPr>
          <w:sz w:val="20"/>
          <w:szCs w:val="20"/>
          <w:color w:val="auto"/>
        </w:rPr>
      </w:pPr>
      <w:r>
        <w:rPr>
          <w:rFonts w:ascii="Arial" w:cs="Arial" w:eastAsia="Arial" w:hAnsi="Arial"/>
          <w:sz w:val="16"/>
          <w:szCs w:val="16"/>
          <w:color w:val="auto"/>
        </w:rPr>
        <w:t>In May 2018, American and AAG entered into a Fourth Amendment (the Fourth Amendment) to the Amended and Restated Credit and Guaranty Agreement, amending the Amended and Restated Credit and Guaranty Agreement dated as of May 21, 2015, which amended and restated the Credit and Guaranty Agreement dated as of June 27, 2013 (as previously amended, the Credit Agreement, and the term loan and revolving credit facilities established thereunder, the 2013 Credit Facilities), pursuant to which American refinanced $1.8 billion of the existing term loans outstanding under the 2013 Credit Facilities with proceeds of term loans incurred under the Fourth Amendment (the Replacement Term Loans). The interest rate margin on the Replacement Term Loans was reduced from 2.00% to 1.75% for those loans with interest rates based on LIBOR and from 1.00% to 0.75% for those loans with interest rates based on an index. Additionally, the Fourth Amendment extended the maturity date of the Replacement Term Loans to June 2025.</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7. Income Taxes</w:t>
      </w:r>
    </w:p>
    <w:p>
      <w:pPr>
        <w:spacing w:after="0" w:line="91"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At December 31, 2017, we had approximately $10.0 billion of federal net operating losses (NOLs) carried over from prior taxable years (NOL Carryforwards) to reduce future federal taxable income, substantially all of which we expect to be available for use in 2018. The federal NOL Carryforwards will expire beginning in 2022 if unused. We also had approximately $3.4 billion of NOL Carryforwards to reduce future state taxable income at December 31, 2017, which will expire in years 2018 through 2037 if unused.</w:t>
      </w:r>
    </w:p>
    <w:p>
      <w:pPr>
        <w:spacing w:after="0" w:line="138"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At December 31, 2017, we had an AMT credit carryforward of approximately $339 million available for federal income tax purposes, which is expected to be substantially refunded in 2019 and 2020 as a result of the repeal of corporate AMT.</w:t>
      </w:r>
    </w:p>
    <w:p>
      <w:pPr>
        <w:spacing w:after="0" w:line="134"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During the three and six months ended June 30, 2018, we recorded an income tax provision of $203 million and $289 million, respectively, which was substantially non-cash as we utilized our NOLs described above. For the three and six months ended June 30, 2018, this provision included an $18 million special income tax charge related to an international income tax matter. Additionally, for the six months ended June 30, 2018, our income tax provision included a $22 million special income tax charge to establish a required valuation allowance related to our estimated refund for AMT credits, which is now subject to a sequestration reduction rate of approximately 6.6%. Substantially all of our income before income taxes is attributable to the United States.</w:t>
      </w:r>
    </w:p>
    <w:p>
      <w:pPr>
        <w:spacing w:after="0" w:line="137"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The 2017 Tax Act was enacted on December 22, 2017. The 2017 Tax Act is the most comprehensive tax change in more than 30 years. As of June 30, 2018, we have not completed our evaluation of the 2017 Tax Act; however, to the extent possible, we have made a reasonable estimate of its effects, including the impact of lower corporate income tax rates (21% vs. 35%) on our deferred tax assets and liabilities and the one-time transition tax on earnings of certain foreign subsidiaries that were previously tax deferred.</w:t>
      </w:r>
    </w:p>
    <w:p>
      <w:pPr>
        <w:spacing w:after="0" w:line="138"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The 2017 Tax Act is unclear in many respects and could be subject to potential amendments and technical corrections, as well as interpretations and implementation regulations by the Treasury and Internal Revenue Service. In addition, it is unclear how these U.S. federal income tax changes will affect state and local taxation, which often uses federal taxable income as a starting point for computing state and local tax liabilities. Accordingly, we have not yet been able to make a reasonable estimate of the impact of certain items and continue to account for those items based on the tax laws in effect prior to the 2017 Tax Act.</w:t>
      </w:r>
    </w:p>
    <w:p>
      <w:pPr>
        <w:spacing w:after="0" w:line="138" w:lineRule="exact"/>
        <w:rPr>
          <w:sz w:val="20"/>
          <w:szCs w:val="20"/>
          <w:color w:val="auto"/>
        </w:rPr>
      </w:pPr>
    </w:p>
    <w:p>
      <w:pPr>
        <w:ind w:left="186"/>
        <w:spacing w:after="0"/>
        <w:rPr>
          <w:sz w:val="20"/>
          <w:szCs w:val="20"/>
          <w:color w:val="auto"/>
        </w:rPr>
      </w:pPr>
      <w:r>
        <w:rPr>
          <w:rFonts w:ascii="Arial" w:cs="Arial" w:eastAsia="Arial" w:hAnsi="Arial"/>
          <w:sz w:val="16"/>
          <w:szCs w:val="16"/>
          <w:color w:val="auto"/>
        </w:rPr>
        <w:t>As further interpretations, clarifications and amendments to the 2017 Tax Act are made, our future financial statements could be materially impacted.</w:t>
      </w:r>
    </w:p>
    <w:p>
      <w:pPr>
        <w:spacing w:after="0" w:line="196" w:lineRule="exact"/>
        <w:rPr>
          <w:sz w:val="20"/>
          <w:szCs w:val="20"/>
          <w:color w:val="auto"/>
        </w:rPr>
      </w:pPr>
    </w:p>
    <w:p>
      <w:pPr>
        <w:ind w:left="166" w:hanging="166"/>
        <w:spacing w:after="0"/>
        <w:tabs>
          <w:tab w:leader="none" w:pos="1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73"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Assets Measured at Fair Value on a Recurring Basis</w:t>
      </w:r>
    </w:p>
    <w:p>
      <w:pPr>
        <w:spacing w:after="0" w:line="91" w:lineRule="exact"/>
        <w:rPr>
          <w:sz w:val="20"/>
          <w:szCs w:val="20"/>
          <w:color w:val="auto"/>
        </w:rPr>
      </w:pPr>
    </w:p>
    <w:p>
      <w:pPr>
        <w:jc w:val="both"/>
        <w:ind w:left="6" w:right="20" w:firstLine="187"/>
        <w:spacing w:after="0" w:line="246" w:lineRule="auto"/>
        <w:rPr>
          <w:sz w:val="20"/>
          <w:szCs w:val="20"/>
          <w:color w:val="auto"/>
        </w:rPr>
      </w:pPr>
      <w:r>
        <w:rPr>
          <w:rFonts w:ascii="Arial" w:cs="Arial" w:eastAsia="Arial" w:hAnsi="Arial"/>
          <w:sz w:val="16"/>
          <w:szCs w:val="16"/>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2018.</w:t>
      </w:r>
    </w:p>
    <w:p>
      <w:pPr>
        <w:spacing w:after="0" w:line="20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6"/>
          </w:cols>
          <w:pgMar w:left="234" w:top="308"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Assets measured at fair value on a recurring basis are summarized below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b w:val="1"/>
                <w:bCs w:val="1"/>
                <w:color w:val="auto"/>
              </w:rPr>
              <w:t>Fair Value Measurements as of June 30, 2018</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6"/>
        </w:trPr>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2</w:t>
            </w:r>
          </w:p>
        </w:tc>
        <w:tc>
          <w:tcPr>
            <w:tcW w:w="28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Level 3</w:t>
            </w:r>
          </w:p>
        </w:tc>
      </w:tr>
      <w:tr>
        <w:trPr>
          <w:trHeight w:val="231"/>
        </w:trPr>
        <w:tc>
          <w:tcPr>
            <w:tcW w:w="5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 xml:space="preserve">Short-term investments </w:t>
            </w:r>
            <w:r>
              <w:rPr>
                <w:rFonts w:ascii="Arial" w:cs="Arial" w:eastAsia="Arial" w:hAnsi="Arial"/>
                <w:sz w:val="18"/>
                <w:szCs w:val="18"/>
                <w:color w:val="auto"/>
                <w:vertAlign w:val="superscript"/>
              </w:rPr>
              <w:t>(1) (2)</w:t>
            </w: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r>
      <w:tr>
        <w:trPr>
          <w:trHeight w:val="228"/>
        </w:trPr>
        <w:tc>
          <w:tcPr>
            <w:tcW w:w="5720" w:type="dxa"/>
            <w:vAlign w:val="bottom"/>
            <w:gridSpan w:val="3"/>
          </w:tcPr>
          <w:p>
            <w:pPr>
              <w:ind w:left="1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40"/>
        </w:trPr>
        <w:tc>
          <w:tcPr>
            <w:tcW w:w="5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28"/>
        </w:trPr>
        <w:tc>
          <w:tcPr>
            <w:tcW w:w="5720" w:type="dxa"/>
            <w:vAlign w:val="bottom"/>
            <w:gridSpan w:val="3"/>
          </w:tcPr>
          <w:p>
            <w:pPr>
              <w:ind w:left="140"/>
              <w:spacing w:after="0"/>
              <w:rPr>
                <w:sz w:val="20"/>
                <w:szCs w:val="20"/>
                <w:color w:val="auto"/>
              </w:rPr>
            </w:pPr>
            <w:r>
              <w:rPr>
                <w:rFonts w:ascii="Arial" w:cs="Arial" w:eastAsia="Arial" w:hAnsi="Arial"/>
                <w:sz w:val="16"/>
                <w:szCs w:val="16"/>
                <w:color w:val="auto"/>
              </w:rPr>
              <w:t>Bank notes/certificates of deposit/time deposits</w:t>
            </w:r>
          </w:p>
        </w:tc>
        <w:tc>
          <w:tcPr>
            <w:tcW w:w="340" w:type="dxa"/>
            <w:vAlign w:val="bottom"/>
          </w:tcPr>
          <w:p>
            <w:pPr>
              <w:spacing w:after="0"/>
              <w:rPr>
                <w:sz w:val="19"/>
                <w:szCs w:val="19"/>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2,803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2,803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Repurchase agreements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14"/>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4,381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w:t>
            </w:r>
          </w:p>
        </w:tc>
      </w:tr>
      <w:tr>
        <w:trPr>
          <w:trHeight w:val="240"/>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xml:space="preserve">Restricted cash and short-term investments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 xml:space="preserve">Long-term investments </w:t>
            </w:r>
            <w:r>
              <w:rPr>
                <w:rFonts w:ascii="Arial" w:cs="Arial" w:eastAsia="Arial" w:hAnsi="Arial"/>
                <w:sz w:val="18"/>
                <w:szCs w:val="18"/>
                <w:color w:val="auto"/>
                <w:vertAlign w:val="superscript"/>
              </w:rPr>
              <w:t>(3)</w:t>
            </w:r>
          </w:p>
        </w:tc>
        <w:tc>
          <w:tcPr>
            <w:tcW w:w="340" w:type="dxa"/>
            <w:vAlign w:val="bottom"/>
          </w:tcPr>
          <w:p>
            <w:pPr>
              <w:spacing w:after="0"/>
              <w:rPr>
                <w:sz w:val="20"/>
                <w:szCs w:val="20"/>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Borders>
              <w:top w:val="single" w:sz="8" w:color="CCEEFF"/>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w w:val="84"/>
                <w:shd w:val="clear" w:color="auto" w:fill="CCEEFF"/>
              </w:rPr>
              <w:t>Total</w:t>
            </w:r>
          </w:p>
        </w:tc>
        <w:tc>
          <w:tcPr>
            <w:tcW w:w="53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jc w:val="right"/>
              <w:ind w:right="142"/>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4"/>
              <w:spacing w:after="0" w:line="179" w:lineRule="exact"/>
              <w:rPr>
                <w:sz w:val="20"/>
                <w:szCs w:val="20"/>
                <w:color w:val="auto"/>
              </w:rPr>
            </w:pPr>
            <w:r>
              <w:rPr>
                <w:rFonts w:ascii="Arial" w:cs="Arial" w:eastAsia="Arial" w:hAnsi="Arial"/>
                <w:sz w:val="16"/>
                <w:szCs w:val="16"/>
                <w:color w:val="auto"/>
              </w:rPr>
              <w:t>4,780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24"/>
              <w:spacing w:after="0" w:line="179" w:lineRule="exact"/>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jc w:val="right"/>
              <w:ind w:right="102"/>
              <w:spacing w:after="0" w:line="179"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4"/>
              <w:spacing w:after="0" w:line="179" w:lineRule="exact"/>
              <w:rPr>
                <w:sz w:val="20"/>
                <w:szCs w:val="20"/>
                <w:color w:val="auto"/>
              </w:rPr>
            </w:pPr>
            <w:r>
              <w:rPr>
                <w:rFonts w:ascii="Arial" w:cs="Arial" w:eastAsia="Arial" w:hAnsi="Arial"/>
                <w:sz w:val="16"/>
                <w:szCs w:val="16"/>
                <w:color w:val="auto"/>
              </w:rPr>
              <w:t>4,495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jc w:val="right"/>
              <w:ind w:right="102"/>
              <w:spacing w:after="0" w:line="179"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ind w:left="820"/>
              <w:spacing w:after="0" w:line="179" w:lineRule="exact"/>
              <w:rPr>
                <w:sz w:val="20"/>
                <w:szCs w:val="20"/>
                <w:color w:val="auto"/>
              </w:rPr>
            </w:pPr>
            <w:r>
              <w:rPr>
                <w:rFonts w:ascii="Arial" w:cs="Arial" w:eastAsia="Arial" w:hAnsi="Arial"/>
                <w:sz w:val="16"/>
                <w:szCs w:val="16"/>
                <w:color w:val="auto"/>
              </w:rPr>
              <w:t>—</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25" w:lineRule="exact"/>
        <w:rPr>
          <w:sz w:val="20"/>
          <w:szCs w:val="20"/>
          <w:color w:val="auto"/>
        </w:rPr>
      </w:pPr>
    </w:p>
    <w:p>
      <w:pPr>
        <w:ind w:left="420" w:hanging="286"/>
        <w:spacing w:after="0"/>
        <w:tabs>
          <w:tab w:leader="none" w:pos="420" w:val="left"/>
        </w:tabs>
        <w:numPr>
          <w:ilvl w:val="0"/>
          <w:numId w:val="15"/>
        </w:numPr>
        <w:rPr>
          <w:rFonts w:ascii="Arial" w:cs="Arial" w:eastAsia="Arial" w:hAnsi="Arial"/>
          <w:sz w:val="19"/>
          <w:szCs w:val="19"/>
          <w:color w:val="auto"/>
          <w:vertAlign w:val="superscript"/>
        </w:rPr>
      </w:pPr>
      <w:r>
        <w:rPr>
          <w:rFonts w:ascii="Arial" w:cs="Arial" w:eastAsia="Arial" w:hAnsi="Arial"/>
          <w:sz w:val="16"/>
          <w:szCs w:val="16"/>
          <w:color w:val="auto"/>
        </w:rPr>
        <w:t>Unrealized gains or losses on short-term investments are recorded in accumulated other comprehensive loss at each measurement date.</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15"/>
        </w:numPr>
        <w:rPr>
          <w:rFonts w:ascii="Arial" w:cs="Arial" w:eastAsia="Arial" w:hAnsi="Arial"/>
          <w:sz w:val="19"/>
          <w:szCs w:val="19"/>
          <w:color w:val="auto"/>
          <w:vertAlign w:val="superscript"/>
        </w:rPr>
      </w:pPr>
      <w:r>
        <w:rPr>
          <w:rFonts w:ascii="Arial" w:cs="Arial" w:eastAsia="Arial" w:hAnsi="Arial"/>
          <w:sz w:val="16"/>
          <w:szCs w:val="16"/>
          <w:color w:val="auto"/>
        </w:rPr>
        <w:t>All short-term investments are classified as available-for-sale and stated at fair value. Our short-term investments mature in one year or less except for $475 million of bank notes/certificates of deposit/time deposits and $100 million of corporate obligations.</w:t>
      </w:r>
    </w:p>
    <w:p>
      <w:pPr>
        <w:spacing w:after="0" w:line="140" w:lineRule="exact"/>
        <w:rPr>
          <w:rFonts w:ascii="Arial" w:cs="Arial" w:eastAsia="Arial" w:hAnsi="Arial"/>
          <w:sz w:val="19"/>
          <w:szCs w:val="19"/>
          <w:color w:val="auto"/>
          <w:vertAlign w:val="superscript"/>
        </w:rPr>
      </w:pPr>
    </w:p>
    <w:p>
      <w:pPr>
        <w:ind w:left="420" w:hanging="286"/>
        <w:spacing w:after="0" w:line="223" w:lineRule="auto"/>
        <w:tabs>
          <w:tab w:leader="none" w:pos="420" w:val="left"/>
        </w:tabs>
        <w:numPr>
          <w:ilvl w:val="0"/>
          <w:numId w:val="15"/>
        </w:numPr>
        <w:rPr>
          <w:rFonts w:ascii="Arial" w:cs="Arial" w:eastAsia="Arial" w:hAnsi="Arial"/>
          <w:sz w:val="19"/>
          <w:szCs w:val="19"/>
          <w:color w:val="auto"/>
          <w:vertAlign w:val="superscript"/>
        </w:rPr>
      </w:pPr>
      <w:r>
        <w:rPr>
          <w:rFonts w:ascii="Arial" w:cs="Arial" w:eastAsia="Arial" w:hAnsi="Arial"/>
          <w:sz w:val="16"/>
          <w:szCs w:val="16"/>
          <w:color w:val="auto"/>
        </w:rPr>
        <w:t>Long-term investments primarily include our investment in China Southern Airlines and are classified in other assets on our condensed consolidated balance sheets.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Fair Value of Debt</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carrying value and estimated fair value of our long-term debt, including current maturities, were as follows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June 30, 2018</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2"/>
                <w:szCs w:val="12"/>
                <w:b w:val="1"/>
                <w:bCs w:val="1"/>
                <w:color w:val="auto"/>
              </w:rPr>
              <w:t>December 31, 2017</w:t>
            </w:r>
          </w:p>
        </w:tc>
      </w:tr>
      <w:tr>
        <w:trPr>
          <w:trHeight w:val="151"/>
        </w:trPr>
        <w:tc>
          <w:tcPr>
            <w:tcW w:w="5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Carrying</w:t>
            </w:r>
          </w:p>
        </w:tc>
        <w:tc>
          <w:tcPr>
            <w:tcW w:w="440" w:type="dxa"/>
            <w:vAlign w:val="bottom"/>
          </w:tcPr>
          <w:p>
            <w:pPr>
              <w:spacing w:after="0"/>
              <w:rPr>
                <w:sz w:val="13"/>
                <w:szCs w:val="13"/>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9"/>
              </w:rPr>
              <w:t>Fair</w:t>
            </w:r>
          </w:p>
        </w:tc>
        <w:tc>
          <w:tcPr>
            <w:tcW w:w="26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Carrying</w:t>
            </w:r>
          </w:p>
        </w:tc>
        <w:tc>
          <w:tcPr>
            <w:tcW w:w="320" w:type="dxa"/>
            <w:vAlign w:val="bottom"/>
          </w:tcPr>
          <w:p>
            <w:pPr>
              <w:spacing w:after="0"/>
              <w:rPr>
                <w:sz w:val="13"/>
                <w:szCs w:val="13"/>
                <w:color w:val="auto"/>
              </w:rPr>
            </w:pPr>
          </w:p>
        </w:tc>
        <w:tc>
          <w:tcPr>
            <w:tcW w:w="1040" w:type="dxa"/>
            <w:vAlign w:val="bottom"/>
          </w:tcPr>
          <w:p>
            <w:pPr>
              <w:jc w:val="center"/>
              <w:ind w:right="252"/>
              <w:spacing w:after="0"/>
              <w:rPr>
                <w:sz w:val="20"/>
                <w:szCs w:val="20"/>
                <w:color w:val="auto"/>
              </w:rPr>
            </w:pPr>
            <w:r>
              <w:rPr>
                <w:rFonts w:ascii="Arial" w:cs="Arial" w:eastAsia="Arial" w:hAnsi="Arial"/>
                <w:sz w:val="12"/>
                <w:szCs w:val="12"/>
                <w:b w:val="1"/>
                <w:bCs w:val="1"/>
                <w:color w:val="auto"/>
              </w:rPr>
              <w:t>Fair</w:t>
            </w:r>
          </w:p>
        </w:tc>
      </w:tr>
      <w:tr>
        <w:trPr>
          <w:trHeight w:val="168"/>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Value</w:t>
            </w:r>
          </w:p>
        </w:tc>
        <w:tc>
          <w:tcPr>
            <w:tcW w:w="44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Value</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Value</w:t>
            </w:r>
          </w:p>
        </w:tc>
        <w:tc>
          <w:tcPr>
            <w:tcW w:w="320" w:type="dxa"/>
            <w:vAlign w:val="bottom"/>
          </w:tcPr>
          <w:p>
            <w:pPr>
              <w:spacing w:after="0"/>
              <w:rPr>
                <w:sz w:val="14"/>
                <w:szCs w:val="14"/>
                <w:color w:val="auto"/>
              </w:rPr>
            </w:pPr>
          </w:p>
        </w:tc>
        <w:tc>
          <w:tcPr>
            <w:tcW w:w="1040" w:type="dxa"/>
            <w:vAlign w:val="bottom"/>
          </w:tcPr>
          <w:p>
            <w:pPr>
              <w:jc w:val="center"/>
              <w:ind w:right="252"/>
              <w:spacing w:after="0"/>
              <w:rPr>
                <w:sz w:val="20"/>
                <w:szCs w:val="20"/>
                <w:color w:val="auto"/>
              </w:rPr>
            </w:pPr>
            <w:r>
              <w:rPr>
                <w:rFonts w:ascii="Arial" w:cs="Arial" w:eastAsia="Arial" w:hAnsi="Arial"/>
                <w:sz w:val="12"/>
                <w:szCs w:val="12"/>
                <w:b w:val="1"/>
                <w:bCs w:val="1"/>
                <w:color w:val="auto"/>
                <w:w w:val="99"/>
              </w:rPr>
              <w:t>Value</w:t>
            </w:r>
          </w:p>
        </w:tc>
      </w:tr>
      <w:tr>
        <w:trPr>
          <w:trHeight w:val="213"/>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6"/>
                <w:szCs w:val="16"/>
                <w:color w:val="auto"/>
              </w:rPr>
              <w:t>24,076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6"/>
                <w:szCs w:val="16"/>
                <w:color w:val="auto"/>
              </w:rPr>
              <w:t>24,292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6"/>
                <w:szCs w:val="16"/>
                <w:color w:val="auto"/>
              </w:rPr>
              <w:t>25,065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25,848</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8"/>
        </w:trPr>
        <w:tc>
          <w:tcPr>
            <w:tcW w:w="56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19</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40"/>
          </w:cols>
          <w:pgMar w:left="240" w:top="308"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Employee Benefit Plans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the components of net periodic benefit cost (income)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4"/>
          </w:tcPr>
          <w:p>
            <w:pPr>
              <w:jc w:val="center"/>
              <w:ind w:right="244"/>
              <w:spacing w:after="0"/>
              <w:rPr>
                <w:sz w:val="20"/>
                <w:szCs w:val="20"/>
                <w:color w:val="auto"/>
              </w:rPr>
            </w:pPr>
            <w:r>
              <w:rPr>
                <w:rFonts w:ascii="Arial" w:cs="Arial" w:eastAsia="Arial" w:hAnsi="Arial"/>
                <w:sz w:val="12"/>
                <w:szCs w:val="12"/>
                <w:b w:val="1"/>
                <w:bCs w:val="1"/>
                <w:color w:val="auto"/>
              </w:rPr>
              <w:t>Retiree Medical and Other</w:t>
            </w:r>
          </w:p>
        </w:tc>
      </w:tr>
      <w:tr>
        <w:trPr>
          <w:trHeight w:val="168"/>
        </w:trPr>
        <w:tc>
          <w:tcPr>
            <w:tcW w:w="2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Pension Benefits</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224"/>
              <w:spacing w:after="0"/>
              <w:rPr>
                <w:sz w:val="20"/>
                <w:szCs w:val="20"/>
                <w:color w:val="auto"/>
              </w:rPr>
            </w:pPr>
            <w:r>
              <w:rPr>
                <w:rFonts w:ascii="Arial" w:cs="Arial" w:eastAsia="Arial" w:hAnsi="Arial"/>
                <w:sz w:val="12"/>
                <w:szCs w:val="12"/>
                <w:b w:val="1"/>
                <w:bCs w:val="1"/>
                <w:color w:val="auto"/>
              </w:rPr>
              <w:t>Postretirement Benefits</w:t>
            </w:r>
          </w:p>
        </w:tc>
      </w:tr>
      <w:tr>
        <w:trPr>
          <w:trHeight w:val="226"/>
        </w:trPr>
        <w:tc>
          <w:tcPr>
            <w:tcW w:w="5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r>
      <w:tr>
        <w:trPr>
          <w:trHeight w:val="219"/>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w:t>
            </w:r>
          </w:p>
        </w:tc>
      </w:tr>
      <w:tr>
        <w:trPr>
          <w:trHeight w:val="228"/>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Interest cost</w:t>
            </w:r>
          </w:p>
        </w:tc>
        <w:tc>
          <w:tcPr>
            <w:tcW w:w="340" w:type="dxa"/>
            <w:vAlign w:val="bottom"/>
          </w:tcPr>
          <w:p>
            <w:pPr>
              <w:spacing w:after="0"/>
              <w:rPr>
                <w:sz w:val="19"/>
                <w:szCs w:val="19"/>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10</w:t>
            </w:r>
          </w:p>
        </w:tc>
      </w:tr>
      <w:tr>
        <w:trPr>
          <w:trHeight w:val="240"/>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Amortization of:</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
        </w:trPr>
        <w:tc>
          <w:tcPr>
            <w:tcW w:w="2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6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Prior service cost (benefit)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8"/>
        </w:trPr>
        <w:tc>
          <w:tcPr>
            <w:tcW w:w="56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Unrecognized net loss (gain)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2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16"/>
        </w:trPr>
        <w:tc>
          <w:tcPr>
            <w:tcW w:w="2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4"/>
          </w:tcPr>
          <w:p>
            <w:pPr>
              <w:jc w:val="center"/>
              <w:ind w:right="244"/>
              <w:spacing w:after="0"/>
              <w:rPr>
                <w:sz w:val="20"/>
                <w:szCs w:val="20"/>
                <w:color w:val="auto"/>
              </w:rPr>
            </w:pPr>
            <w:r>
              <w:rPr>
                <w:rFonts w:ascii="Arial" w:cs="Arial" w:eastAsia="Arial" w:hAnsi="Arial"/>
                <w:sz w:val="12"/>
                <w:szCs w:val="12"/>
                <w:b w:val="1"/>
                <w:bCs w:val="1"/>
                <w:color w:val="auto"/>
              </w:rPr>
              <w:t>Retiree Medical and Other</w:t>
            </w:r>
          </w:p>
        </w:tc>
      </w:tr>
      <w:tr>
        <w:trPr>
          <w:trHeight w:val="168"/>
        </w:trPr>
        <w:tc>
          <w:tcPr>
            <w:tcW w:w="2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Pension Benefits</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224"/>
              <w:spacing w:after="0"/>
              <w:rPr>
                <w:sz w:val="20"/>
                <w:szCs w:val="20"/>
                <w:color w:val="auto"/>
              </w:rPr>
            </w:pPr>
            <w:r>
              <w:rPr>
                <w:rFonts w:ascii="Arial" w:cs="Arial" w:eastAsia="Arial" w:hAnsi="Arial"/>
                <w:sz w:val="12"/>
                <w:szCs w:val="12"/>
                <w:b w:val="1"/>
                <w:bCs w:val="1"/>
                <w:color w:val="auto"/>
              </w:rPr>
              <w:t>Postretirement Benefits</w:t>
            </w:r>
          </w:p>
        </w:tc>
      </w:tr>
      <w:tr>
        <w:trPr>
          <w:trHeight w:val="226"/>
        </w:trPr>
        <w:tc>
          <w:tcPr>
            <w:tcW w:w="5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Six Months Ended June 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r>
      <w:tr>
        <w:trPr>
          <w:trHeight w:val="219"/>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w:t>
            </w:r>
          </w:p>
        </w:tc>
      </w:tr>
      <w:tr>
        <w:trPr>
          <w:trHeight w:val="228"/>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Interest cost</w:t>
            </w:r>
          </w:p>
        </w:tc>
        <w:tc>
          <w:tcPr>
            <w:tcW w:w="340" w:type="dxa"/>
            <w:vAlign w:val="bottom"/>
          </w:tcPr>
          <w:p>
            <w:pPr>
              <w:spacing w:after="0"/>
              <w:rPr>
                <w:sz w:val="19"/>
                <w:szCs w:val="19"/>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19</w:t>
            </w:r>
          </w:p>
        </w:tc>
      </w:tr>
      <w:tr>
        <w:trPr>
          <w:trHeight w:val="240"/>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Amortization of:</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
        </w:trPr>
        <w:tc>
          <w:tcPr>
            <w:tcW w:w="2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4"/>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Prior service cost (benefit)</w:t>
            </w:r>
          </w:p>
        </w:tc>
        <w:tc>
          <w:tcPr>
            <w:tcW w:w="326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8"/>
        </w:trPr>
        <w:tc>
          <w:tcPr>
            <w:tcW w:w="56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Unrecognized net loss (gain)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5"/>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shd w:val="clear" w:color="auto" w:fill="CCEEFF"/>
              </w:rPr>
              <w:t>Net periodic benefit cost (income)</w:t>
            </w:r>
          </w:p>
        </w:tc>
        <w:tc>
          <w:tcPr>
            <w:tcW w:w="326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Effective November 1, 2012, substantially all of our defined benefit pension plans were frozen.</w:t>
      </w:r>
    </w:p>
    <w:p>
      <w:pPr>
        <w:spacing w:after="0" w:line="144"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 components of net periodic benefit income other than the service cost component are included in nonoperating other income, net in the condensed consolidated statements of operations.</w:t>
      </w:r>
    </w:p>
    <w:p>
      <w:pPr>
        <w:spacing w:after="0" w:line="134"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During the first six months of 2018, we contributed $311 million to our defined benefit pension plans, including supplemental contributions of $272 million in addition to a $39 million minimum required contribution.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Accumulated Other Comprehensive Loss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components of accumulated other comprehensive loss (AOCI) are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Pension, Retiree</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Medical and</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9"/>
              <w:spacing w:after="0"/>
              <w:rPr>
                <w:sz w:val="20"/>
                <w:szCs w:val="20"/>
                <w:color w:val="auto"/>
              </w:rPr>
            </w:pPr>
            <w:r>
              <w:rPr>
                <w:rFonts w:ascii="Arial" w:cs="Arial" w:eastAsia="Arial" w:hAnsi="Arial"/>
                <w:sz w:val="12"/>
                <w:szCs w:val="12"/>
                <w:b w:val="1"/>
                <w:bCs w:val="1"/>
                <w:color w:val="auto"/>
              </w:rPr>
              <w:t>Income Tax</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Postretirement</w:t>
            </w:r>
          </w:p>
        </w:tc>
        <w:tc>
          <w:tcPr>
            <w:tcW w:w="140" w:type="dxa"/>
            <w:vAlign w:val="bottom"/>
          </w:tcPr>
          <w:p>
            <w:pPr>
              <w:spacing w:after="0"/>
              <w:rPr>
                <w:sz w:val="12"/>
                <w:szCs w:val="12"/>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Unrealized Loss on</w:t>
            </w:r>
          </w:p>
        </w:tc>
        <w:tc>
          <w:tcPr>
            <w:tcW w:w="240" w:type="dxa"/>
            <w:vAlign w:val="bottom"/>
          </w:tcPr>
          <w:p>
            <w:pPr>
              <w:spacing w:after="0"/>
              <w:rPr>
                <w:sz w:val="12"/>
                <w:szCs w:val="12"/>
                <w:color w:val="auto"/>
              </w:rPr>
            </w:pPr>
          </w:p>
        </w:tc>
        <w:tc>
          <w:tcPr>
            <w:tcW w:w="1240" w:type="dxa"/>
            <w:vAlign w:val="bottom"/>
          </w:tcPr>
          <w:p>
            <w:pPr>
              <w:jc w:val="center"/>
              <w:ind w:right="149"/>
              <w:spacing w:after="0"/>
              <w:rPr>
                <w:sz w:val="20"/>
                <w:szCs w:val="20"/>
                <w:color w:val="auto"/>
              </w:rPr>
            </w:pPr>
            <w:r>
              <w:rPr>
                <w:rFonts w:ascii="Arial" w:cs="Arial" w:eastAsia="Arial" w:hAnsi="Arial"/>
                <w:sz w:val="12"/>
                <w:szCs w:val="12"/>
                <w:b w:val="1"/>
                <w:bCs w:val="1"/>
                <w:color w:val="auto"/>
              </w:rPr>
              <w:t>Benefit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9"/>
              <w:spacing w:after="0"/>
              <w:rPr>
                <w:sz w:val="20"/>
                <w:szCs w:val="20"/>
                <w:color w:val="auto"/>
              </w:rPr>
            </w:pPr>
            <w:r>
              <w:rPr>
                <w:rFonts w:ascii="Arial" w:cs="Arial" w:eastAsia="Arial" w:hAnsi="Arial"/>
                <w:sz w:val="12"/>
                <w:szCs w:val="12"/>
                <w:b w:val="1"/>
                <w:bCs w:val="1"/>
                <w:color w:val="auto"/>
                <w:w w:val="99"/>
              </w:rPr>
              <w:t xml:space="preserve">(Provision) </w:t>
            </w:r>
            <w:r>
              <w:rPr>
                <w:rFonts w:ascii="Arial" w:cs="Arial" w:eastAsia="Arial" w:hAnsi="Arial"/>
                <w:sz w:val="15"/>
                <w:szCs w:val="15"/>
                <w:b w:val="1"/>
                <w:bCs w:val="1"/>
                <w:color w:val="auto"/>
                <w:w w:val="99"/>
                <w:vertAlign w:val="superscript"/>
              </w:rPr>
              <w:t>(1)</w:t>
            </w: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Total</w:t>
            </w:r>
          </w:p>
        </w:tc>
      </w:tr>
      <w:tr>
        <w:trPr>
          <w:trHeight w:val="214"/>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r>
      <w:tr>
        <w:trPr>
          <w:trHeight w:val="228"/>
        </w:trPr>
        <w:tc>
          <w:tcPr>
            <w:tcW w:w="4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tcPr>
          <w:p>
            <w:pPr>
              <w:jc w:val="right"/>
              <w:ind w:right="132"/>
              <w:spacing w:after="0"/>
              <w:rPr>
                <w:sz w:val="20"/>
                <w:szCs w:val="20"/>
                <w:color w:val="auto"/>
              </w:rPr>
            </w:pPr>
            <w:r>
              <w:rPr>
                <w:rFonts w:ascii="Arial" w:cs="Arial" w:eastAsia="Arial" w:hAnsi="Arial"/>
                <w:sz w:val="9"/>
                <w:szCs w:val="9"/>
                <w:color w:val="auto"/>
              </w:rPr>
              <w:t>(2)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20"/>
        </w:trPr>
        <w:tc>
          <w:tcPr>
            <w:tcW w:w="49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Net current-period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8"/>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Balance at June 30, 2018</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(620)</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(5,187)</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57" w:lineRule="exact"/>
        <w:rPr>
          <w:sz w:val="20"/>
          <w:szCs w:val="20"/>
          <w:color w:val="auto"/>
        </w:rPr>
      </w:pPr>
    </w:p>
    <w:p>
      <w:pPr>
        <w:ind w:left="460" w:right="20" w:hanging="279"/>
        <w:spacing w:after="0" w:line="223" w:lineRule="auto"/>
        <w:tabs>
          <w:tab w:leader="none" w:pos="460" w:val="left"/>
        </w:tabs>
        <w:numPr>
          <w:ilvl w:val="0"/>
          <w:numId w:val="16"/>
        </w:numPr>
        <w:rPr>
          <w:rFonts w:ascii="Arial" w:cs="Arial" w:eastAsia="Arial" w:hAnsi="Arial"/>
          <w:sz w:val="19"/>
          <w:szCs w:val="19"/>
          <w:color w:val="auto"/>
          <w:vertAlign w:val="superscript"/>
        </w:rPr>
      </w:pPr>
      <w:r>
        <w:rPr>
          <w:rFonts w:ascii="Arial" w:cs="Arial" w:eastAsia="Arial" w:hAnsi="Arial"/>
          <w:sz w:val="16"/>
          <w:szCs w:val="16"/>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19"/>
          <w:szCs w:val="19"/>
          <w:color w:val="auto"/>
          <w:vertAlign w:val="superscript"/>
        </w:rPr>
      </w:pPr>
    </w:p>
    <w:p>
      <w:pPr>
        <w:ind w:left="460" w:hanging="279"/>
        <w:spacing w:after="0" w:line="223" w:lineRule="auto"/>
        <w:tabs>
          <w:tab w:leader="none" w:pos="460" w:val="left"/>
        </w:tabs>
        <w:numPr>
          <w:ilvl w:val="0"/>
          <w:numId w:val="16"/>
        </w:numPr>
        <w:rPr>
          <w:rFonts w:ascii="Arial" w:cs="Arial" w:eastAsia="Arial" w:hAnsi="Arial"/>
          <w:sz w:val="19"/>
          <w:szCs w:val="19"/>
          <w:color w:val="auto"/>
          <w:vertAlign w:val="superscript"/>
        </w:rPr>
      </w:pPr>
      <w:r>
        <w:rPr>
          <w:rFonts w:ascii="Arial" w:cs="Arial" w:eastAsia="Arial" w:hAnsi="Arial"/>
          <w:sz w:val="16"/>
          <w:szCs w:val="16"/>
          <w:color w:val="auto"/>
        </w:rPr>
        <w:t>Relates to pension, retiree medical and other postretirement benefits obligations and is recognized within the income tax provision on the condensed consolidated statement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0"/>
          </w:cols>
          <w:pgMar w:left="240" w:top="308"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Reclassifications out of AOCI are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Amounts reclassified from AOCI</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spacing w:after="0"/>
              <w:rPr>
                <w:sz w:val="20"/>
                <w:szCs w:val="20"/>
                <w:color w:val="auto"/>
              </w:rPr>
            </w:pPr>
            <w:r>
              <w:rPr>
                <w:rFonts w:ascii="Arial" w:cs="Arial" w:eastAsia="Arial" w:hAnsi="Arial"/>
                <w:sz w:val="12"/>
                <w:szCs w:val="12"/>
                <w:b w:val="1"/>
                <w:bCs w:val="1"/>
                <w:color w:val="auto"/>
              </w:rPr>
              <w:t>Three Months Ended June 30,</w:t>
            </w:r>
          </w:p>
        </w:tc>
        <w:tc>
          <w:tcPr>
            <w:tcW w:w="1680" w:type="dxa"/>
            <w:vAlign w:val="bottom"/>
            <w:gridSpan w:val="5"/>
          </w:tcPr>
          <w:p>
            <w:pPr>
              <w:ind w:left="40"/>
              <w:spacing w:after="0"/>
              <w:rPr>
                <w:sz w:val="20"/>
                <w:szCs w:val="20"/>
                <w:color w:val="auto"/>
              </w:rPr>
            </w:pPr>
            <w:r>
              <w:rPr>
                <w:rFonts w:ascii="Arial" w:cs="Arial" w:eastAsia="Arial" w:hAnsi="Arial"/>
                <w:sz w:val="12"/>
                <w:szCs w:val="12"/>
                <w:b w:val="1"/>
                <w:bCs w:val="1"/>
                <w:color w:val="auto"/>
              </w:rPr>
              <w:t>Six Months Ended June 30,</w:t>
            </w:r>
          </w:p>
        </w:tc>
        <w:tc>
          <w:tcPr>
            <w:tcW w:w="10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items on the</w:t>
            </w:r>
          </w:p>
        </w:tc>
        <w:tc>
          <w:tcPr>
            <w:tcW w:w="0" w:type="dxa"/>
            <w:vAlign w:val="bottom"/>
          </w:tcPr>
          <w:p>
            <w:pPr>
              <w:spacing w:after="0"/>
              <w:rPr>
                <w:sz w:val="1"/>
                <w:szCs w:val="1"/>
                <w:color w:val="auto"/>
              </w:rPr>
            </w:pPr>
          </w:p>
        </w:tc>
      </w:tr>
      <w:tr>
        <w:trPr>
          <w:trHeight w:val="47"/>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vMerge w:val="restart"/>
          </w:tcPr>
          <w:p>
            <w:pPr>
              <w:jc w:val="center"/>
              <w:spacing w:after="0" w:line="119" w:lineRule="exact"/>
              <w:rPr>
                <w:sz w:val="20"/>
                <w:szCs w:val="20"/>
                <w:color w:val="auto"/>
              </w:rPr>
            </w:pPr>
            <w:r>
              <w:rPr>
                <w:rFonts w:ascii="Arial" w:cs="Arial" w:eastAsia="Arial" w:hAnsi="Arial"/>
                <w:sz w:val="12"/>
                <w:szCs w:val="12"/>
                <w:b w:val="1"/>
                <w:bCs w:val="1"/>
                <w:color w:val="auto"/>
              </w:rPr>
              <w:t>condensed consolidated</w:t>
            </w:r>
          </w:p>
        </w:tc>
        <w:tc>
          <w:tcPr>
            <w:tcW w:w="0" w:type="dxa"/>
            <w:vAlign w:val="bottom"/>
          </w:tcPr>
          <w:p>
            <w:pPr>
              <w:spacing w:after="0"/>
              <w:rPr>
                <w:sz w:val="1"/>
                <w:szCs w:val="1"/>
                <w:color w:val="auto"/>
              </w:rPr>
            </w:pPr>
          </w:p>
        </w:tc>
      </w:tr>
      <w:tr>
        <w:trPr>
          <w:trHeight w:val="52"/>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AOCI Components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statements of operations</w:t>
            </w:r>
          </w:p>
        </w:tc>
        <w:tc>
          <w:tcPr>
            <w:tcW w:w="0" w:type="dxa"/>
            <w:vAlign w:val="bottom"/>
          </w:tcPr>
          <w:p>
            <w:pPr>
              <w:spacing w:after="0"/>
              <w:rPr>
                <w:sz w:val="1"/>
                <w:szCs w:val="1"/>
                <w:color w:val="auto"/>
              </w:rPr>
            </w:pPr>
          </w:p>
        </w:tc>
      </w:tr>
      <w:tr>
        <w:trPr>
          <w:trHeight w:val="19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pension, retiree medical and other</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postretirement benefits: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ind w:left="320"/>
              <w:spacing w:after="0"/>
              <w:rPr>
                <w:sz w:val="20"/>
                <w:szCs w:val="20"/>
                <w:color w:val="auto"/>
              </w:rPr>
            </w:pPr>
            <w:r>
              <w:rPr>
                <w:rFonts w:ascii="Arial" w:cs="Arial" w:eastAsia="Arial" w:hAnsi="Arial"/>
                <w:sz w:val="16"/>
                <w:szCs w:val="16"/>
                <w:color w:val="auto"/>
              </w:rPr>
              <w:t>Prior service benefit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6"/>
                <w:szCs w:val="16"/>
                <w:color w:val="auto"/>
              </w:rPr>
              <w:t>Nonoperating other income (expense), net</w:t>
            </w:r>
          </w:p>
        </w:tc>
        <w:tc>
          <w:tcPr>
            <w:tcW w:w="0" w:type="dxa"/>
            <w:vAlign w:val="bottom"/>
          </w:tcPr>
          <w:p>
            <w:pPr>
              <w:spacing w:after="0"/>
              <w:rPr>
                <w:sz w:val="1"/>
                <w:szCs w:val="1"/>
                <w:color w:val="auto"/>
              </w:rPr>
            </w:pPr>
          </w:p>
        </w:tc>
      </w:tr>
      <w:tr>
        <w:trPr>
          <w:trHeight w:val="240"/>
        </w:trPr>
        <w:tc>
          <w:tcPr>
            <w:tcW w:w="4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Actuarial loss</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other income (expense), net</w:t>
            </w:r>
          </w:p>
        </w:tc>
        <w:tc>
          <w:tcPr>
            <w:tcW w:w="0" w:type="dxa"/>
            <w:vAlign w:val="bottom"/>
          </w:tcPr>
          <w:p>
            <w:pPr>
              <w:spacing w:after="0"/>
              <w:rPr>
                <w:sz w:val="1"/>
                <w:szCs w:val="1"/>
                <w:color w:val="auto"/>
              </w:rPr>
            </w:pPr>
          </w:p>
        </w:tc>
      </w:tr>
      <w:tr>
        <w:trPr>
          <w:trHeight w:val="208"/>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Total reclassifications for the period, net of tax</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Regional Expenses</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Expenses associated with American Eagle operations are classified as regional expenses on the condensed consolidated statements of operations. Regional expenses consist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50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2017</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2017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1040" w:type="dxa"/>
            <w:vAlign w:val="bottom"/>
            <w:shd w:val="clear" w:color="auto" w:fill="CCEEFF"/>
          </w:tcPr>
          <w:p>
            <w:pPr>
              <w:jc w:val="right"/>
              <w:ind w:right="87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648</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705</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 purchases from third-party regional carriers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806</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Maintenance, materials and repairs</w:t>
            </w: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135</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307</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17</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174</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157</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items, net</w:t>
            </w:r>
          </w:p>
        </w:tc>
        <w:tc>
          <w:tcPr>
            <w:tcW w:w="10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r>
      <w:tr>
        <w:trPr>
          <w:trHeight w:val="22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241</w:t>
            </w:r>
          </w:p>
        </w:tc>
      </w:tr>
      <w:tr>
        <w:trPr>
          <w:trHeight w:val="214"/>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regional expenses</w:t>
            </w:r>
          </w:p>
        </w:tc>
        <w:tc>
          <w:tcPr>
            <w:tcW w:w="10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3,194</w:t>
            </w: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Legal Proceedings</w:t>
      </w:r>
    </w:p>
    <w:p>
      <w:pPr>
        <w:spacing w:after="0" w:line="75" w:lineRule="exact"/>
        <w:rPr>
          <w:sz w:val="20"/>
          <w:szCs w:val="20"/>
          <w:color w:val="auto"/>
        </w:rPr>
      </w:pPr>
    </w:p>
    <w:p>
      <w:pPr>
        <w:jc w:val="both"/>
        <w:ind w:firstLine="187"/>
        <w:spacing w:after="0" w:line="299" w:lineRule="auto"/>
        <w:rPr>
          <w:sz w:val="20"/>
          <w:szCs w:val="20"/>
          <w:color w:val="auto"/>
        </w:rPr>
      </w:pPr>
      <w:r>
        <w:rPr>
          <w:rFonts w:ascii="Arial" w:cs="Arial" w:eastAsia="Arial" w:hAnsi="Arial"/>
          <w:sz w:val="14"/>
          <w:szCs w:val="14"/>
          <w:i w:val="1"/>
          <w:iCs w:val="1"/>
          <w:color w:val="auto"/>
        </w:rPr>
        <w:t>Chapter 11 Cases</w:t>
      </w:r>
      <w:r>
        <w:rPr>
          <w:rFonts w:ascii="Arial" w:cs="Arial" w:eastAsia="Arial" w:hAnsi="Arial"/>
          <w:sz w:val="14"/>
          <w:szCs w:val="14"/>
          <w:color w:val="auto"/>
        </w:rPr>
        <w:t>. On November 29, 2011, AMR, American, and certain of AMR’s other direct and indirect domestic subsidiaries (the Debtors) filed voluntary</w:t>
      </w:r>
      <w:r>
        <w:rPr>
          <w:rFonts w:ascii="Arial" w:cs="Arial" w:eastAsia="Arial" w:hAnsi="Arial"/>
          <w:sz w:val="14"/>
          <w:szCs w:val="14"/>
          <w:i w:val="1"/>
          <w:iCs w:val="1"/>
          <w:color w:val="auto"/>
        </w:rPr>
        <w:t xml:space="preserve"> </w:t>
      </w:r>
      <w:r>
        <w:rPr>
          <w:rFonts w:ascii="Arial" w:cs="Arial" w:eastAsia="Arial" w:hAnsi="Arial"/>
          <w:sz w:val="14"/>
          <w:szCs w:val="14"/>
          <w:color w:val="auto"/>
        </w:rPr>
        <w:t>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03"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2018, there were approximately 24.5 million shares of AAG common stock remaining in the Disputed Claims Reserve. As disputed claims are resolved, the claimants will receive distributions of shares from the Disputed Claims Reserve.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308" w:right="219" w:bottom="1440" w:gutter="0" w:footer="0" w:header="0"/>
        </w:sectPr>
      </w:pPr>
    </w:p>
    <w:bookmarkStart w:id="22" w:name="page23"/>
    <w:bookmarkEnd w:id="22"/>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GROUP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left="6" w:right="20" w:firstLine="187"/>
        <w:spacing w:after="0" w:line="246"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As of June 30, 2018, we have determined not to pursue this claim and have a motion pending in the Bankruptcy Court to this effect.</w:t>
      </w:r>
    </w:p>
    <w:p>
      <w:pPr>
        <w:spacing w:after="0" w:line="120" w:lineRule="exact"/>
        <w:rPr>
          <w:sz w:val="20"/>
          <w:szCs w:val="20"/>
          <w:color w:val="auto"/>
        </w:rPr>
      </w:pPr>
    </w:p>
    <w:p>
      <w:pPr>
        <w:jc w:val="both"/>
        <w:ind w:left="6" w:right="20" w:firstLine="187"/>
        <w:spacing w:after="0" w:line="256" w:lineRule="auto"/>
        <w:rPr>
          <w:sz w:val="20"/>
          <w:szCs w:val="20"/>
          <w:color w:val="auto"/>
        </w:rPr>
      </w:pPr>
      <w:r>
        <w:rPr>
          <w:rFonts w:ascii="Arial" w:cs="Arial" w:eastAsia="Arial" w:hAnsi="Arial"/>
          <w:sz w:val="16"/>
          <w:szCs w:val="16"/>
          <w:i w:val="1"/>
          <w:iCs w:val="1"/>
          <w:color w:val="auto"/>
        </w:rPr>
        <w:t>DOJ Antitrust Civil Investigative Demand</w:t>
      </w:r>
      <w:r>
        <w:rPr>
          <w:rFonts w:ascii="Arial" w:cs="Arial" w:eastAsia="Arial" w:hAnsi="Arial"/>
          <w:sz w:val="16"/>
          <w:szCs w:val="16"/>
          <w:color w:val="auto"/>
        </w:rPr>
        <w:t>. In June 2015, we received a Civil Investigative Demand (CID) from the United States Department of Justice (DOJ)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113" w:lineRule="exact"/>
        <w:rPr>
          <w:sz w:val="20"/>
          <w:szCs w:val="20"/>
          <w:color w:val="auto"/>
        </w:rPr>
      </w:pPr>
    </w:p>
    <w:p>
      <w:pPr>
        <w:jc w:val="both"/>
        <w:ind w:left="6" w:firstLine="187"/>
        <w:spacing w:after="0" w:line="294" w:lineRule="auto"/>
        <w:rPr>
          <w:sz w:val="20"/>
          <w:szCs w:val="20"/>
          <w:color w:val="auto"/>
        </w:rPr>
      </w:pPr>
      <w:r>
        <w:rPr>
          <w:rFonts w:ascii="Arial" w:cs="Arial" w:eastAsia="Arial" w:hAnsi="Arial"/>
          <w:sz w:val="14"/>
          <w:szCs w:val="14"/>
          <w:i w:val="1"/>
          <w:iCs w:val="1"/>
          <w:color w:val="auto"/>
        </w:rPr>
        <w:t xml:space="preserve">Private Party Antitrust Action. </w:t>
      </w:r>
      <w:r>
        <w:rPr>
          <w:rFonts w:ascii="Arial" w:cs="Arial" w:eastAsia="Arial" w:hAnsi="Arial"/>
          <w:sz w:val="14"/>
          <w:szCs w:val="14"/>
          <w:color w:val="auto"/>
        </w:rPr>
        <w:t>Subsequent to announcement of the delivery of CIDs by the DOJ, we, along with Delta Air Lines, Inc., Southwest Airlines Co., United</w:t>
      </w:r>
      <w:r>
        <w:rPr>
          <w:rFonts w:ascii="Arial" w:cs="Arial" w:eastAsia="Arial" w:hAnsi="Arial"/>
          <w:sz w:val="14"/>
          <w:szCs w:val="14"/>
          <w:i w:val="1"/>
          <w:iCs w:val="1"/>
          <w:color w:val="auto"/>
        </w:rPr>
        <w:t xml:space="preserve"> </w:t>
      </w:r>
      <w:r>
        <w:rPr>
          <w:rFonts w:ascii="Arial" w:cs="Arial" w:eastAsia="Arial" w:hAnsi="Arial"/>
          <w:sz w:val="14"/>
          <w:szCs w:val="14"/>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we reached a preliminary settlement agreement with the plaintiffs in the amount of $45 million that, once approved, will resolve all claims in the U.S. lawsuits. That settlement received preliminary approval from the Court on June 18, 2018. We expect the Court to issue final approval of the settlement later this year.</w:t>
      </w:r>
    </w:p>
    <w:p>
      <w:pPr>
        <w:spacing w:after="0" w:line="90" w:lineRule="exact"/>
        <w:rPr>
          <w:sz w:val="20"/>
          <w:szCs w:val="20"/>
          <w:color w:val="auto"/>
        </w:rPr>
      </w:pPr>
    </w:p>
    <w:p>
      <w:pPr>
        <w:jc w:val="both"/>
        <w:ind w:left="6" w:firstLine="187"/>
        <w:spacing w:after="0" w:line="249" w:lineRule="auto"/>
        <w:rPr>
          <w:sz w:val="20"/>
          <w:szCs w:val="20"/>
          <w:color w:val="auto"/>
        </w:rPr>
      </w:pPr>
      <w:r>
        <w:rPr>
          <w:rFonts w:ascii="Arial" w:cs="Arial" w:eastAsia="Arial" w:hAnsi="Arial"/>
          <w:sz w:val="16"/>
          <w:szCs w:val="16"/>
          <w:i w:val="1"/>
          <w:iCs w:val="1"/>
          <w:color w:val="auto"/>
        </w:rPr>
        <w:t>Private Party Antitrust Action Related to the Merger</w:t>
      </w:r>
      <w:r>
        <w:rPr>
          <w:rFonts w:ascii="Arial" w:cs="Arial" w:eastAsia="Arial" w:hAnsi="Arial"/>
          <w:sz w:val="16"/>
          <w:szCs w:val="16"/>
          <w:color w:val="auto"/>
        </w:rPr>
        <w:t>. On August 6, 2013, a lawsuit captioned Carolyn Fjord, et al., v. AMR Corporation, et al., was filed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March 26, 2018, the Court held a hearing on motions for summary judgment filed by defendants and plaintiffs. The Court has not yet issued an order. We believe this lawsuit is without merit and intend to vigorously defend against the allegations.</w:t>
      </w:r>
    </w:p>
    <w:p>
      <w:pPr>
        <w:spacing w:after="0" w:line="118" w:lineRule="exact"/>
        <w:rPr>
          <w:sz w:val="20"/>
          <w:szCs w:val="20"/>
          <w:color w:val="auto"/>
        </w:rPr>
      </w:pPr>
    </w:p>
    <w:p>
      <w:pPr>
        <w:jc w:val="both"/>
        <w:ind w:left="6" w:firstLine="187"/>
        <w:spacing w:after="0" w:line="299" w:lineRule="auto"/>
        <w:rPr>
          <w:sz w:val="20"/>
          <w:szCs w:val="20"/>
          <w:color w:val="auto"/>
        </w:rPr>
      </w:pPr>
      <w:r>
        <w:rPr>
          <w:rFonts w:ascii="Arial" w:cs="Arial" w:eastAsia="Arial" w:hAnsi="Arial"/>
          <w:sz w:val="14"/>
          <w:szCs w:val="14"/>
          <w:i w:val="1"/>
          <w:iCs w:val="1"/>
          <w:color w:val="auto"/>
        </w:rPr>
        <w:t>DOJ Investigation Related to the United States Postal Service</w:t>
      </w:r>
      <w:r>
        <w:rPr>
          <w:rFonts w:ascii="Arial" w:cs="Arial" w:eastAsia="Arial" w:hAnsi="Arial"/>
          <w:sz w:val="14"/>
          <w:szCs w:val="14"/>
          <w:color w:val="auto"/>
        </w:rPr>
        <w:t>. In April 2015, the DOJ informed us of an inquiry regarding American’s 2009 and 2011 contracts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87" w:lineRule="exact"/>
        <w:rPr>
          <w:sz w:val="20"/>
          <w:szCs w:val="20"/>
          <w:color w:val="auto"/>
        </w:rPr>
      </w:pPr>
    </w:p>
    <w:p>
      <w:pPr>
        <w:jc w:val="both"/>
        <w:ind w:left="6" w:firstLine="211"/>
        <w:spacing w:after="0" w:line="250"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addition to the specifically identified legal proceedings, we and our subsidiaries are also engaged in other legal proceedings from time to time.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6"/>
          <w:szCs w:val="16"/>
          <w:i w:val="1"/>
          <w:iCs w:val="1"/>
          <w:color w:val="auto"/>
        </w:rPr>
        <w:t>We may be a party to</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 in the normal course of business or otherwise, which could affect our financial position and liquidity</w:t>
      </w:r>
      <w:r>
        <w:rPr>
          <w:rFonts w:ascii="Arial" w:cs="Arial" w:eastAsia="Arial" w:hAnsi="Arial"/>
          <w:sz w:val="16"/>
          <w:szCs w:val="16"/>
          <w:color w:val="auto"/>
        </w:rPr>
        <w:t>” for additional discussion.</w:t>
      </w:r>
    </w:p>
    <w:p>
      <w:pPr>
        <w:spacing w:after="0" w:line="186" w:lineRule="exact"/>
        <w:rPr>
          <w:sz w:val="20"/>
          <w:szCs w:val="20"/>
          <w:color w:val="auto"/>
        </w:rPr>
      </w:pPr>
    </w:p>
    <w:p>
      <w:pPr>
        <w:ind w:left="186" w:right="9740" w:hanging="186"/>
        <w:spacing w:after="0" w:line="397" w:lineRule="auto"/>
        <w:tabs>
          <w:tab w:leader="none" w:pos="259"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Subsequent Events </w:t>
      </w:r>
      <w:r>
        <w:rPr>
          <w:rFonts w:ascii="Arial" w:cs="Arial" w:eastAsia="Arial" w:hAnsi="Arial"/>
          <w:sz w:val="14"/>
          <w:szCs w:val="14"/>
          <w:i w:val="1"/>
          <w:iCs w:val="1"/>
          <w:u w:val="single" w:color="auto"/>
          <w:color w:val="auto"/>
        </w:rPr>
        <w:t>Dividend Declaration</w:t>
      </w:r>
    </w:p>
    <w:p>
      <w:pPr>
        <w:jc w:val="both"/>
        <w:ind w:left="6" w:firstLine="187"/>
        <w:spacing w:after="0" w:line="245" w:lineRule="auto"/>
        <w:rPr>
          <w:sz w:val="20"/>
          <w:szCs w:val="20"/>
          <w:color w:val="auto"/>
        </w:rPr>
      </w:pPr>
      <w:r>
        <w:rPr>
          <w:rFonts w:ascii="Arial" w:cs="Arial" w:eastAsia="Arial" w:hAnsi="Arial"/>
          <w:sz w:val="16"/>
          <w:szCs w:val="16"/>
          <w:color w:val="auto"/>
        </w:rPr>
        <w:t>In July 2018, we announced that our Board of Directors declared a $0.10 per share dividend for stockholders of record as of August 7, 2018, and payable on August 21, 2018.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192"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Equipment Loans</w:t>
      </w:r>
    </w:p>
    <w:p>
      <w:pPr>
        <w:spacing w:after="0" w:line="89" w:lineRule="exact"/>
        <w:rPr>
          <w:sz w:val="20"/>
          <w:szCs w:val="20"/>
          <w:color w:val="auto"/>
        </w:rPr>
      </w:pPr>
    </w:p>
    <w:p>
      <w:pPr>
        <w:jc w:val="both"/>
        <w:ind w:left="6" w:right="20" w:firstLine="199"/>
        <w:spacing w:after="0" w:line="248" w:lineRule="auto"/>
        <w:rPr>
          <w:sz w:val="20"/>
          <w:szCs w:val="20"/>
          <w:color w:val="auto"/>
        </w:rPr>
      </w:pPr>
      <w:r>
        <w:rPr>
          <w:rFonts w:ascii="Arial" w:cs="Arial" w:eastAsia="Arial" w:hAnsi="Arial"/>
          <w:sz w:val="16"/>
          <w:szCs w:val="16"/>
          <w:color w:val="auto"/>
        </w:rPr>
        <w:t>In July 2018, American entered into agreements under which it borrowed $312 million in connection with the financing of certain aircraft. Debt incurred under these agreements matures in 2023.</w:t>
      </w:r>
    </w:p>
    <w:p>
      <w:pPr>
        <w:spacing w:after="0" w:line="200" w:lineRule="exact"/>
        <w:rPr>
          <w:sz w:val="20"/>
          <w:szCs w:val="20"/>
          <w:color w:val="auto"/>
        </w:rPr>
      </w:pPr>
    </w:p>
    <w:p>
      <w:pPr>
        <w:spacing w:after="0" w:line="26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6"/>
          </w:cols>
          <w:pgMar w:left="234" w:top="308" w:right="2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1B. CONDENSED CONSOLIDATED FINANCIAL STATEMENTS OF AMERICAN AIRLINES,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millions)(Unaudited)</w:t>
      </w:r>
    </w:p>
    <w:p>
      <w:pPr>
        <w:sectPr>
          <w:pgSz w:w="11900" w:h="16838" w:orient="portrait"/>
          <w:cols w:equalWidth="0" w:num="1">
            <w:col w:w="11440"/>
          </w:cols>
          <w:pgMar w:left="240" w:top="518" w:right="219" w:bottom="1440" w:gutter="0" w:footer="0" w:header="0"/>
        </w:sectPr>
      </w:pPr>
    </w:p>
    <w:p>
      <w:pPr>
        <w:spacing w:after="0" w:line="322"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22860</wp:posOffset>
            </wp:positionV>
            <wp:extent cx="17602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60220" cy="7620"/>
                    </a:xfrm>
                    <a:prstGeom prst="rect">
                      <a:avLst/>
                    </a:prstGeom>
                    <a:noFill/>
                  </pic:spPr>
                </pic:pic>
              </a:graphicData>
            </a:graphic>
          </wp:anchor>
        </w:drawing>
      </w:r>
    </w:p>
    <w:p>
      <w:pPr>
        <w:spacing w:after="0" w:line="88" w:lineRule="exact"/>
        <w:rPr>
          <w:sz w:val="20"/>
          <w:szCs w:val="20"/>
          <w:color w:val="auto"/>
        </w:rPr>
      </w:pPr>
    </w:p>
    <w:p>
      <w:pPr>
        <w:ind w:left="6500"/>
        <w:spacing w:after="0"/>
        <w:tabs>
          <w:tab w:leader="none" w:pos="7940" w:val="left"/>
        </w:tabs>
        <w:rPr>
          <w:sz w:val="20"/>
          <w:szCs w:val="20"/>
          <w:color w:val="auto"/>
        </w:rPr>
      </w:pPr>
      <w:r>
        <w:rPr>
          <w:rFonts w:ascii="Arial" w:cs="Arial" w:eastAsia="Arial" w:hAnsi="Arial"/>
          <w:sz w:val="11"/>
          <w:szCs w:val="11"/>
          <w:b w:val="1"/>
          <w:bCs w:val="1"/>
          <w:color w:val="auto"/>
        </w:rPr>
        <w:t>2018</w:t>
      </w:r>
      <w:r>
        <w:rPr>
          <w:sz w:val="20"/>
          <w:szCs w:val="20"/>
          <w:color w:val="auto"/>
        </w:rPr>
        <w:tab/>
      </w:r>
      <w:r>
        <w:rPr>
          <w:rFonts w:ascii="Arial" w:cs="Arial" w:eastAsia="Arial" w:hAnsi="Arial"/>
          <w:sz w:val="11"/>
          <w:szCs w:val="11"/>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265035" cy="156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22860</wp:posOffset>
            </wp:positionV>
            <wp:extent cx="16567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6715" cy="7620"/>
                    </a:xfrm>
                    <a:prstGeom prst="rect">
                      <a:avLst/>
                    </a:prstGeom>
                    <a:noFill/>
                  </pic:spPr>
                </pic:pic>
              </a:graphicData>
            </a:graphic>
          </wp:anchor>
        </w:drawing>
      </w:r>
    </w:p>
    <w:p>
      <w:pPr>
        <w:spacing w:after="0" w:line="88"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40" w:lineRule="exact"/>
        <w:rPr>
          <w:sz w:val="20"/>
          <w:szCs w:val="20"/>
          <w:color w:val="auto"/>
        </w:rPr>
      </w:pPr>
    </w:p>
    <w:p>
      <w:pPr>
        <w:sectPr>
          <w:pgSz w:w="11900" w:h="16838" w:orient="portrait"/>
          <w:cols w:equalWidth="0" w:num="2">
            <w:col w:w="8600" w:space="720"/>
            <w:col w:w="2120"/>
          </w:cols>
          <w:pgMar w:left="240" w:top="518" w:right="2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ind w:left="320"/>
              <w:spacing w:after="0"/>
              <w:rPr>
                <w:sz w:val="20"/>
                <w:szCs w:val="20"/>
                <w:color w:val="auto"/>
              </w:rPr>
            </w:pPr>
            <w:r>
              <w:rPr>
                <w:rFonts w:ascii="Arial" w:cs="Arial" w:eastAsia="Arial" w:hAnsi="Arial"/>
                <w:sz w:val="16"/>
                <w:szCs w:val="16"/>
                <w:color w:val="auto"/>
              </w:rPr>
              <w:t>Passenger</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10,353</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20,154</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19,350</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Cargo</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w:t>
            </w:r>
          </w:p>
        </w:tc>
      </w:tr>
      <w:tr>
        <w:trPr>
          <w:trHeight w:val="228"/>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1,280</w:t>
            </w:r>
          </w:p>
        </w:tc>
      </w:tr>
      <w:tr>
        <w:trPr>
          <w:trHeight w:val="220"/>
        </w:trPr>
        <w:tc>
          <w:tcPr>
            <w:tcW w:w="59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revenues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11,640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21,040</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
        </w:trPr>
        <w:tc>
          <w:tcPr>
            <w:tcW w:w="5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4"/>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fuel and related taxes</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2,912</w:t>
            </w:r>
          </w:p>
        </w:tc>
      </w:tr>
      <w:tr>
        <w:trPr>
          <w:trHeight w:val="228"/>
        </w:trPr>
        <w:tc>
          <w:tcPr>
            <w:tcW w:w="5940" w:type="dxa"/>
            <w:vAlign w:val="bottom"/>
          </w:tcPr>
          <w:p>
            <w:pPr>
              <w:ind w:left="320"/>
              <w:spacing w:after="0"/>
              <w:rPr>
                <w:sz w:val="20"/>
                <w:szCs w:val="20"/>
                <w:color w:val="auto"/>
              </w:rPr>
            </w:pPr>
            <w:r>
              <w:rPr>
                <w:rFonts w:ascii="Arial" w:cs="Arial" w:eastAsia="Arial" w:hAnsi="Arial"/>
                <w:sz w:val="16"/>
                <w:szCs w:val="16"/>
                <w:color w:val="auto"/>
              </w:rPr>
              <w:t>Salaries, wages and benefits</w:t>
            </w:r>
          </w:p>
        </w:tc>
        <w:tc>
          <w:tcPr>
            <w:tcW w:w="4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5,891</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Regional expenses</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3,199</w:t>
            </w:r>
          </w:p>
        </w:tc>
      </w:tr>
      <w:tr>
        <w:trPr>
          <w:trHeight w:val="228"/>
        </w:trPr>
        <w:tc>
          <w:tcPr>
            <w:tcW w:w="5940" w:type="dxa"/>
            <w:vAlign w:val="bottom"/>
          </w:tcPr>
          <w:p>
            <w:pPr>
              <w:ind w:left="320"/>
              <w:spacing w:after="0"/>
              <w:rPr>
                <w:sz w:val="20"/>
                <w:szCs w:val="20"/>
                <w:color w:val="auto"/>
              </w:rPr>
            </w:pPr>
            <w:r>
              <w:rPr>
                <w:rFonts w:ascii="Arial" w:cs="Arial" w:eastAsia="Arial" w:hAnsi="Arial"/>
                <w:sz w:val="16"/>
                <w:szCs w:val="16"/>
                <w:color w:val="auto"/>
              </w:rPr>
              <w:t>Maintenance, materials and repairs</w:t>
            </w:r>
          </w:p>
        </w:tc>
        <w:tc>
          <w:tcPr>
            <w:tcW w:w="4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987</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rent and landing fees</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892</w:t>
            </w:r>
          </w:p>
        </w:tc>
      </w:tr>
      <w:tr>
        <w:trPr>
          <w:trHeight w:val="228"/>
        </w:trPr>
        <w:tc>
          <w:tcPr>
            <w:tcW w:w="5940" w:type="dxa"/>
            <w:vAlign w:val="bottom"/>
          </w:tcPr>
          <w:p>
            <w:pPr>
              <w:ind w:left="320"/>
              <w:spacing w:after="0"/>
              <w:rPr>
                <w:sz w:val="20"/>
                <w:szCs w:val="20"/>
                <w:color w:val="auto"/>
              </w:rPr>
            </w:pPr>
            <w:r>
              <w:rPr>
                <w:rFonts w:ascii="Arial" w:cs="Arial" w:eastAsia="Arial" w:hAnsi="Arial"/>
                <w:sz w:val="16"/>
                <w:szCs w:val="16"/>
                <w:color w:val="auto"/>
              </w:rPr>
              <w:t>Aircraft rent</w:t>
            </w:r>
          </w:p>
        </w:tc>
        <w:tc>
          <w:tcPr>
            <w:tcW w:w="4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589</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expenses</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694</w:t>
            </w:r>
          </w:p>
        </w:tc>
      </w:tr>
      <w:tr>
        <w:trPr>
          <w:trHeight w:val="228"/>
        </w:trPr>
        <w:tc>
          <w:tcPr>
            <w:tcW w:w="594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822</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Special items, net</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320</w:t>
            </w:r>
          </w:p>
        </w:tc>
      </w:tr>
      <w:tr>
        <w:trPr>
          <w:trHeight w:val="228"/>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2,404</w:t>
            </w:r>
          </w:p>
        </w:tc>
      </w:tr>
      <w:tr>
        <w:trPr>
          <w:trHeight w:val="220"/>
        </w:trPr>
        <w:tc>
          <w:tcPr>
            <w:tcW w:w="59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10,603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20,553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18,710</w:t>
            </w: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46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2,330</w:t>
            </w:r>
          </w:p>
        </w:tc>
      </w:tr>
      <w:tr>
        <w:trPr>
          <w:trHeight w:val="22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(expense):</w:t>
            </w: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8"/>
        </w:trPr>
        <w:tc>
          <w:tcPr>
            <w:tcW w:w="59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102</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28"/>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income (expense), net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w:t>
            </w:r>
          </w:p>
        </w:tc>
      </w:tr>
      <w:tr>
        <w:trPr>
          <w:trHeight w:val="220"/>
        </w:trPr>
        <w:tc>
          <w:tcPr>
            <w:tcW w:w="59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nonoperating expense, net</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46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2,007</w:t>
            </w:r>
          </w:p>
        </w:tc>
      </w:tr>
      <w:tr>
        <w:trPr>
          <w:trHeight w:val="240"/>
        </w:trPr>
        <w:tc>
          <w:tcPr>
            <w:tcW w:w="5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provision</w:t>
            </w: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751</w:t>
            </w: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1,256</w:t>
            </w:r>
          </w:p>
        </w:tc>
      </w:tr>
      <w:tr>
        <w:trPr>
          <w:trHeight w:val="20"/>
        </w:trPr>
        <w:tc>
          <w:tcPr>
            <w:tcW w:w="5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518" w:right="219" w:bottom="1440" w:gutter="0" w:footer="0" w:header="0"/>
          <w:type w:val="continuous"/>
        </w:sectPr>
      </w:pPr>
    </w:p>
    <w:bookmarkStart w:id="24" w:name="page25"/>
    <w:bookmarkEnd w:id="24"/>
    <w:p>
      <w:pPr>
        <w:jc w:val="center"/>
        <w:ind w:right="20"/>
        <w:spacing w:after="0"/>
        <w:rPr>
          <w:sz w:val="20"/>
          <w:szCs w:val="20"/>
          <w:color w:val="auto"/>
        </w:rPr>
      </w:pPr>
      <w:r>
        <w:rPr>
          <w:rFonts w:ascii="Arial" w:cs="Arial" w:eastAsia="Arial" w:hAnsi="Arial"/>
          <w:sz w:val="16"/>
          <w:szCs w:val="16"/>
          <w:b w:val="1"/>
          <w:bCs w:val="1"/>
          <w:color w:val="auto"/>
        </w:rPr>
        <w:t>AMERICAN AIRLINES,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6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60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2017</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7"/>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1,256</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net of tax:</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Pension, retiree medical and other postretirement benefits</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6060" w:type="dxa"/>
            <w:vAlign w:val="bottom"/>
          </w:tcPr>
          <w:p>
            <w:pPr>
              <w:ind w:left="320"/>
              <w:spacing w:after="0"/>
              <w:rPr>
                <w:sz w:val="20"/>
                <w:szCs w:val="20"/>
                <w:color w:val="auto"/>
              </w:rPr>
            </w:pPr>
            <w:r>
              <w:rPr>
                <w:rFonts w:ascii="Arial" w:cs="Arial" w:eastAsia="Arial" w:hAnsi="Arial"/>
                <w:sz w:val="16"/>
                <w:szCs w:val="16"/>
                <w:color w:val="auto"/>
              </w:rPr>
              <w:t>Investments</w:t>
            </w:r>
          </w:p>
        </w:tc>
        <w:tc>
          <w:tcPr>
            <w:tcW w:w="860" w:type="dxa"/>
            <w:vAlign w:val="bottom"/>
          </w:tcPr>
          <w:p>
            <w:pPr>
              <w:spacing w:after="0"/>
              <w:rPr>
                <w:sz w:val="19"/>
                <w:szCs w:val="19"/>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other comprehensive loss, net of tax</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67"/>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1,227</w:t>
            </w: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0"/>
          </w:cols>
          <w:pgMar w:left="240" w:top="518" w:right="2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6"/>
          <w:szCs w:val="16"/>
          <w:b w:val="1"/>
          <w:bCs w:val="1"/>
          <w:color w:val="auto"/>
        </w:rPr>
        <w:t>AMERICAN AIRLINES,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shares and par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rPr>
              <w:t>June 30, 2018</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226"/>
        </w:trPr>
        <w:tc>
          <w:tcPr>
            <w:tcW w:w="7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Cash</w:t>
            </w: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282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Short-term investments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4,370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4,768</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Restricted cash and short-term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Accounts receivable, net</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1,993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1,755</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Receivables from related parties, net</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10,403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8,822</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Aircraft fuel, spare parts and supplies, net</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1,455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Prepaid expenses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853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r>
        <w:trPr>
          <w:trHeight w:val="156"/>
        </w:trPr>
        <w:tc>
          <w:tcPr>
            <w:tcW w:w="7880" w:type="dxa"/>
            <w:vAlign w:val="bottom"/>
          </w:tcPr>
          <w:p>
            <w:pPr>
              <w:ind w:left="600"/>
              <w:spacing w:after="0"/>
              <w:rPr>
                <w:sz w:val="20"/>
                <w:szCs w:val="20"/>
                <w:color w:val="auto"/>
              </w:rPr>
            </w:pPr>
            <w:r>
              <w:rPr>
                <w:rFonts w:ascii="Arial" w:cs="Arial" w:eastAsia="Arial" w:hAnsi="Arial"/>
                <w:sz w:val="12"/>
                <w:szCs w:val="12"/>
                <w:color w:val="auto"/>
              </w:rPr>
              <w:t>Total current assets</w:t>
            </w: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color w:val="auto"/>
              </w:rPr>
              <w:t>19,539</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color w:val="auto"/>
              </w:rPr>
              <w:t>17,891</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property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Flight equipment</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40,535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39,993</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Ground property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8,627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8,006</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Equipment purchase deposits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1,392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1,217</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property and equipment, at cost</w:t>
            </w: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50,554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49,216</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Less accumulated depreciation and amortization</w:t>
            </w:r>
          </w:p>
        </w:tc>
        <w:tc>
          <w:tcPr>
            <w:tcW w:w="280" w:type="dxa"/>
            <w:vAlign w:val="bottom"/>
          </w:tcPr>
          <w:p>
            <w:pPr>
              <w:spacing w:after="0"/>
              <w:rPr>
                <w:sz w:val="15"/>
                <w:szCs w:val="15"/>
                <w:color w:val="auto"/>
              </w:rPr>
            </w:pPr>
          </w:p>
        </w:tc>
        <w:tc>
          <w:tcPr>
            <w:tcW w:w="1460" w:type="dxa"/>
            <w:vAlign w:val="bottom"/>
            <w:vMerge w:val="restart"/>
          </w:tcPr>
          <w:p>
            <w:pPr>
              <w:jc w:val="right"/>
              <w:ind w:right="18"/>
              <w:spacing w:after="0"/>
              <w:rPr>
                <w:sz w:val="20"/>
                <w:szCs w:val="20"/>
                <w:color w:val="auto"/>
              </w:rPr>
            </w:pPr>
            <w:r>
              <w:rPr>
                <w:rFonts w:ascii="Arial" w:cs="Arial" w:eastAsia="Arial" w:hAnsi="Arial"/>
                <w:sz w:val="12"/>
                <w:szCs w:val="12"/>
                <w:color w:val="auto"/>
              </w:rPr>
              <w:t>(16,417)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2"/>
                <w:szCs w:val="12"/>
                <w:color w:val="auto"/>
              </w:rPr>
              <w:t>(15,354)</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34,137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33,862</w:t>
            </w: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Goodwill</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4,091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4,091</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Intangibles, net of accumulated amortization of $643 and $622, respectively</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2,157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2,203</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Deferred tax asset</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1,556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2,071</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Other assets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1,273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1,283</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9,077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9,648</w:t>
            </w:r>
          </w:p>
        </w:tc>
        <w:tc>
          <w:tcPr>
            <w:tcW w:w="0" w:type="dxa"/>
            <w:vAlign w:val="bottom"/>
          </w:tcPr>
          <w:p>
            <w:pPr>
              <w:spacing w:after="0"/>
              <w:rPr>
                <w:sz w:val="1"/>
                <w:szCs w:val="1"/>
                <w:color w:val="auto"/>
              </w:rPr>
            </w:pPr>
          </w:p>
        </w:tc>
      </w:tr>
      <w:tr>
        <w:trPr>
          <w:trHeight w:val="197"/>
        </w:trPr>
        <w:tc>
          <w:tcPr>
            <w:tcW w:w="7880" w:type="dxa"/>
            <w:vAlign w:val="bottom"/>
          </w:tcPr>
          <w:p>
            <w:pPr>
              <w:ind w:left="880"/>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4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62,753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61,401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7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Current maturities of long-term debt and capital leases</w:t>
            </w: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2,216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2,058</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1,990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1,625</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Accrued salaries and wages</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1,241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1,613</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Air traffic liability</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5,512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4,042</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Loyalty program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3,191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3,121</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Other accrued liabilities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2,319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16,469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14,668</w:t>
            </w: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2"/>
                <w:szCs w:val="12"/>
                <w:b w:val="1"/>
                <w:bCs w:val="1"/>
                <w:color w:val="auto"/>
              </w:rPr>
              <w:t>Noncurrent liabilities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Long-term debt and capital leases, net of current maturities</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20,585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21,236</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Pension and postretirement benefits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7,073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7,452</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Loyalty program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5,484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5,701</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Other liabilities</w:t>
            </w:r>
          </w:p>
        </w:tc>
        <w:tc>
          <w:tcPr>
            <w:tcW w:w="280" w:type="dxa"/>
            <w:vAlign w:val="bottom"/>
          </w:tcPr>
          <w:p>
            <w:pPr>
              <w:spacing w:after="0"/>
              <w:rPr>
                <w:sz w:val="15"/>
                <w:szCs w:val="15"/>
                <w:color w:val="auto"/>
              </w:rPr>
            </w:pPr>
          </w:p>
        </w:tc>
        <w:tc>
          <w:tcPr>
            <w:tcW w:w="1460" w:type="dxa"/>
            <w:vAlign w:val="bottom"/>
            <w:vMerge w:val="restart"/>
          </w:tcPr>
          <w:p>
            <w:pPr>
              <w:jc w:val="right"/>
              <w:ind w:right="58"/>
              <w:spacing w:after="0"/>
              <w:rPr>
                <w:sz w:val="20"/>
                <w:szCs w:val="20"/>
                <w:color w:val="auto"/>
              </w:rPr>
            </w:pPr>
            <w:r>
              <w:rPr>
                <w:rFonts w:ascii="Arial" w:cs="Arial" w:eastAsia="Arial" w:hAnsi="Arial"/>
                <w:sz w:val="12"/>
                <w:szCs w:val="12"/>
                <w:color w:val="auto"/>
              </w:rPr>
              <w:t>2,311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2,456</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Total noncurrent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35,453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36,845</w:t>
            </w:r>
          </w:p>
        </w:tc>
        <w:tc>
          <w:tcPr>
            <w:tcW w:w="0" w:type="dxa"/>
            <w:vAlign w:val="bottom"/>
          </w:tcPr>
          <w:p>
            <w:pPr>
              <w:spacing w:after="0"/>
              <w:rPr>
                <w:sz w:val="1"/>
                <w:szCs w:val="1"/>
                <w:color w:val="auto"/>
              </w:rPr>
            </w:pPr>
          </w:p>
        </w:tc>
      </w:tr>
      <w:tr>
        <w:trPr>
          <w:trHeight w:val="176"/>
        </w:trPr>
        <w:tc>
          <w:tcPr>
            <w:tcW w:w="788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Common stock, $1.00 par value; 1,000 shares authorized, issued and outstanding</w:t>
            </w:r>
          </w:p>
        </w:tc>
        <w:tc>
          <w:tcPr>
            <w:tcW w:w="280" w:type="dxa"/>
            <w:vAlign w:val="bottom"/>
          </w:tcPr>
          <w:p>
            <w:pPr>
              <w:spacing w:after="0"/>
              <w:rPr>
                <w:sz w:val="15"/>
                <w:szCs w:val="15"/>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520" w:type="dxa"/>
            <w:vAlign w:val="bottom"/>
            <w:vMerge w:val="restart"/>
          </w:tcPr>
          <w:p>
            <w:pPr>
              <w:jc w:val="right"/>
              <w:ind w:right="5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Additional paid-in capital</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16,760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16,716</w:t>
            </w:r>
          </w:p>
        </w:tc>
        <w:tc>
          <w:tcPr>
            <w:tcW w:w="0" w:type="dxa"/>
            <w:vAlign w:val="bottom"/>
          </w:tcPr>
          <w:p>
            <w:pPr>
              <w:spacing w:after="0"/>
              <w:rPr>
                <w:sz w:val="1"/>
                <w:szCs w:val="1"/>
                <w:color w:val="auto"/>
              </w:rPr>
            </w:pPr>
          </w:p>
        </w:tc>
      </w:tr>
      <w:tr>
        <w:trPr>
          <w:trHeight w:val="176"/>
        </w:trPr>
        <w:tc>
          <w:tcPr>
            <w:tcW w:w="7880" w:type="dxa"/>
            <w:vAlign w:val="bottom"/>
          </w:tcPr>
          <w:p>
            <w:pPr>
              <w:ind w:left="320"/>
              <w:spacing w:after="0"/>
              <w:rPr>
                <w:sz w:val="20"/>
                <w:szCs w:val="20"/>
                <w:color w:val="auto"/>
              </w:rPr>
            </w:pPr>
            <w:r>
              <w:rPr>
                <w:rFonts w:ascii="Arial" w:cs="Arial" w:eastAsia="Arial" w:hAnsi="Arial"/>
                <w:sz w:val="12"/>
                <w:szCs w:val="12"/>
                <w:color w:val="auto"/>
              </w:rPr>
              <w:t>Accumulated other comprehensive loss</w:t>
            </w:r>
          </w:p>
        </w:tc>
        <w:tc>
          <w:tcPr>
            <w:tcW w:w="280" w:type="dxa"/>
            <w:vAlign w:val="bottom"/>
          </w:tcPr>
          <w:p>
            <w:pPr>
              <w:spacing w:after="0"/>
              <w:rPr>
                <w:sz w:val="15"/>
                <w:szCs w:val="15"/>
                <w:color w:val="auto"/>
              </w:rPr>
            </w:pPr>
          </w:p>
        </w:tc>
        <w:tc>
          <w:tcPr>
            <w:tcW w:w="1460" w:type="dxa"/>
            <w:vAlign w:val="bottom"/>
            <w:vMerge w:val="restart"/>
          </w:tcPr>
          <w:p>
            <w:pPr>
              <w:jc w:val="right"/>
              <w:ind w:right="18"/>
              <w:spacing w:after="0"/>
              <w:rPr>
                <w:sz w:val="20"/>
                <w:szCs w:val="20"/>
                <w:color w:val="auto"/>
              </w:rPr>
            </w:pPr>
            <w:r>
              <w:rPr>
                <w:rFonts w:ascii="Arial" w:cs="Arial" w:eastAsia="Arial" w:hAnsi="Arial"/>
                <w:sz w:val="12"/>
                <w:szCs w:val="12"/>
                <w:color w:val="auto"/>
              </w:rPr>
              <w:t>(5,284)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2"/>
                <w:szCs w:val="12"/>
                <w:color w:val="auto"/>
              </w:rPr>
              <w:t>(5,251)</w:t>
            </w:r>
          </w:p>
        </w:tc>
        <w:tc>
          <w:tcPr>
            <w:tcW w:w="0" w:type="dxa"/>
            <w:vAlign w:val="bottom"/>
          </w:tcPr>
          <w:p>
            <w:pPr>
              <w:spacing w:after="0"/>
              <w:rPr>
                <w:sz w:val="1"/>
                <w:szCs w:val="1"/>
                <w:color w:val="auto"/>
              </w:rPr>
            </w:pPr>
          </w:p>
        </w:tc>
      </w:tr>
      <w:tr>
        <w:trPr>
          <w:trHeight w:val="52"/>
        </w:trPr>
        <w:tc>
          <w:tcPr>
            <w:tcW w:w="7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(1,577)</w:t>
            </w:r>
          </w:p>
        </w:tc>
        <w:tc>
          <w:tcPr>
            <w:tcW w:w="0" w:type="dxa"/>
            <w:vAlign w:val="bottom"/>
          </w:tcPr>
          <w:p>
            <w:pPr>
              <w:spacing w:after="0"/>
              <w:rPr>
                <w:sz w:val="1"/>
                <w:szCs w:val="1"/>
                <w:color w:val="auto"/>
              </w:rPr>
            </w:pPr>
          </w:p>
        </w:tc>
      </w:tr>
      <w:tr>
        <w:trPr>
          <w:trHeight w:val="156"/>
        </w:trPr>
        <w:tc>
          <w:tcPr>
            <w:tcW w:w="7880" w:type="dxa"/>
            <w:vAlign w:val="bottom"/>
          </w:tcPr>
          <w:p>
            <w:pPr>
              <w:ind w:left="600"/>
              <w:spacing w:after="0"/>
              <w:rPr>
                <w:sz w:val="20"/>
                <w:szCs w:val="20"/>
                <w:color w:val="auto"/>
              </w:rPr>
            </w:pPr>
            <w:r>
              <w:rPr>
                <w:rFonts w:ascii="Arial" w:cs="Arial" w:eastAsia="Arial" w:hAnsi="Arial"/>
                <w:sz w:val="12"/>
                <w:szCs w:val="12"/>
                <w:color w:val="auto"/>
              </w:rPr>
              <w:t>Total stockholder’s equity</w:t>
            </w: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color w:val="auto"/>
              </w:rPr>
              <w:t>10,831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color w:val="auto"/>
              </w:rPr>
              <w:t>9,888</w:t>
            </w:r>
          </w:p>
        </w:tc>
        <w:tc>
          <w:tcPr>
            <w:tcW w:w="0" w:type="dxa"/>
            <w:vAlign w:val="bottom"/>
          </w:tcPr>
          <w:p>
            <w:pPr>
              <w:spacing w:after="0"/>
              <w:rPr>
                <w:sz w:val="1"/>
                <w:szCs w:val="1"/>
                <w:color w:val="auto"/>
              </w:rPr>
            </w:pPr>
          </w:p>
        </w:tc>
      </w:tr>
      <w:tr>
        <w:trPr>
          <w:trHeight w:val="52"/>
        </w:trPr>
        <w:tc>
          <w:tcPr>
            <w:tcW w:w="7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2"/>
                <w:szCs w:val="12"/>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62,753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61,401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40"/>
          </w:cols>
          <w:pgMar w:left="240" w:top="518" w:right="21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518" w:right="219" w:bottom="1440" w:gutter="0" w:footer="0" w:header="0"/>
          <w:type w:val="continuous"/>
        </w:sectPr>
      </w:pPr>
    </w:p>
    <w:bookmarkStart w:id="26" w:name="page27"/>
    <w:bookmarkEnd w:id="26"/>
    <w:p>
      <w:pPr>
        <w:jc w:val="center"/>
        <w:ind w:right="14"/>
        <w:spacing w:after="0"/>
        <w:rPr>
          <w:sz w:val="20"/>
          <w:szCs w:val="20"/>
          <w:color w:val="auto"/>
        </w:rPr>
      </w:pPr>
      <w:r>
        <w:rPr>
          <w:rFonts w:ascii="Arial" w:cs="Arial" w:eastAsia="Arial" w:hAnsi="Arial"/>
          <w:sz w:val="16"/>
          <w:szCs w:val="16"/>
          <w:b w:val="1"/>
          <w:bCs w:val="1"/>
          <w:color w:val="auto"/>
        </w:rPr>
        <w:t>AMERICAN AIRLINES, INC.</w:t>
      </w:r>
    </w:p>
    <w:p>
      <w:pPr>
        <w:spacing w:after="0" w:line="21"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(In millions)(Unaudited)</w:t>
      </w:r>
    </w:p>
    <w:p>
      <w:pPr>
        <w:spacing w:after="0" w:line="298"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22860</wp:posOffset>
            </wp:positionV>
            <wp:extent cx="22510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1075" cy="7620"/>
                    </a:xfrm>
                    <a:prstGeom prst="rect">
                      <a:avLst/>
                    </a:prstGeom>
                    <a:noFill/>
                  </pic:spPr>
                </pic:pic>
              </a:graphicData>
            </a:graphic>
          </wp:anchor>
        </w:drawing>
      </w:r>
    </w:p>
    <w:p>
      <w:pPr>
        <w:spacing w:after="0" w:line="88" w:lineRule="exact"/>
        <w:rPr>
          <w:sz w:val="20"/>
          <w:szCs w:val="20"/>
          <w:color w:val="auto"/>
        </w:rPr>
      </w:pPr>
    </w:p>
    <w:p>
      <w:pPr>
        <w:ind w:left="8626"/>
        <w:spacing w:after="0"/>
        <w:tabs>
          <w:tab w:leader="none" w:pos="10426"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65035" cy="148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20" w:lineRule="exact"/>
        <w:rPr>
          <w:sz w:val="20"/>
          <w:szCs w:val="20"/>
          <w:color w:val="auto"/>
        </w:rPr>
      </w:pPr>
    </w:p>
    <w:p>
      <w:pPr>
        <w:ind w:left="26"/>
        <w:spacing w:after="0"/>
        <w:tabs>
          <w:tab w:leader="none" w:pos="7906" w:val="left"/>
          <w:tab w:leader="none" w:pos="9106" w:val="left"/>
          <w:tab w:leader="none" w:pos="9726" w:val="left"/>
          <w:tab w:leader="none" w:pos="10926" w:val="left"/>
        </w:tabs>
        <w:rPr>
          <w:sz w:val="20"/>
          <w:szCs w:val="20"/>
          <w:color w:val="auto"/>
        </w:rPr>
      </w:pPr>
      <w:r>
        <w:rPr>
          <w:rFonts w:ascii="Arial" w:cs="Arial" w:eastAsia="Arial" w:hAnsi="Arial"/>
          <w:sz w:val="16"/>
          <w:szCs w:val="16"/>
          <w:b w:val="1"/>
          <w:bCs w:val="1"/>
          <w:color w:val="auto"/>
        </w:rPr>
        <w:t>Net cash provided by operating activities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1,415</w:t>
        <w:tab/>
        <w:t>$</w:t>
      </w:r>
      <w:r>
        <w:rPr>
          <w:sz w:val="20"/>
          <w:szCs w:val="20"/>
          <w:color w:val="auto"/>
        </w:rPr>
        <w:tab/>
      </w:r>
      <w:r>
        <w:rPr>
          <w:rFonts w:ascii="Arial" w:cs="Arial" w:eastAsia="Arial" w:hAnsi="Arial"/>
          <w:sz w:val="14"/>
          <w:szCs w:val="14"/>
          <w:color w:val="auto"/>
        </w:rPr>
        <w:t>2,787</w:t>
      </w:r>
    </w:p>
    <w:p>
      <w:pPr>
        <w:spacing w:after="0" w:line="50"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65035" cy="148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ectPr>
          <w:pgSz w:w="11900" w:h="16838" w:orient="portrait"/>
          <w:cols w:equalWidth="0" w:num="1">
            <w:col w:w="11446"/>
          </w:cols>
          <w:pgMar w:left="234" w:top="518" w:right="219" w:bottom="1440" w:gutter="0" w:footer="0" w:header="0"/>
        </w:sectPr>
      </w:pPr>
    </w:p>
    <w:p>
      <w:pPr>
        <w:spacing w:after="0" w:line="68" w:lineRule="exact"/>
        <w:rPr>
          <w:sz w:val="20"/>
          <w:szCs w:val="20"/>
          <w:color w:val="auto"/>
        </w:rPr>
      </w:pPr>
    </w:p>
    <w:p>
      <w:pPr>
        <w:ind w:left="326"/>
        <w:spacing w:after="0"/>
        <w:rPr>
          <w:sz w:val="20"/>
          <w:szCs w:val="20"/>
          <w:color w:val="auto"/>
        </w:rPr>
      </w:pPr>
      <w:r>
        <w:rPr>
          <w:rFonts w:ascii="Arial" w:cs="Arial" w:eastAsia="Arial" w:hAnsi="Arial"/>
          <w:sz w:val="16"/>
          <w:szCs w:val="16"/>
          <w:color w:val="auto"/>
        </w:rPr>
        <w:t>Capital expenditures and aircraft purchase deposits</w:t>
      </w:r>
    </w:p>
    <w:p>
      <w:pPr>
        <w:spacing w:after="0" w:line="50" w:lineRule="exact"/>
        <w:rPr>
          <w:sz w:val="20"/>
          <w:szCs w:val="20"/>
          <w:color w:val="auto"/>
        </w:rPr>
      </w:pPr>
    </w:p>
    <w:p>
      <w:pPr>
        <w:ind w:left="326"/>
        <w:spacing w:after="0"/>
        <w:rPr>
          <w:sz w:val="20"/>
          <w:szCs w:val="20"/>
          <w:color w:val="auto"/>
        </w:rPr>
      </w:pPr>
      <w:r>
        <w:rPr>
          <w:rFonts w:ascii="Arial" w:cs="Arial" w:eastAsia="Arial" w:hAnsi="Arial"/>
          <w:sz w:val="14"/>
          <w:szCs w:val="14"/>
          <w:color w:val="auto"/>
        </w:rPr>
        <w:t>Proceeds from sale of property and equipment and sale-leaseback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65035" cy="148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53" w:lineRule="exact"/>
        <w:rPr>
          <w:sz w:val="20"/>
          <w:szCs w:val="20"/>
          <w:color w:val="auto"/>
        </w:rPr>
      </w:pPr>
    </w:p>
    <w:p>
      <w:pPr>
        <w:ind w:left="326"/>
        <w:spacing w:after="0"/>
        <w:rPr>
          <w:sz w:val="20"/>
          <w:szCs w:val="20"/>
          <w:color w:val="auto"/>
        </w:rPr>
      </w:pPr>
      <w:r>
        <w:rPr>
          <w:rFonts w:ascii="Arial" w:cs="Arial" w:eastAsia="Arial" w:hAnsi="Arial"/>
          <w:sz w:val="16"/>
          <w:szCs w:val="16"/>
          <w:color w:val="auto"/>
        </w:rPr>
        <w:t>Purchases of short-term investments</w:t>
      </w:r>
    </w:p>
    <w:p>
      <w:pPr>
        <w:spacing w:after="0" w:line="50" w:lineRule="exact"/>
        <w:rPr>
          <w:sz w:val="20"/>
          <w:szCs w:val="20"/>
          <w:color w:val="auto"/>
        </w:rPr>
      </w:pPr>
    </w:p>
    <w:p>
      <w:pPr>
        <w:ind w:left="326"/>
        <w:spacing w:after="0"/>
        <w:rPr>
          <w:sz w:val="20"/>
          <w:szCs w:val="20"/>
          <w:color w:val="auto"/>
        </w:rPr>
      </w:pPr>
      <w:r>
        <w:rPr>
          <w:rFonts w:ascii="Arial" w:cs="Arial" w:eastAsia="Arial" w:hAnsi="Arial"/>
          <w:sz w:val="16"/>
          <w:szCs w:val="16"/>
          <w:color w:val="auto"/>
        </w:rPr>
        <w:t>Sales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326"/>
        <w:spacing w:after="0"/>
        <w:rPr>
          <w:sz w:val="20"/>
          <w:szCs w:val="20"/>
          <w:color w:val="auto"/>
        </w:rPr>
      </w:pPr>
      <w:r>
        <w:rPr>
          <w:rFonts w:ascii="Arial" w:cs="Arial" w:eastAsia="Arial" w:hAnsi="Arial"/>
          <w:sz w:val="16"/>
          <w:szCs w:val="16"/>
          <w:color w:val="auto"/>
        </w:rPr>
        <w:t>Decrease in restricted short-term investments</w:t>
      </w:r>
    </w:p>
    <w:p>
      <w:pPr>
        <w:spacing w:after="0" w:line="50" w:lineRule="exact"/>
        <w:rPr>
          <w:sz w:val="20"/>
          <w:szCs w:val="20"/>
          <w:color w:val="auto"/>
        </w:rPr>
      </w:pPr>
    </w:p>
    <w:p>
      <w:pPr>
        <w:ind w:left="606"/>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12"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4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(3,163)</w:t>
            </w:r>
          </w:p>
        </w:tc>
      </w:tr>
      <w:tr>
        <w:trPr>
          <w:trHeight w:val="234"/>
        </w:trPr>
        <w:tc>
          <w:tcPr>
            <w:tcW w:w="1740" w:type="dxa"/>
            <w:vAlign w:val="bottom"/>
          </w:tcPr>
          <w:p>
            <w:pPr>
              <w:jc w:val="right"/>
              <w:ind w:right="22"/>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312</w:t>
            </w:r>
          </w:p>
        </w:tc>
      </w:tr>
      <w:tr>
        <w:trPr>
          <w:trHeight w:val="234"/>
        </w:trPr>
        <w:tc>
          <w:tcPr>
            <w:tcW w:w="174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(3,829)</w:t>
            </w:r>
          </w:p>
        </w:tc>
      </w:tr>
      <w:tr>
        <w:trPr>
          <w:trHeight w:val="234"/>
        </w:trPr>
        <w:tc>
          <w:tcPr>
            <w:tcW w:w="1740" w:type="dxa"/>
            <w:vAlign w:val="bottom"/>
          </w:tcPr>
          <w:p>
            <w:pPr>
              <w:jc w:val="right"/>
              <w:ind w:right="22"/>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3,373</w:t>
            </w:r>
          </w:p>
        </w:tc>
      </w:tr>
      <w:tr>
        <w:trPr>
          <w:trHeight w:val="240"/>
        </w:trPr>
        <w:tc>
          <w:tcPr>
            <w:tcW w:w="1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73</w:t>
            </w:r>
          </w:p>
        </w:tc>
      </w:tr>
      <w:tr>
        <w:trPr>
          <w:trHeight w:val="208"/>
        </w:trPr>
        <w:tc>
          <w:tcPr>
            <w:tcW w:w="174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(3,234)</w:t>
            </w:r>
          </w:p>
        </w:tc>
      </w:tr>
    </w:tbl>
    <w:p>
      <w:pPr>
        <w:spacing w:after="0" w:line="269" w:lineRule="exact"/>
        <w:rPr>
          <w:sz w:val="20"/>
          <w:szCs w:val="20"/>
          <w:color w:val="auto"/>
        </w:rPr>
      </w:pPr>
    </w:p>
    <w:p>
      <w:pPr>
        <w:sectPr>
          <w:pgSz w:w="11900" w:h="16838" w:orient="portrait"/>
          <w:cols w:equalWidth="0" w:num="2">
            <w:col w:w="7166" w:space="720"/>
            <w:col w:w="3560"/>
          </w:cols>
          <w:pgMar w:left="234" w:top="518" w:right="219" w:bottom="1440" w:gutter="0" w:footer="0" w:header="0"/>
          <w:type w:val="continuous"/>
        </w:sectPr>
      </w:pPr>
    </w:p>
    <w:tbl>
      <w:tblPr>
        <w:tblLayout w:type="fixed"/>
        <w:tblInd w:w="6" w:type="dxa"/>
        <w:tblCellMar>
          <w:top w:w="0" w:type="dxa"/>
          <w:left w:w="0" w:type="dxa"/>
          <w:bottom w:w="0" w:type="dxa"/>
          <w:right w:w="0" w:type="dxa"/>
        </w:tblCellMar>
      </w:tblPr>
      <w:tr>
        <w:trPr>
          <w:trHeight w:val="205"/>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long-term debt</w:t>
            </w:r>
          </w:p>
        </w:tc>
        <w:tc>
          <w:tcPr>
            <w:tcW w:w="6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1,625</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Payments on long-term debt and capital leases</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28"/>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Deferred financing costs</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financing activities</w:t>
            </w:r>
          </w:p>
        </w:tc>
        <w:tc>
          <w:tcPr>
            <w:tcW w:w="6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r>
      <w:tr>
        <w:trPr>
          <w:trHeight w:val="208"/>
        </w:trPr>
        <w:tc>
          <w:tcPr>
            <w:tcW w:w="78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Net cash provided by (used in) financing activities</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494</w:t>
            </w:r>
          </w:p>
        </w:tc>
      </w:tr>
      <w:tr>
        <w:trPr>
          <w:trHeight w:val="22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restricted cash</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r>
      <w:tr>
        <w:trPr>
          <w:trHeight w:val="228"/>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424</w:t>
            </w:r>
          </w:p>
        </w:tc>
      </w:tr>
      <w:tr>
        <w:trPr>
          <w:trHeight w:val="22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Cash and restricted cash at end of period </w:t>
            </w:r>
            <w:r>
              <w:rPr>
                <w:rFonts w:ascii="Arial" w:cs="Arial" w:eastAsia="Arial" w:hAnsi="Arial"/>
                <w:sz w:val="18"/>
                <w:szCs w:val="18"/>
                <w:color w:val="auto"/>
                <w:vertAlign w:val="superscript"/>
              </w:rPr>
              <w:t>(a)</w:t>
            </w: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471</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2"/>
        </w:trPr>
        <w:tc>
          <w:tcPr>
            <w:tcW w:w="21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4"/>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8"/>
        </w:trPr>
        <w:tc>
          <w:tcPr>
            <w:tcW w:w="7880" w:type="dxa"/>
            <w:vAlign w:val="bottom"/>
            <w:gridSpan w:val="2"/>
          </w:tcPr>
          <w:p>
            <w:pPr>
              <w:ind w:left="320"/>
              <w:spacing w:after="0"/>
              <w:rPr>
                <w:sz w:val="20"/>
                <w:szCs w:val="20"/>
                <w:color w:val="auto"/>
              </w:rPr>
            </w:pPr>
            <w:r>
              <w:rPr>
                <w:rFonts w:ascii="Arial" w:cs="Arial" w:eastAsia="Arial" w:hAnsi="Arial"/>
                <w:sz w:val="16"/>
                <w:szCs w:val="16"/>
                <w:color w:val="auto"/>
              </w:rPr>
              <w:t>Interest paid, net</w:t>
            </w:r>
          </w:p>
        </w:tc>
        <w:tc>
          <w:tcPr>
            <w:tcW w:w="6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468</w:t>
            </w:r>
          </w:p>
        </w:tc>
      </w:tr>
      <w:tr>
        <w:trPr>
          <w:trHeight w:val="240"/>
        </w:trPr>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taxes paid</w:t>
            </w: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w:t>
            </w:r>
          </w:p>
        </w:tc>
      </w:tr>
      <w:tr>
        <w:trPr>
          <w:trHeight w:val="222"/>
        </w:trPr>
        <w:tc>
          <w:tcPr>
            <w:tcW w:w="2120" w:type="dxa"/>
            <w:vAlign w:val="bottom"/>
            <w:tcBorders>
              <w:bottom w:val="single" w:sz="8" w:color="auto"/>
            </w:tcBorders>
          </w:tcPr>
          <w:p>
            <w:pPr>
              <w:spacing w:after="0"/>
              <w:rPr>
                <w:sz w:val="19"/>
                <w:szCs w:val="19"/>
                <w:color w:val="auto"/>
              </w:rPr>
            </w:pPr>
          </w:p>
        </w:tc>
        <w:tc>
          <w:tcPr>
            <w:tcW w:w="5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48" w:lineRule="exact"/>
        <w:rPr>
          <w:sz w:val="20"/>
          <w:szCs w:val="20"/>
          <w:color w:val="auto"/>
        </w:rPr>
      </w:pPr>
    </w:p>
    <w:p>
      <w:pPr>
        <w:ind w:left="146" w:hanging="146"/>
        <w:spacing w:after="0"/>
        <w:tabs>
          <w:tab w:leader="none" w:pos="146"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The following table provides a reconciliation of cash and restricted cash to amounts reported within the condensed consolidated balance sheets:</w:t>
      </w:r>
    </w:p>
    <w:p>
      <w:pPr>
        <w:spacing w:after="0" w:line="258"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368</w:t>
            </w:r>
          </w:p>
        </w:tc>
      </w:tr>
      <w:tr>
        <w:trPr>
          <w:trHeight w:val="22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restricted cash and short-term investments</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w:t>
            </w:r>
          </w:p>
        </w:tc>
      </w:tr>
      <w:tr>
        <w:trPr>
          <w:trHeight w:val="220"/>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cash and restricted cash</w:t>
            </w: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471</w:t>
            </w:r>
          </w:p>
        </w:tc>
      </w:tr>
      <w:tr>
        <w:trPr>
          <w:trHeight w:val="20"/>
        </w:trPr>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6"/>
          </w:cols>
          <w:pgMar w:left="234" w:top="518" w:right="219" w:bottom="1440" w:gutter="0" w:footer="0" w:header="0"/>
          <w:type w:val="continuous"/>
        </w:sectPr>
      </w:pPr>
    </w:p>
    <w:bookmarkStart w:id="27" w:name="page28"/>
    <w:bookmarkEnd w:id="27"/>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p>
      <w:pPr>
        <w:ind w:left="166" w:hanging="166"/>
        <w:spacing w:after="0"/>
        <w:tabs>
          <w:tab w:leader="none" w:pos="166"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Recent Accounting Pronouncements</w:t>
      </w:r>
    </w:p>
    <w:p>
      <w:pPr>
        <w:spacing w:after="0" w:line="73" w:lineRule="exact"/>
        <w:rPr>
          <w:rFonts w:ascii="Arial" w:cs="Arial" w:eastAsia="Arial" w:hAnsi="Arial"/>
          <w:sz w:val="16"/>
          <w:szCs w:val="16"/>
          <w:b w:val="1"/>
          <w:bCs w:val="1"/>
          <w:color w:val="auto"/>
        </w:rPr>
      </w:pPr>
    </w:p>
    <w:p>
      <w:pPr>
        <w:ind w:left="446" w:hanging="236"/>
        <w:spacing w:after="0"/>
        <w:tabs>
          <w:tab w:leader="none" w:pos="446"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91" w:lineRule="exact"/>
        <w:rPr>
          <w:sz w:val="20"/>
          <w:szCs w:val="20"/>
          <w:color w:val="auto"/>
        </w:rPr>
      </w:pPr>
    </w:p>
    <w:p>
      <w:pPr>
        <w:jc w:val="both"/>
        <w:ind w:left="6" w:firstLine="187"/>
        <w:spacing w:after="0" w:line="246" w:lineRule="auto"/>
        <w:rPr>
          <w:sz w:val="20"/>
          <w:szCs w:val="20"/>
          <w:color w:val="auto"/>
        </w:rPr>
      </w:pPr>
      <w:r>
        <w:rPr>
          <w:rFonts w:ascii="Arial" w:cs="Arial" w:eastAsia="Arial" w:hAnsi="Arial"/>
          <w:sz w:val="16"/>
          <w:szCs w:val="16"/>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2017. American is the principal wholly-owned subsidiary of American Airlines Group Inc. (AAG). All significant intercompany transactions have been eliminated.</w:t>
      </w:r>
    </w:p>
    <w:p>
      <w:pPr>
        <w:spacing w:after="0" w:line="136"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Group merged with and into AAG, with AAG as the surviving corporation. Immediately thereafter, US Airways, Inc. (US Airways), a wholly-owned subsidiary of US Airways Group, merged with and into American, with American as the surviving corporation.</w:t>
      </w:r>
    </w:p>
    <w:p>
      <w:pPr>
        <w:spacing w:after="0" w:line="137" w:lineRule="exact"/>
        <w:rPr>
          <w:sz w:val="20"/>
          <w:szCs w:val="20"/>
          <w:color w:val="auto"/>
        </w:rPr>
      </w:pPr>
    </w:p>
    <w:p>
      <w:pPr>
        <w:jc w:val="both"/>
        <w:ind w:left="6" w:firstLine="187"/>
        <w:spacing w:after="0" w:line="244"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w:t>
      </w:r>
    </w:p>
    <w:p>
      <w:pPr>
        <w:spacing w:after="0" w:line="193" w:lineRule="exact"/>
        <w:rPr>
          <w:sz w:val="20"/>
          <w:szCs w:val="20"/>
          <w:color w:val="auto"/>
        </w:rPr>
      </w:pPr>
    </w:p>
    <w:p>
      <w:pPr>
        <w:ind w:left="186" w:right="8000" w:firstLine="1"/>
        <w:spacing w:after="0" w:line="397" w:lineRule="auto"/>
        <w:tabs>
          <w:tab w:leader="none" w:pos="429"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 Accounting Pronouncements </w:t>
      </w:r>
      <w:r>
        <w:rPr>
          <w:rFonts w:ascii="Arial" w:cs="Arial" w:eastAsia="Arial" w:hAnsi="Arial"/>
          <w:sz w:val="14"/>
          <w:szCs w:val="14"/>
          <w:i w:val="1"/>
          <w:iCs w:val="1"/>
          <w:u w:val="single" w:color="auto"/>
          <w:color w:val="auto"/>
        </w:rPr>
        <w:t>Standards Effective for 2018 Reporting Periods</w:t>
      </w:r>
    </w:p>
    <w:p>
      <w:pPr>
        <w:ind w:left="186"/>
        <w:spacing w:after="0"/>
        <w:rPr>
          <w:rFonts w:ascii="Arial" w:cs="Arial" w:eastAsia="Arial" w:hAnsi="Arial"/>
          <w:sz w:val="14"/>
          <w:szCs w:val="14"/>
          <w:b w:val="1"/>
          <w:bCs w:val="1"/>
          <w:color w:val="auto"/>
        </w:rPr>
      </w:pPr>
      <w:r>
        <w:rPr>
          <w:rFonts w:ascii="Arial" w:cs="Arial" w:eastAsia="Arial" w:hAnsi="Arial"/>
          <w:sz w:val="16"/>
          <w:szCs w:val="16"/>
          <w:color w:val="auto"/>
        </w:rPr>
        <w:t>Effective January 1, 2018, American adopted the accounting pronouncements described below.</w:t>
      </w:r>
    </w:p>
    <w:p>
      <w:pPr>
        <w:spacing w:after="0" w:line="196" w:lineRule="exact"/>
        <w:rPr>
          <w:sz w:val="20"/>
          <w:szCs w:val="20"/>
          <w:color w:val="auto"/>
        </w:rPr>
      </w:pPr>
    </w:p>
    <w:p>
      <w:pPr>
        <w:ind w:left="186"/>
        <w:spacing w:after="0"/>
        <w:rPr>
          <w:sz w:val="20"/>
          <w:szCs w:val="20"/>
          <w:color w:val="auto"/>
        </w:rPr>
      </w:pPr>
      <w:r>
        <w:rPr>
          <w:rFonts w:ascii="Arial" w:cs="Arial" w:eastAsia="Arial" w:hAnsi="Arial"/>
          <w:sz w:val="16"/>
          <w:szCs w:val="16"/>
          <w:b w:val="1"/>
          <w:bCs w:val="1"/>
          <w:i w:val="1"/>
          <w:iCs w:val="1"/>
          <w:color w:val="auto"/>
        </w:rPr>
        <w:t>ASU 2014-09: Revenue from Contracts with Customers (Topic 606) (the New Revenue Standard)</w:t>
      </w:r>
    </w:p>
    <w:p>
      <w:pPr>
        <w:spacing w:after="0" w:line="91" w:lineRule="exact"/>
        <w:rPr>
          <w:sz w:val="20"/>
          <w:szCs w:val="20"/>
          <w:color w:val="auto"/>
        </w:rPr>
      </w:pPr>
    </w:p>
    <w:p>
      <w:pPr>
        <w:jc w:val="both"/>
        <w:ind w:left="6" w:firstLine="187"/>
        <w:spacing w:after="0" w:line="248" w:lineRule="auto"/>
        <w:rPr>
          <w:sz w:val="20"/>
          <w:szCs w:val="20"/>
          <w:color w:val="auto"/>
        </w:rPr>
      </w:pPr>
      <w:r>
        <w:rPr>
          <w:rFonts w:ascii="Arial" w:cs="Arial" w:eastAsia="Arial" w:hAnsi="Arial"/>
          <w:sz w:val="16"/>
          <w:szCs w:val="16"/>
          <w:color w:val="auto"/>
        </w:rPr>
        <w:t>The New Revenue Standard applies to all companies that enter into contracts with customers to transfer goods or services. American adopted the New Revenue Standard using the full retrospective method, which resulted in the recast of prior reporting periods.</w:t>
      </w:r>
    </w:p>
    <w:p>
      <w:pPr>
        <w:spacing w:after="0" w:line="134" w:lineRule="exact"/>
        <w:rPr>
          <w:sz w:val="20"/>
          <w:szCs w:val="20"/>
          <w:color w:val="auto"/>
        </w:rPr>
      </w:pPr>
    </w:p>
    <w:p>
      <w:pPr>
        <w:jc w:val="both"/>
        <w:ind w:left="6" w:firstLine="187"/>
        <w:spacing w:after="0" w:line="244" w:lineRule="auto"/>
        <w:rPr>
          <w:sz w:val="20"/>
          <w:szCs w:val="20"/>
          <w:color w:val="auto"/>
        </w:rPr>
      </w:pPr>
      <w:r>
        <w:rPr>
          <w:rFonts w:ascii="Arial" w:cs="Arial" w:eastAsia="Arial" w:hAnsi="Arial"/>
          <w:sz w:val="16"/>
          <w:szCs w:val="16"/>
          <w:color w:val="auto"/>
        </w:rPr>
        <w:t>The adoption of the New Revenue Standard impacted American’s accounting for outstanding mileage credits earned through travel by AAdvantage loyalty program members. There was no change in accounting for sales of mileage credits to co-branded card or other partners. Prior to the adoption of the New Revenue Standard, American used the incremental cost method to account for the portion of its loyalty program liability related to mileage credits earned through travel, which were valued based on the estimated incremental cost of carrying one additional passenger. The New Revenue Standard required American to change its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41" w:lineRule="exact"/>
        <w:rPr>
          <w:sz w:val="20"/>
          <w:szCs w:val="20"/>
          <w:color w:val="auto"/>
        </w:rPr>
      </w:pPr>
    </w:p>
    <w:p>
      <w:pPr>
        <w:jc w:val="both"/>
        <w:ind w:left="6" w:right="20" w:firstLine="187"/>
        <w:spacing w:after="0" w:line="246" w:lineRule="auto"/>
        <w:rPr>
          <w:sz w:val="20"/>
          <w:szCs w:val="20"/>
          <w:color w:val="auto"/>
        </w:rPr>
      </w:pPr>
      <w:r>
        <w:rPr>
          <w:rFonts w:ascii="Arial" w:cs="Arial" w:eastAsia="Arial" w:hAnsi="Arial"/>
          <w:sz w:val="16"/>
          <w:szCs w:val="16"/>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American’s condensed consolidated statement of operations for certain revenues and expenses that had previously been presented on a net basis.</w:t>
      </w:r>
    </w:p>
    <w:p>
      <w:pPr>
        <w:spacing w:after="0" w:line="136" w:lineRule="exact"/>
        <w:rPr>
          <w:sz w:val="20"/>
          <w:szCs w:val="20"/>
          <w:color w:val="auto"/>
        </w:rPr>
      </w:pPr>
    </w:p>
    <w:p>
      <w:pPr>
        <w:jc w:val="both"/>
        <w:ind w:left="6" w:right="20" w:firstLine="211"/>
        <w:spacing w:after="0" w:line="248" w:lineRule="auto"/>
        <w:rPr>
          <w:sz w:val="20"/>
          <w:szCs w:val="20"/>
          <w:color w:val="auto"/>
        </w:rPr>
      </w:pPr>
      <w:r>
        <w:rPr>
          <w:rFonts w:ascii="Arial" w:cs="Arial" w:eastAsia="Arial" w:hAnsi="Arial"/>
          <w:sz w:val="16"/>
          <w:szCs w:val="16"/>
          <w:color w:val="auto"/>
        </w:rPr>
        <w:t>See recast condensed consolidated statement of operations data for the three and six months ended June 30, 2017 and recast consolidated balance sheet data as of December 31, 2017 presented below for the effects of adoption.</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6"/>
          </w:cols>
          <w:pgMar w:left="234" w:top="518" w:right="21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jc w:val="both"/>
        <w:ind w:firstLine="187"/>
        <w:spacing w:after="0" w:line="271" w:lineRule="auto"/>
        <w:rPr>
          <w:sz w:val="20"/>
          <w:szCs w:val="20"/>
          <w:color w:val="auto"/>
        </w:rPr>
      </w:pPr>
      <w:r>
        <w:rPr>
          <w:rFonts w:ascii="Arial" w:cs="Arial" w:eastAsia="Arial" w:hAnsi="Arial"/>
          <w:sz w:val="16"/>
          <w:szCs w:val="16"/>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7"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New Retirement Standard required all components of American’s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See recast condensed consolidated statement of operations data for the three and six months ended June 30, 2017 presented below for the effects of adoption.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2016-01: Financial Instruments - Overall (Subtopic 825-10)</w:t>
      </w:r>
    </w:p>
    <w:p>
      <w:pPr>
        <w:spacing w:after="0" w:line="91"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This ASU made several modifications to Subtopic 825-10, including the elimination of the available-for-sale classification of equity investments, and it required equity investments with readily determinable fair values to be measured at fair value with changes in fair value recognized in net income. This standard was adopted prospectively as of January 1, 2018 and resulted in a $77 million cumulative effect adjustment credit to retained earnings related to American's investment in China Southern Airlines Company Limited (China Southern Airlines), which was previously accounted for under the cost method.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2016-18: Statement of Cash Flows (Topic 230): Restricted Cash</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This ASU required that the change in total cash, cash at beginning of period and cash at end of period on the statement of cash flows include restricted cash and restricted cash equivalents and also requires companies who report cash and restricted cash separately on the balance sheet to reconcile those amounts to the statement of cash flows. This standard was applied retrospectively, which resulted in the recast of the prior reporting period in the statement of cash flows. For the six months ended June 30, 2018 and 2017, $12 million and $103 million, respectively, of restricted cash is included in the total of cash and restricted cash balance at the end of period. A reconciliation of cash and restricted cash from American's condensed consolidated statement of cash flows to the amounts reported within its condensed consolidated balance sheet is also included in a table below its condensed consolidated statement of cash flows.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Impacts to Prior Period Results</w:t>
      </w:r>
    </w:p>
    <w:p>
      <w:pPr>
        <w:spacing w:after="0" w:line="91" w:lineRule="exact"/>
        <w:rPr>
          <w:sz w:val="20"/>
          <w:szCs w:val="20"/>
          <w:color w:val="auto"/>
        </w:rPr>
      </w:pPr>
    </w:p>
    <w:p>
      <w:pPr>
        <w:jc w:val="both"/>
        <w:ind w:firstLine="211"/>
        <w:spacing w:after="0" w:line="248" w:lineRule="auto"/>
        <w:rPr>
          <w:sz w:val="20"/>
          <w:szCs w:val="20"/>
          <w:color w:val="auto"/>
        </w:rPr>
      </w:pPr>
      <w:r>
        <w:rPr>
          <w:rFonts w:ascii="Arial" w:cs="Arial" w:eastAsia="Arial" w:hAnsi="Arial"/>
          <w:sz w:val="16"/>
          <w:szCs w:val="16"/>
          <w:color w:val="auto"/>
        </w:rPr>
        <w:t>The effects of adoption of the New Revenue Standard and New Retirement Standard to American’s condensed consolidated statement of operations for the three and six months ended June 30, 2017 were as follows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Three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r>
      <w:tr>
        <w:trPr>
          <w:trHeight w:val="211"/>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9,582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10,353</w:t>
            </w: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219</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652</w:t>
            </w: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11,224</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9,633</w:t>
            </w: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1,591</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1,427</w:t>
            </w: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539</w:t>
            </w:r>
          </w:p>
        </w:tc>
      </w:tr>
      <w:tr>
        <w:trPr>
          <w:trHeight w:val="214"/>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888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40"/>
          </w:cols>
          <w:pgMar w:left="240" w:top="308" w:right="21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Six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r>
      <w:tr>
        <w:trPr>
          <w:trHeight w:val="211"/>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17,737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19,350</w:t>
            </w: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410</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1,280</w:t>
            </w: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21,040</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18,710</w:t>
            </w: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2,330</w:t>
            </w: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2,007</w:t>
            </w: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751</w:t>
            </w:r>
          </w:p>
        </w:tc>
      </w:tr>
      <w:tr>
        <w:trPr>
          <w:trHeight w:val="214"/>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effects of adoption of the New Revenue Standard to American’s December 31, 2017 consolidated balance sheet are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As Reported</w:t>
            </w:r>
          </w:p>
        </w:tc>
        <w:tc>
          <w:tcPr>
            <w:tcW w:w="16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New Revenue Standard</w:t>
            </w:r>
          </w:p>
        </w:tc>
        <w:tc>
          <w:tcPr>
            <w:tcW w:w="360" w:type="dxa"/>
            <w:vAlign w:val="bottom"/>
          </w:tcPr>
          <w:p>
            <w:pPr>
              <w:spacing w:after="0"/>
              <w:rPr>
                <w:sz w:val="14"/>
                <w:szCs w:val="14"/>
                <w:color w:val="auto"/>
              </w:rPr>
            </w:pPr>
          </w:p>
        </w:tc>
        <w:tc>
          <w:tcPr>
            <w:tcW w:w="1460" w:type="dxa"/>
            <w:vAlign w:val="bottom"/>
          </w:tcPr>
          <w:p>
            <w:pPr>
              <w:jc w:val="right"/>
              <w:ind w:right="545"/>
              <w:spacing w:after="0"/>
              <w:rPr>
                <w:sz w:val="20"/>
                <w:szCs w:val="20"/>
                <w:color w:val="auto"/>
              </w:rPr>
            </w:pPr>
            <w:r>
              <w:rPr>
                <w:rFonts w:ascii="Arial" w:cs="Arial" w:eastAsia="Arial" w:hAnsi="Arial"/>
                <w:sz w:val="12"/>
                <w:szCs w:val="12"/>
                <w:b w:val="1"/>
                <w:bCs w:val="1"/>
                <w:color w:val="auto"/>
              </w:rPr>
              <w:t>As Recast</w:t>
            </w:r>
          </w:p>
        </w:tc>
      </w:tr>
      <w:tr>
        <w:trPr>
          <w:trHeight w:val="21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3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1,389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2,071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Air traffic liability</w:t>
            </w:r>
          </w:p>
        </w:tc>
        <w:tc>
          <w:tcPr>
            <w:tcW w:w="340" w:type="dxa"/>
            <w:vAlign w:val="bottom"/>
          </w:tcPr>
          <w:p>
            <w:pPr>
              <w:spacing w:after="0"/>
              <w:rPr>
                <w:sz w:val="19"/>
                <w:szCs w:val="19"/>
                <w:color w:val="auto"/>
              </w:rPr>
            </w:pPr>
          </w:p>
        </w:tc>
        <w:tc>
          <w:tcPr>
            <w:tcW w:w="1520" w:type="dxa"/>
            <w:vAlign w:val="bottom"/>
          </w:tcPr>
          <w:p>
            <w:pPr>
              <w:jc w:val="right"/>
              <w:ind w:right="45"/>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4,042</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loyalty program liability</w:t>
            </w:r>
          </w:p>
        </w:tc>
        <w:tc>
          <w:tcPr>
            <w:tcW w:w="3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2,791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3,121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Noncurrent loyalty program liability</w:t>
            </w:r>
          </w:p>
        </w:tc>
        <w:tc>
          <w:tcPr>
            <w:tcW w:w="3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5,701</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3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14,594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9,888</w:t>
            </w:r>
          </w:p>
        </w:tc>
      </w:tr>
    </w:tbl>
    <w:p>
      <w:pPr>
        <w:spacing w:after="0" w:line="334"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Standards Effective for 2019 Reporting Periods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2016-02: Leases (Topic 842) (the New Lease Standard)</w:t>
      </w:r>
    </w:p>
    <w:p>
      <w:pPr>
        <w:spacing w:after="0" w:line="91"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4"/>
          <w:szCs w:val="14"/>
          <w:color w:val="auto"/>
        </w:rPr>
        <w:t>The New Lease Standard requires lessees to recognize a lease liability and a right-of-use asset on the balance sheet and aligns many of the underlying principles of the new lessor model with those in the New Revenue Standard. The New Lease Standard is effective for fiscal years beginning after December 15, 2018, including interim periods within those fiscal years. Early adoption is permitted. American will adopt the New Lease Standard effective January 1, 2019. American is currently evaluating how the adoption of the New Lease Standard will impact its consolidated financial statements. Interpretations are on-going and could have a material impact on its implementation. Currently, American expects that the adoption of the New Lease Standard will have a material impact on its consolidated balance sheet due to the recognition of right-of-use assets and lease liabilities principally for certain leases currently accounted for as operating leases.</w:t>
      </w:r>
    </w:p>
    <w:p>
      <w:pPr>
        <w:spacing w:after="0" w:line="164" w:lineRule="exact"/>
        <w:rPr>
          <w:sz w:val="20"/>
          <w:szCs w:val="20"/>
          <w:color w:val="auto"/>
        </w:rPr>
      </w:pPr>
    </w:p>
    <w:p>
      <w:pPr>
        <w:ind w:right="540" w:firstLine="187"/>
        <w:spacing w:after="0" w:line="271" w:lineRule="auto"/>
        <w:rPr>
          <w:sz w:val="20"/>
          <w:szCs w:val="20"/>
          <w:color w:val="auto"/>
        </w:rPr>
      </w:pPr>
      <w:r>
        <w:rPr>
          <w:rFonts w:ascii="Arial" w:cs="Arial" w:eastAsia="Arial" w:hAnsi="Arial"/>
          <w:sz w:val="16"/>
          <w:szCs w:val="16"/>
          <w:b w:val="1"/>
          <w:bCs w:val="1"/>
          <w:i w:val="1"/>
          <w:iCs w:val="1"/>
          <w:color w:val="auto"/>
        </w:rPr>
        <w:t>ASU 2018-02: Income Statement - Reporting Comprehensive Income (Topic 220): Reclassification of Certain Tax Effects from Accumulated Other Comprehensive Income</w:t>
      </w:r>
    </w:p>
    <w:p>
      <w:pPr>
        <w:spacing w:after="0" w:line="47"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This ASU provides financial statement preparers with an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previously enacted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and early adoption is permitted. American expects it will adopt this standard effective January 1, 2019. The adoption of the standard may impact tax amounts stranded in accumulated other comprehensive income related to American's pension and retiree medical and other postretirement benefit plans.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308" w:right="219" w:bottom="1440" w:gutter="0" w:footer="0" w:header="0"/>
        </w:sectPr>
      </w:pPr>
    </w:p>
    <w:bookmarkStart w:id="30" w:name="page31"/>
    <w:bookmarkEnd w:id="30"/>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66" w:hanging="166"/>
        <w:spacing w:after="0"/>
        <w:tabs>
          <w:tab w:leader="none" w:pos="166"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Special Items, Net</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Special items, net in the condensed consolidated statements of operations consisted of the following expenses (income) (in millions):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5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130</w:t>
            </w: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Mark-to-market adjustments on bankruptcy obligations </w:t>
            </w:r>
            <w:r>
              <w:rPr>
                <w:rFonts w:ascii="Arial" w:cs="Arial" w:eastAsia="Arial" w:hAnsi="Arial"/>
                <w:sz w:val="18"/>
                <w:szCs w:val="18"/>
                <w:color w:val="auto"/>
                <w:vertAlign w:val="superscript"/>
              </w:rPr>
              <w:t>(3)</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w:t>
            </w: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Labor contract expenses</w:t>
            </w:r>
          </w:p>
        </w:tc>
        <w:tc>
          <w:tcPr>
            <w:tcW w:w="100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45</w:t>
            </w: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charges, net</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r>
      <w:tr>
        <w:trPr>
          <w:trHeight w:val="208"/>
        </w:trPr>
        <w:tc>
          <w:tcPr>
            <w:tcW w:w="5040" w:type="dxa"/>
            <w:vAlign w:val="bottom"/>
          </w:tcPr>
          <w:p>
            <w:pPr>
              <w:ind w:left="140"/>
              <w:spacing w:after="0"/>
              <w:rPr>
                <w:sz w:val="20"/>
                <w:szCs w:val="20"/>
                <w:color w:val="auto"/>
              </w:rPr>
            </w:pPr>
            <w:r>
              <w:rPr>
                <w:rFonts w:ascii="Arial" w:cs="Arial" w:eastAsia="Arial" w:hAnsi="Arial"/>
                <w:sz w:val="16"/>
                <w:szCs w:val="16"/>
                <w:color w:val="auto"/>
              </w:rPr>
              <w:t>Mainline operating special items, net</w:t>
            </w:r>
          </w:p>
        </w:tc>
        <w:tc>
          <w:tcPr>
            <w:tcW w:w="100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320</w:t>
            </w:r>
          </w:p>
        </w:tc>
      </w:tr>
      <w:tr>
        <w:trPr>
          <w:trHeight w:val="252"/>
        </w:trPr>
        <w:tc>
          <w:tcPr>
            <w:tcW w:w="50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6"/>
                <w:szCs w:val="16"/>
                <w:color w:val="auto"/>
              </w:rPr>
              <w:t>Regional operating special items, net</w:t>
            </w:r>
          </w:p>
        </w:tc>
        <w:tc>
          <w:tcPr>
            <w:tcW w:w="100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w:t>
            </w:r>
          </w:p>
        </w:tc>
      </w:tr>
      <w:tr>
        <w:trPr>
          <w:trHeight w:val="287"/>
        </w:trPr>
        <w:tc>
          <w:tcPr>
            <w:tcW w:w="5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 xml:space="preserve">Mark-to-market adjustments on equity investments </w:t>
            </w:r>
            <w:r>
              <w:rPr>
                <w:rFonts w:ascii="Arial" w:cs="Arial" w:eastAsia="Arial" w:hAnsi="Arial"/>
                <w:sz w:val="18"/>
                <w:szCs w:val="18"/>
                <w:color w:val="auto"/>
                <w:vertAlign w:val="superscript"/>
              </w:rPr>
              <w:t>(5)</w:t>
            </w:r>
          </w:p>
        </w:tc>
        <w:tc>
          <w:tcPr>
            <w:tcW w:w="1000" w:type="dxa"/>
            <w:vAlign w:val="bottom"/>
          </w:tcPr>
          <w:p>
            <w:pPr>
              <w:spacing w:after="0"/>
              <w:rPr>
                <w:sz w:val="20"/>
                <w:szCs w:val="20"/>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refinancing and extinguishment charges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r>
      <w:tr>
        <w:trPr>
          <w:trHeight w:val="214"/>
        </w:trPr>
        <w:tc>
          <w:tcPr>
            <w:tcW w:w="5040" w:type="dxa"/>
            <w:vAlign w:val="bottom"/>
          </w:tcPr>
          <w:p>
            <w:pPr>
              <w:ind w:left="220"/>
              <w:spacing w:after="0"/>
              <w:rPr>
                <w:sz w:val="20"/>
                <w:szCs w:val="20"/>
                <w:color w:val="auto"/>
              </w:rPr>
            </w:pPr>
            <w:r>
              <w:rPr>
                <w:rFonts w:ascii="Arial" w:cs="Arial" w:eastAsia="Arial" w:hAnsi="Arial"/>
                <w:sz w:val="16"/>
                <w:szCs w:val="16"/>
                <w:color w:val="auto"/>
              </w:rPr>
              <w:t>Nonoperating special items, net</w:t>
            </w:r>
          </w:p>
        </w:tc>
        <w:tc>
          <w:tcPr>
            <w:tcW w:w="100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7</w:t>
            </w:r>
          </w:p>
        </w:tc>
      </w:tr>
      <w:tr>
        <w:trPr>
          <w:trHeight w:val="287"/>
        </w:trPr>
        <w:tc>
          <w:tcPr>
            <w:tcW w:w="5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2"/>
        </w:trPr>
        <w:tc>
          <w:tcPr>
            <w:tcW w:w="5040" w:type="dxa"/>
            <w:vAlign w:val="bottom"/>
          </w:tcPr>
          <w:p>
            <w:pPr>
              <w:ind w:left="220"/>
              <w:spacing w:after="0"/>
              <w:rPr>
                <w:sz w:val="20"/>
                <w:szCs w:val="20"/>
                <w:color w:val="auto"/>
              </w:rPr>
            </w:pPr>
            <w:r>
              <w:rPr>
                <w:rFonts w:ascii="Arial" w:cs="Arial" w:eastAsia="Arial" w:hAnsi="Arial"/>
                <w:sz w:val="16"/>
                <w:szCs w:val="16"/>
                <w:color w:val="auto"/>
              </w:rPr>
              <w:t xml:space="preserve">Income tax special items, net </w:t>
            </w:r>
            <w:r>
              <w:rPr>
                <w:rFonts w:ascii="Arial" w:cs="Arial" w:eastAsia="Arial" w:hAnsi="Arial"/>
                <w:sz w:val="18"/>
                <w:szCs w:val="18"/>
                <w:color w:val="auto"/>
                <w:vertAlign w:val="superscript"/>
              </w:rPr>
              <w:t>(6)</w:t>
            </w:r>
          </w:p>
        </w:tc>
        <w:tc>
          <w:tcPr>
            <w:tcW w:w="1000" w:type="dxa"/>
            <w:vAlign w:val="bottom"/>
          </w:tcPr>
          <w:p>
            <w:pPr>
              <w:spacing w:after="0"/>
              <w:rPr>
                <w:sz w:val="23"/>
                <w:szCs w:val="23"/>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442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26" w:hanging="286"/>
        <w:spacing w:after="0" w:line="223" w:lineRule="auto"/>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American's remaining integration projects, principally its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6" w:hanging="286"/>
        <w:spacing w:after="0" w:line="223" w:lineRule="auto"/>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AAG common stock. Accordingly, fluctuations in AAG's stock price result in mark-to-market adjustments to these obligations.</w:t>
      </w:r>
    </w:p>
    <w:p>
      <w:pPr>
        <w:spacing w:after="0" w:line="140" w:lineRule="exact"/>
        <w:rPr>
          <w:rFonts w:ascii="Arial" w:cs="Arial" w:eastAsia="Arial" w:hAnsi="Arial"/>
          <w:sz w:val="19"/>
          <w:szCs w:val="19"/>
          <w:color w:val="auto"/>
          <w:vertAlign w:val="superscript"/>
        </w:rPr>
      </w:pPr>
    </w:p>
    <w:p>
      <w:pPr>
        <w:ind w:left="426" w:hanging="286"/>
        <w:spacing w:after="0" w:line="223" w:lineRule="auto"/>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Intangible asset impairment includes a non-cash charge to write-off American's Brazil route authority as a result of ratification of the U.S.-Brazil open skies agreement.</w:t>
      </w:r>
    </w:p>
    <w:p>
      <w:pPr>
        <w:spacing w:after="0" w:line="109" w:lineRule="exact"/>
        <w:rPr>
          <w:rFonts w:ascii="Arial" w:cs="Arial" w:eastAsia="Arial" w:hAnsi="Arial"/>
          <w:sz w:val="19"/>
          <w:szCs w:val="19"/>
          <w:color w:val="auto"/>
          <w:vertAlign w:val="superscript"/>
        </w:rPr>
      </w:pPr>
    </w:p>
    <w:p>
      <w:pPr>
        <w:ind w:left="426" w:hanging="286"/>
        <w:spacing w:after="0"/>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Mark-to-market adjustments on equity investments principally relate to unrealized losses on American's investment in China Southern Airlines.</w:t>
      </w:r>
    </w:p>
    <w:p>
      <w:pPr>
        <w:spacing w:after="0" w:line="140" w:lineRule="exact"/>
        <w:rPr>
          <w:rFonts w:ascii="Arial" w:cs="Arial" w:eastAsia="Arial" w:hAnsi="Arial"/>
          <w:sz w:val="19"/>
          <w:szCs w:val="19"/>
          <w:color w:val="auto"/>
          <w:vertAlign w:val="superscript"/>
        </w:rPr>
      </w:pPr>
    </w:p>
    <w:p>
      <w:pPr>
        <w:jc w:val="both"/>
        <w:ind w:left="426" w:hanging="286"/>
        <w:spacing w:after="0" w:line="229" w:lineRule="auto"/>
        <w:tabs>
          <w:tab w:leader="none" w:pos="426" w:val="left"/>
        </w:tabs>
        <w:numPr>
          <w:ilvl w:val="1"/>
          <w:numId w:val="22"/>
        </w:numPr>
        <w:rPr>
          <w:rFonts w:ascii="Arial" w:cs="Arial" w:eastAsia="Arial" w:hAnsi="Arial"/>
          <w:sz w:val="19"/>
          <w:szCs w:val="19"/>
          <w:color w:val="auto"/>
          <w:vertAlign w:val="superscript"/>
        </w:rPr>
      </w:pPr>
      <w:r>
        <w:rPr>
          <w:rFonts w:ascii="Arial" w:cs="Arial" w:eastAsia="Arial" w:hAnsi="Arial"/>
          <w:sz w:val="16"/>
          <w:szCs w:val="16"/>
          <w:color w:val="auto"/>
        </w:rPr>
        <w:t>Income tax special items for the three months ended June 30, 2018 included an $18 million charge related to an international income tax matter. Additionally, the six months ended June 30, 2018 included a $30 million charge to income tax expense to establish a required valuation allowance related to American's estimated refund for Alternative Minimum Tax (AMT) credits.</w:t>
      </w:r>
    </w:p>
    <w:p>
      <w:pPr>
        <w:spacing w:after="0" w:line="194" w:lineRule="exact"/>
        <w:rPr>
          <w:rFonts w:ascii="Arial" w:cs="Arial" w:eastAsia="Arial" w:hAnsi="Arial"/>
          <w:sz w:val="19"/>
          <w:szCs w:val="19"/>
          <w:color w:val="auto"/>
          <w:vertAlign w:val="superscript"/>
        </w:rPr>
      </w:pPr>
    </w:p>
    <w:p>
      <w:pPr>
        <w:ind w:left="166" w:hanging="166"/>
        <w:spacing w:after="0"/>
        <w:tabs>
          <w:tab w:leader="none" w:pos="16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73" w:lineRule="exact"/>
        <w:rPr>
          <w:rFonts w:ascii="Arial" w:cs="Arial" w:eastAsia="Arial" w:hAnsi="Arial"/>
          <w:sz w:val="16"/>
          <w:szCs w:val="16"/>
          <w:b w:val="1"/>
          <w:bCs w:val="1"/>
          <w:color w:val="auto"/>
        </w:rPr>
      </w:pPr>
    </w:p>
    <w:p>
      <w:pPr>
        <w:ind w:left="426" w:hanging="228"/>
        <w:spacing w:after="0"/>
        <w:tabs>
          <w:tab w:leader="none" w:pos="426" w:val="left"/>
        </w:tabs>
        <w:numPr>
          <w:ilvl w:val="2"/>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91" w:lineRule="exact"/>
        <w:rPr>
          <w:sz w:val="20"/>
          <w:szCs w:val="20"/>
          <w:color w:val="auto"/>
        </w:rPr>
      </w:pPr>
    </w:p>
    <w:p>
      <w:pPr>
        <w:jc w:val="both"/>
        <w:ind w:left="6" w:right="20" w:firstLine="199"/>
        <w:spacing w:after="0" w:line="245" w:lineRule="auto"/>
        <w:rPr>
          <w:sz w:val="20"/>
          <w:szCs w:val="20"/>
          <w:color w:val="auto"/>
        </w:rPr>
      </w:pPr>
      <w:r>
        <w:rPr>
          <w:rFonts w:ascii="Arial" w:cs="Arial" w:eastAsia="Arial" w:hAnsi="Arial"/>
          <w:sz w:val="16"/>
          <w:szCs w:val="16"/>
          <w:color w:val="auto"/>
        </w:rPr>
        <w:t>Effective January 1, 2018, American adopted the New Revenue Standard using the full retrospective method, which resulted in the recast of prior reporting periods. See Recent Accounting Pronouncements in Note 1(b) above for effects of adoption on American's condensed consolidated statement of operations for the three and six months ended June 30, 2017 and on American's consolidated balance sheet as of December 31, 2017. Under the New Revenue Standard, revenue is recognized upon transfer of control of promised products or services to American's customers in an amount that reflects the consideration it expects to receive in exchange for those products or services.</w:t>
      </w:r>
    </w:p>
    <w:p>
      <w:pPr>
        <w:spacing w:after="0" w:line="20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6"/>
          </w:cols>
          <w:pgMar w:left="234" w:top="308"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are the significant categories comprising American's reported operating revenues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4"/>
                <w:szCs w:val="14"/>
                <w:color w:val="auto"/>
              </w:rPr>
            </w:pPr>
          </w:p>
        </w:tc>
        <w:tc>
          <w:tcPr>
            <w:tcW w:w="2500" w:type="dxa"/>
            <w:vAlign w:val="bottom"/>
            <w:gridSpan w:val="4"/>
          </w:tcPr>
          <w:p>
            <w:pPr>
              <w:jc w:val="right"/>
              <w:ind w:right="524"/>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21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r>
      <w:tr>
        <w:trPr>
          <w:trHeight w:val="23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8"/>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Passenger travel</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9,877</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18,507</w:t>
            </w:r>
          </w:p>
        </w:tc>
        <w:tc>
          <w:tcPr>
            <w:tcW w:w="10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17,795</w:t>
            </w:r>
          </w:p>
        </w:tc>
      </w:tr>
      <w:tr>
        <w:trPr>
          <w:trHeight w:val="240"/>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 xml:space="preserve">Loyalty revenue - travel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1,555</w:t>
            </w:r>
          </w:p>
        </w:tc>
      </w:tr>
      <w:tr>
        <w:trPr>
          <w:trHeight w:val="208"/>
        </w:trPr>
        <w:tc>
          <w:tcPr>
            <w:tcW w:w="5600" w:type="dxa"/>
            <w:vAlign w:val="bottom"/>
            <w:gridSpan w:val="2"/>
          </w:tcPr>
          <w:p>
            <w:pPr>
              <w:ind w:left="420"/>
              <w:spacing w:after="0"/>
              <w:rPr>
                <w:sz w:val="20"/>
                <w:szCs w:val="20"/>
                <w:color w:val="auto"/>
              </w:rPr>
            </w:pPr>
            <w:r>
              <w:rPr>
                <w:rFonts w:ascii="Arial" w:cs="Arial" w:eastAsia="Arial" w:hAnsi="Arial"/>
                <w:sz w:val="16"/>
                <w:szCs w:val="16"/>
                <w:color w:val="auto"/>
              </w:rPr>
              <w:t>Total passenger revenue</w:t>
            </w:r>
          </w:p>
        </w:tc>
        <w:tc>
          <w:tcPr>
            <w:tcW w:w="340" w:type="dxa"/>
            <w:vAlign w:val="bottom"/>
          </w:tcPr>
          <w:p>
            <w:pPr>
              <w:spacing w:after="0"/>
              <w:rPr>
                <w:sz w:val="18"/>
                <w:szCs w:val="18"/>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10,353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20,154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19,350</w:t>
            </w:r>
          </w:p>
        </w:tc>
      </w:tr>
      <w:tr>
        <w:trPr>
          <w:trHeight w:val="24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Cargo</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410</w:t>
            </w:r>
          </w:p>
        </w:tc>
      </w:tr>
      <w:tr>
        <w:trPr>
          <w:trHeight w:val="228"/>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0"/>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Loyalty revenue - marketing services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1,047</w:t>
            </w:r>
          </w:p>
        </w:tc>
      </w:tr>
      <w:tr>
        <w:trPr>
          <w:trHeight w:val="228"/>
        </w:trPr>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revenue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233</w:t>
            </w:r>
          </w:p>
        </w:tc>
      </w:tr>
      <w:tr>
        <w:trPr>
          <w:trHeight w:val="214"/>
        </w:trPr>
        <w:tc>
          <w:tcPr>
            <w:tcW w:w="5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Total 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1,280</w:t>
            </w:r>
          </w:p>
        </w:tc>
      </w:tr>
      <w:tr>
        <w:trPr>
          <w:trHeight w:val="220"/>
        </w:trPr>
        <w:tc>
          <w:tcPr>
            <w:tcW w:w="5600" w:type="dxa"/>
            <w:vAlign w:val="bottom"/>
            <w:gridSpan w:val="2"/>
          </w:tcPr>
          <w:p>
            <w:pPr>
              <w:ind w:left="60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11,640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11,224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22,038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21,040</w:t>
            </w:r>
          </w:p>
        </w:tc>
      </w:tr>
      <w:tr>
        <w:trPr>
          <w:trHeight w:val="20"/>
        </w:trPr>
        <w:tc>
          <w:tcPr>
            <w:tcW w:w="2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120" w:type="dxa"/>
            <w:vAlign w:val="bottom"/>
            <w:tcBorders>
              <w:bottom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57" w:lineRule="exact"/>
        <w:rPr>
          <w:sz w:val="20"/>
          <w:szCs w:val="20"/>
          <w:color w:val="auto"/>
        </w:rPr>
      </w:pPr>
    </w:p>
    <w:p>
      <w:pPr>
        <w:ind w:left="420" w:hanging="286"/>
        <w:spacing w:after="0" w:line="223" w:lineRule="auto"/>
        <w:tabs>
          <w:tab w:leader="none" w:pos="420" w:val="left"/>
        </w:tabs>
        <w:numPr>
          <w:ilvl w:val="0"/>
          <w:numId w:val="24"/>
        </w:numPr>
        <w:rPr>
          <w:rFonts w:ascii="Arial" w:cs="Arial" w:eastAsia="Arial" w:hAnsi="Arial"/>
          <w:sz w:val="19"/>
          <w:szCs w:val="19"/>
          <w:color w:val="auto"/>
          <w:vertAlign w:val="superscript"/>
        </w:rPr>
      </w:pPr>
      <w:r>
        <w:rPr>
          <w:rFonts w:ascii="Arial" w:cs="Arial" w:eastAsia="Arial" w:hAnsi="Arial"/>
          <w:sz w:val="16"/>
          <w:szCs w:val="16"/>
          <w:color w:val="auto"/>
        </w:rPr>
        <w:t>Loyalty revenue included in passenger revenue is principally comprised of mileage credit redemptions for air travel awards from mileage credits earned through travel and mileage credits sold to co-branded card and other partners. See discussion of Loyalty Revenue below.</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is American's total passenger revenue by geographic region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4"/>
                <w:szCs w:val="14"/>
                <w:color w:val="auto"/>
              </w:rPr>
            </w:pPr>
          </w:p>
        </w:tc>
        <w:tc>
          <w:tcPr>
            <w:tcW w:w="2500" w:type="dxa"/>
            <w:vAlign w:val="bottom"/>
            <w:gridSpan w:val="4"/>
          </w:tcPr>
          <w:p>
            <w:pPr>
              <w:jc w:val="right"/>
              <w:ind w:right="525"/>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5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2017</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7,685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14,359</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340" w:type="dxa"/>
            <w:vAlign w:val="bottom"/>
          </w:tcPr>
          <w:p>
            <w:pPr>
              <w:spacing w:after="0"/>
              <w:rPr>
                <w:sz w:val="19"/>
                <w:szCs w:val="19"/>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2,440</w:t>
            </w: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1,806</w:t>
            </w:r>
          </w:p>
        </w:tc>
      </w:tr>
      <w:tr>
        <w:trPr>
          <w:trHeight w:val="22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Pacific</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745</w:t>
            </w:r>
          </w:p>
        </w:tc>
      </w:tr>
      <w:tr>
        <w:trPr>
          <w:trHeight w:val="214"/>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passenger revenue</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10,674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10,353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20,154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19,350</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American attributes passenger revenue by geographic region based upon the origin and destination of each flight segment.</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Passenger Revenue</w:t>
      </w:r>
    </w:p>
    <w:p>
      <w:pPr>
        <w:spacing w:after="0" w:line="89" w:lineRule="exact"/>
        <w:rPr>
          <w:sz w:val="20"/>
          <w:szCs w:val="20"/>
          <w:color w:val="auto"/>
        </w:rPr>
      </w:pPr>
    </w:p>
    <w:p>
      <w:pPr>
        <w:jc w:val="both"/>
        <w:ind w:firstLine="199"/>
        <w:spacing w:after="0" w:line="292" w:lineRule="auto"/>
        <w:rPr>
          <w:sz w:val="20"/>
          <w:szCs w:val="20"/>
          <w:color w:val="auto"/>
        </w:rPr>
      </w:pPr>
      <w:r>
        <w:rPr>
          <w:rFonts w:ascii="Arial" w:cs="Arial" w:eastAsia="Arial" w:hAnsi="Arial"/>
          <w:sz w:val="14"/>
          <w:szCs w:val="14"/>
          <w:color w:val="auto"/>
        </w:rPr>
        <w:t>American recognizes all revenues generated from transportation on American and its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pacing w:after="0" w:line="106"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4"/>
          <w:szCs w:val="14"/>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American's historical data. American has consistently applied this accounting method to estimate revenue from forfeited tickets at the date of travel. Estimated future refunds and exchanges included in the air traffic liability are routinely evaluated based on subsequent activity to validate the accuracy of American's estimates. Any adjustments resulting from periodic evaluations of the estimated air traffic liability are included in passenger revenue during the period in which the evaluations are completed.</w:t>
      </w:r>
    </w:p>
    <w:p>
      <w:pPr>
        <w:spacing w:after="0" w:line="112"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Various taxes and fees assessed on the sale of tickets to end customers are collected by American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40"/>
          </w:cols>
          <w:pgMar w:left="240" w:top="308"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Loyalty Revenue</w:t>
      </w:r>
    </w:p>
    <w:p>
      <w:pPr>
        <w:spacing w:after="0" w:line="71" w:lineRule="exact"/>
        <w:rPr>
          <w:sz w:val="20"/>
          <w:szCs w:val="20"/>
          <w:color w:val="auto"/>
        </w:rPr>
      </w:pPr>
    </w:p>
    <w:p>
      <w:pPr>
        <w:jc w:val="both"/>
        <w:ind w:firstLine="187"/>
        <w:spacing w:after="0" w:line="300" w:lineRule="auto"/>
        <w:rPr>
          <w:sz w:val="20"/>
          <w:szCs w:val="20"/>
          <w:color w:val="auto"/>
        </w:rPr>
      </w:pPr>
      <w:r>
        <w:rPr>
          <w:rFonts w:ascii="Arial" w:cs="Arial" w:eastAsia="Arial" w:hAnsi="Arial"/>
          <w:sz w:val="14"/>
          <w:szCs w:val="14"/>
          <w:color w:val="auto"/>
        </w:rPr>
        <w:t xml:space="preserve">American currently operates the loyalty program, AAdvantage. This program awards mileage credits to passengers who fly on American, any </w:t>
      </w:r>
      <w:r>
        <w:rPr>
          <w:rFonts w:ascii="Arial" w:cs="Arial" w:eastAsia="Arial" w:hAnsi="Arial"/>
          <w:sz w:val="14"/>
          <w:szCs w:val="14"/>
          <w:b w:val="1"/>
          <w:bCs w:val="1"/>
          <w:color w:val="auto"/>
        </w:rPr>
        <w:t>one</w:t>
      </w:r>
      <w:r>
        <w:rPr>
          <w:rFonts w:ascii="Arial" w:cs="Arial" w:eastAsia="Arial" w:hAnsi="Arial"/>
          <w:sz w:val="14"/>
          <w:szCs w:val="14"/>
          <w:color w:val="auto"/>
        </w:rPr>
        <w:t>world airline or other partner airlines, or by using the services of other program participants, such as the Citi and Barclays US co-branded cards, hotels and car rental companies. Mileage credits can be redeemed for travel on American and other participating partner airlines as well as other non-air travel awards such as hotels and rental cars. For mileage credits earned by AAdvantage loyalty program members, American applies the deferred revenue method in accordance with the New Revenue Standard.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earned through travel</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sold to co-branded cards and other partners</w:t>
      </w:r>
    </w:p>
    <w:p>
      <w:pPr>
        <w:spacing w:after="0" w:line="91" w:lineRule="exact"/>
        <w:rPr>
          <w:sz w:val="20"/>
          <w:szCs w:val="20"/>
          <w:color w:val="auto"/>
        </w:rPr>
      </w:pPr>
    </w:p>
    <w:p>
      <w:pPr>
        <w:jc w:val="both"/>
        <w:ind w:right="20" w:firstLine="187"/>
        <w:spacing w:after="0" w:line="298" w:lineRule="auto"/>
        <w:rPr>
          <w:sz w:val="20"/>
          <w:szCs w:val="20"/>
          <w:color w:val="auto"/>
        </w:rPr>
      </w:pPr>
      <w:r>
        <w:rPr>
          <w:rFonts w:ascii="Arial" w:cs="Arial" w:eastAsia="Arial" w:hAnsi="Arial"/>
          <w:sz w:val="14"/>
          <w:szCs w:val="14"/>
          <w:color w:val="auto"/>
        </w:rPr>
        <w:t>American sells mileage credits to participating airline partners and non-airline business partners including American's co-branded card partners, under contracts with terms extending generally for one to nine years. Sales of mileage credits to non-airline business partners are comprised of two components, transportation and marketing. American allocates the consideration received from the sale of mileage credits based on the relative selling price of each product or service delivered.</w:t>
      </w:r>
    </w:p>
    <w:p>
      <w:pPr>
        <w:spacing w:after="0" w:line="102"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American's most significant partner agreements are its co-branded card program agreements with Citi and Barclays US that American entered into in 2016. American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American recognizes the marketing component in other revenue in the period of the mileage sale following the sales-based royalty method.</w:t>
      </w:r>
    </w:p>
    <w:p>
      <w:pPr>
        <w:spacing w:after="0" w:line="137"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For the portion of American's outstanding mileage credits that it estimates will not be redeemed, American recognizes the associated value proportionally as the remaining mileage credits are redeemed. American's estimates are based on analysis of historical redemptions.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Cargo Revenue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Cargo revenue is recognized when American provides the transportation.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Other Revenue</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Other revenue includes revenue associated with American's loyalty program, which is comprised principally of the marketing component of mileage sales to co-branded card and other partners and other marketing related payments. For the three and six months ended June 30, 2018, loyalty revenue included in other revenue was $582 million and $1.2 billion, respectively. For the three and six months ended June 30, 2017, loyalty revenue included in other revenue was $533 million and $1.0 billion, respectively. The accounting and recognition for the loyalty program marketing services are discussed above in Loyalty Revenue. The remaining amounts included within other revenue relate to airport clubs, advertising and vacation-related services.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0"/>
          </w:cols>
          <w:pgMar w:left="240" w:top="308"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 Contract Balances</w:t>
      </w:r>
    </w:p>
    <w:p>
      <w:pPr>
        <w:spacing w:after="0" w:line="91"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American's significant contract liabilities are comprised of (1) outstanding loyalty program mileage credits that may be redeemed for future travel and other non-air travel awards, reported as loyalty program liability on American's condensed consolidated balance sheet and (2) ticket sales for transportation that has not yet been provided, reported as air traffic liability on American's condensed consolidated balance sheet.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June 30, 2018</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December 31, 2017</w:t>
            </w:r>
          </w:p>
        </w:tc>
      </w:tr>
      <w:tr>
        <w:trPr>
          <w:trHeight w:val="214"/>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gridSpan w:val="4"/>
          </w:tcPr>
          <w:p>
            <w:pPr>
              <w:jc w:val="right"/>
              <w:ind w:right="1386"/>
              <w:spacing w:after="0"/>
              <w:rPr>
                <w:sz w:val="20"/>
                <w:szCs w:val="20"/>
                <w:color w:val="auto"/>
              </w:rPr>
            </w:pPr>
            <w:r>
              <w:rPr>
                <w:rFonts w:ascii="Arial" w:cs="Arial" w:eastAsia="Arial" w:hAnsi="Arial"/>
                <w:sz w:val="12"/>
                <w:szCs w:val="12"/>
                <w:b w:val="1"/>
                <w:bCs w:val="1"/>
                <w:color w:val="auto"/>
              </w:rPr>
              <w:t>(In millions)</w:t>
            </w:r>
          </w:p>
        </w:tc>
      </w:tr>
      <w:tr>
        <w:trPr>
          <w:trHeight w:val="23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Loyalty program liability</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8,675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8,822</w:t>
            </w:r>
          </w:p>
        </w:tc>
      </w:tr>
      <w:tr>
        <w:trPr>
          <w:trHeight w:val="22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Air traffic liability</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5,512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4,042</w:t>
            </w:r>
          </w:p>
        </w:tc>
      </w:tr>
      <w:tr>
        <w:trPr>
          <w:trHeight w:val="22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14,187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12,864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-615950</wp:posOffset>
            </wp:positionV>
            <wp:extent cx="666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260"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The balance of the loyalty program liability fluctuates based on seasonal patterns, which impact the volume of mileage credits issued through travel or sold to co-branded card and other partners (deferral of revenue) and mileage credits redeemed (recognition of revenue). Changes in loyalty program liability are as follows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8,822</w:t>
            </w:r>
          </w:p>
        </w:tc>
      </w:tr>
      <w:tr>
        <w:trPr>
          <w:trHeight w:val="216"/>
        </w:trPr>
        <w:tc>
          <w:tcPr>
            <w:tcW w:w="200" w:type="dxa"/>
            <w:vAlign w:val="bottom"/>
          </w:tcPr>
          <w:p>
            <w:pPr>
              <w:spacing w:after="0"/>
              <w:rPr>
                <w:sz w:val="18"/>
                <w:szCs w:val="18"/>
                <w:color w:val="auto"/>
              </w:rPr>
            </w:pPr>
          </w:p>
        </w:tc>
        <w:tc>
          <w:tcPr>
            <w:tcW w:w="9520" w:type="dxa"/>
            <w:vAlign w:val="bottom"/>
            <w:gridSpan w:val="2"/>
          </w:tcPr>
          <w:p>
            <w:pPr>
              <w:ind w:left="20"/>
              <w:spacing w:after="0"/>
              <w:rPr>
                <w:sz w:val="20"/>
                <w:szCs w:val="20"/>
                <w:color w:val="auto"/>
              </w:rPr>
            </w:pPr>
            <w:r>
              <w:rPr>
                <w:rFonts w:ascii="Arial" w:cs="Arial" w:eastAsia="Arial" w:hAnsi="Arial"/>
                <w:sz w:val="16"/>
                <w:szCs w:val="16"/>
                <w:color w:val="auto"/>
              </w:rPr>
              <w:t>Deferral of revenue</w:t>
            </w:r>
          </w:p>
        </w:tc>
        <w:tc>
          <w:tcPr>
            <w:tcW w:w="64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1,586</w:t>
            </w:r>
          </w:p>
        </w:tc>
      </w:tr>
      <w:tr>
        <w:trPr>
          <w:trHeight w:val="229"/>
        </w:trPr>
        <w:tc>
          <w:tcPr>
            <w:tcW w:w="20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Recognition of revenue </w:t>
            </w:r>
            <w:r>
              <w:rPr>
                <w:rFonts w:ascii="Arial" w:cs="Arial" w:eastAsia="Arial" w:hAnsi="Arial"/>
                <w:sz w:val="18"/>
                <w:szCs w:val="18"/>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r>
      <w:tr>
        <w:trPr>
          <w:trHeight w:val="214"/>
        </w:trPr>
        <w:tc>
          <w:tcPr>
            <w:tcW w:w="9720" w:type="dxa"/>
            <w:vAlign w:val="bottom"/>
            <w:gridSpan w:val="3"/>
          </w:tcPr>
          <w:p>
            <w:pPr>
              <w:ind w:left="20"/>
              <w:spacing w:after="0"/>
              <w:rPr>
                <w:sz w:val="20"/>
                <w:szCs w:val="20"/>
                <w:color w:val="auto"/>
              </w:rPr>
            </w:pPr>
            <w:r>
              <w:rPr>
                <w:rFonts w:ascii="Arial" w:cs="Arial" w:eastAsia="Arial" w:hAnsi="Arial"/>
                <w:sz w:val="16"/>
                <w:szCs w:val="16"/>
                <w:color w:val="auto"/>
              </w:rPr>
              <w:t xml:space="preserve">Balance at June 30, 2018 </w:t>
            </w:r>
            <w:r>
              <w:rPr>
                <w:rFonts w:ascii="Arial" w:cs="Arial" w:eastAsia="Arial" w:hAnsi="Arial"/>
                <w:sz w:val="18"/>
                <w:szCs w:val="18"/>
                <w:color w:val="auto"/>
                <w:vertAlign w:val="superscript"/>
              </w:rPr>
              <w:t>(2)</w:t>
            </w:r>
          </w:p>
        </w:tc>
        <w:tc>
          <w:tcPr>
            <w:tcW w:w="6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8,675</w:t>
            </w:r>
          </w:p>
        </w:tc>
      </w:tr>
      <w:tr>
        <w:trPr>
          <w:trHeight w:val="20"/>
        </w:trPr>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7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140" w:lineRule="exact"/>
        <w:rPr>
          <w:sz w:val="20"/>
          <w:szCs w:val="20"/>
          <w:color w:val="auto"/>
        </w:rPr>
      </w:pPr>
    </w:p>
    <w:p>
      <w:pPr>
        <w:jc w:val="both"/>
        <w:ind w:left="420" w:hanging="286"/>
        <w:spacing w:after="0" w:line="229" w:lineRule="auto"/>
        <w:tabs>
          <w:tab w:leader="none" w:pos="420" w:val="left"/>
        </w:tabs>
        <w:numPr>
          <w:ilvl w:val="0"/>
          <w:numId w:val="25"/>
        </w:numPr>
        <w:rPr>
          <w:rFonts w:ascii="Arial" w:cs="Arial" w:eastAsia="Arial" w:hAnsi="Arial"/>
          <w:sz w:val="19"/>
          <w:szCs w:val="19"/>
          <w:color w:val="auto"/>
          <w:vertAlign w:val="superscript"/>
        </w:rPr>
      </w:pPr>
      <w:r>
        <w:rPr>
          <w:rFonts w:ascii="Arial" w:cs="Arial" w:eastAsia="Arial" w:hAnsi="Arial"/>
          <w:sz w:val="16"/>
          <w:szCs w:val="16"/>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2" w:lineRule="exact"/>
        <w:rPr>
          <w:rFonts w:ascii="Arial" w:cs="Arial" w:eastAsia="Arial" w:hAnsi="Arial"/>
          <w:sz w:val="19"/>
          <w:szCs w:val="19"/>
          <w:color w:val="auto"/>
          <w:vertAlign w:val="superscript"/>
        </w:rPr>
      </w:pPr>
    </w:p>
    <w:p>
      <w:pPr>
        <w:jc w:val="both"/>
        <w:ind w:left="420" w:hanging="286"/>
        <w:spacing w:after="0" w:line="233" w:lineRule="auto"/>
        <w:tabs>
          <w:tab w:leader="none" w:pos="420" w:val="left"/>
        </w:tabs>
        <w:numPr>
          <w:ilvl w:val="0"/>
          <w:numId w:val="25"/>
        </w:numPr>
        <w:rPr>
          <w:rFonts w:ascii="Arial" w:cs="Arial" w:eastAsia="Arial" w:hAnsi="Arial"/>
          <w:sz w:val="19"/>
          <w:szCs w:val="19"/>
          <w:color w:val="auto"/>
          <w:vertAlign w:val="superscript"/>
        </w:rPr>
      </w:pPr>
      <w:r>
        <w:rPr>
          <w:rFonts w:ascii="Arial" w:cs="Arial" w:eastAsia="Arial" w:hAnsi="Arial"/>
          <w:sz w:val="16"/>
          <w:szCs w:val="16"/>
          <w:color w:val="auto"/>
        </w:rPr>
        <w:t>Mileage credits can be redeemed at any time and do not expire as long as that AAdvantage member has any type of qualifying activity at least every 18 months. As of June 30, 2018, American's current loyalty program liability was $3.2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141"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air traffic liability principally represents tickets sold for future travel dates and estimated future refunds and exchanges of tickets sold for past travel dates. The balance in American's air traffic liability also fluctuates with seasonal travel patterns. The contract duration of passenger tickets is one year. Accordingly, any revenue associated with tickets sold for future travel dates will be recognized within twelve months. For the six months ended June 30, 2018, $2.9 billion of revenue was recognized in passenger revenue that was included in American's air traffic liability at December 31, 2017.</w:t>
      </w:r>
    </w:p>
    <w:p>
      <w:pPr>
        <w:spacing w:after="0" w:line="138"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With respect to contract receivables, reflected as accounts receivable, net on the accompanying condensed consolidated balance sheet, these primarily include receivables for tickets sold to individual passengers through the use of major credit cards. These receivables are short-term, mostly settled within seven days after sale. Bad debt losses, which have been minimal in the past, have been considered in establishing allowances for doubtful accounts.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0"/>
          </w:cols>
          <w:pgMar w:left="240" w:top="308"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Debt</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Long-term debt and capital lease obligations included in the condensed consolidated balance sheets consisted of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2018</w:t>
            </w:r>
          </w:p>
        </w:tc>
        <w:tc>
          <w:tcPr>
            <w:tcW w:w="200" w:type="dxa"/>
            <w:vAlign w:val="bottom"/>
          </w:tcPr>
          <w:p>
            <w:pPr>
              <w:spacing w:after="0"/>
              <w:rPr>
                <w:sz w:val="14"/>
                <w:szCs w:val="14"/>
                <w:color w:val="auto"/>
              </w:rPr>
            </w:pPr>
          </w:p>
        </w:tc>
        <w:tc>
          <w:tcPr>
            <w:tcW w:w="1520" w:type="dxa"/>
            <w:vAlign w:val="bottom"/>
          </w:tcPr>
          <w:p>
            <w:pPr>
              <w:jc w:val="right"/>
              <w:ind w:right="223"/>
              <w:spacing w:after="0"/>
              <w:rPr>
                <w:sz w:val="20"/>
                <w:szCs w:val="20"/>
                <w:color w:val="auto"/>
              </w:rPr>
            </w:pPr>
            <w:r>
              <w:rPr>
                <w:rFonts w:ascii="Arial" w:cs="Arial" w:eastAsia="Arial" w:hAnsi="Arial"/>
                <w:sz w:val="12"/>
                <w:szCs w:val="12"/>
                <w:b w:val="1"/>
                <w:bCs w:val="1"/>
                <w:color w:val="auto"/>
              </w:rPr>
              <w:t>December 31, 2017</w:t>
            </w:r>
          </w:p>
        </w:tc>
      </w:tr>
      <w:tr>
        <w:trPr>
          <w:trHeight w:val="211"/>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Secured</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2013 Credit Facilities, variable interest rate of 3.85%, installments through 2025</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9"/>
                <w:szCs w:val="19"/>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1,825</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2014 Credit Facilities, variable interest rate of 4.05%, installments through 2021</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728</w:t>
            </w: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April 2016 Credit Facilities, variable interest rate of 4.09%, installments through 2023</w:t>
            </w:r>
          </w:p>
        </w:tc>
        <w:tc>
          <w:tcPr>
            <w:tcW w:w="30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990</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2016 Credit Facilities, variable interest rate of 4.07%, installments through 2023</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1,238</w:t>
            </w:r>
          </w:p>
        </w:tc>
      </w:tr>
      <w:tr>
        <w:trPr>
          <w:trHeight w:val="198"/>
        </w:trPr>
        <w:tc>
          <w:tcPr>
            <w:tcW w:w="7880" w:type="dxa"/>
            <w:vAlign w:val="bottom"/>
          </w:tcPr>
          <w:p>
            <w:pPr>
              <w:ind w:left="140"/>
              <w:spacing w:after="0"/>
              <w:rPr>
                <w:sz w:val="20"/>
                <w:szCs w:val="20"/>
                <w:color w:val="auto"/>
              </w:rPr>
            </w:pPr>
            <w:r>
              <w:rPr>
                <w:rFonts w:ascii="Arial" w:cs="Arial" w:eastAsia="Arial" w:hAnsi="Arial"/>
                <w:sz w:val="16"/>
                <w:szCs w:val="16"/>
                <w:color w:val="auto"/>
              </w:rPr>
              <w:t>Aircraft enhanced equipment trust certificates (EETCs), fixed interest rates ranging from 3.00% to 9.75%,</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3"/>
        </w:trPr>
        <w:tc>
          <w:tcPr>
            <w:tcW w:w="7880" w:type="dxa"/>
            <w:vAlign w:val="bottom"/>
          </w:tcPr>
          <w:p>
            <w:pPr>
              <w:ind w:left="280"/>
              <w:spacing w:after="0"/>
              <w:rPr>
                <w:sz w:val="20"/>
                <w:szCs w:val="20"/>
                <w:color w:val="auto"/>
              </w:rPr>
            </w:pPr>
            <w:r>
              <w:rPr>
                <w:rFonts w:ascii="Arial" w:cs="Arial" w:eastAsia="Arial" w:hAnsi="Arial"/>
                <w:sz w:val="16"/>
                <w:szCs w:val="16"/>
                <w:color w:val="auto"/>
              </w:rPr>
              <w:t>averaging 4.24%, maturing from 2018 to 2029</w:t>
            </w:r>
          </w:p>
        </w:tc>
        <w:tc>
          <w:tcPr>
            <w:tcW w:w="30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11,906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11,881</w:t>
            </w:r>
          </w:p>
        </w:tc>
      </w:tr>
      <w:tr>
        <w:trPr>
          <w:trHeight w:val="204"/>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loans and other notes payable, fixed and variable interest rates ranging from 3.40% to 8.48%,</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averaging 4.07%, maturing from 2018 to 2029</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5,259</w:t>
            </w:r>
          </w:p>
        </w:tc>
      </w:tr>
      <w:tr>
        <w:trPr>
          <w:trHeight w:val="228"/>
        </w:trPr>
        <w:tc>
          <w:tcPr>
            <w:tcW w:w="7880" w:type="dxa"/>
            <w:vAlign w:val="bottom"/>
          </w:tcPr>
          <w:p>
            <w:pPr>
              <w:ind w:left="140"/>
              <w:spacing w:after="0"/>
              <w:rPr>
                <w:sz w:val="20"/>
                <w:szCs w:val="20"/>
                <w:color w:val="auto"/>
              </w:rPr>
            </w:pPr>
            <w:r>
              <w:rPr>
                <w:rFonts w:ascii="Arial" w:cs="Arial" w:eastAsia="Arial" w:hAnsi="Arial"/>
                <w:sz w:val="16"/>
                <w:szCs w:val="16"/>
                <w:color w:val="auto"/>
              </w:rPr>
              <w:t>Special facility revenue bonds, fixed interest rates ranging from 5.00% to 5.50%, maturing from 2018 to 2035</w:t>
            </w:r>
          </w:p>
        </w:tc>
        <w:tc>
          <w:tcPr>
            <w:tcW w:w="30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828</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secured obligations, fixed interest rates ranging from 3.81% to 12.24%, maturing from 2021 to 2028</w:t>
            </w: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772</w:t>
            </w:r>
          </w:p>
        </w:tc>
      </w:tr>
      <w:tr>
        <w:trPr>
          <w:trHeight w:val="208"/>
        </w:trPr>
        <w:tc>
          <w:tcPr>
            <w:tcW w:w="7880" w:type="dxa"/>
            <w:vAlign w:val="bottom"/>
          </w:tcPr>
          <w:p>
            <w:pPr>
              <w:ind w:left="20"/>
              <w:spacing w:after="0"/>
              <w:rPr>
                <w:sz w:val="20"/>
                <w:szCs w:val="20"/>
                <w:color w:val="auto"/>
              </w:rPr>
            </w:pPr>
            <w:r>
              <w:rPr>
                <w:rFonts w:ascii="Arial" w:cs="Arial" w:eastAsia="Arial" w:hAnsi="Arial"/>
                <w:sz w:val="16"/>
                <w:szCs w:val="16"/>
                <w:color w:val="auto"/>
              </w:rPr>
              <w:t>Total long-term debt and capital lease obligations</w:t>
            </w:r>
          </w:p>
        </w:tc>
        <w:tc>
          <w:tcPr>
            <w:tcW w:w="300" w:type="dxa"/>
            <w:vAlign w:val="bottom"/>
          </w:tcPr>
          <w:p>
            <w:pPr>
              <w:spacing w:after="0"/>
              <w:rPr>
                <w:sz w:val="18"/>
                <w:szCs w:val="18"/>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23,030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23,521</w:t>
            </w:r>
          </w:p>
        </w:tc>
      </w:tr>
      <w:tr>
        <w:trPr>
          <w:trHeight w:val="240"/>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Total unamortized debt discount, premium and issuance costs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227</w:t>
            </w:r>
          </w:p>
        </w:tc>
      </w:tr>
      <w:tr>
        <w:trPr>
          <w:trHeight w:val="228"/>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Current maturities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2,058</w:t>
            </w:r>
          </w:p>
        </w:tc>
      </w:tr>
      <w:tr>
        <w:trPr>
          <w:trHeight w:val="214"/>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20,585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21,236</w:t>
            </w: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shows the maximum availability under revolving credit facilities, all of which were undrawn, as of June 30, 2018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 Revolving Facility</w:t>
            </w:r>
          </w:p>
        </w:tc>
        <w:tc>
          <w:tcPr>
            <w:tcW w:w="66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1,200</w:t>
            </w: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2014 Revolving Facility</w:t>
            </w:r>
          </w:p>
        </w:tc>
        <w:tc>
          <w:tcPr>
            <w:tcW w:w="66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2016 Revolving Facility</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300</w:t>
            </w:r>
          </w:p>
        </w:tc>
      </w:tr>
      <w:tr>
        <w:trPr>
          <w:trHeight w:val="208"/>
        </w:trPr>
        <w:tc>
          <w:tcPr>
            <w:tcW w:w="9720" w:type="dxa"/>
            <w:vAlign w:val="bottom"/>
          </w:tcPr>
          <w:p>
            <w:pPr>
              <w:ind w:left="14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2,500</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December 2016 Credit Facilities provide for a revolving credit facility that may be established in the future.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2018 Aircraft Financing Activities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2017-2 EETCs</w:t>
      </w:r>
    </w:p>
    <w:p>
      <w:pPr>
        <w:spacing w:after="0" w:line="89"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As of June 30, 2018, all remaining net proceeds of the Series 2017-2 Class AA, Class A and Class B EETCs (the 2017-2 EETCs), had been used to purchase equipment notes issued by American in connection with the financing of 30 aircraft financed under the 2017-2 EETCs. During the first six months of 2018, $283 million of the $1.0 billion total net proceeds from the issuance of certain enhanced equipment trust certificates in August and October 2017 (the 2017-2 EETCs) were used to purchase equipment notes issued by American in connection with financing 6 of the 30 aircraft financed under the 2017-2 EETCs. Approximately $735 million of proceeds from the 2017-2 EETCs were used in 2017 to purchase equipment notes issued by American in connection with the financing of 24 aircraft. Interest and principal payments on equipment notes issued in connection with the 2017-2 EETCs are payable semi-annually in April and October of each year, with interest payments beginning in April 2018 and principal payments beginning in October 2018. These equipment notes are secured by liens on the aircraft financed with the proceeds of the 2017-2 EETCs.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0"/>
          </w:cols>
          <w:pgMar w:left="240" w:top="308"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information regarding the 2017-2 EETC equipment notes as of June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165735</wp:posOffset>
            </wp:positionV>
            <wp:extent cx="31197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2017-2 EETCs</w:t>
            </w:r>
          </w:p>
        </w:tc>
        <w:tc>
          <w:tcPr>
            <w:tcW w:w="1500" w:type="dxa"/>
            <w:vAlign w:val="bottom"/>
            <w:tcBorders>
              <w:bottom w:val="single" w:sz="8" w:color="auto"/>
            </w:tcBorders>
          </w:tcPr>
          <w:p>
            <w:pPr>
              <w:spacing w:after="0"/>
              <w:rPr>
                <w:sz w:val="14"/>
                <w:szCs w:val="14"/>
                <w:color w:val="auto"/>
              </w:rPr>
            </w:pPr>
          </w:p>
        </w:tc>
      </w:tr>
      <w:tr>
        <w:trPr>
          <w:trHeight w:val="226"/>
        </w:trPr>
        <w:tc>
          <w:tcPr>
            <w:tcW w:w="65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AA</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A</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B</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principal issued</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$545 million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$252 million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$221 million</w:t>
            </w: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Fixed interest rate per annum</w:t>
            </w: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3.35%</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3.60%</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3.70%</w:t>
            </w:r>
          </w:p>
        </w:tc>
      </w:tr>
      <w:tr>
        <w:trPr>
          <w:trHeight w:val="24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Maturity date</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October 2029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October 2029</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October 2025</w:t>
            </w:r>
          </w:p>
        </w:tc>
      </w:tr>
    </w:tbl>
    <w:p>
      <w:pPr>
        <w:spacing w:after="0" w:line="33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2012-2C(R) EETCs</w:t>
      </w:r>
    </w:p>
    <w:p>
      <w:pPr>
        <w:spacing w:after="0" w:line="89" w:lineRule="exact"/>
        <w:rPr>
          <w:sz w:val="20"/>
          <w:szCs w:val="20"/>
          <w:color w:val="auto"/>
        </w:rPr>
      </w:pPr>
    </w:p>
    <w:p>
      <w:pPr>
        <w:jc w:val="both"/>
        <w:ind w:firstLine="199"/>
        <w:spacing w:after="0" w:line="246" w:lineRule="auto"/>
        <w:rPr>
          <w:sz w:val="20"/>
          <w:szCs w:val="20"/>
          <w:color w:val="auto"/>
        </w:rPr>
      </w:pPr>
      <w:r>
        <w:rPr>
          <w:rFonts w:ascii="Arial" w:cs="Arial" w:eastAsia="Arial" w:hAnsi="Arial"/>
          <w:sz w:val="16"/>
          <w:szCs w:val="16"/>
          <w:color w:val="auto"/>
        </w:rPr>
        <w:t>On May 15, 2018, American created a pass-through trust which issued $100 million aggregate face amount of the Series 2012-2 Class C(R) EETCs (the 2012-2C(R) EETCs). Interest and principal payments on equipment notes issued in connection with the 2012-2C(R) EETCs are payable semiannually in June and December of each year, beginning in December 2018.</w:t>
      </w:r>
    </w:p>
    <w:p>
      <w:pPr>
        <w:spacing w:after="0" w:line="136" w:lineRule="exact"/>
        <w:rPr>
          <w:sz w:val="20"/>
          <w:szCs w:val="20"/>
          <w:color w:val="auto"/>
        </w:rPr>
      </w:pPr>
    </w:p>
    <w:p>
      <w:pPr>
        <w:jc w:val="both"/>
        <w:ind w:firstLine="199"/>
        <w:spacing w:after="0" w:line="292" w:lineRule="auto"/>
        <w:rPr>
          <w:sz w:val="20"/>
          <w:szCs w:val="20"/>
          <w:color w:val="auto"/>
        </w:rPr>
      </w:pPr>
      <w:r>
        <w:rPr>
          <w:rFonts w:ascii="Arial" w:cs="Arial" w:eastAsia="Arial" w:hAnsi="Arial"/>
          <w:sz w:val="14"/>
          <w:szCs w:val="14"/>
          <w:color w:val="auto"/>
        </w:rPr>
        <w:t>American had previously issued $100 million aggregate face amount of Series 2012-2 Class C Certificates on June 6, 2013 (the 2012-2C Certificates) in connection with the financing of 11 aircraft previously delivered to American between May 2013 and October 2013. On June 1, 2018, American redeemed the Series C Equipment Notes relating to such 2012-2C Certificates (the 2012-2C Equipment Notes), which were scheduled to mature on June 3, 2018. The proceeds received from the 2012-2C(R) EETCs were used for the redemption of the 2012-2 Series C Equipment Notes and the repayment of the 2012-2C Certificates.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information regarding the 2012-2 Class C(R) EETC equipment notes as of June 30, 2018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255270</wp:posOffset>
            </wp:positionV>
            <wp:extent cx="133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04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2012-2C(R) EETCs</w:t>
            </w:r>
          </w:p>
        </w:tc>
      </w:tr>
      <w:tr>
        <w:trPr>
          <w:trHeight w:val="179"/>
        </w:trPr>
        <w:tc>
          <w:tcPr>
            <w:tcW w:w="904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Series C(R)</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principal issued</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$100 million</w:t>
            </w: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color w:val="auto"/>
              </w:rPr>
              <w:t>Fixed interest rate per annum</w:t>
            </w:r>
          </w:p>
        </w:tc>
        <w:tc>
          <w:tcPr>
            <w:tcW w:w="2100" w:type="dxa"/>
            <w:vAlign w:val="bottom"/>
          </w:tcPr>
          <w:p>
            <w:pPr>
              <w:jc w:val="center"/>
              <w:spacing w:after="0"/>
              <w:rPr>
                <w:sz w:val="20"/>
                <w:szCs w:val="20"/>
                <w:color w:val="auto"/>
              </w:rPr>
            </w:pPr>
            <w:r>
              <w:rPr>
                <w:rFonts w:ascii="Arial" w:cs="Arial" w:eastAsia="Arial" w:hAnsi="Arial"/>
                <w:sz w:val="16"/>
                <w:szCs w:val="16"/>
                <w:color w:val="auto"/>
              </w:rPr>
              <w:t>4.70%</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Maturity date</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June 2021</w:t>
            </w:r>
          </w:p>
        </w:tc>
      </w:tr>
    </w:tbl>
    <w:p>
      <w:pPr>
        <w:spacing w:after="0" w:line="33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Equipment Loans and Other Notes Payable Issued in 2018</w:t>
      </w:r>
    </w:p>
    <w:p>
      <w:pPr>
        <w:spacing w:after="0" w:line="89" w:lineRule="exact"/>
        <w:rPr>
          <w:sz w:val="20"/>
          <w:szCs w:val="20"/>
          <w:color w:val="auto"/>
        </w:rPr>
      </w:pPr>
    </w:p>
    <w:p>
      <w:pPr>
        <w:jc w:val="both"/>
        <w:ind w:right="20" w:firstLine="199"/>
        <w:spacing w:after="0" w:line="248" w:lineRule="auto"/>
        <w:rPr>
          <w:sz w:val="20"/>
          <w:szCs w:val="20"/>
          <w:color w:val="auto"/>
        </w:rPr>
      </w:pPr>
      <w:r>
        <w:rPr>
          <w:rFonts w:ascii="Arial" w:cs="Arial" w:eastAsia="Arial" w:hAnsi="Arial"/>
          <w:sz w:val="16"/>
          <w:szCs w:val="16"/>
          <w:color w:val="auto"/>
        </w:rPr>
        <w:t>In the first six months of 2018, American entered into agreements under which it borrowed $509 million in connection with the financing of certain aircraft. Debt incurred under these agreements matures in 2023 through 2029.</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u w:val="single" w:color="auto"/>
          <w:color w:val="auto"/>
        </w:rPr>
        <w:t>Other Financing Activities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2013 Credit Facilities</w:t>
      </w:r>
    </w:p>
    <w:p>
      <w:pPr>
        <w:spacing w:after="0" w:line="89" w:lineRule="exact"/>
        <w:rPr>
          <w:sz w:val="20"/>
          <w:szCs w:val="20"/>
          <w:color w:val="auto"/>
        </w:rPr>
      </w:pPr>
    </w:p>
    <w:p>
      <w:pPr>
        <w:jc w:val="both"/>
        <w:ind w:firstLine="199"/>
        <w:spacing w:after="0" w:line="244" w:lineRule="auto"/>
        <w:rPr>
          <w:sz w:val="20"/>
          <w:szCs w:val="20"/>
          <w:color w:val="auto"/>
        </w:rPr>
      </w:pPr>
      <w:r>
        <w:rPr>
          <w:rFonts w:ascii="Arial" w:cs="Arial" w:eastAsia="Arial" w:hAnsi="Arial"/>
          <w:sz w:val="16"/>
          <w:szCs w:val="16"/>
          <w:color w:val="auto"/>
        </w:rPr>
        <w:t>In May 2018, American and AAG entered into a Fourth Amendment (the Fourth Amendment) to the Amended and Restated Credit and Guaranty Agreement, amending the Amended and Restated Credit and Guaranty Agreement dated as of May 21, 2015, which amended and restated the Credit and Guaranty Agreement dated as of June 27, 2013 (as previously amended, the Credit Agreement, and the term loan and revolving credit facilities established thereunder, the 2013 Credit Facilities), pursuant to which American refinanced $1.8 billion of the existing term loans outstanding under the 2013 Credit Facilities with proceeds of term loans incurred under the Fourth Amendment (the Replacement Term Loans). The interest rate margin on the Replacement Term Loans was reduced from 2.00% to 1.75% for those loans with interest rates based on LIBOR and from 1.00% to 0.75% for those loans with interest rates based on an index. Additionally, the Fourth Amendment extended the maturity date of the Replacement Term Loans to June 2025.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40"/>
          </w:cols>
          <w:pgMar w:left="240" w:top="308" w:right="219" w:bottom="1440" w:gutter="0" w:footer="0" w:header="0"/>
        </w:sectPr>
      </w:pPr>
    </w:p>
    <w:bookmarkStart w:id="36" w:name="page37"/>
    <w:bookmarkEnd w:id="36"/>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5. Income Taxes</w:t>
      </w:r>
    </w:p>
    <w:p>
      <w:pPr>
        <w:spacing w:after="0" w:line="91" w:lineRule="exact"/>
        <w:rPr>
          <w:sz w:val="20"/>
          <w:szCs w:val="20"/>
          <w:color w:val="auto"/>
        </w:rPr>
      </w:pPr>
    </w:p>
    <w:p>
      <w:pPr>
        <w:jc w:val="both"/>
        <w:ind w:left="6" w:firstLine="187"/>
        <w:spacing w:after="0" w:line="288" w:lineRule="auto"/>
        <w:rPr>
          <w:sz w:val="20"/>
          <w:szCs w:val="20"/>
          <w:color w:val="auto"/>
        </w:rPr>
      </w:pPr>
      <w:r>
        <w:rPr>
          <w:rFonts w:ascii="Arial" w:cs="Arial" w:eastAsia="Arial" w:hAnsi="Arial"/>
          <w:sz w:val="14"/>
          <w:szCs w:val="14"/>
          <w:color w:val="auto"/>
        </w:rPr>
        <w:t>At December 31, 2017, American had approximately $10.6 billion of federal net operating losses (NOLs) carried over from prior taxable years (NOL Carryforwards) to reduce future federal taxable income, substantially all of which, American expects to be available for use in 2018. American is a member of AAG’s consolidated federal and certain state income tax returns. The amount of federal NOL Carryforwards available in those returns is $10.0 billion, substantially all of which is expected to be available for use in 2018. The federal NOL Carryforwards will expire beginning in 2022 if unused. American also had approximately $3.2 billion of NOL Carryforwards to reduce future state taxable income at December 31, 2017, which will expire in years 2018 through 2037 if unused.</w:t>
      </w:r>
    </w:p>
    <w:p>
      <w:pPr>
        <w:spacing w:after="0" w:line="110" w:lineRule="exact"/>
        <w:rPr>
          <w:sz w:val="20"/>
          <w:szCs w:val="20"/>
          <w:color w:val="auto"/>
        </w:rPr>
      </w:pPr>
    </w:p>
    <w:p>
      <w:pPr>
        <w:ind w:left="186"/>
        <w:spacing w:after="0"/>
        <w:rPr>
          <w:sz w:val="20"/>
          <w:szCs w:val="20"/>
          <w:color w:val="auto"/>
        </w:rPr>
      </w:pPr>
      <w:r>
        <w:rPr>
          <w:rFonts w:ascii="Arial" w:cs="Arial" w:eastAsia="Arial" w:hAnsi="Arial"/>
          <w:sz w:val="16"/>
          <w:szCs w:val="16"/>
          <w:color w:val="auto"/>
        </w:rPr>
        <w:t>At December 31, 2017, American had an AMT credit carryforward of approximately $452 million available for federal income tax purposes.</w:t>
      </w:r>
    </w:p>
    <w:p>
      <w:pPr>
        <w:spacing w:after="0" w:line="144" w:lineRule="exact"/>
        <w:rPr>
          <w:sz w:val="20"/>
          <w:szCs w:val="20"/>
          <w:color w:val="auto"/>
        </w:rPr>
      </w:pPr>
    </w:p>
    <w:p>
      <w:pPr>
        <w:jc w:val="both"/>
        <w:ind w:left="6" w:firstLine="187"/>
        <w:spacing w:after="0" w:line="245" w:lineRule="auto"/>
        <w:rPr>
          <w:sz w:val="20"/>
          <w:szCs w:val="20"/>
          <w:color w:val="auto"/>
        </w:rPr>
      </w:pPr>
      <w:r>
        <w:rPr>
          <w:rFonts w:ascii="Arial" w:cs="Arial" w:eastAsia="Arial" w:hAnsi="Arial"/>
          <w:sz w:val="16"/>
          <w:szCs w:val="16"/>
          <w:color w:val="auto"/>
        </w:rPr>
        <w:t>During the three and six months ended June 30, 2018, American recorded an income tax provision of $220 million and $334 million, respectively, which was substantially non-cash as American utilized the NOLs described above. For the three and six months ended June 30, 2018, this provision included an $18 million special income tax charge related to an international income tax matter. Additionally, for the six months ended June 30, 2018, American's income tax provision included a $30 million special income tax charge to establish a required valuation allowance related to American's estimated refund for AMT credits, which is now subject to a sequestration reduction rate of approximately 6.6%. Substantially all of American’s income before income taxes is attributable to the United States.</w:t>
      </w:r>
    </w:p>
    <w:p>
      <w:pPr>
        <w:spacing w:after="0" w:line="137" w:lineRule="exact"/>
        <w:rPr>
          <w:sz w:val="20"/>
          <w:szCs w:val="20"/>
          <w:color w:val="auto"/>
        </w:rPr>
      </w:pPr>
    </w:p>
    <w:p>
      <w:pPr>
        <w:jc w:val="both"/>
        <w:ind w:left="6" w:right="20" w:firstLine="187"/>
        <w:spacing w:after="0" w:line="245" w:lineRule="auto"/>
        <w:rPr>
          <w:sz w:val="20"/>
          <w:szCs w:val="20"/>
          <w:color w:val="auto"/>
        </w:rPr>
      </w:pPr>
      <w:r>
        <w:rPr>
          <w:rFonts w:ascii="Arial" w:cs="Arial" w:eastAsia="Arial" w:hAnsi="Arial"/>
          <w:sz w:val="16"/>
          <w:szCs w:val="16"/>
          <w:color w:val="auto"/>
        </w:rPr>
        <w:t>The 2017 Tax Act was enacted on December 22, 2017. The 2017 Tax Act is the most comprehensive tax change in more than 30 years. As of June 30, 2018, American has not completed its evaluation of the 2017 Tax Act; however, to the extent possible, American has made a reasonable estimate of its effects, including the impact of lower corporate income tax rates (21% vs. 35%) on its deferred tax assets and liabilities and the one-time transition tax on earnings of certain foreign subsidiaries that were previously tax deferred.</w:t>
      </w:r>
    </w:p>
    <w:p>
      <w:pPr>
        <w:spacing w:after="0" w:line="138" w:lineRule="exact"/>
        <w:rPr>
          <w:sz w:val="20"/>
          <w:szCs w:val="20"/>
          <w:color w:val="auto"/>
        </w:rPr>
      </w:pPr>
    </w:p>
    <w:p>
      <w:pPr>
        <w:jc w:val="both"/>
        <w:ind w:left="6" w:firstLine="187"/>
        <w:spacing w:after="0" w:line="292" w:lineRule="auto"/>
        <w:rPr>
          <w:sz w:val="20"/>
          <w:szCs w:val="20"/>
          <w:color w:val="auto"/>
        </w:rPr>
      </w:pPr>
      <w:r>
        <w:rPr>
          <w:rFonts w:ascii="Arial" w:cs="Arial" w:eastAsia="Arial" w:hAnsi="Arial"/>
          <w:sz w:val="14"/>
          <w:szCs w:val="14"/>
          <w:color w:val="auto"/>
        </w:rPr>
        <w:t>The 2017 Tax Act is unclear in many respects and could be subject to potential amendments and technical corrections, as well as interpretations and implementation regulations by the Treasury and Internal Revenue Service. In addition, it is unclear how these U.S. federal income tax changes will affect state and local taxation, which often uses federal taxable income as a starting point for computing state and local tax liabilities. Accordingly, American has not yet been able to make a reasonable estimate of the impact of certain items and continues to account for those items based on the tax laws in effect prior to the 2017 Tax Act.</w:t>
      </w:r>
    </w:p>
    <w:p>
      <w:pPr>
        <w:spacing w:after="0" w:line="106" w:lineRule="exact"/>
        <w:rPr>
          <w:sz w:val="20"/>
          <w:szCs w:val="20"/>
          <w:color w:val="auto"/>
        </w:rPr>
      </w:pPr>
    </w:p>
    <w:p>
      <w:pPr>
        <w:ind w:left="186"/>
        <w:spacing w:after="0"/>
        <w:rPr>
          <w:sz w:val="20"/>
          <w:szCs w:val="20"/>
          <w:color w:val="auto"/>
        </w:rPr>
      </w:pPr>
      <w:r>
        <w:rPr>
          <w:rFonts w:ascii="Arial" w:cs="Arial" w:eastAsia="Arial" w:hAnsi="Arial"/>
          <w:sz w:val="16"/>
          <w:szCs w:val="16"/>
          <w:color w:val="auto"/>
        </w:rPr>
        <w:t>As further interpretations, clarifications and amendments to the 2017 Tax Act are made, American's future financial statements could be materially impacted.</w:t>
      </w:r>
    </w:p>
    <w:p>
      <w:pPr>
        <w:spacing w:after="0" w:line="196" w:lineRule="exact"/>
        <w:rPr>
          <w:sz w:val="20"/>
          <w:szCs w:val="20"/>
          <w:color w:val="auto"/>
        </w:rPr>
      </w:pPr>
    </w:p>
    <w:p>
      <w:pPr>
        <w:ind w:left="166" w:hanging="166"/>
        <w:spacing w:after="0"/>
        <w:tabs>
          <w:tab w:leader="none" w:pos="16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73"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Assets Measured at Fair Value on a Recurring Basis</w:t>
      </w:r>
    </w:p>
    <w:p>
      <w:pPr>
        <w:spacing w:after="0" w:line="91" w:lineRule="exact"/>
        <w:rPr>
          <w:sz w:val="20"/>
          <w:szCs w:val="20"/>
          <w:color w:val="auto"/>
        </w:rPr>
      </w:pPr>
    </w:p>
    <w:p>
      <w:pPr>
        <w:jc w:val="both"/>
        <w:ind w:left="6" w:right="20" w:firstLine="187"/>
        <w:spacing w:after="0" w:line="246" w:lineRule="auto"/>
        <w:rPr>
          <w:sz w:val="20"/>
          <w:szCs w:val="20"/>
          <w:color w:val="auto"/>
        </w:rPr>
      </w:pPr>
      <w:r>
        <w:rPr>
          <w:rFonts w:ascii="Arial" w:cs="Arial" w:eastAsia="Arial" w:hAnsi="Arial"/>
          <w:sz w:val="16"/>
          <w:szCs w:val="16"/>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2018.</w:t>
      </w:r>
    </w:p>
    <w:p>
      <w:pPr>
        <w:spacing w:after="0" w:line="20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46"/>
          </w:cols>
          <w:pgMar w:left="234" w:top="308"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Assets measured at fair value on a recurring basis are summarized below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ind w:left="80"/>
              <w:spacing w:after="0"/>
              <w:rPr>
                <w:sz w:val="20"/>
                <w:szCs w:val="20"/>
                <w:color w:val="auto"/>
              </w:rPr>
            </w:pPr>
            <w:r>
              <w:rPr>
                <w:rFonts w:ascii="Arial" w:cs="Arial" w:eastAsia="Arial" w:hAnsi="Arial"/>
                <w:sz w:val="12"/>
                <w:szCs w:val="12"/>
                <w:b w:val="1"/>
                <w:bCs w:val="1"/>
                <w:color w:val="auto"/>
              </w:rPr>
              <w:t>Fair Value Measurements as of June 30, 2018</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6"/>
        </w:trPr>
        <w:tc>
          <w:tcPr>
            <w:tcW w:w="2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2</w:t>
            </w:r>
          </w:p>
        </w:tc>
        <w:tc>
          <w:tcPr>
            <w:tcW w:w="28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Level 3</w:t>
            </w:r>
          </w:p>
        </w:tc>
      </w:tr>
      <w:tr>
        <w:trPr>
          <w:trHeight w:val="231"/>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Short-term investments </w:t>
            </w:r>
            <w:r>
              <w:rPr>
                <w:rFonts w:ascii="Arial" w:cs="Arial" w:eastAsia="Arial" w:hAnsi="Arial"/>
                <w:sz w:val="18"/>
                <w:szCs w:val="18"/>
                <w:color w:val="auto"/>
                <w:vertAlign w:val="superscript"/>
              </w:rPr>
              <w:t>(1) (2)</w:t>
            </w: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r>
      <w:tr>
        <w:trPr>
          <w:trHeight w:val="228"/>
        </w:trPr>
        <w:tc>
          <w:tcPr>
            <w:tcW w:w="5600" w:type="dxa"/>
            <w:vAlign w:val="bottom"/>
            <w:gridSpan w:val="2"/>
          </w:tcPr>
          <w:p>
            <w:pPr>
              <w:ind w:left="1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300" w:type="dxa"/>
            <w:vAlign w:val="bottom"/>
          </w:tcPr>
          <w:p>
            <w:pPr>
              <w:jc w:val="right"/>
              <w:ind w:right="127"/>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4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28"/>
        </w:trPr>
        <w:tc>
          <w:tcPr>
            <w:tcW w:w="5600" w:type="dxa"/>
            <w:vAlign w:val="bottom"/>
            <w:gridSpan w:val="2"/>
          </w:tcPr>
          <w:p>
            <w:pPr>
              <w:ind w:left="140"/>
              <w:spacing w:after="0"/>
              <w:rPr>
                <w:sz w:val="20"/>
                <w:szCs w:val="20"/>
                <w:color w:val="auto"/>
              </w:rPr>
            </w:pPr>
            <w:r>
              <w:rPr>
                <w:rFonts w:ascii="Arial" w:cs="Arial" w:eastAsia="Arial" w:hAnsi="Arial"/>
                <w:sz w:val="16"/>
                <w:szCs w:val="16"/>
                <w:color w:val="auto"/>
              </w:rPr>
              <w:t>Bank notes/certificates of deposit/time deposits</w:t>
            </w:r>
          </w:p>
        </w:tc>
        <w:tc>
          <w:tcPr>
            <w:tcW w:w="340" w:type="dxa"/>
            <w:vAlign w:val="bottom"/>
          </w:tcPr>
          <w:p>
            <w:pPr>
              <w:spacing w:after="0"/>
              <w:rPr>
                <w:sz w:val="19"/>
                <w:szCs w:val="19"/>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2,802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2,802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Repurchase agreements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14"/>
        </w:trPr>
        <w:tc>
          <w:tcPr>
            <w:tcW w:w="2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4,370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4,353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w:t>
            </w:r>
          </w:p>
        </w:tc>
      </w:tr>
      <w:tr>
        <w:trPr>
          <w:trHeight w:val="24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Restricted cash and short-term investments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3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 xml:space="preserve">Long-term investments </w:t>
            </w:r>
            <w:r>
              <w:rPr>
                <w:rFonts w:ascii="Arial" w:cs="Arial" w:eastAsia="Arial" w:hAnsi="Arial"/>
                <w:sz w:val="18"/>
                <w:szCs w:val="18"/>
                <w:color w:val="auto"/>
                <w:vertAlign w:val="superscript"/>
              </w:rPr>
              <w:t>(3)</w:t>
            </w:r>
          </w:p>
        </w:tc>
        <w:tc>
          <w:tcPr>
            <w:tcW w:w="340" w:type="dxa"/>
            <w:vAlign w:val="bottom"/>
          </w:tcPr>
          <w:p>
            <w:pPr>
              <w:spacing w:after="0"/>
              <w:rPr>
                <w:sz w:val="20"/>
                <w:szCs w:val="20"/>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r>
      <w:tr>
        <w:trPr>
          <w:trHeight w:val="208"/>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4,769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r>
      <w:tr>
        <w:trPr>
          <w:trHeight w:val="20"/>
        </w:trPr>
        <w:tc>
          <w:tcPr>
            <w:tcW w:w="2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25" w:lineRule="exact"/>
        <w:rPr>
          <w:sz w:val="20"/>
          <w:szCs w:val="20"/>
          <w:color w:val="auto"/>
        </w:rPr>
      </w:pPr>
    </w:p>
    <w:p>
      <w:pPr>
        <w:ind w:left="420" w:hanging="286"/>
        <w:spacing w:after="0"/>
        <w:tabs>
          <w:tab w:leader="none" w:pos="420" w:val="left"/>
        </w:tabs>
        <w:numPr>
          <w:ilvl w:val="0"/>
          <w:numId w:val="27"/>
        </w:numPr>
        <w:rPr>
          <w:rFonts w:ascii="Arial" w:cs="Arial" w:eastAsia="Arial" w:hAnsi="Arial"/>
          <w:sz w:val="19"/>
          <w:szCs w:val="19"/>
          <w:color w:val="auto"/>
          <w:vertAlign w:val="superscript"/>
        </w:rPr>
      </w:pPr>
      <w:r>
        <w:rPr>
          <w:rFonts w:ascii="Arial" w:cs="Arial" w:eastAsia="Arial" w:hAnsi="Arial"/>
          <w:sz w:val="16"/>
          <w:szCs w:val="16"/>
          <w:color w:val="auto"/>
        </w:rPr>
        <w:t>Unrealized gains or losses on short-term investments are recorded in accumulated other comprehensive loss at each measurement date.</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27"/>
        </w:numPr>
        <w:rPr>
          <w:rFonts w:ascii="Arial" w:cs="Arial" w:eastAsia="Arial" w:hAnsi="Arial"/>
          <w:sz w:val="19"/>
          <w:szCs w:val="19"/>
          <w:color w:val="auto"/>
          <w:vertAlign w:val="superscript"/>
        </w:rPr>
      </w:pPr>
      <w:r>
        <w:rPr>
          <w:rFonts w:ascii="Arial" w:cs="Arial" w:eastAsia="Arial" w:hAnsi="Arial"/>
          <w:sz w:val="16"/>
          <w:szCs w:val="16"/>
          <w:color w:val="auto"/>
        </w:rPr>
        <w:t>All short-term investments are classified as available-for-sale and stated at fair value. American’s short-term investments mature in one year or less except for $475 million of bank notes/certificates of deposit/time deposits and $100 million of corporate obligations.</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27"/>
        </w:numPr>
        <w:rPr>
          <w:rFonts w:ascii="Arial" w:cs="Arial" w:eastAsia="Arial" w:hAnsi="Arial"/>
          <w:sz w:val="19"/>
          <w:szCs w:val="19"/>
          <w:color w:val="auto"/>
          <w:vertAlign w:val="superscript"/>
        </w:rPr>
      </w:pPr>
      <w:r>
        <w:rPr>
          <w:rFonts w:ascii="Arial" w:cs="Arial" w:eastAsia="Arial" w:hAnsi="Arial"/>
          <w:sz w:val="16"/>
          <w:szCs w:val="16"/>
          <w:color w:val="auto"/>
        </w:rPr>
        <w:t>Long-term investments primarily include American's investment in China Southern Airlines and are classified in other assets on its condensed consolidated balance sheets.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Fair Value of Debt</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carrying value and estimated fair value of American’s long-term debt, including current maturities, were as follows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June 30, 2018</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2017</w:t>
            </w:r>
          </w:p>
        </w:tc>
        <w:tc>
          <w:tcPr>
            <w:tcW w:w="940" w:type="dxa"/>
            <w:vAlign w:val="bottom"/>
            <w:tcBorders>
              <w:bottom w:val="single" w:sz="8" w:color="auto"/>
            </w:tcBorders>
          </w:tcPr>
          <w:p>
            <w:pPr>
              <w:spacing w:after="0"/>
              <w:rPr>
                <w:sz w:val="14"/>
                <w:szCs w:val="14"/>
                <w:color w:val="auto"/>
              </w:rPr>
            </w:pPr>
          </w:p>
        </w:tc>
      </w:tr>
      <w:tr>
        <w:trPr>
          <w:trHeight w:val="15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Carrying</w:t>
            </w:r>
          </w:p>
        </w:tc>
        <w:tc>
          <w:tcPr>
            <w:tcW w:w="520" w:type="dxa"/>
            <w:vAlign w:val="bottom"/>
          </w:tcPr>
          <w:p>
            <w:pPr>
              <w:spacing w:after="0"/>
              <w:rPr>
                <w:sz w:val="13"/>
                <w:szCs w:val="13"/>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Carrying</w:t>
            </w:r>
          </w:p>
        </w:tc>
        <w:tc>
          <w:tcPr>
            <w:tcW w:w="540" w:type="dxa"/>
            <w:vAlign w:val="bottom"/>
          </w:tcPr>
          <w:p>
            <w:pPr>
              <w:spacing w:after="0"/>
              <w:rPr>
                <w:sz w:val="13"/>
                <w:szCs w:val="13"/>
                <w:color w:val="auto"/>
              </w:rPr>
            </w:pPr>
          </w:p>
        </w:tc>
        <w:tc>
          <w:tcPr>
            <w:tcW w:w="940" w:type="dxa"/>
            <w:vAlign w:val="bottom"/>
          </w:tcPr>
          <w:p>
            <w:pPr>
              <w:jc w:val="center"/>
              <w:ind w:right="472"/>
              <w:spacing w:after="0"/>
              <w:rPr>
                <w:sz w:val="20"/>
                <w:szCs w:val="20"/>
                <w:color w:val="auto"/>
              </w:rPr>
            </w:pPr>
            <w:r>
              <w:rPr>
                <w:rFonts w:ascii="Arial" w:cs="Arial" w:eastAsia="Arial" w:hAnsi="Arial"/>
                <w:sz w:val="12"/>
                <w:szCs w:val="12"/>
                <w:b w:val="1"/>
                <w:bCs w:val="1"/>
                <w:color w:val="auto"/>
              </w:rPr>
              <w:t>Fair</w:t>
            </w:r>
          </w:p>
        </w:tc>
      </w:tr>
      <w:tr>
        <w:trPr>
          <w:trHeight w:val="168"/>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Value</w:t>
            </w:r>
          </w:p>
        </w:tc>
        <w:tc>
          <w:tcPr>
            <w:tcW w:w="52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9"/>
              </w:rPr>
              <w:t>Value</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Value</w:t>
            </w:r>
          </w:p>
        </w:tc>
        <w:tc>
          <w:tcPr>
            <w:tcW w:w="540" w:type="dxa"/>
            <w:vAlign w:val="bottom"/>
          </w:tcPr>
          <w:p>
            <w:pPr>
              <w:spacing w:after="0"/>
              <w:rPr>
                <w:sz w:val="14"/>
                <w:szCs w:val="14"/>
                <w:color w:val="auto"/>
              </w:rPr>
            </w:pPr>
          </w:p>
        </w:tc>
        <w:tc>
          <w:tcPr>
            <w:tcW w:w="940" w:type="dxa"/>
            <w:vAlign w:val="bottom"/>
          </w:tcPr>
          <w:p>
            <w:pPr>
              <w:jc w:val="center"/>
              <w:ind w:right="472"/>
              <w:spacing w:after="0"/>
              <w:rPr>
                <w:sz w:val="20"/>
                <w:szCs w:val="20"/>
                <w:color w:val="auto"/>
              </w:rPr>
            </w:pPr>
            <w:r>
              <w:rPr>
                <w:rFonts w:ascii="Arial" w:cs="Arial" w:eastAsia="Arial" w:hAnsi="Arial"/>
                <w:sz w:val="12"/>
                <w:szCs w:val="12"/>
                <w:b w:val="1"/>
                <w:bCs w:val="1"/>
                <w:color w:val="auto"/>
                <w:w w:val="99"/>
              </w:rPr>
              <w:t>Value</w:t>
            </w:r>
          </w:p>
        </w:tc>
      </w:tr>
      <w:tr>
        <w:trPr>
          <w:trHeight w:val="213"/>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6"/>
                <w:szCs w:val="16"/>
                <w:color w:val="auto"/>
              </w:rPr>
              <w:t>22,801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22,999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23,294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24,029</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8"/>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7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40" w:top="308" w:right="219" w:bottom="1440" w:gutter="0" w:footer="0" w:header="0"/>
        </w:sectPr>
      </w:pPr>
    </w:p>
    <w:bookmarkStart w:id="38" w:name="page39"/>
    <w:bookmarkEnd w:id="38"/>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166" w:hanging="166"/>
        <w:spacing w:after="0"/>
        <w:tabs>
          <w:tab w:leader="none" w:pos="16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provides the components of net periodic benefit cost (income) (in millions):</w:t>
      </w:r>
    </w:p>
    <w:p>
      <w:pPr>
        <w:spacing w:after="0" w:line="275"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2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gridSpan w:val="4"/>
          </w:tcPr>
          <w:p>
            <w:pPr>
              <w:jc w:val="center"/>
              <w:ind w:right="244"/>
              <w:spacing w:after="0"/>
              <w:rPr>
                <w:sz w:val="20"/>
                <w:szCs w:val="20"/>
                <w:color w:val="auto"/>
              </w:rPr>
            </w:pPr>
            <w:r>
              <w:rPr>
                <w:rFonts w:ascii="Arial" w:cs="Arial" w:eastAsia="Arial" w:hAnsi="Arial"/>
                <w:sz w:val="12"/>
                <w:szCs w:val="12"/>
                <w:b w:val="1"/>
                <w:bCs w:val="1"/>
                <w:color w:val="auto"/>
              </w:rPr>
              <w:t>Retiree Medical and Other</w:t>
            </w:r>
          </w:p>
        </w:tc>
      </w:tr>
      <w:tr>
        <w:trPr>
          <w:trHeight w:val="168"/>
        </w:trPr>
        <w:tc>
          <w:tcPr>
            <w:tcW w:w="2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Pension Benefits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right="224"/>
              <w:spacing w:after="0"/>
              <w:rPr>
                <w:sz w:val="20"/>
                <w:szCs w:val="20"/>
                <w:color w:val="auto"/>
              </w:rPr>
            </w:pPr>
            <w:r>
              <w:rPr>
                <w:rFonts w:ascii="Arial" w:cs="Arial" w:eastAsia="Arial" w:hAnsi="Arial"/>
                <w:sz w:val="12"/>
                <w:szCs w:val="12"/>
                <w:b w:val="1"/>
                <w:bCs w:val="1"/>
                <w:color w:val="auto"/>
              </w:rPr>
              <w:t>Postretirement Benefits</w:t>
            </w:r>
          </w:p>
        </w:tc>
      </w:tr>
      <w:tr>
        <w:trPr>
          <w:trHeight w:val="226"/>
        </w:trPr>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2017</w:t>
            </w:r>
          </w:p>
        </w:tc>
      </w:tr>
      <w:tr>
        <w:trPr>
          <w:trHeight w:val="21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w:t>
            </w:r>
          </w:p>
        </w:tc>
      </w:tr>
      <w:tr>
        <w:trPr>
          <w:trHeight w:val="228"/>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Interest cost</w:t>
            </w:r>
          </w:p>
        </w:tc>
        <w:tc>
          <w:tcPr>
            <w:tcW w:w="36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7"/>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10</w:t>
            </w:r>
          </w:p>
        </w:tc>
      </w:tr>
      <w:tr>
        <w:trPr>
          <w:trHeight w:val="24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Amortization of:</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
        </w:trPr>
        <w:tc>
          <w:tcPr>
            <w:tcW w:w="2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53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Prior service cost (benefit)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8"/>
        </w:trPr>
        <w:tc>
          <w:tcPr>
            <w:tcW w:w="53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Unrecognized net loss (gain)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periodic benefit cost (income)</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2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16"/>
        </w:trPr>
        <w:tc>
          <w:tcPr>
            <w:tcW w:w="2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244"/>
              <w:spacing w:after="0"/>
              <w:rPr>
                <w:sz w:val="20"/>
                <w:szCs w:val="20"/>
                <w:color w:val="auto"/>
              </w:rPr>
            </w:pPr>
            <w:r>
              <w:rPr>
                <w:rFonts w:ascii="Arial" w:cs="Arial" w:eastAsia="Arial" w:hAnsi="Arial"/>
                <w:sz w:val="12"/>
                <w:szCs w:val="12"/>
                <w:b w:val="1"/>
                <w:bCs w:val="1"/>
                <w:color w:val="auto"/>
              </w:rPr>
              <w:t>Retiree Medical and Other</w:t>
            </w:r>
          </w:p>
        </w:tc>
      </w:tr>
      <w:tr>
        <w:trPr>
          <w:trHeight w:val="168"/>
        </w:trPr>
        <w:tc>
          <w:tcPr>
            <w:tcW w:w="2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Pension Benefits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right="224"/>
              <w:spacing w:after="0"/>
              <w:rPr>
                <w:sz w:val="20"/>
                <w:szCs w:val="20"/>
                <w:color w:val="auto"/>
              </w:rPr>
            </w:pPr>
            <w:r>
              <w:rPr>
                <w:rFonts w:ascii="Arial" w:cs="Arial" w:eastAsia="Arial" w:hAnsi="Arial"/>
                <w:sz w:val="12"/>
                <w:szCs w:val="12"/>
                <w:b w:val="1"/>
                <w:bCs w:val="1"/>
                <w:color w:val="auto"/>
              </w:rPr>
              <w:t>Postretirement Benefits</w:t>
            </w:r>
          </w:p>
        </w:tc>
      </w:tr>
      <w:tr>
        <w:trPr>
          <w:trHeight w:val="226"/>
        </w:trPr>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Six Months Ended June 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2017</w:t>
            </w:r>
          </w:p>
        </w:tc>
      </w:tr>
      <w:tr>
        <w:trPr>
          <w:trHeight w:val="21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w:t>
            </w:r>
          </w:p>
        </w:tc>
      </w:tr>
      <w:tr>
        <w:trPr>
          <w:trHeight w:val="228"/>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Interest cost</w:t>
            </w:r>
          </w:p>
        </w:tc>
        <w:tc>
          <w:tcPr>
            <w:tcW w:w="36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7"/>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19</w:t>
            </w:r>
          </w:p>
        </w:tc>
      </w:tr>
      <w:tr>
        <w:trPr>
          <w:trHeight w:val="24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Amortization of:</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
        </w:trPr>
        <w:tc>
          <w:tcPr>
            <w:tcW w:w="2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4"/>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Prior service cost (benefit)</w:t>
            </w:r>
          </w:p>
        </w:tc>
        <w:tc>
          <w:tcPr>
            <w:tcW w:w="304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8"/>
        </w:trPr>
        <w:tc>
          <w:tcPr>
            <w:tcW w:w="53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Unrecognized net loss (gain)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5"/>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shd w:val="clear" w:color="auto" w:fill="CCEEFF"/>
              </w:rPr>
              <w:t>Net periodic benefit cost (income)</w:t>
            </w:r>
          </w:p>
        </w:tc>
        <w:tc>
          <w:tcPr>
            <w:tcW w:w="304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6"/>
        <w:spacing w:after="0"/>
        <w:rPr>
          <w:sz w:val="20"/>
          <w:szCs w:val="20"/>
          <w:color w:val="auto"/>
        </w:rPr>
      </w:pPr>
      <w:r>
        <w:rPr>
          <w:rFonts w:ascii="Arial" w:cs="Arial" w:eastAsia="Arial" w:hAnsi="Arial"/>
          <w:sz w:val="16"/>
          <w:szCs w:val="16"/>
          <w:color w:val="auto"/>
        </w:rPr>
        <w:t>Effective November 1, 2012, substantially all of American’s defined benefit pension plans were frozen.</w:t>
      </w:r>
    </w:p>
    <w:p>
      <w:pPr>
        <w:spacing w:after="0" w:line="144"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The components of net periodic benefit income other than the service cost component are included in nonoperating other income, net in the condensed consolidated statements of operations.</w:t>
      </w:r>
    </w:p>
    <w:p>
      <w:pPr>
        <w:spacing w:after="0" w:line="134"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During the first six months of 2018, American contributed $311 million to its defined benefit pension plans, including supplemental contributions of $272 million in addition to a $39 million minimum required contribution.</w:t>
      </w:r>
    </w:p>
    <w:p>
      <w:pPr>
        <w:spacing w:after="0" w:line="187" w:lineRule="exact"/>
        <w:rPr>
          <w:sz w:val="20"/>
          <w:szCs w:val="20"/>
          <w:color w:val="auto"/>
        </w:rPr>
      </w:pPr>
    </w:p>
    <w:p>
      <w:pPr>
        <w:ind w:left="166" w:hanging="166"/>
        <w:spacing w:after="0"/>
        <w:tabs>
          <w:tab w:leader="none" w:pos="16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Accumulated Other Comprehensive Loss</w:t>
      </w:r>
    </w:p>
    <w:p>
      <w:pPr>
        <w:spacing w:after="0" w:line="91"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color w:val="auto"/>
        </w:rPr>
        <w:t>The components of accumulated other comprehensive loss (AOCI) are as follows (in millions):</w:t>
      </w:r>
    </w:p>
    <w:p>
      <w:pPr>
        <w:spacing w:after="0" w:line="275"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Pension, Retiree</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Medical and</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9"/>
              <w:spacing w:after="0"/>
              <w:rPr>
                <w:sz w:val="20"/>
                <w:szCs w:val="20"/>
                <w:color w:val="auto"/>
              </w:rPr>
            </w:pPr>
            <w:r>
              <w:rPr>
                <w:rFonts w:ascii="Arial" w:cs="Arial" w:eastAsia="Arial" w:hAnsi="Arial"/>
                <w:sz w:val="12"/>
                <w:szCs w:val="12"/>
                <w:b w:val="1"/>
                <w:bCs w:val="1"/>
                <w:color w:val="auto"/>
              </w:rPr>
              <w:t>Income Tax</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Postretirement</w:t>
            </w:r>
          </w:p>
        </w:tc>
        <w:tc>
          <w:tcPr>
            <w:tcW w:w="140" w:type="dxa"/>
            <w:vAlign w:val="bottom"/>
          </w:tcPr>
          <w:p>
            <w:pPr>
              <w:spacing w:after="0"/>
              <w:rPr>
                <w:sz w:val="12"/>
                <w:szCs w:val="12"/>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Unrealized Loss on</w:t>
            </w:r>
          </w:p>
        </w:tc>
        <w:tc>
          <w:tcPr>
            <w:tcW w:w="240" w:type="dxa"/>
            <w:vAlign w:val="bottom"/>
          </w:tcPr>
          <w:p>
            <w:pPr>
              <w:spacing w:after="0"/>
              <w:rPr>
                <w:sz w:val="12"/>
                <w:szCs w:val="12"/>
                <w:color w:val="auto"/>
              </w:rPr>
            </w:pPr>
          </w:p>
        </w:tc>
        <w:tc>
          <w:tcPr>
            <w:tcW w:w="1240" w:type="dxa"/>
            <w:vAlign w:val="bottom"/>
          </w:tcPr>
          <w:p>
            <w:pPr>
              <w:jc w:val="center"/>
              <w:ind w:right="149"/>
              <w:spacing w:after="0"/>
              <w:rPr>
                <w:sz w:val="20"/>
                <w:szCs w:val="20"/>
                <w:color w:val="auto"/>
              </w:rPr>
            </w:pPr>
            <w:r>
              <w:rPr>
                <w:rFonts w:ascii="Arial" w:cs="Arial" w:eastAsia="Arial" w:hAnsi="Arial"/>
                <w:sz w:val="12"/>
                <w:szCs w:val="12"/>
                <w:b w:val="1"/>
                <w:bCs w:val="1"/>
                <w:color w:val="auto"/>
              </w:rPr>
              <w:t>Benefit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9"/>
              <w:spacing w:after="0"/>
              <w:rPr>
                <w:sz w:val="20"/>
                <w:szCs w:val="20"/>
                <w:color w:val="auto"/>
              </w:rPr>
            </w:pPr>
            <w:r>
              <w:rPr>
                <w:rFonts w:ascii="Arial" w:cs="Arial" w:eastAsia="Arial" w:hAnsi="Arial"/>
                <w:sz w:val="12"/>
                <w:szCs w:val="12"/>
                <w:b w:val="1"/>
                <w:bCs w:val="1"/>
                <w:color w:val="auto"/>
                <w:w w:val="99"/>
              </w:rPr>
              <w:t xml:space="preserve">(Provision) </w:t>
            </w:r>
            <w:r>
              <w:rPr>
                <w:rFonts w:ascii="Arial" w:cs="Arial" w:eastAsia="Arial" w:hAnsi="Arial"/>
                <w:sz w:val="15"/>
                <w:szCs w:val="15"/>
                <w:b w:val="1"/>
                <w:bCs w:val="1"/>
                <w:color w:val="auto"/>
                <w:w w:val="99"/>
                <w:vertAlign w:val="superscript"/>
              </w:rPr>
              <w:t>(1)</w:t>
            </w: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Total</w:t>
            </w:r>
          </w:p>
        </w:tc>
      </w:tr>
      <w:tr>
        <w:trPr>
          <w:trHeight w:val="214"/>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w:t>
            </w:r>
          </w:p>
        </w:tc>
      </w:tr>
      <w:tr>
        <w:trPr>
          <w:trHeight w:val="228"/>
        </w:trPr>
        <w:tc>
          <w:tcPr>
            <w:tcW w:w="4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tcPr>
          <w:p>
            <w:pPr>
              <w:jc w:val="right"/>
              <w:ind w:right="132"/>
              <w:spacing w:after="0"/>
              <w:rPr>
                <w:sz w:val="20"/>
                <w:szCs w:val="20"/>
                <w:color w:val="auto"/>
              </w:rPr>
            </w:pPr>
            <w:r>
              <w:rPr>
                <w:rFonts w:ascii="Arial" w:cs="Arial" w:eastAsia="Arial" w:hAnsi="Arial"/>
                <w:sz w:val="9"/>
                <w:szCs w:val="9"/>
                <w:color w:val="auto"/>
              </w:rPr>
              <w:t>(2)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20"/>
        </w:trPr>
        <w:tc>
          <w:tcPr>
            <w:tcW w:w="49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Net current-period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8"/>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Balance at June 30, 2018</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(732)</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(5,284)</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57" w:lineRule="exact"/>
        <w:rPr>
          <w:sz w:val="20"/>
          <w:szCs w:val="20"/>
          <w:color w:val="auto"/>
        </w:rPr>
      </w:pPr>
    </w:p>
    <w:p>
      <w:pPr>
        <w:ind w:left="426" w:right="20" w:hanging="286"/>
        <w:spacing w:after="0" w:line="223" w:lineRule="auto"/>
        <w:tabs>
          <w:tab w:leader="none" w:pos="426" w:val="left"/>
        </w:tabs>
        <w:numPr>
          <w:ilvl w:val="0"/>
          <w:numId w:val="30"/>
        </w:numPr>
        <w:rPr>
          <w:rFonts w:ascii="Arial" w:cs="Arial" w:eastAsia="Arial" w:hAnsi="Arial"/>
          <w:sz w:val="19"/>
          <w:szCs w:val="19"/>
          <w:color w:val="auto"/>
          <w:vertAlign w:val="superscript"/>
        </w:rPr>
      </w:pPr>
      <w:r>
        <w:rPr>
          <w:rFonts w:ascii="Arial" w:cs="Arial" w:eastAsia="Arial" w:hAnsi="Arial"/>
          <w:sz w:val="16"/>
          <w:szCs w:val="16"/>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19"/>
          <w:szCs w:val="19"/>
          <w:color w:val="auto"/>
          <w:vertAlign w:val="superscript"/>
        </w:rPr>
      </w:pPr>
    </w:p>
    <w:p>
      <w:pPr>
        <w:ind w:left="426" w:hanging="286"/>
        <w:spacing w:after="0" w:line="223" w:lineRule="auto"/>
        <w:tabs>
          <w:tab w:leader="none" w:pos="426" w:val="left"/>
        </w:tabs>
        <w:numPr>
          <w:ilvl w:val="0"/>
          <w:numId w:val="30"/>
        </w:numPr>
        <w:rPr>
          <w:rFonts w:ascii="Arial" w:cs="Arial" w:eastAsia="Arial" w:hAnsi="Arial"/>
          <w:sz w:val="19"/>
          <w:szCs w:val="19"/>
          <w:color w:val="auto"/>
          <w:vertAlign w:val="superscript"/>
        </w:rPr>
      </w:pPr>
      <w:r>
        <w:rPr>
          <w:rFonts w:ascii="Arial" w:cs="Arial" w:eastAsia="Arial" w:hAnsi="Arial"/>
          <w:sz w:val="16"/>
          <w:szCs w:val="16"/>
          <w:color w:val="auto"/>
        </w:rPr>
        <w:t>Relates to pension, retiree medical and other postretirement benefits obligations and is recognized within the income tax provision on the condensed consolidated statement of operations.</w:t>
      </w:r>
    </w:p>
    <w:p>
      <w:pPr>
        <w:spacing w:after="0" w:line="21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6"/>
          </w:cols>
          <w:pgMar w:left="234" w:top="308" w:right="2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4"/>
          <w:szCs w:val="14"/>
          <w:b w:val="1"/>
          <w:bCs w:val="1"/>
          <w:color w:val="auto"/>
        </w:rPr>
        <w:t>NOTES TO CONDENSED CONSOLIDATED FINANCIAL STATEMENTS OF AMERICAN AIRLINES, INC.</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Reclassifications out of AOCI are as follows (in millions):</w:t>
      </w:r>
    </w:p>
    <w:p>
      <w:pPr>
        <w:spacing w:after="0" w:line="200" w:lineRule="exact"/>
        <w:rPr>
          <w:sz w:val="20"/>
          <w:szCs w:val="20"/>
          <w:color w:val="auto"/>
        </w:rPr>
      </w:pPr>
    </w:p>
    <w:p>
      <w:pPr>
        <w:spacing w:after="0" w:line="285"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22860</wp:posOffset>
            </wp:positionV>
            <wp:extent cx="23996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99665" cy="762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AOCI Components</w:t>
      </w:r>
    </w:p>
    <w:p>
      <w:pPr>
        <w:spacing w:after="0" w:line="70" w:lineRule="exact"/>
        <w:rPr>
          <w:sz w:val="20"/>
          <w:szCs w:val="20"/>
          <w:color w:val="auto"/>
        </w:rPr>
      </w:pPr>
    </w:p>
    <w:p>
      <w:pPr>
        <w:ind w:left="20" w:right="280"/>
        <w:spacing w:after="0" w:line="236" w:lineRule="auto"/>
        <w:rPr>
          <w:sz w:val="20"/>
          <w:szCs w:val="20"/>
          <w:color w:val="auto"/>
        </w:rPr>
      </w:pPr>
      <w:r>
        <w:rPr>
          <w:rFonts w:ascii="Arial" w:cs="Arial" w:eastAsia="Arial" w:hAnsi="Arial"/>
          <w:sz w:val="16"/>
          <w:szCs w:val="16"/>
          <w:color w:val="auto"/>
        </w:rPr>
        <w:t>Amortization of pension, retiree medical and other postretirement benefits: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Prior service benefit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Actuarial loss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reclassifications for the period, net of tax</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Regional Expenses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1980" w:type="dxa"/>
            <w:vAlign w:val="bottom"/>
            <w:gridSpan w:val="5"/>
          </w:tcPr>
          <w:p>
            <w:pPr>
              <w:spacing w:after="0"/>
              <w:rPr>
                <w:sz w:val="20"/>
                <w:szCs w:val="20"/>
                <w:color w:val="auto"/>
              </w:rPr>
            </w:pPr>
            <w:r>
              <w:rPr>
                <w:rFonts w:ascii="Arial" w:cs="Arial" w:eastAsia="Arial" w:hAnsi="Arial"/>
                <w:sz w:val="12"/>
                <w:szCs w:val="12"/>
                <w:b w:val="1"/>
                <w:bCs w:val="1"/>
                <w:color w:val="auto"/>
              </w:rPr>
              <w:t>Three Months Ended June 30,</w:t>
            </w:r>
          </w:p>
        </w:tc>
        <w:tc>
          <w:tcPr>
            <w:tcW w:w="1680" w:type="dxa"/>
            <w:vAlign w:val="bottom"/>
            <w:gridSpan w:val="5"/>
          </w:tcPr>
          <w:p>
            <w:pPr>
              <w:ind w:left="40"/>
              <w:spacing w:after="0"/>
              <w:rPr>
                <w:sz w:val="20"/>
                <w:szCs w:val="20"/>
                <w:color w:val="auto"/>
              </w:rPr>
            </w:pPr>
            <w:r>
              <w:rPr>
                <w:rFonts w:ascii="Arial" w:cs="Arial" w:eastAsia="Arial" w:hAnsi="Arial"/>
                <w:sz w:val="12"/>
                <w:szCs w:val="12"/>
                <w:b w:val="1"/>
                <w:bCs w:val="1"/>
                <w:color w:val="auto"/>
              </w:rPr>
              <w:t>Six Months Ended June 30,</w:t>
            </w:r>
          </w:p>
        </w:tc>
        <w:tc>
          <w:tcPr>
            <w:tcW w:w="100" w:type="dxa"/>
            <w:vAlign w:val="bottom"/>
          </w:tcPr>
          <w:p>
            <w:pPr>
              <w:spacing w:after="0"/>
              <w:rPr>
                <w:sz w:val="14"/>
                <w:szCs w:val="14"/>
                <w:color w:val="auto"/>
              </w:rPr>
            </w:pPr>
          </w:p>
        </w:tc>
        <w:tc>
          <w:tcPr>
            <w:tcW w:w="3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Affected line items on the condensed consolidated</w:t>
            </w:r>
          </w:p>
        </w:tc>
        <w:tc>
          <w:tcPr>
            <w:tcW w:w="0" w:type="dxa"/>
            <w:vAlign w:val="bottom"/>
          </w:tcPr>
          <w:p>
            <w:pPr>
              <w:spacing w:after="0"/>
              <w:rPr>
                <w:sz w:val="1"/>
                <w:szCs w:val="1"/>
                <w:color w:val="auto"/>
              </w:rPr>
            </w:pPr>
          </w:p>
        </w:tc>
      </w:tr>
      <w:tr>
        <w:trPr>
          <w:trHeight w:val="60"/>
        </w:trPr>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3100" w:type="dxa"/>
            <w:vAlign w:val="bottom"/>
            <w:tcBorders>
              <w:bottom w:val="single" w:sz="8" w:color="auto"/>
            </w:tcBorders>
          </w:tcPr>
          <w:p>
            <w:pPr>
              <w:jc w:val="right"/>
              <w:ind w:right="732"/>
              <w:spacing w:after="0"/>
              <w:rPr>
                <w:sz w:val="20"/>
                <w:szCs w:val="20"/>
                <w:color w:val="auto"/>
              </w:rPr>
            </w:pPr>
            <w:r>
              <w:rPr>
                <w:rFonts w:ascii="Arial" w:cs="Arial" w:eastAsia="Arial" w:hAnsi="Arial"/>
                <w:sz w:val="12"/>
                <w:szCs w:val="12"/>
                <w:b w:val="1"/>
                <w:bCs w:val="1"/>
                <w:color w:val="auto"/>
              </w:rPr>
              <w:t>statements of operations</w:t>
            </w:r>
          </w:p>
        </w:tc>
        <w:tc>
          <w:tcPr>
            <w:tcW w:w="0" w:type="dxa"/>
            <w:vAlign w:val="bottom"/>
          </w:tcPr>
          <w:p>
            <w:pPr>
              <w:spacing w:after="0"/>
              <w:rPr>
                <w:sz w:val="1"/>
                <w:szCs w:val="1"/>
                <w:color w:val="auto"/>
              </w:rPr>
            </w:pPr>
          </w:p>
        </w:tc>
      </w:tr>
      <w:tr>
        <w:trPr>
          <w:trHeight w:val="616"/>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3100" w:type="dxa"/>
            <w:vAlign w:val="bottom"/>
          </w:tcPr>
          <w:p>
            <w:pPr>
              <w:jc w:val="right"/>
              <w:ind w:right="72"/>
              <w:spacing w:after="0"/>
              <w:rPr>
                <w:sz w:val="20"/>
                <w:szCs w:val="20"/>
                <w:color w:val="auto"/>
              </w:rPr>
            </w:pPr>
            <w:r>
              <w:rPr>
                <w:rFonts w:ascii="Arial" w:cs="Arial" w:eastAsia="Arial" w:hAnsi="Arial"/>
                <w:sz w:val="16"/>
                <w:szCs w:val="16"/>
                <w:color w:val="auto"/>
                <w:w w:val="98"/>
              </w:rPr>
              <w:t>Nonoperating other income (expense), net</w:t>
            </w: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6"/>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6"/>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3"/>
          </w:tcPr>
          <w:p>
            <w:pPr>
              <w:jc w:val="right"/>
              <w:ind w:right="72"/>
              <w:spacing w:after="0"/>
              <w:rPr>
                <w:sz w:val="20"/>
                <w:szCs w:val="20"/>
                <w:color w:val="auto"/>
              </w:rPr>
            </w:pPr>
            <w:r>
              <w:rPr>
                <w:rFonts w:ascii="Arial" w:cs="Arial" w:eastAsia="Arial" w:hAnsi="Arial"/>
                <w:sz w:val="16"/>
                <w:szCs w:val="16"/>
                <w:color w:val="auto"/>
              </w:rPr>
              <w:t>38   Nonoperating other income (expense), net</w:t>
            </w:r>
          </w:p>
        </w:tc>
        <w:tc>
          <w:tcPr>
            <w:tcW w:w="0" w:type="dxa"/>
            <w:vAlign w:val="bottom"/>
          </w:tcPr>
          <w:p>
            <w:pPr>
              <w:spacing w:after="0"/>
              <w:rPr>
                <w:sz w:val="1"/>
                <w:szCs w:val="1"/>
                <w:color w:val="auto"/>
              </w:rPr>
            </w:pPr>
          </w:p>
        </w:tc>
      </w:tr>
      <w:tr>
        <w:trPr>
          <w:trHeight w:val="214"/>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-318770</wp:posOffset>
            </wp:positionV>
            <wp:extent cx="7265035" cy="148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-727075</wp:posOffset>
            </wp:positionV>
            <wp:extent cx="7265035" cy="259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035" cy="25971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3740" w:space="720"/>
            <w:col w:w="6980"/>
          </w:cols>
          <w:pgMar w:left="240" w:top="308" w:right="219" w:bottom="1440" w:gutter="0" w:footer="0" w:header="0"/>
          <w:type w:val="continuous"/>
        </w:sectPr>
      </w:pPr>
    </w:p>
    <w:p>
      <w:pPr>
        <w:ind w:right="20" w:firstLine="187"/>
        <w:spacing w:after="0" w:line="248" w:lineRule="auto"/>
        <w:rPr>
          <w:sz w:val="20"/>
          <w:szCs w:val="20"/>
          <w:color w:val="auto"/>
        </w:rPr>
      </w:pPr>
      <w:r>
        <w:rPr>
          <w:rFonts w:ascii="Arial" w:cs="Arial" w:eastAsia="Arial" w:hAnsi="Arial"/>
          <w:sz w:val="16"/>
          <w:szCs w:val="16"/>
          <w:color w:val="auto"/>
        </w:rPr>
        <w:t>Expenses associated with American Eagle operations are classified as regional expenses on the condensed consolidated statements of operations. Regional expenses consist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Borders>
              <w:bottom w:val="single" w:sz="8" w:color="auto"/>
            </w:tcBorders>
            <w:gridSpan w:val="8"/>
          </w:tcPr>
          <w:p>
            <w:pPr>
              <w:jc w:val="right"/>
              <w:ind w:right="523"/>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226"/>
        </w:trPr>
        <w:tc>
          <w:tcPr>
            <w:tcW w:w="21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Salaries, wages and benefits</w:t>
            </w:r>
          </w:p>
        </w:tc>
        <w:tc>
          <w:tcPr>
            <w:tcW w:w="102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4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Capacity purchases from third-party regional carriers</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1,622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Maintenance, materials and repairs</w:t>
            </w:r>
          </w:p>
        </w:tc>
        <w:tc>
          <w:tcPr>
            <w:tcW w:w="102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rent and landing fees</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Aircraft rent</w:t>
            </w:r>
          </w:p>
        </w:tc>
        <w:tc>
          <w:tcPr>
            <w:tcW w:w="102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expenses</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Special items, net</w:t>
            </w:r>
          </w:p>
        </w:tc>
        <w:tc>
          <w:tcPr>
            <w:tcW w:w="10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4"/>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regional expenses</w:t>
            </w: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3,465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10. Transactions with Related Parties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1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gridSpan w:val="3"/>
          </w:tcPr>
          <w:p>
            <w:pPr>
              <w:ind w:left="180"/>
              <w:spacing w:after="0"/>
              <w:rPr>
                <w:sz w:val="20"/>
                <w:szCs w:val="20"/>
                <w:color w:val="auto"/>
              </w:rPr>
            </w:pPr>
            <w:r>
              <w:rPr>
                <w:rFonts w:ascii="Arial" w:cs="Arial" w:eastAsia="Arial" w:hAnsi="Arial"/>
                <w:sz w:val="16"/>
                <w:szCs w:val="16"/>
                <w:color w:val="auto"/>
                <w:w w:val="98"/>
              </w:rPr>
              <w:t>The following represents the net receivables (payables) to related parties (in millions):</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212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2"/>
                <w:szCs w:val="12"/>
                <w:b w:val="1"/>
                <w:bCs w:val="1"/>
                <w:color w:val="auto"/>
              </w:rPr>
              <w:t>June 30,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25"/>
                <w:szCs w:val="25"/>
                <w:color w:val="auto"/>
                <w:vertAlign w:val="subscript"/>
              </w:rPr>
              <w:t>AAG</w:t>
            </w:r>
            <w:r>
              <w:rPr>
                <w:rFonts w:ascii="Arial" w:cs="Arial" w:eastAsia="Arial" w:hAnsi="Arial"/>
                <w:sz w:val="8"/>
                <w:szCs w:val="8"/>
                <w:color w:val="auto"/>
              </w:rPr>
              <w:t xml:space="preserve"> (1)</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12,529</w:t>
            </w:r>
          </w:p>
        </w:tc>
        <w:tc>
          <w:tcPr>
            <w:tcW w:w="4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10,968</w:t>
            </w:r>
          </w:p>
        </w:tc>
        <w:tc>
          <w:tcPr>
            <w:tcW w:w="0" w:type="dxa"/>
            <w:vAlign w:val="bottom"/>
          </w:tcPr>
          <w:p>
            <w:pPr>
              <w:spacing w:after="0"/>
              <w:rPr>
                <w:sz w:val="1"/>
                <w:szCs w:val="1"/>
                <w:color w:val="auto"/>
              </w:rPr>
            </w:pPr>
          </w:p>
        </w:tc>
      </w:tr>
      <w:tr>
        <w:trPr>
          <w:trHeight w:val="234"/>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AAG’s wholly-owned subsidiaries </w:t>
            </w:r>
            <w:r>
              <w:rPr>
                <w:rFonts w:ascii="Arial" w:cs="Arial" w:eastAsia="Arial" w:hAnsi="Arial"/>
                <w:sz w:val="18"/>
                <w:szCs w:val="18"/>
                <w:color w:val="auto"/>
                <w:vertAlign w:val="superscript"/>
              </w:rPr>
              <w:t>(2)</w:t>
            </w:r>
          </w:p>
        </w:tc>
        <w:tc>
          <w:tcPr>
            <w:tcW w:w="10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w:t>
            </w:r>
          </w:p>
        </w:tc>
        <w:tc>
          <w:tcPr>
            <w:tcW w:w="4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8,822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420" w:right="20" w:hanging="286"/>
        <w:spacing w:after="0" w:line="223" w:lineRule="auto"/>
        <w:tabs>
          <w:tab w:leader="none" w:pos="420" w:val="left"/>
        </w:tabs>
        <w:numPr>
          <w:ilvl w:val="0"/>
          <w:numId w:val="31"/>
        </w:numPr>
        <w:rPr>
          <w:rFonts w:ascii="Arial" w:cs="Arial" w:eastAsia="Arial" w:hAnsi="Arial"/>
          <w:sz w:val="19"/>
          <w:szCs w:val="19"/>
          <w:color w:val="auto"/>
          <w:vertAlign w:val="superscript"/>
        </w:rPr>
      </w:pPr>
      <w:r>
        <w:rPr>
          <w:rFonts w:ascii="Arial" w:cs="Arial" w:eastAsia="Arial" w:hAnsi="Arial"/>
          <w:sz w:val="16"/>
          <w:szCs w:val="16"/>
          <w:color w:val="auto"/>
        </w:rPr>
        <w:t>The increase in American’s net related party receivable from AAG is primarily due to American providing the cash funding for AAG’s dividend and share repurchase programs as well as the repayment of AAG's 6.125% senior notes.</w:t>
      </w:r>
    </w:p>
    <w:p>
      <w:pPr>
        <w:spacing w:after="0" w:line="140" w:lineRule="exact"/>
        <w:rPr>
          <w:rFonts w:ascii="Arial" w:cs="Arial" w:eastAsia="Arial" w:hAnsi="Arial"/>
          <w:sz w:val="19"/>
          <w:szCs w:val="19"/>
          <w:color w:val="auto"/>
          <w:vertAlign w:val="superscript"/>
        </w:rPr>
      </w:pPr>
    </w:p>
    <w:p>
      <w:pPr>
        <w:ind w:left="420" w:hanging="286"/>
        <w:spacing w:after="0" w:line="223" w:lineRule="auto"/>
        <w:tabs>
          <w:tab w:leader="none" w:pos="420" w:val="left"/>
        </w:tabs>
        <w:numPr>
          <w:ilvl w:val="0"/>
          <w:numId w:val="31"/>
        </w:numPr>
        <w:rPr>
          <w:rFonts w:ascii="Arial" w:cs="Arial" w:eastAsia="Arial" w:hAnsi="Arial"/>
          <w:sz w:val="19"/>
          <w:szCs w:val="19"/>
          <w:color w:val="auto"/>
          <w:vertAlign w:val="superscript"/>
        </w:rPr>
      </w:pPr>
      <w:r>
        <w:rPr>
          <w:rFonts w:ascii="Arial" w:cs="Arial" w:eastAsia="Arial" w:hAnsi="Arial"/>
          <w:sz w:val="16"/>
          <w:szCs w:val="16"/>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308" w:right="21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Legal Proceedings</w:t>
      </w:r>
    </w:p>
    <w:p>
      <w:pPr>
        <w:spacing w:after="0" w:line="75" w:lineRule="exact"/>
        <w:rPr>
          <w:sz w:val="20"/>
          <w:szCs w:val="20"/>
          <w:color w:val="auto"/>
        </w:rPr>
      </w:pPr>
    </w:p>
    <w:p>
      <w:pPr>
        <w:jc w:val="both"/>
        <w:ind w:firstLine="187"/>
        <w:spacing w:after="0" w:line="299" w:lineRule="auto"/>
        <w:rPr>
          <w:sz w:val="20"/>
          <w:szCs w:val="20"/>
          <w:color w:val="auto"/>
        </w:rPr>
      </w:pPr>
      <w:r>
        <w:rPr>
          <w:rFonts w:ascii="Arial" w:cs="Arial" w:eastAsia="Arial" w:hAnsi="Arial"/>
          <w:sz w:val="14"/>
          <w:szCs w:val="14"/>
          <w:i w:val="1"/>
          <w:iCs w:val="1"/>
          <w:color w:val="auto"/>
        </w:rPr>
        <w:t>Chapter 11 Cases</w:t>
      </w:r>
      <w:r>
        <w:rPr>
          <w:rFonts w:ascii="Arial" w:cs="Arial" w:eastAsia="Arial" w:hAnsi="Arial"/>
          <w:sz w:val="14"/>
          <w:szCs w:val="14"/>
          <w:color w:val="auto"/>
        </w:rPr>
        <w:t>. On November 29, 2011, AMR, American, and certain of AMR’s other direct and indirect domestic subsidiaries (the Debtors) filed voluntary</w:t>
      </w:r>
      <w:r>
        <w:rPr>
          <w:rFonts w:ascii="Arial" w:cs="Arial" w:eastAsia="Arial" w:hAnsi="Arial"/>
          <w:sz w:val="14"/>
          <w:szCs w:val="14"/>
          <w:i w:val="1"/>
          <w:iCs w:val="1"/>
          <w:color w:val="auto"/>
        </w:rPr>
        <w:t xml:space="preserve"> </w:t>
      </w:r>
      <w:r>
        <w:rPr>
          <w:rFonts w:ascii="Arial" w:cs="Arial" w:eastAsia="Arial" w:hAnsi="Arial"/>
          <w:sz w:val="14"/>
          <w:szCs w:val="14"/>
          <w:color w:val="auto"/>
        </w:rPr>
        <w:t>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03"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4"/>
          <w:szCs w:val="14"/>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2018, there were approximately 24.5 million shares of AAG common stock remaining in the Disputed Claims Reserve. As disputed claims are resolved, the claimants will receive distributions of shares from the Disputed Claims Reserve.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12"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As of June 30, 2018, American has determined not to pursue this claim and have a motion pending in the Bankruptcy Court to this effect.</w:t>
      </w:r>
    </w:p>
    <w:p>
      <w:pPr>
        <w:spacing w:after="0" w:line="120" w:lineRule="exact"/>
        <w:rPr>
          <w:sz w:val="20"/>
          <w:szCs w:val="20"/>
          <w:color w:val="auto"/>
        </w:rPr>
      </w:pPr>
    </w:p>
    <w:p>
      <w:pPr>
        <w:jc w:val="both"/>
        <w:ind w:firstLine="187"/>
        <w:spacing w:after="0" w:line="256" w:lineRule="auto"/>
        <w:rPr>
          <w:sz w:val="20"/>
          <w:szCs w:val="20"/>
          <w:color w:val="auto"/>
        </w:rPr>
      </w:pPr>
      <w:r>
        <w:rPr>
          <w:rFonts w:ascii="Arial" w:cs="Arial" w:eastAsia="Arial" w:hAnsi="Arial"/>
          <w:sz w:val="16"/>
          <w:szCs w:val="16"/>
          <w:i w:val="1"/>
          <w:iCs w:val="1"/>
          <w:color w:val="auto"/>
        </w:rPr>
        <w:t>DOJ Antitrust Civil Investigative Demand</w:t>
      </w:r>
      <w:r>
        <w:rPr>
          <w:rFonts w:ascii="Arial" w:cs="Arial" w:eastAsia="Arial" w:hAnsi="Arial"/>
          <w:sz w:val="16"/>
          <w:szCs w:val="16"/>
          <w:color w:val="auto"/>
        </w:rPr>
        <w:t>. In June 2015, American received a Civil Investigative Demand (CID) from the United States Department of Justice (DOJ)</w:t>
      </w:r>
      <w:r>
        <w:rPr>
          <w:rFonts w:ascii="Arial" w:cs="Arial" w:eastAsia="Arial" w:hAnsi="Arial"/>
          <w:sz w:val="16"/>
          <w:szCs w:val="16"/>
          <w:i w:val="1"/>
          <w:iCs w:val="1"/>
          <w:color w:val="auto"/>
        </w:rPr>
        <w:t xml:space="preserve"> </w:t>
      </w:r>
      <w:r>
        <w:rPr>
          <w:rFonts w:ascii="Arial" w:cs="Arial" w:eastAsia="Arial" w:hAnsi="Arial"/>
          <w:sz w:val="16"/>
          <w:szCs w:val="16"/>
          <w:color w:val="auto"/>
        </w:rPr>
        <w:t>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w:t>
      </w:r>
    </w:p>
    <w:p>
      <w:pPr>
        <w:spacing w:after="0" w:line="113" w:lineRule="exact"/>
        <w:rPr>
          <w:sz w:val="20"/>
          <w:szCs w:val="20"/>
          <w:color w:val="auto"/>
        </w:rPr>
      </w:pPr>
    </w:p>
    <w:p>
      <w:pPr>
        <w:jc w:val="both"/>
        <w:ind w:firstLine="187"/>
        <w:spacing w:after="0" w:line="249" w:lineRule="auto"/>
        <w:rPr>
          <w:sz w:val="20"/>
          <w:szCs w:val="20"/>
          <w:color w:val="auto"/>
        </w:rPr>
      </w:pPr>
      <w:r>
        <w:rPr>
          <w:rFonts w:ascii="Arial" w:cs="Arial" w:eastAsia="Arial" w:hAnsi="Arial"/>
          <w:sz w:val="16"/>
          <w:szCs w:val="16"/>
          <w:i w:val="1"/>
          <w:iCs w:val="1"/>
          <w:color w:val="auto"/>
        </w:rPr>
        <w:t xml:space="preserve">Private Party Antitrust Action. </w:t>
      </w:r>
      <w:r>
        <w:rPr>
          <w:rFonts w:ascii="Arial" w:cs="Arial" w:eastAsia="Arial" w:hAnsi="Arial"/>
          <w:sz w:val="16"/>
          <w:szCs w:val="16"/>
          <w:color w:val="auto"/>
        </w:rPr>
        <w:t>Subsequent to announcement of the delivery of CIDs by the DOJ, American, along with Delta Air Lines, Inc., Southwest Airlines Co.,</w:t>
      </w:r>
      <w:r>
        <w:rPr>
          <w:rFonts w:ascii="Arial" w:cs="Arial" w:eastAsia="Arial" w:hAnsi="Arial"/>
          <w:sz w:val="16"/>
          <w:szCs w:val="16"/>
          <w:i w:val="1"/>
          <w:iCs w:val="1"/>
          <w:color w:val="auto"/>
        </w:rPr>
        <w:t xml:space="preserve"> </w:t>
      </w:r>
      <w:r>
        <w:rPr>
          <w:rFonts w:ascii="Arial" w:cs="Arial" w:eastAsia="Arial" w:hAnsi="Arial"/>
          <w:sz w:val="16"/>
          <w:szCs w:val="16"/>
          <w:color w:val="auto"/>
        </w:rPr>
        <w:t>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American reached a preliminary settlement agreement with the plaintiffs in the amount of $45 million that, once approved, will resolve all claims in the U.S. lawsuits. That settlement received preliminary approval from the Court on June 18, 2018. American expects the Court to issue final approval of the settlement later this year.</w:t>
      </w:r>
    </w:p>
    <w:p>
      <w:pPr>
        <w:spacing w:after="0" w:line="118" w:lineRule="exact"/>
        <w:rPr>
          <w:sz w:val="20"/>
          <w:szCs w:val="20"/>
          <w:color w:val="auto"/>
        </w:rPr>
      </w:pPr>
    </w:p>
    <w:p>
      <w:pPr>
        <w:jc w:val="both"/>
        <w:ind w:firstLine="187"/>
        <w:spacing w:after="0" w:line="249" w:lineRule="auto"/>
        <w:rPr>
          <w:sz w:val="20"/>
          <w:szCs w:val="20"/>
          <w:color w:val="auto"/>
        </w:rPr>
      </w:pPr>
      <w:r>
        <w:rPr>
          <w:rFonts w:ascii="Arial" w:cs="Arial" w:eastAsia="Arial" w:hAnsi="Arial"/>
          <w:sz w:val="16"/>
          <w:szCs w:val="16"/>
          <w:i w:val="1"/>
          <w:iCs w:val="1"/>
          <w:color w:val="auto"/>
        </w:rPr>
        <w:t>Private Party Antitrust Action Related to the Merger</w:t>
      </w:r>
      <w:r>
        <w:rPr>
          <w:rFonts w:ascii="Arial" w:cs="Arial" w:eastAsia="Arial" w:hAnsi="Arial"/>
          <w:sz w:val="16"/>
          <w:szCs w:val="16"/>
          <w:color w:val="auto"/>
        </w:rPr>
        <w:t>. On August 6, 2013, a lawsuit captioned Carolyn Fjord, et al., v. AMR Corporation, et al., was filed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March 26, 2018, the Court held a hearing on motions for summary judgment filed by defendants and plaintiffs. The Court has not yet issued an order. American believes this lawsuit is without merit and intends to vigorously defend against the allegations.</w:t>
      </w:r>
    </w:p>
    <w:p>
      <w:pPr>
        <w:spacing w:after="0" w:line="118" w:lineRule="exact"/>
        <w:rPr>
          <w:sz w:val="20"/>
          <w:szCs w:val="20"/>
          <w:color w:val="auto"/>
        </w:rPr>
      </w:pPr>
    </w:p>
    <w:p>
      <w:pPr>
        <w:jc w:val="both"/>
        <w:ind w:firstLine="187"/>
        <w:spacing w:after="0" w:line="250" w:lineRule="auto"/>
        <w:rPr>
          <w:sz w:val="20"/>
          <w:szCs w:val="20"/>
          <w:color w:val="auto"/>
        </w:rPr>
      </w:pPr>
      <w:r>
        <w:rPr>
          <w:rFonts w:ascii="Arial" w:cs="Arial" w:eastAsia="Arial" w:hAnsi="Arial"/>
          <w:sz w:val="16"/>
          <w:szCs w:val="16"/>
          <w:i w:val="1"/>
          <w:iCs w:val="1"/>
          <w:color w:val="auto"/>
        </w:rPr>
        <w:t>DOJ Investigation Related to the United States Postal Service</w:t>
      </w:r>
      <w:r>
        <w:rPr>
          <w:rFonts w:ascii="Arial" w:cs="Arial" w:eastAsia="Arial" w:hAnsi="Arial"/>
          <w:sz w:val="16"/>
          <w:szCs w:val="16"/>
          <w:color w:val="auto"/>
        </w:rPr>
        <w:t>. In April 2015, the DOJ informed American of an inquiry regarding American’s 2009 and 2011</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18" w:lineRule="exact"/>
        <w:rPr>
          <w:sz w:val="20"/>
          <w:szCs w:val="20"/>
          <w:color w:val="auto"/>
        </w:rPr>
      </w:pPr>
    </w:p>
    <w:p>
      <w:pPr>
        <w:jc w:val="both"/>
        <w:ind w:firstLine="187"/>
        <w:spacing w:after="0" w:line="250"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addition to the specifically identified legal proceedings, American and its subsidiaries are also engaged in other legal proceedings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6"/>
          <w:szCs w:val="16"/>
          <w:i w:val="1"/>
          <w:iCs w:val="1"/>
          <w:color w:val="auto"/>
        </w:rPr>
        <w:t>We may be a party to litigation in the normal course of business or otherwise, which could affect our financial position and liquidity</w:t>
      </w:r>
      <w:r>
        <w:rPr>
          <w:rFonts w:ascii="Arial" w:cs="Arial" w:eastAsia="Arial" w:hAnsi="Arial"/>
          <w:sz w:val="16"/>
          <w:szCs w:val="16"/>
          <w:color w:val="auto"/>
        </w:rPr>
        <w:t>” for additional discussion.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0"/>
          </w:cols>
          <w:pgMar w:left="240" w:top="308" w:right="219" w:bottom="1440" w:gutter="0" w:footer="0" w:header="0"/>
        </w:sectPr>
      </w:pPr>
    </w:p>
    <w:bookmarkStart w:id="41" w:name="page42"/>
    <w:bookmarkEnd w:id="41"/>
    <w:p>
      <w:pPr>
        <w:jc w:val="center"/>
        <w:ind w:right="-5"/>
        <w:spacing w:after="0"/>
        <w:rPr>
          <w:sz w:val="20"/>
          <w:szCs w:val="20"/>
          <w:color w:val="auto"/>
        </w:rPr>
      </w:pPr>
      <w:r>
        <w:rPr>
          <w:rFonts w:ascii="Arial" w:cs="Arial" w:eastAsia="Arial" w:hAnsi="Arial"/>
          <w:sz w:val="16"/>
          <w:szCs w:val="16"/>
          <w:b w:val="1"/>
          <w:bCs w:val="1"/>
          <w:color w:val="auto"/>
        </w:rPr>
        <w:t>NOTES TO CONDENSED CONSOLIDATED FINANCIAL STATEMENTS OF AMERICAN AIRLINES, INC.</w:t>
      </w:r>
    </w:p>
    <w:p>
      <w:pPr>
        <w:spacing w:after="0" w:line="2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ind w:left="206" w:right="9800" w:hanging="206"/>
        <w:spacing w:after="0" w:line="397" w:lineRule="auto"/>
        <w:tabs>
          <w:tab w:leader="none" w:pos="268"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Subsequent Event </w:t>
      </w:r>
      <w:r>
        <w:rPr>
          <w:rFonts w:ascii="Arial" w:cs="Arial" w:eastAsia="Arial" w:hAnsi="Arial"/>
          <w:sz w:val="14"/>
          <w:szCs w:val="14"/>
          <w:i w:val="1"/>
          <w:iCs w:val="1"/>
          <w:color w:val="auto"/>
        </w:rPr>
        <w:t>Equipment Loans</w:t>
      </w:r>
    </w:p>
    <w:p>
      <w:pPr>
        <w:ind w:left="6" w:firstLine="199"/>
        <w:spacing w:after="0" w:line="248" w:lineRule="auto"/>
        <w:rPr>
          <w:sz w:val="20"/>
          <w:szCs w:val="20"/>
          <w:color w:val="auto"/>
        </w:rPr>
      </w:pPr>
      <w:r>
        <w:rPr>
          <w:rFonts w:ascii="Arial" w:cs="Arial" w:eastAsia="Arial" w:hAnsi="Arial"/>
          <w:sz w:val="16"/>
          <w:szCs w:val="16"/>
          <w:color w:val="auto"/>
        </w:rPr>
        <w:t>In July 2018, American entered into agreements under which it borrowed $312 million in connection with the financing of certain aircraft. Debt incurred under these agreements matures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6"/>
          </w:cols>
          <w:pgMar w:left="234" w:top="308"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Part I, Item 2 of this report should be read in conjunction with Part II, Item 7 of AAG’s and American’s Annual Report on Form 10-K for the year ended December 31, 2017 (the 2017 Form 10-K). The information contained herein is not a comprehensive discussion and analysis of the financial condition and results of operations of AAG and American, but rather updates disclosures made in the 2017 Form 10-K.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91" w:lineRule="exact"/>
        <w:rPr>
          <w:sz w:val="20"/>
          <w:szCs w:val="20"/>
          <w:color w:val="auto"/>
        </w:rPr>
      </w:pPr>
    </w:p>
    <w:p>
      <w:pPr>
        <w:jc w:val="both"/>
        <w:ind w:right="20" w:firstLine="211"/>
        <w:spacing w:after="0" w:line="246" w:lineRule="auto"/>
        <w:rPr>
          <w:sz w:val="20"/>
          <w:szCs w:val="20"/>
          <w:color w:val="auto"/>
        </w:rPr>
      </w:pPr>
      <w:r>
        <w:rPr>
          <w:rFonts w:ascii="Arial" w:cs="Arial" w:eastAsia="Arial" w:hAnsi="Arial"/>
          <w:sz w:val="16"/>
          <w:szCs w:val="16"/>
          <w:color w:val="auto"/>
        </w:rPr>
        <w:t>Together with our wholly-owned regional airline subsidiaries and third-party regional carriers operating as American Eagle, we operate an average of nearly 6,700 flights per day to nearly 350 destinations in more than 50 countries. We have hubs in Charlotte, Chicago, Dallas/Fort Worth, Los Angeles, Miami, New York, Philadelphia, Phoenix and Washington, D.C. In the second quarter of 2018, approximately 53 million passengers boarded our flights.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The U.S. Airline Industry</w:t>
      </w:r>
    </w:p>
    <w:p>
      <w:pPr>
        <w:spacing w:after="0" w:line="89"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While the second quarter of 2018 marked another profitable quarter for the U.S. airline industry, higher fuel costs significantly impacted industry results. The price of Brent crude oil per barrel, which jet fuel prices tend to follow, was on average approximately 50% higher in the second quarter of 2018 as compared to the 2017 period. The average daily spot price for Brent crude oil during the second quarter of 2018 was $75 per barrel as compared to an average daily spot price of $50 per barrel during the second quarter of 2017. On a daily basis, Brent crude oil prices fluctuated during the second quarter between a high of $80 per barrel to a low of $67 per barrel, and closed on June 30, 2018 at $79 per barrel. Brent crude oil prices were higher in the 2018 period due principally to reductions of global inventories driven by strong demand and continued production restraint. With respect to revenue, the legacy U.S. airlines reported positive unit revenue growth. In international markets, particularly in the Atlantic market, unit revenue growth outpaced the growth of domestic markets.</w:t>
      </w:r>
    </w:p>
    <w:p>
      <w:pPr>
        <w:spacing w:after="0" w:line="125" w:lineRule="exact"/>
        <w:rPr>
          <w:sz w:val="20"/>
          <w:szCs w:val="20"/>
          <w:color w:val="auto"/>
        </w:rPr>
      </w:pPr>
    </w:p>
    <w:p>
      <w:pPr>
        <w:jc w:val="both"/>
        <w:ind w:right="20" w:firstLine="187"/>
        <w:spacing w:after="0" w:line="299" w:lineRule="auto"/>
        <w:rPr>
          <w:sz w:val="20"/>
          <w:szCs w:val="20"/>
          <w:color w:val="auto"/>
        </w:rPr>
      </w:pPr>
      <w:r>
        <w:rPr>
          <w:rFonts w:ascii="Arial" w:cs="Arial" w:eastAsia="Arial" w:hAnsi="Arial"/>
          <w:sz w:val="14"/>
          <w:szCs w:val="14"/>
          <w:color w:val="auto"/>
        </w:rPr>
        <w:t>See Part II, Item 1A. Risk Factors –</w:t>
      </w:r>
      <w:r>
        <w:rPr>
          <w:rFonts w:ascii="Arial" w:cs="Arial" w:eastAsia="Arial" w:hAnsi="Arial"/>
          <w:sz w:val="14"/>
          <w:szCs w:val="14"/>
          <w:i w:val="1"/>
          <w:iCs w:val="1"/>
          <w:color w:val="auto"/>
        </w:rPr>
        <w:t>“Downturns in economic conditions could adversely affect our business,” “Our business is very dependent on the price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availability of aircraft fuel. Continued periods of high volatility in fuel costs, increased fuel prices or significant disruptions in the supply of aircraft fuel could have a significant negative impact on our operating results and liquidity” </w:t>
      </w:r>
      <w:r>
        <w:rPr>
          <w:rFonts w:ascii="Arial" w:cs="Arial" w:eastAsia="Arial" w:hAnsi="Arial"/>
          <w:sz w:val="14"/>
          <w:szCs w:val="14"/>
          <w:color w:val="auto"/>
        </w:rPr>
        <w:t>and</w:t>
      </w:r>
      <w:r>
        <w:rPr>
          <w:rFonts w:ascii="Arial" w:cs="Arial" w:eastAsia="Arial" w:hAnsi="Arial"/>
          <w:sz w:val="14"/>
          <w:szCs w:val="14"/>
          <w:i w:val="1"/>
          <w:iCs w:val="1"/>
          <w:color w:val="auto"/>
        </w:rPr>
        <w:t xml:space="preserve"> "Our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40"/>
          </w:cols>
          <w:pgMar w:left="240" w:top="518"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u w:val="single" w:color="auto"/>
          <w:color w:val="auto"/>
        </w:rPr>
        <w:t>AAG’s Second Quarter 2018 Results</w:t>
      </w:r>
    </w:p>
    <w:p>
      <w:pPr>
        <w:spacing w:after="0" w:line="89" w:lineRule="exact"/>
        <w:rPr>
          <w:sz w:val="20"/>
          <w:szCs w:val="20"/>
          <w:color w:val="auto"/>
        </w:rPr>
      </w:pPr>
    </w:p>
    <w:p>
      <w:pPr>
        <w:ind w:firstLine="187"/>
        <w:spacing w:after="0" w:line="248" w:lineRule="auto"/>
        <w:rPr>
          <w:sz w:val="20"/>
          <w:szCs w:val="20"/>
          <w:color w:val="auto"/>
        </w:rPr>
      </w:pPr>
      <w:r>
        <w:rPr>
          <w:rFonts w:ascii="Arial" w:cs="Arial" w:eastAsia="Arial" w:hAnsi="Arial"/>
          <w:sz w:val="16"/>
          <w:szCs w:val="16"/>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720" w:type="dxa"/>
            <w:vAlign w:val="bottom"/>
            <w:gridSpan w:val="4"/>
          </w:tcPr>
          <w:p>
            <w:pPr>
              <w:jc w:val="right"/>
              <w:ind w:right="88"/>
              <w:spacing w:after="0"/>
              <w:rPr>
                <w:sz w:val="20"/>
                <w:szCs w:val="20"/>
                <w:color w:val="auto"/>
              </w:rPr>
            </w:pPr>
            <w:r>
              <w:rPr>
                <w:rFonts w:ascii="Arial" w:cs="Arial" w:eastAsia="Arial" w:hAnsi="Arial"/>
                <w:sz w:val="12"/>
                <w:szCs w:val="12"/>
                <w:b w:val="1"/>
                <w:bCs w:val="1"/>
                <w:color w:val="auto"/>
              </w:rPr>
              <w:t>Three Months Ended June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center"/>
              <w:ind w:left="25"/>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restart"/>
          </w:tcPr>
          <w:p>
            <w:pPr>
              <w:jc w:val="right"/>
              <w:ind w:right="284"/>
              <w:spacing w:after="0" w:line="119" w:lineRule="exact"/>
              <w:rPr>
                <w:sz w:val="20"/>
                <w:szCs w:val="20"/>
                <w:color w:val="auto"/>
              </w:rPr>
            </w:pPr>
            <w:r>
              <w:rPr>
                <w:rFonts w:ascii="Arial" w:cs="Arial" w:eastAsia="Arial" w:hAnsi="Arial"/>
                <w:sz w:val="12"/>
                <w:szCs w:val="12"/>
                <w:b w:val="1"/>
                <w:bCs w:val="1"/>
                <w:color w:val="auto"/>
              </w:rPr>
              <w:t>Increase</w:t>
            </w:r>
          </w:p>
        </w:tc>
        <w:tc>
          <w:tcPr>
            <w:tcW w:w="1360" w:type="dxa"/>
            <w:vAlign w:val="bottom"/>
            <w:vMerge w:val="restart"/>
          </w:tcPr>
          <w:p>
            <w:pPr>
              <w:jc w:val="center"/>
              <w:ind w:left="25"/>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4"/>
              <w:spacing w:after="0"/>
              <w:rPr>
                <w:sz w:val="20"/>
                <w:szCs w:val="20"/>
                <w:color w:val="auto"/>
              </w:rPr>
            </w:pPr>
            <w:r>
              <w:rPr>
                <w:rFonts w:ascii="Arial" w:cs="Arial" w:eastAsia="Arial" w:hAnsi="Arial"/>
                <w:sz w:val="12"/>
                <w:szCs w:val="12"/>
                <w:b w:val="1"/>
                <w:bCs w:val="1"/>
                <w:color w:val="auto"/>
              </w:rPr>
              <w:t>(Decrease)</w:t>
            </w:r>
          </w:p>
        </w:tc>
        <w:tc>
          <w:tcPr>
            <w:tcW w:w="1360" w:type="dxa"/>
            <w:vAlign w:val="bottom"/>
            <w:tcBorders>
              <w:bottom w:val="single" w:sz="8" w:color="auto"/>
            </w:tcBorders>
          </w:tcPr>
          <w:p>
            <w:pPr>
              <w:jc w:val="center"/>
              <w:ind w:left="45"/>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jc w:val="right"/>
              <w:ind w:right="384"/>
              <w:spacing w:after="0"/>
              <w:rPr>
                <w:sz w:val="20"/>
                <w:szCs w:val="20"/>
                <w:color w:val="auto"/>
              </w:rPr>
            </w:pPr>
            <w:r>
              <w:rPr>
                <w:rFonts w:ascii="Arial" w:cs="Arial" w:eastAsia="Arial" w:hAnsi="Arial"/>
                <w:sz w:val="12"/>
                <w:szCs w:val="12"/>
                <w:b w:val="1"/>
                <w:bCs w:val="1"/>
                <w:color w:val="auto"/>
              </w:rPr>
              <w:t>(In millions, except percentage changes)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10,674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321</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Cargo revenue</w:t>
            </w: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42</w:t>
            </w:r>
          </w:p>
        </w:tc>
        <w:tc>
          <w:tcPr>
            <w:tcW w:w="1360" w:type="dxa"/>
            <w:vAlign w:val="bottom"/>
          </w:tcPr>
          <w:p>
            <w:pPr>
              <w:jc w:val="right"/>
              <w:ind w:right="45"/>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Total operating revenues</w:t>
            </w: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11,643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11,227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416</w:t>
            </w:r>
          </w:p>
        </w:tc>
        <w:tc>
          <w:tcPr>
            <w:tcW w:w="1360" w:type="dxa"/>
            <w:vAlign w:val="bottom"/>
          </w:tcPr>
          <w:p>
            <w:pPr>
              <w:jc w:val="right"/>
              <w:ind w:right="45"/>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Mainline and regional aircraft fuel and related taxes</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2,568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729</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56</w:t>
            </w:r>
          </w:p>
        </w:tc>
        <w:tc>
          <w:tcPr>
            <w:tcW w:w="1360" w:type="dxa"/>
            <w:vAlign w:val="bottom"/>
          </w:tcPr>
          <w:p>
            <w:pPr>
              <w:jc w:val="right"/>
              <w:ind w:right="4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10,615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987</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w:t>
            </w:r>
          </w:p>
        </w:tc>
        <w:tc>
          <w:tcPr>
            <w:tcW w:w="136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w:t>
            </w:r>
          </w:p>
        </w:tc>
        <w:tc>
          <w:tcPr>
            <w:tcW w:w="136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Adjusted for: Total pre-tax net special items </w:t>
            </w:r>
            <w:r>
              <w:rPr>
                <w:rFonts w:ascii="Arial" w:cs="Arial" w:eastAsia="Arial" w:hAnsi="Arial"/>
                <w:sz w:val="18"/>
                <w:szCs w:val="18"/>
                <w:color w:val="auto"/>
                <w:vertAlign w:val="superscript"/>
              </w:rPr>
              <w:t>(1)</w:t>
            </w: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27</w:t>
            </w:r>
          </w:p>
        </w:tc>
        <w:tc>
          <w:tcPr>
            <w:tcW w:w="1360" w:type="dxa"/>
            <w:vAlign w:val="bottom"/>
            <w:tcBorders>
              <w:bottom w:val="single" w:sz="8" w:color="CCEEFF"/>
            </w:tcBorders>
          </w:tcPr>
          <w:p>
            <w:pPr>
              <w:jc w:val="right"/>
              <w:ind w:right="45"/>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income excluding special items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-2383790</wp:posOffset>
            </wp:positionV>
            <wp:extent cx="666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-2383790</wp:posOffset>
            </wp:positionV>
            <wp:extent cx="742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-2383790</wp:posOffset>
            </wp:positionV>
            <wp:extent cx="6667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134429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67" w:lineRule="exact"/>
        <w:rPr>
          <w:sz w:val="20"/>
          <w:szCs w:val="20"/>
          <w:color w:val="auto"/>
        </w:rPr>
      </w:pPr>
    </w:p>
    <w:p>
      <w:pPr>
        <w:ind w:left="420" w:right="20" w:hanging="286"/>
        <w:spacing w:after="0" w:line="232" w:lineRule="auto"/>
        <w:tabs>
          <w:tab w:leader="none" w:pos="420" w:val="left"/>
        </w:tabs>
        <w:numPr>
          <w:ilvl w:val="0"/>
          <w:numId w:val="33"/>
        </w:numPr>
        <w:rPr>
          <w:rFonts w:ascii="Arial" w:cs="Arial" w:eastAsia="Arial" w:hAnsi="Arial"/>
          <w:sz w:val="19"/>
          <w:szCs w:val="19"/>
          <w:color w:val="auto"/>
          <w:vertAlign w:val="superscript"/>
        </w:rPr>
      </w:pPr>
      <w:r>
        <w:rPr>
          <w:rFonts w:ascii="Arial" w:cs="Arial" w:eastAsia="Arial" w:hAnsi="Arial"/>
          <w:sz w:val="16"/>
          <w:szCs w:val="16"/>
          <w:color w:val="auto"/>
        </w:rPr>
        <w:t xml:space="preserve">See below </w:t>
      </w:r>
      <w:r>
        <w:rPr>
          <w:rFonts w:ascii="Arial" w:cs="Arial" w:eastAsia="Arial" w:hAnsi="Arial"/>
          <w:sz w:val="16"/>
          <w:szCs w:val="16"/>
          <w:i w:val="1"/>
          <w:iCs w:val="1"/>
          <w:color w:val="auto"/>
        </w:rPr>
        <w:t>“Reconciliation of GAAP to Non-GAAP Financial Measures”</w:t>
      </w:r>
      <w:r>
        <w:rPr>
          <w:rFonts w:ascii="Arial" w:cs="Arial" w:eastAsia="Arial" w:hAnsi="Arial"/>
          <w:sz w:val="16"/>
          <w:szCs w:val="16"/>
          <w:color w:val="auto"/>
        </w:rPr>
        <w:t xml:space="preserve"> and Note 2 to AAG’s Condensed Consolidated Financial Statements in Part I, Item 1A for details on the components of special items.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Pre-Tax Income and Net Income</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Pre-tax income and net income were $769 million and $566 million in the second quarter of 2018, respectively. This compares to second quarter 2017 pre-tax income and net income of $1.4 billion and $864 million, respectively. Excluding the effects of pre-tax net special items, we recognized pre-tax income of $1.0 billion in the second quarter of 2018 as compared to $1.6 billion in the second quarter of 2017. The quarter-over-quarter declines in our pre-tax income on both a GAAP basis and excluding pre-tax net special items were principally driven by a 37.5% increase in the average price per gallon of fuel. This increase was offset in part by higher revenues.</w:t>
      </w:r>
    </w:p>
    <w:p>
      <w:pPr>
        <w:spacing w:after="0" w:line="137"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Additionally, on June 14, 2018, PSA Airlines, Inc. one of our wholly-owned regional carriers, experienced a technology system issue that impacted its operations and resulted in the cancellation of approximately 3,000 flights over the week that followed. We estimate that this event negatively impacted our pre-tax income by approximately $35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1" w:lineRule="exact"/>
        <w:rPr>
          <w:sz w:val="20"/>
          <w:szCs w:val="20"/>
          <w:color w:val="auto"/>
        </w:rPr>
      </w:pPr>
    </w:p>
    <w:p>
      <w:pPr>
        <w:jc w:val="both"/>
        <w:ind w:firstLine="187"/>
        <w:spacing w:after="0" w:line="292" w:lineRule="auto"/>
        <w:rPr>
          <w:sz w:val="20"/>
          <w:szCs w:val="20"/>
          <w:color w:val="auto"/>
        </w:rPr>
      </w:pPr>
      <w:r>
        <w:rPr>
          <w:rFonts w:ascii="Arial" w:cs="Arial" w:eastAsia="Arial" w:hAnsi="Arial"/>
          <w:sz w:val="14"/>
          <w:szCs w:val="14"/>
          <w:color w:val="auto"/>
        </w:rPr>
        <w:t>In the second quarter of 2018, we reported total operating revenues of $11.6 billion, an increase of $416 million, or 3.7%, as compared to the 2017 period. Passenger revenue was $10.7 billion in the second quarter of 2018, an increase of $321 million, or 3.1%, as compared to the 2017 period. The increase in passenger revenue in the second quarter of 2018 was due to a 2.0% increase in revenue passenger miles (RPMs) and a 1.0% increase in yields driven by continued strong demand. International yields increased 6.1%, led by improved yields in the Atlantic market, which more than offset a 0.9% decrease in domestic yields.</w:t>
      </w:r>
    </w:p>
    <w:p>
      <w:pPr>
        <w:spacing w:after="0" w:line="106"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Additionally, cargo revenue increased $42 million, or 19.4%, primarily due to increases in freight volume and domestic and international freight yields. Other revenue, driven by higher loyalty revenue, increased $53 million, or 8.1%, as compared to the second quarter of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40"/>
          </w:cols>
          <w:pgMar w:left="240" w:top="731" w:right="219" w:bottom="1440" w:gutter="0" w:footer="0" w:header="0"/>
        </w:sectPr>
      </w:pPr>
    </w:p>
    <w:bookmarkStart w:id="44" w:name="page45"/>
    <w:bookmarkEnd w:id="44"/>
    <w:p>
      <w:pPr>
        <w:jc w:val="both"/>
        <w:ind w:firstLine="187"/>
        <w:spacing w:after="0" w:line="248" w:lineRule="auto"/>
        <w:rPr>
          <w:sz w:val="20"/>
          <w:szCs w:val="20"/>
          <w:color w:val="auto"/>
        </w:rPr>
      </w:pPr>
      <w:r>
        <w:rPr>
          <w:rFonts w:ascii="Arial" w:cs="Arial" w:eastAsia="Arial" w:hAnsi="Arial"/>
          <w:sz w:val="16"/>
          <w:szCs w:val="16"/>
          <w:color w:val="auto"/>
        </w:rPr>
        <w:t>Our total revenue per available seat mile (TRASM) was 15.97 cents in the second quarter of 2018, a 2.1% increase as compared to 15.65 cents in the second quarter of 2017. This marks our seventh consecutive quarter of positive TRASM growth.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Fuel</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Our mainline and regional fuel expense totaled $2.6 billion in the second quarter of 2018, which was $729 million, or 39.6%, higher as compared to the 2017 period. This increase was driven by a 37.5% increase in the average price per gallon of fuel to $2.24 in the second quarter of 2018 from $1.63 in the 2017 period.</w:t>
      </w:r>
    </w:p>
    <w:p>
      <w:pPr>
        <w:spacing w:after="0" w:line="134"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As of June 30,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Costs</w:t>
      </w:r>
    </w:p>
    <w:p>
      <w:pPr>
        <w:spacing w:after="0" w:line="91" w:lineRule="exact"/>
        <w:rPr>
          <w:sz w:val="20"/>
          <w:szCs w:val="20"/>
          <w:color w:val="auto"/>
        </w:rPr>
      </w:pPr>
    </w:p>
    <w:p>
      <w:pPr>
        <w:jc w:val="both"/>
        <w:ind w:right="20" w:firstLine="211"/>
        <w:spacing w:after="0" w:line="248" w:lineRule="auto"/>
        <w:rPr>
          <w:sz w:val="20"/>
          <w:szCs w:val="20"/>
          <w:color w:val="auto"/>
        </w:rPr>
      </w:pPr>
      <w:r>
        <w:rPr>
          <w:rFonts w:ascii="Arial" w:cs="Arial" w:eastAsia="Arial" w:hAnsi="Arial"/>
          <w:sz w:val="16"/>
          <w:szCs w:val="16"/>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34"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Our 2018 second quarter total cost per available seat mile (CASM) was 14.56 cents, an increase of 8.5%, from 13.42 cents in 2017. The increase was primarily driven by an increase in fuel costs as described above.</w:t>
      </w:r>
    </w:p>
    <w:p>
      <w:pPr>
        <w:spacing w:after="0" w:line="13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Our 2018 second quarter CASM excluding special items and fuel was 10.83 cents, an increase of 2.4%, as compared to the 2017 period. The increase was primarily driven by higher depreciation due to the delivery of new aircraft as a result of our fleet renewal program and merger integration projects as well as higher other operating expenses associated with improving our product offerings, customer experience and operational reliability.</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For a reconciliation of total CASM excluding special items and fuel, see below </w:t>
      </w:r>
      <w:r>
        <w:rPr>
          <w:rFonts w:ascii="Arial" w:cs="Arial" w:eastAsia="Arial" w:hAnsi="Arial"/>
          <w:sz w:val="16"/>
          <w:szCs w:val="16"/>
          <w:i w:val="1"/>
          <w:iCs w:val="1"/>
          <w:color w:val="auto"/>
        </w:rPr>
        <w:t>“Reconciliation of GAAP to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As of June 30, 2018, we had approximately $7.2 billion in total available liquidity, consisting of $4.7 billion in unrestricted cash and short-term investments and $2.5 billion in undrawn revolving credit facilities. We also had restricted cash and short-term investments of $183 million.</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second quarter of 2018, we completed the following financing transactions:</w:t>
      </w:r>
    </w:p>
    <w:p>
      <w:pPr>
        <w:spacing w:after="0" w:line="144" w:lineRule="exact"/>
        <w:rPr>
          <w:sz w:val="20"/>
          <w:szCs w:val="20"/>
          <w:color w:val="auto"/>
        </w:rPr>
      </w:pPr>
    </w:p>
    <w:p>
      <w:pPr>
        <w:ind w:left="480" w:hanging="276"/>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Refinanced a $1.8 billion term loan at a lower interest rate and extended the maturity date from 2020 to 2025</w:t>
      </w:r>
    </w:p>
    <w:p>
      <w:pPr>
        <w:spacing w:after="0" w:line="143" w:lineRule="exact"/>
        <w:rPr>
          <w:rFonts w:ascii="Arial" w:cs="Arial" w:eastAsia="Arial" w:hAnsi="Arial"/>
          <w:sz w:val="16"/>
          <w:szCs w:val="16"/>
          <w:color w:val="auto"/>
        </w:rPr>
      </w:pPr>
    </w:p>
    <w:p>
      <w:pPr>
        <w:ind w:left="480" w:hanging="276"/>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Raised $583 million in proceeds from aircraft debt financing, approximately $440 million of which was used to repay existing indebtedness</w:t>
      </w:r>
    </w:p>
    <w:p>
      <w:pPr>
        <w:spacing w:after="0" w:line="143" w:lineRule="exact"/>
        <w:rPr>
          <w:rFonts w:ascii="Arial" w:cs="Arial" w:eastAsia="Arial" w:hAnsi="Arial"/>
          <w:sz w:val="16"/>
          <w:szCs w:val="16"/>
          <w:color w:val="auto"/>
        </w:rPr>
      </w:pPr>
    </w:p>
    <w:p>
      <w:pPr>
        <w:ind w:left="480" w:hanging="276"/>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Raised $229 million in proceeds from aircraft sale-leaseback transactions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6 to AAG's Condensed Consolidated Financial Statements in Part I, Item 1A for additional information on our debt obligations.</w:t>
      </w:r>
    </w:p>
    <w:p>
      <w:pPr>
        <w:spacing w:after="0" w:line="144"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Additionally, we returned $396 million to our stockholders, including quarterly dividend payments of $46 million and the repurchase of $350 million of common stock, or 8.2 million shares, during the second quarter of 2018. Since our capital return program commenced in mid-2014, we have returned $12.3 billion to stockholders, including $929 million in quarterly dividend payments and $11.3 billion in share repurchases, or 278.9 million shares. In July 2018, we announced that our Board of Directors declared a $0.10 per share dividend for stockholders of record as of August 7, 2018, and payable on August 21,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40"/>
          </w:cols>
          <w:pgMar w:left="240" w:top="677" w:right="2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Reconciliation of GAAP to Non-GAAP Financial Measures</w:t>
      </w:r>
    </w:p>
    <w:p>
      <w:pPr>
        <w:spacing w:after="0" w:line="91" w:lineRule="exact"/>
        <w:rPr>
          <w:sz w:val="20"/>
          <w:szCs w:val="20"/>
          <w:color w:val="auto"/>
        </w:rPr>
      </w:pPr>
    </w:p>
    <w:p>
      <w:pPr>
        <w:jc w:val="both"/>
        <w:ind w:firstLine="187"/>
        <w:spacing w:after="0" w:line="288" w:lineRule="auto"/>
        <w:rPr>
          <w:sz w:val="20"/>
          <w:szCs w:val="20"/>
          <w:color w:val="auto"/>
        </w:rPr>
      </w:pPr>
      <w:r>
        <w:rPr>
          <w:rFonts w:ascii="Arial" w:cs="Arial" w:eastAsia="Arial" w:hAnsi="Arial"/>
          <w:sz w:val="14"/>
          <w:szCs w:val="14"/>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10"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following table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better understand our core operating performance.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Pr>
          <w:p>
            <w:pPr>
              <w:spacing w:after="0"/>
              <w:rPr>
                <w:sz w:val="14"/>
                <w:szCs w:val="14"/>
                <w:color w:val="auto"/>
              </w:rPr>
            </w:pPr>
          </w:p>
        </w:tc>
        <w:tc>
          <w:tcPr>
            <w:tcW w:w="2220" w:type="dxa"/>
            <w:vAlign w:val="bottom"/>
            <w:gridSpan w:val="4"/>
          </w:tcPr>
          <w:p>
            <w:pPr>
              <w:jc w:val="right"/>
              <w:ind w:right="425"/>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Reconciliation of Pre-Tax Income Excluding Special Items: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Pre-tax income - GAAP</w:t>
            </w:r>
          </w:p>
        </w:tc>
        <w:tc>
          <w:tcPr>
            <w:tcW w:w="6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right"/>
              <w:ind w:right="46"/>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tcBorders>
          </w:tcPr>
          <w:p>
            <w:pPr>
              <w:jc w:val="right"/>
              <w:ind w:right="26"/>
              <w:spacing w:after="0"/>
              <w:rPr>
                <w:sz w:val="20"/>
                <w:szCs w:val="20"/>
                <w:color w:val="auto"/>
              </w:rPr>
            </w:pPr>
            <w:r>
              <w:rPr>
                <w:rFonts w:ascii="Arial" w:cs="Arial" w:eastAsia="Arial" w:hAnsi="Arial"/>
                <w:sz w:val="16"/>
                <w:szCs w:val="16"/>
                <w:color w:val="auto"/>
              </w:rPr>
              <w:t>1,389</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tcPr>
          <w:p>
            <w:pPr>
              <w:jc w:val="right"/>
              <w:ind w:right="26"/>
              <w:spacing w:after="0"/>
              <w:rPr>
                <w:sz w:val="20"/>
                <w:szCs w:val="20"/>
                <w:color w:val="auto"/>
              </w:rPr>
            </w:pPr>
            <w:r>
              <w:rPr>
                <w:rFonts w:ascii="Arial" w:cs="Arial" w:eastAsia="Arial" w:hAnsi="Arial"/>
                <w:sz w:val="16"/>
                <w:szCs w:val="16"/>
                <w:color w:val="auto"/>
              </w:rPr>
              <w:t>1,042</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tcBorders>
          </w:tcPr>
          <w:p>
            <w:pPr>
              <w:jc w:val="right"/>
              <w:ind w:right="45"/>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Pre-tax special items </w:t>
            </w:r>
            <w:r>
              <w:rPr>
                <w:rFonts w:ascii="Arial" w:cs="Arial" w:eastAsia="Arial" w:hAnsi="Arial"/>
                <w:sz w:val="18"/>
                <w:szCs w:val="18"/>
                <w:color w:val="auto"/>
                <w:vertAlign w:val="superscript"/>
              </w:rPr>
              <w:t>(1)</w:t>
            </w:r>
            <w:r>
              <w:rPr>
                <w:rFonts w:ascii="Arial" w:cs="Arial" w:eastAsia="Arial" w:hAnsi="Arial"/>
                <w:sz w:val="16"/>
                <w:szCs w:val="16"/>
                <w:color w:val="auto"/>
              </w:rPr>
              <w:t>:</w:t>
            </w: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ind w:left="300"/>
              <w:spacing w:after="0"/>
              <w:rPr>
                <w:sz w:val="20"/>
                <w:szCs w:val="20"/>
                <w:color w:val="auto"/>
              </w:rPr>
            </w:pPr>
            <w:r>
              <w:rPr>
                <w:rFonts w:ascii="Arial" w:cs="Arial" w:eastAsia="Arial" w:hAnsi="Arial"/>
                <w:sz w:val="16"/>
                <w:szCs w:val="16"/>
                <w:color w:val="auto"/>
              </w:rPr>
              <w:t>Operating special items, net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Nonoperating special items, net</w:t>
            </w:r>
          </w:p>
        </w:tc>
        <w:tc>
          <w:tcPr>
            <w:tcW w:w="10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pre-tax special items, net</w:t>
            </w:r>
          </w:p>
        </w:tc>
        <w:tc>
          <w:tcPr>
            <w:tcW w:w="1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Pre-tax income excluding special items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182"/>
              <w:spacing w:after="0"/>
              <w:rPr>
                <w:sz w:val="20"/>
                <w:szCs w:val="20"/>
                <w:color w:val="auto"/>
              </w:rPr>
            </w:pPr>
            <w:r>
              <w:rPr>
                <w:rFonts w:ascii="Arial" w:cs="Arial" w:eastAsia="Arial" w:hAnsi="Arial"/>
                <w:sz w:val="16"/>
                <w:szCs w:val="16"/>
                <w:color w:val="auto"/>
              </w:rPr>
              <w:t>45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-1462405</wp:posOffset>
            </wp:positionV>
            <wp:extent cx="742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295" cy="7620"/>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46" w:name="page47"/>
    <w:bookmarkEnd w:id="46"/>
    <w:p>
      <w:pPr>
        <w:jc w:val="both"/>
        <w:ind w:firstLine="187"/>
        <w:spacing w:after="0" w:line="245" w:lineRule="auto"/>
        <w:rPr>
          <w:sz w:val="20"/>
          <w:szCs w:val="20"/>
          <w:color w:val="auto"/>
        </w:rPr>
      </w:pPr>
      <w:r>
        <w:rPr>
          <w:rFonts w:ascii="Arial" w:cs="Arial" w:eastAsia="Arial" w:hAnsi="Arial"/>
          <w:sz w:val="16"/>
          <w:szCs w:val="16"/>
          <w:color w:val="auto"/>
        </w:rPr>
        <w:t>Additionally, the table below presents the reconciliation of total operating costs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June 30,</w:t>
            </w:r>
          </w:p>
        </w:tc>
        <w:tc>
          <w:tcPr>
            <w:tcW w:w="300" w:type="dxa"/>
            <w:vAlign w:val="bottom"/>
          </w:tcPr>
          <w:p>
            <w:pPr>
              <w:spacing w:after="0"/>
              <w:rPr>
                <w:sz w:val="14"/>
                <w:szCs w:val="14"/>
                <w:color w:val="auto"/>
              </w:rPr>
            </w:pPr>
          </w:p>
        </w:tc>
        <w:tc>
          <w:tcPr>
            <w:tcW w:w="2320" w:type="dxa"/>
            <w:vAlign w:val="bottom"/>
            <w:gridSpan w:val="4"/>
          </w:tcPr>
          <w:p>
            <w:pPr>
              <w:jc w:val="right"/>
              <w:ind w:right="423"/>
              <w:spacing w:after="0"/>
              <w:rPr>
                <w:sz w:val="20"/>
                <w:szCs w:val="20"/>
                <w:color w:val="auto"/>
              </w:rPr>
            </w:pPr>
            <w:r>
              <w:rPr>
                <w:rFonts w:ascii="Arial" w:cs="Arial" w:eastAsia="Arial" w:hAnsi="Arial"/>
                <w:sz w:val="12"/>
                <w:szCs w:val="12"/>
                <w:b w:val="1"/>
                <w:bCs w:val="1"/>
                <w:color w:val="auto"/>
              </w:rPr>
              <w:t>Six Months Ended June 30,</w:t>
            </w:r>
          </w:p>
        </w:tc>
      </w:tr>
      <w:tr>
        <w:trPr>
          <w:trHeight w:val="226"/>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2017</w:t>
            </w:r>
          </w:p>
        </w:tc>
      </w:tr>
      <w:tr>
        <w:trPr>
          <w:trHeight w:val="166"/>
        </w:trPr>
        <w:tc>
          <w:tcPr>
            <w:tcW w:w="2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Reconciliation of Total Operating Costs per Available Seat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w w:val="97"/>
              </w:rPr>
              <w:t>Mile (CASM) Excluding Special Items and Fuel:</w:t>
            </w:r>
          </w:p>
        </w:tc>
        <w:tc>
          <w:tcPr>
            <w:tcW w:w="2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60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8"/>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34"/>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operating expenses - GAAP</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10,615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9,628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20,585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18,711</w:t>
            </w:r>
          </w:p>
        </w:tc>
      </w:tr>
      <w:tr>
        <w:trPr>
          <w:trHeight w:val="234"/>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 xml:space="preserve">Special items </w:t>
            </w:r>
            <w:r>
              <w:rPr>
                <w:rFonts w:ascii="Arial" w:cs="Arial" w:eastAsia="Arial" w:hAnsi="Arial"/>
                <w:sz w:val="18"/>
                <w:szCs w:val="18"/>
                <w:color w:val="auto"/>
                <w:vertAlign w:val="superscript"/>
              </w:rPr>
              <w:t>(1)</w:t>
            </w: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Special items, net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28"/>
        </w:trPr>
        <w:tc>
          <w:tcPr>
            <w:tcW w:w="20" w:type="dxa"/>
            <w:vAlign w:val="bottom"/>
          </w:tcPr>
          <w:p>
            <w:pPr>
              <w:spacing w:after="0"/>
              <w:rPr>
                <w:sz w:val="19"/>
                <w:szCs w:val="19"/>
                <w:color w:val="auto"/>
              </w:rPr>
            </w:pPr>
          </w:p>
        </w:tc>
        <w:tc>
          <w:tcPr>
            <w:tcW w:w="6040" w:type="dxa"/>
            <w:vAlign w:val="bottom"/>
            <w:gridSpan w:val="2"/>
          </w:tcPr>
          <w:p>
            <w:pPr>
              <w:ind w:left="300"/>
              <w:spacing w:after="0"/>
              <w:rPr>
                <w:sz w:val="20"/>
                <w:szCs w:val="20"/>
                <w:color w:val="auto"/>
              </w:rPr>
            </w:pPr>
            <w:r>
              <w:rPr>
                <w:rFonts w:ascii="Arial" w:cs="Arial" w:eastAsia="Arial" w:hAnsi="Arial"/>
                <w:sz w:val="16"/>
                <w:szCs w:val="16"/>
                <w:color w:val="auto"/>
              </w:rPr>
              <w:t>Regional operating special items, net</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Fuel:</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tcPr>
          <w:p>
            <w:pPr>
              <w:ind w:left="300"/>
              <w:spacing w:after="0"/>
              <w:rPr>
                <w:sz w:val="20"/>
                <w:szCs w:val="20"/>
                <w:color w:val="auto"/>
              </w:rPr>
            </w:pPr>
            <w:r>
              <w:rPr>
                <w:rFonts w:ascii="Arial" w:cs="Arial" w:eastAsia="Arial" w:hAnsi="Arial"/>
                <w:sz w:val="16"/>
                <w:szCs w:val="16"/>
                <w:color w:val="auto"/>
              </w:rPr>
              <w:t>Aircraft fuel and related taxes - mainline</w:t>
            </w:r>
          </w:p>
        </w:tc>
        <w:tc>
          <w:tcPr>
            <w:tcW w:w="280" w:type="dxa"/>
            <w:vAlign w:val="bottom"/>
          </w:tcPr>
          <w:p>
            <w:pPr>
              <w:spacing w:after="0"/>
              <w:rPr>
                <w:sz w:val="19"/>
                <w:szCs w:val="19"/>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(2,912)</w:t>
            </w:r>
          </w:p>
        </w:tc>
      </w:tr>
      <w:tr>
        <w:trPr>
          <w:trHeight w:val="240"/>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Aircraft fuel and related taxes - regional</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48"/>
        </w:trPr>
        <w:tc>
          <w:tcPr>
            <w:tcW w:w="20" w:type="dxa"/>
            <w:vAlign w:val="bottom"/>
            <w:tcBorders>
              <w:bottom w:val="single" w:sz="8" w:color="CCEEFF"/>
            </w:tcBorders>
          </w:tcPr>
          <w:p>
            <w:pPr>
              <w:spacing w:after="0"/>
              <w:rPr>
                <w:sz w:val="21"/>
                <w:szCs w:val="21"/>
                <w:color w:val="auto"/>
              </w:rPr>
            </w:pPr>
          </w:p>
        </w:tc>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operating expenses, excluding special items and fuel</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7,895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7,586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15,509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14,827</w:t>
            </w:r>
          </w:p>
        </w:tc>
      </w:tr>
      <w:tr>
        <w:trPr>
          <w:trHeight w:val="215"/>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 millions)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Total Available Seat Miles (ASM)</w:t>
            </w:r>
          </w:p>
        </w:tc>
        <w:tc>
          <w:tcPr>
            <w:tcW w:w="28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72,893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71,743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138,717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136,083</w:t>
            </w:r>
          </w:p>
        </w:tc>
      </w:tr>
      <w:tr>
        <w:trPr>
          <w:trHeight w:val="240"/>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 cents)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Total operating CASM</w:t>
            </w:r>
          </w:p>
        </w:tc>
        <w:tc>
          <w:tcPr>
            <w:tcW w:w="28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13.75</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Special items per ASM:</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040" w:type="dxa"/>
            <w:vAlign w:val="bottom"/>
            <w:gridSpan w:val="2"/>
          </w:tcPr>
          <w:p>
            <w:pPr>
              <w:ind w:left="300"/>
              <w:spacing w:after="0"/>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18"/>
                <w:szCs w:val="18"/>
                <w:color w:val="auto"/>
                <w:vertAlign w:val="superscript"/>
              </w:rPr>
              <w:t>(1)</w:t>
            </w:r>
          </w:p>
        </w:tc>
        <w:tc>
          <w:tcPr>
            <w:tcW w:w="280" w:type="dxa"/>
            <w:vAlign w:val="bottom"/>
          </w:tcPr>
          <w:p>
            <w:pPr>
              <w:spacing w:after="0"/>
              <w:rPr>
                <w:sz w:val="20"/>
                <w:szCs w:val="20"/>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Fuel per ASM:</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040" w:type="dxa"/>
            <w:vAlign w:val="bottom"/>
            <w:gridSpan w:val="2"/>
          </w:tcPr>
          <w:p>
            <w:pPr>
              <w:ind w:left="300"/>
              <w:spacing w:after="0"/>
              <w:rPr>
                <w:sz w:val="20"/>
                <w:szCs w:val="20"/>
                <w:color w:val="auto"/>
              </w:rPr>
            </w:pPr>
            <w:r>
              <w:rPr>
                <w:rFonts w:ascii="Arial" w:cs="Arial" w:eastAsia="Arial" w:hAnsi="Arial"/>
                <w:sz w:val="16"/>
                <w:szCs w:val="16"/>
                <w:color w:val="auto"/>
              </w:rPr>
              <w:t>Aircraft fuel and related taxes - mainline</w:t>
            </w:r>
          </w:p>
        </w:tc>
        <w:tc>
          <w:tcPr>
            <w:tcW w:w="280" w:type="dxa"/>
            <w:vAlign w:val="bottom"/>
          </w:tcPr>
          <w:p>
            <w:pPr>
              <w:spacing w:after="0"/>
              <w:rPr>
                <w:sz w:val="19"/>
                <w:szCs w:val="19"/>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40"/>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Aircraft fuel and related taxes - regional</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r>
      <w:tr>
        <w:trPr>
          <w:trHeight w:val="208"/>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Total CASM, excluding special items and fuel</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10.90</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-3119120</wp:posOffset>
            </wp:positionV>
            <wp:extent cx="7429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13442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83" w:lineRule="exact"/>
        <w:rPr>
          <w:sz w:val="20"/>
          <w:szCs w:val="20"/>
          <w:color w:val="auto"/>
        </w:rPr>
      </w:pPr>
    </w:p>
    <w:p>
      <w:pPr>
        <w:ind w:left="5620" w:right="2280" w:hanging="5416"/>
        <w:spacing w:after="0" w:line="477" w:lineRule="auto"/>
        <w:tabs>
          <w:tab w:leader="none" w:pos="478" w:val="left"/>
        </w:tabs>
        <w:numPr>
          <w:ilvl w:val="0"/>
          <w:numId w:val="35"/>
        </w:numPr>
        <w:rPr>
          <w:rFonts w:ascii="Arial" w:cs="Arial" w:eastAsia="Arial" w:hAnsi="Arial"/>
          <w:sz w:val="19"/>
          <w:szCs w:val="19"/>
          <w:color w:val="auto"/>
          <w:vertAlign w:val="superscript"/>
        </w:rPr>
      </w:pPr>
      <w:r>
        <w:rPr>
          <w:rFonts w:ascii="Arial" w:cs="Arial" w:eastAsia="Arial" w:hAnsi="Arial"/>
          <w:sz w:val="16"/>
          <w:szCs w:val="16"/>
          <w:color w:val="auto"/>
        </w:rPr>
        <w:t>See Note 2 to AAG’s Condensed Consolidated Financial Statements in Part I, Item 1A for further information on special items. 46</w:t>
      </w:r>
    </w:p>
    <w:p>
      <w:pPr>
        <w:sectPr>
          <w:pgSz w:w="11900" w:h="16838" w:orient="portrait"/>
          <w:cols w:equalWidth="0" w:num="1">
            <w:col w:w="11440"/>
          </w:cols>
          <w:pgMar w:left="240" w:top="677"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AAG’s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Statistics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table below sets forth selected operating data for the three and six months ended June 30, 2018 and 2017.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40" w:type="dxa"/>
            <w:vAlign w:val="bottom"/>
          </w:tcPr>
          <w:p>
            <w:pPr>
              <w:spacing w:after="0"/>
              <w:rPr>
                <w:sz w:val="12"/>
                <w:szCs w:val="12"/>
                <w:color w:val="auto"/>
              </w:rPr>
            </w:pPr>
          </w:p>
        </w:tc>
        <w:tc>
          <w:tcPr>
            <w:tcW w:w="2140" w:type="dxa"/>
            <w:vAlign w:val="bottom"/>
            <w:gridSpan w:val="4"/>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center"/>
              <w:spacing w:after="0"/>
              <w:rPr>
                <w:sz w:val="20"/>
                <w:szCs w:val="20"/>
                <w:color w:val="auto"/>
              </w:rPr>
            </w:pPr>
            <w:r>
              <w:rPr>
                <w:rFonts w:ascii="Arial" w:cs="Arial" w:eastAsia="Arial" w:hAnsi="Arial"/>
                <w:sz w:val="12"/>
                <w:szCs w:val="12"/>
                <w:b w:val="1"/>
                <w:bCs w:val="1"/>
                <w:color w:val="auto"/>
              </w:rPr>
              <w:t>Six Months Ended</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705"/>
              <w:spacing w:after="0"/>
              <w:rPr>
                <w:sz w:val="20"/>
                <w:szCs w:val="20"/>
                <w:color w:val="auto"/>
              </w:rPr>
            </w:pPr>
            <w:r>
              <w:rPr>
                <w:rFonts w:ascii="Arial" w:cs="Arial" w:eastAsia="Arial" w:hAnsi="Arial"/>
                <w:sz w:val="12"/>
                <w:szCs w:val="12"/>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Increase</w:t>
            </w:r>
          </w:p>
        </w:tc>
        <w:tc>
          <w:tcPr>
            <w:tcW w:w="1400" w:type="dxa"/>
            <w:vAlign w:val="bottom"/>
            <w:tcBorders>
              <w:bottom w:val="single" w:sz="8" w:color="auto"/>
            </w:tcBorders>
            <w:gridSpan w:val="3"/>
          </w:tcPr>
          <w:p>
            <w:pPr>
              <w:jc w:val="center"/>
              <w:ind w:left="705"/>
              <w:spacing w:after="0"/>
              <w:rPr>
                <w:sz w:val="20"/>
                <w:szCs w:val="20"/>
                <w:color w:val="auto"/>
              </w:rPr>
            </w:pPr>
            <w:r>
              <w:rPr>
                <w:rFonts w:ascii="Arial" w:cs="Arial" w:eastAsia="Arial" w:hAnsi="Arial"/>
                <w:sz w:val="12"/>
                <w:szCs w:val="12"/>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252"/>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60"/>
        </w:trPr>
        <w:tc>
          <w:tcPr>
            <w:tcW w:w="4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5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(Decrease)</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5"/>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18"/>
                <w:szCs w:val="18"/>
                <w:color w:val="auto"/>
                <w:vertAlign w:val="superscript"/>
              </w:rPr>
              <w:t>(a)</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60,779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59,564</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113,725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110,548</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4"/>
        </w:trPr>
        <w:tc>
          <w:tcPr>
            <w:tcW w:w="4540" w:type="dxa"/>
            <w:vAlign w:val="bottom"/>
          </w:tcPr>
          <w:p>
            <w:pPr>
              <w:ind w:left="16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18"/>
                <w:szCs w:val="18"/>
                <w:color w:val="auto"/>
                <w:vertAlign w:val="superscript"/>
              </w:rPr>
              <w:t>(b)</w:t>
            </w: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72,893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71,743</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138,717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136,083</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18"/>
                <w:szCs w:val="18"/>
                <w:color w:val="auto"/>
                <w:vertAlign w:val="superscript"/>
              </w:rPr>
              <w:t>(c)</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0.4pts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0.8pts</w:t>
            </w:r>
          </w:p>
        </w:tc>
        <w:tc>
          <w:tcPr>
            <w:tcW w:w="0" w:type="dxa"/>
            <w:vAlign w:val="bottom"/>
          </w:tcPr>
          <w:p>
            <w:pPr>
              <w:spacing w:after="0"/>
              <w:rPr>
                <w:sz w:val="1"/>
                <w:szCs w:val="1"/>
                <w:color w:val="auto"/>
              </w:rPr>
            </w:pPr>
          </w:p>
        </w:tc>
      </w:tr>
      <w:tr>
        <w:trPr>
          <w:trHeight w:val="234"/>
        </w:trPr>
        <w:tc>
          <w:tcPr>
            <w:tcW w:w="4540" w:type="dxa"/>
            <w:vAlign w:val="bottom"/>
          </w:tcPr>
          <w:p>
            <w:pPr>
              <w:ind w:left="16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18"/>
                <w:szCs w:val="18"/>
                <w:color w:val="auto"/>
                <w:vertAlign w:val="superscript"/>
              </w:rPr>
              <w:t>(d)</w:t>
            </w: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17.38</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17.50</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Passenger revenue per available seat mile (cents) </w:t>
            </w:r>
            <w:r>
              <w:rPr>
                <w:rFonts w:ascii="Arial" w:cs="Arial" w:eastAsia="Arial" w:hAnsi="Arial"/>
                <w:sz w:val="18"/>
                <w:szCs w:val="18"/>
                <w:color w:val="auto"/>
                <w:vertAlign w:val="superscript"/>
              </w:rPr>
              <w:t>(e)</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4"/>
        </w:trPr>
        <w:tc>
          <w:tcPr>
            <w:tcW w:w="4540" w:type="dxa"/>
            <w:vAlign w:val="bottom"/>
          </w:tcPr>
          <w:p>
            <w:pPr>
              <w:ind w:left="160"/>
              <w:spacing w:after="0"/>
              <w:rPr>
                <w:sz w:val="20"/>
                <w:szCs w:val="20"/>
                <w:color w:val="auto"/>
              </w:rPr>
            </w:pPr>
            <w:r>
              <w:rPr>
                <w:rFonts w:ascii="Arial" w:cs="Arial" w:eastAsia="Arial" w:hAnsi="Arial"/>
                <w:sz w:val="16"/>
                <w:szCs w:val="16"/>
                <w:color w:val="auto"/>
              </w:rPr>
              <w:t xml:space="preserve">Total revenue per available seat mile (cents) </w:t>
            </w:r>
            <w:r>
              <w:rPr>
                <w:rFonts w:ascii="Arial" w:cs="Arial" w:eastAsia="Arial" w:hAnsi="Arial"/>
                <w:sz w:val="18"/>
                <w:szCs w:val="18"/>
                <w:color w:val="auto"/>
                <w:vertAlign w:val="superscript"/>
              </w:rPr>
              <w:t>(f)</w:t>
            </w: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15.65</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15.47</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Aircraft at end of period</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8"/>
        </w:trPr>
        <w:tc>
          <w:tcPr>
            <w:tcW w:w="4540" w:type="dxa"/>
            <w:vAlign w:val="bottom"/>
          </w:tcPr>
          <w:p>
            <w:pPr>
              <w:ind w:left="160"/>
              <w:spacing w:after="0"/>
              <w:rPr>
                <w:sz w:val="20"/>
                <w:szCs w:val="20"/>
                <w:color w:val="auto"/>
              </w:rPr>
            </w:pPr>
            <w:r>
              <w:rPr>
                <w:rFonts w:ascii="Arial" w:cs="Arial" w:eastAsia="Arial" w:hAnsi="Arial"/>
                <w:sz w:val="16"/>
                <w:szCs w:val="16"/>
                <w:color w:val="auto"/>
              </w:rPr>
              <w:t>Fuel consumption (gallons in millions)</w:t>
            </w: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1,129</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2,143</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Average aircraft fuel price including related taxes (dollars per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gallon)</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1.63</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1.66</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28"/>
        </w:trPr>
        <w:tc>
          <w:tcPr>
            <w:tcW w:w="4540" w:type="dxa"/>
            <w:vAlign w:val="bottom"/>
          </w:tcPr>
          <w:p>
            <w:pPr>
              <w:ind w:left="160"/>
              <w:spacing w:after="0"/>
              <w:rPr>
                <w:sz w:val="20"/>
                <w:szCs w:val="20"/>
                <w:color w:val="auto"/>
              </w:rPr>
            </w:pPr>
            <w:r>
              <w:rPr>
                <w:rFonts w:ascii="Arial" w:cs="Arial" w:eastAsia="Arial" w:hAnsi="Arial"/>
                <w:sz w:val="16"/>
                <w:szCs w:val="16"/>
                <w:color w:val="auto"/>
              </w:rPr>
              <w:t>Full-time equivalent employees at end of period</w:t>
            </w: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131,600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128,300</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6"/>
                <w:szCs w:val="16"/>
                <w:color w:val="auto"/>
              </w:rPr>
              <w:t>131,600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128,300</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Operating cost per available seat mile (cents) </w:t>
            </w:r>
            <w:r>
              <w:rPr>
                <w:rFonts w:ascii="Arial" w:cs="Arial" w:eastAsia="Arial" w:hAnsi="Arial"/>
                <w:sz w:val="18"/>
                <w:szCs w:val="18"/>
                <w:color w:val="auto"/>
                <w:vertAlign w:val="superscript"/>
              </w:rPr>
              <w:t>(g)</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13.42</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13.75</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13442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52" w:lineRule="exact"/>
        <w:rPr>
          <w:sz w:val="20"/>
          <w:szCs w:val="20"/>
          <w:color w:val="auto"/>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Revenue passenger mile (RPM) – A basic measure of sales volume. One RPM represents one passenger flown one mile.</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Available seat mile (ASM) – A basic measure of production. One ASM represents one seat flown one mile.</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Passenger load factor – The percentage of available seats that are filled with revenue passengers.</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Yield – A measure of airline revenue derived by dividing passenger revenue by RPMs.</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Passenger revenue per available seat mile (PRASM) – Passenger revenue divided by ASMs.</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Total revenue per available seat mile (TRASM) – Total revenues divided by total ASMs.</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Operating cost per available seat mile (CASM) – Operating expenses divided by ASMs.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2018 Compared to Three Months Ended June 30, 2017</w:t>
      </w:r>
    </w:p>
    <w:p>
      <w:pPr>
        <w:spacing w:after="0" w:line="91"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Pre-tax income and net income were $769 million and $566 million in the second quarter of 2018, respectively. This compares to the second quarter 2017 pre-tax income and net income of $1.4 billion and $864 million, respectively. Excluding the effects of pre-tax net special items, pre-tax income was $1.0 billion and $1.6 billion in the second quarters of 2018 and 2017, respectively.</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 quarter-over-quarter declines in our pre-tax income on both a GAAP basis and excluding pre-tax net special items were principally driven by an increase in fuel costs, which was offset in part by higher revenues.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40"/>
          </w:cols>
          <w:pgMar w:left="240" w:top="729" w:right="219" w:bottom="1440" w:gutter="0" w:footer="0" w:header="0"/>
        </w:sectPr>
      </w:pPr>
    </w:p>
    <w:bookmarkStart w:id="48" w:name="page49"/>
    <w:bookmarkEnd w:id="48"/>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5"/>
          </w:tcPr>
          <w:p>
            <w:pPr>
              <w:ind w:left="50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vMerge w:val="restart"/>
          </w:tcPr>
          <w:p>
            <w:pPr>
              <w:jc w:val="center"/>
              <w:ind w:left="2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47"/>
              <w:spacing w:after="0" w:line="119"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2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(Decrease)</w:t>
            </w:r>
          </w:p>
        </w:tc>
        <w:tc>
          <w:tcPr>
            <w:tcW w:w="1480" w:type="dxa"/>
            <w:vAlign w:val="bottom"/>
            <w:tcBorders>
              <w:bottom w:val="single" w:sz="8" w:color="auto"/>
            </w:tcBorders>
          </w:tcPr>
          <w:p>
            <w:pPr>
              <w:jc w:val="center"/>
              <w:ind w:left="2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4"/>
          </w:tcPr>
          <w:p>
            <w:pPr>
              <w:jc w:val="right"/>
              <w:ind w:right="147"/>
              <w:spacing w:after="0"/>
              <w:rPr>
                <w:sz w:val="20"/>
                <w:szCs w:val="20"/>
                <w:color w:val="auto"/>
              </w:rPr>
            </w:pPr>
            <w:r>
              <w:rPr>
                <w:rFonts w:ascii="Arial" w:cs="Arial" w:eastAsia="Arial" w:hAnsi="Arial"/>
                <w:sz w:val="12"/>
                <w:szCs w:val="12"/>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10,674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10,353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321</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19"/>
                <w:szCs w:val="19"/>
                <w:color w:val="auto"/>
              </w:rPr>
            </w:pPr>
          </w:p>
        </w:tc>
        <w:tc>
          <w:tcPr>
            <w:tcW w:w="1060" w:type="dxa"/>
            <w:vAlign w:val="bottom"/>
          </w:tcPr>
          <w:p>
            <w:pPr>
              <w:jc w:val="right"/>
              <w:ind w:right="4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42</w:t>
            </w:r>
          </w:p>
        </w:tc>
        <w:tc>
          <w:tcPr>
            <w:tcW w:w="14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53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11,643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11,227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416</w:t>
            </w:r>
          </w:p>
        </w:tc>
        <w:tc>
          <w:tcPr>
            <w:tcW w:w="14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5396230</wp:posOffset>
            </wp:positionH>
            <wp:positionV relativeFrom="paragraph">
              <wp:posOffset>-742315</wp:posOffset>
            </wp:positionV>
            <wp:extent cx="666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-742315</wp:posOffset>
            </wp:positionV>
            <wp:extent cx="7429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-742315</wp:posOffset>
            </wp:positionV>
            <wp:extent cx="6667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This table presents our passenger revenue and the quarter-over-quarter change in certain operating statistics: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Increase (Decrease)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8"/>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2"/>
                <w:szCs w:val="12"/>
                <w:b w:val="1"/>
                <w:bCs w:val="1"/>
                <w:color w:val="auto"/>
              </w:rPr>
              <w:t>vs. Three Months Ended June 30, 2017</w:t>
            </w:r>
          </w:p>
        </w:tc>
        <w:tc>
          <w:tcPr>
            <w:tcW w:w="1080" w:type="dxa"/>
            <w:vAlign w:val="bottom"/>
            <w:tcBorders>
              <w:bottom w:val="single" w:sz="8" w:color="auto"/>
            </w:tcBorders>
          </w:tcPr>
          <w:p>
            <w:pPr>
              <w:spacing w:after="0"/>
              <w:rPr>
                <w:sz w:val="14"/>
                <w:szCs w:val="14"/>
                <w:color w:val="auto"/>
              </w:rPr>
            </w:pPr>
          </w:p>
        </w:tc>
      </w:tr>
      <w:tr>
        <w:trPr>
          <w:trHeight w:val="151"/>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Load</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Passenger</w:t>
            </w:r>
          </w:p>
        </w:tc>
        <w:tc>
          <w:tcPr>
            <w:tcW w:w="1080" w:type="dxa"/>
            <w:vAlign w:val="bottom"/>
          </w:tcPr>
          <w:p>
            <w:pPr>
              <w:spacing w:after="0"/>
              <w:rPr>
                <w:sz w:val="13"/>
                <w:szCs w:val="13"/>
                <w:color w:val="auto"/>
              </w:rPr>
            </w:pPr>
          </w:p>
        </w:tc>
      </w:tr>
      <w:tr>
        <w:trPr>
          <w:trHeight w:val="168"/>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154"/>
              <w:spacing w:after="0"/>
              <w:rPr>
                <w:sz w:val="20"/>
                <w:szCs w:val="20"/>
                <w:color w:val="auto"/>
              </w:rPr>
            </w:pPr>
            <w:r>
              <w:rPr>
                <w:rFonts w:ascii="Arial" w:cs="Arial" w:eastAsia="Arial" w:hAnsi="Arial"/>
                <w:sz w:val="12"/>
                <w:szCs w:val="12"/>
                <w:b w:val="1"/>
                <w:bCs w:val="1"/>
                <w:color w:val="auto"/>
              </w:rPr>
              <w:t>June 30, 2018</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RPMs</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ASMs</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Factor</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Yield</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PRASM</w:t>
            </w:r>
          </w:p>
        </w:tc>
      </w:tr>
      <w:tr>
        <w:trPr>
          <w:trHeight w:val="214"/>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10,674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0.4pts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140"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Passenger revenue increased $321 million, or 3.1%, in the second quarter of 2018 from the 2017 period due to a 2.0% quarter-over-quarter increase in RPMs and a 1.0% increase in yields driven by continued strong demand. International yields increased 6.1%, led by improved yields in the Atlantic market, which more than offset a 0.9% decrease in domestic yields.</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Cargo revenue increased $42 million, or 19.4%, in the second quarter of 2018 from the 2017 period primarily driven by increases in freight volume and domestic and international freight yields.</w:t>
      </w:r>
    </w:p>
    <w:p>
      <w:pPr>
        <w:spacing w:after="0" w:line="134"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Other revenue includes revenue associated with our loyalty program, airport clubs, advertising and vacation-related services. Other revenue increased $53 million, or 8.1%, in the second quarter of 2018 from the 2017 period due to higher revenue associated with our loyalty program. For the three months ended June 30, 2018 and 2017, loyalty revenue included in other revenue was $582 million and $533 million, respectively.</w:t>
      </w:r>
    </w:p>
    <w:p>
      <w:pPr>
        <w:spacing w:after="0" w:line="136" w:lineRule="exact"/>
        <w:rPr>
          <w:sz w:val="20"/>
          <w:szCs w:val="20"/>
          <w:color w:val="auto"/>
        </w:rPr>
      </w:pPr>
    </w:p>
    <w:p>
      <w:pPr>
        <w:jc w:val="both"/>
        <w:ind w:right="20" w:firstLine="187"/>
        <w:spacing w:after="0" w:line="317" w:lineRule="auto"/>
        <w:rPr>
          <w:sz w:val="20"/>
          <w:szCs w:val="20"/>
          <w:color w:val="auto"/>
        </w:rPr>
      </w:pPr>
      <w:r>
        <w:rPr>
          <w:rFonts w:ascii="Arial" w:cs="Arial" w:eastAsia="Arial" w:hAnsi="Arial"/>
          <w:sz w:val="14"/>
          <w:szCs w:val="14"/>
          <w:color w:val="auto"/>
        </w:rPr>
        <w:t>Total operating revenues in the second quarter of 2018 increased $416 million, or 3.7%, from the 2017 period driven principally by a 3.1% increase in passenger revenue as described above. Our TRASM was 15.97 cents in the second quarter of 2018, a 2.1% increase as compared to 15.65 cents in the 2017 period.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0"/>
          </w:cols>
          <w:pgMar w:left="240" w:top="731" w:right="219" w:bottom="1440" w:gutter="0" w:footer="0" w:header="0"/>
        </w:sectPr>
      </w:pPr>
    </w:p>
    <w:bookmarkStart w:id="49" w:name="page50"/>
    <w:bookmarkEnd w:id="49"/>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5"/>
          </w:tcPr>
          <w:p>
            <w:pPr>
              <w:ind w:left="52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vMerge w:val="restart"/>
          </w:tcPr>
          <w:p>
            <w:pPr>
              <w:jc w:val="center"/>
              <w:ind w:left="5"/>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64"/>
              <w:spacing w:after="0" w:line="119" w:lineRule="exact"/>
              <w:rPr>
                <w:sz w:val="20"/>
                <w:szCs w:val="20"/>
                <w:color w:val="auto"/>
              </w:rPr>
            </w:pPr>
            <w:r>
              <w:rPr>
                <w:rFonts w:ascii="Arial" w:cs="Arial" w:eastAsia="Arial" w:hAnsi="Arial"/>
                <w:sz w:val="12"/>
                <w:szCs w:val="12"/>
                <w:b w:val="1"/>
                <w:bCs w:val="1"/>
                <w:color w:val="auto"/>
              </w:rPr>
              <w:t>Increase</w:t>
            </w:r>
          </w:p>
        </w:tc>
        <w:tc>
          <w:tcPr>
            <w:tcW w:w="1460" w:type="dxa"/>
            <w:vAlign w:val="bottom"/>
            <w:vMerge w:val="restart"/>
          </w:tcPr>
          <w:p>
            <w:pPr>
              <w:jc w:val="center"/>
              <w:ind w:left="5"/>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b w:val="1"/>
                <w:bCs w:val="1"/>
                <w:color w:val="auto"/>
              </w:rPr>
              <w:t>(Decrease)</w:t>
            </w:r>
          </w:p>
        </w:tc>
        <w:tc>
          <w:tcPr>
            <w:tcW w:w="1460" w:type="dxa"/>
            <w:vAlign w:val="bottom"/>
            <w:tcBorders>
              <w:bottom w:val="single" w:sz="8" w:color="auto"/>
            </w:tcBorders>
          </w:tcPr>
          <w:p>
            <w:pPr>
              <w:jc w:val="center"/>
              <w:ind w:left="25"/>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164"/>
              <w:spacing w:after="0"/>
              <w:rPr>
                <w:sz w:val="20"/>
                <w:szCs w:val="20"/>
                <w:color w:val="auto"/>
              </w:rPr>
            </w:pPr>
            <w:r>
              <w:rPr>
                <w:rFonts w:ascii="Arial" w:cs="Arial" w:eastAsia="Arial" w:hAnsi="Arial"/>
                <w:sz w:val="12"/>
                <w:szCs w:val="12"/>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593</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56</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38</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45</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4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102</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136</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37</w:t>
            </w:r>
          </w:p>
        </w:tc>
        <w:tc>
          <w:tcPr>
            <w:tcW w:w="1460" w:type="dxa"/>
            <w:vAlign w:val="bottom"/>
            <w:tcBorders>
              <w:bottom w:val="single" w:sz="8" w:color="CCEEFF"/>
            </w:tcBorders>
          </w:tcPr>
          <w:p>
            <w:pPr>
              <w:jc w:val="right"/>
              <w:ind w:right="45"/>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10,615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9,628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987</w:t>
            </w:r>
          </w:p>
        </w:tc>
        <w:tc>
          <w:tcPr>
            <w:tcW w:w="1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-2078990</wp:posOffset>
            </wp:positionV>
            <wp:extent cx="666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-2078990</wp:posOffset>
            </wp:positionV>
            <wp:extent cx="742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-2078990</wp:posOffset>
            </wp:positionV>
            <wp:extent cx="666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20"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Total operating expenses increased $987 million, or 10.3%, in the second quarter of 2018 from the 2017 period. The increase in operating expenses was principally driven by an increase in fuel costs. See detailed explanations below relating to changes in total CASM.</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Total CASM</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37"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731" w:right="219" w:bottom="1440" w:gutter="0" w:footer="0" w:header="0"/>
        </w:sectPr>
      </w:pPr>
    </w:p>
    <w:bookmarkStart w:id="50" w:name="page51"/>
    <w:bookmarkEnd w:id="50"/>
    <w:p>
      <w:pPr>
        <w:ind w:right="20" w:firstLine="187"/>
        <w:spacing w:after="0" w:line="248" w:lineRule="auto"/>
        <w:rPr>
          <w:sz w:val="20"/>
          <w:szCs w:val="20"/>
          <w:color w:val="auto"/>
        </w:rPr>
      </w:pPr>
      <w:r>
        <w:rPr>
          <w:rFonts w:ascii="Arial" w:cs="Arial" w:eastAsia="Arial" w:hAnsi="Arial"/>
          <w:sz w:val="16"/>
          <w:szCs w:val="16"/>
          <w:color w:val="auto"/>
        </w:rPr>
        <w:t>The major components of our total CASM and our total CASM excluding special items and fuel for the three months ended June 30, 2018 and 2017 are as follows (amounts may not recalculate due to rounding):</w:t>
      </w:r>
    </w:p>
    <w:p>
      <w:pPr>
        <w:sectPr>
          <w:pgSz w:w="11900" w:h="16838" w:orient="portrait"/>
          <w:cols w:equalWidth="0" w:num="1">
            <w:col w:w="11440"/>
          </w:cols>
          <w:pgMar w:left="240" w:top="67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5035" cy="1263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5035" cy="12636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fuel and related taxes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Maintenance, materials and repairs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rent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CASM</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Special items, net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48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 - mainline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5035" cy="156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5035" cy="15621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CASM, excluding special items and fuel</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260" w:type="dxa"/>
            <w:vAlign w:val="bottom"/>
            <w:gridSpan w:val="3"/>
          </w:tcPr>
          <w:p>
            <w:pPr>
              <w:jc w:val="center"/>
              <w:ind w:left="905"/>
              <w:spacing w:after="0"/>
              <w:rPr>
                <w:sz w:val="20"/>
                <w:szCs w:val="20"/>
                <w:color w:val="auto"/>
              </w:rPr>
            </w:pPr>
            <w:r>
              <w:rPr>
                <w:rFonts w:ascii="Arial" w:cs="Arial" w:eastAsia="Arial" w:hAnsi="Arial"/>
                <w:sz w:val="12"/>
                <w:szCs w:val="12"/>
                <w:b w:val="1"/>
                <w:bCs w:val="1"/>
                <w:color w:val="auto"/>
              </w:rPr>
              <w:t>Three Months Ended</w:t>
            </w: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vMerge w:val="restart"/>
          </w:tcPr>
          <w:p>
            <w:pPr>
              <w:jc w:val="center"/>
              <w:ind w:right="304"/>
              <w:spacing w:after="0"/>
              <w:rPr>
                <w:sz w:val="20"/>
                <w:szCs w:val="20"/>
                <w:color w:val="auto"/>
              </w:rPr>
            </w:pPr>
            <w:r>
              <w:rPr>
                <w:rFonts w:ascii="Arial" w:cs="Arial" w:eastAsia="Arial" w:hAnsi="Arial"/>
                <w:sz w:val="12"/>
                <w:szCs w:val="12"/>
                <w:b w:val="1"/>
                <w:bCs w:val="1"/>
                <w:color w:val="auto"/>
                <w:w w:val="99"/>
              </w:rPr>
              <w:t>Percent</w:t>
            </w:r>
          </w:p>
        </w:tc>
        <w:tc>
          <w:tcPr>
            <w:tcW w:w="0" w:type="dxa"/>
            <w:vAlign w:val="bottom"/>
          </w:tcPr>
          <w:p>
            <w:pPr>
              <w:spacing w:after="0"/>
              <w:rPr>
                <w:sz w:val="1"/>
                <w:szCs w:val="1"/>
                <w:color w:val="auto"/>
              </w:rPr>
            </w:pPr>
          </w:p>
        </w:tc>
      </w:tr>
      <w:tr>
        <w:trPr>
          <w:trHeight w:val="127"/>
        </w:trPr>
        <w:tc>
          <w:tcPr>
            <w:tcW w:w="2260" w:type="dxa"/>
            <w:vAlign w:val="bottom"/>
            <w:gridSpan w:val="3"/>
          </w:tcPr>
          <w:p>
            <w:pPr>
              <w:jc w:val="center"/>
              <w:ind w:left="925"/>
              <w:spacing w:after="0" w:line="127" w:lineRule="exact"/>
              <w:rPr>
                <w:sz w:val="20"/>
                <w:szCs w:val="20"/>
                <w:color w:val="auto"/>
              </w:rPr>
            </w:pPr>
            <w:r>
              <w:rPr>
                <w:rFonts w:ascii="Arial" w:cs="Arial" w:eastAsia="Arial" w:hAnsi="Arial"/>
                <w:sz w:val="12"/>
                <w:szCs w:val="12"/>
                <w:b w:val="1"/>
                <w:bCs w:val="1"/>
                <w:color w:val="auto"/>
              </w:rPr>
              <w:t>June 30,</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restart"/>
          </w:tcPr>
          <w:p>
            <w:pPr>
              <w:jc w:val="center"/>
              <w:ind w:right="304"/>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04"/>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3"/>
        </w:trPr>
        <w:tc>
          <w:tcPr>
            <w:tcW w:w="3700" w:type="dxa"/>
            <w:vAlign w:val="bottom"/>
            <w:gridSpan w:val="5"/>
          </w:tcPr>
          <w:p>
            <w:pPr>
              <w:ind w:left="1340"/>
              <w:spacing w:after="0"/>
              <w:rPr>
                <w:sz w:val="20"/>
                <w:szCs w:val="20"/>
                <w:color w:val="auto"/>
              </w:rPr>
            </w:pPr>
            <w:r>
              <w:rPr>
                <w:rFonts w:ascii="Arial" w:cs="Arial" w:eastAsia="Arial" w:hAnsi="Arial"/>
                <w:sz w:val="12"/>
                <w:szCs w:val="12"/>
                <w:b w:val="1"/>
                <w:bCs w:val="1"/>
                <w:color w:val="auto"/>
              </w:rPr>
              <w:t>(In cents, except percentage changes)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2.10</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4.23</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0.69</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0.63</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0.41</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0.52</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0.58</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0.28</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1.71</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468"/>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0.46</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40"/>
        </w:trPr>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1.80</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13.42</w:t>
            </w:r>
          </w:p>
        </w:tc>
        <w:tc>
          <w:tcPr>
            <w:tcW w:w="480" w:type="dxa"/>
            <w:vAlign w:val="bottom"/>
          </w:tcPr>
          <w:p>
            <w:pPr>
              <w:spacing w:after="0"/>
              <w:rPr>
                <w:sz w:val="18"/>
                <w:szCs w:val="18"/>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468"/>
        </w:trPr>
        <w:tc>
          <w:tcPr>
            <w:tcW w:w="1500" w:type="dxa"/>
            <w:vAlign w:val="bottom"/>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(0.28)</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468"/>
        </w:trPr>
        <w:tc>
          <w:tcPr>
            <w:tcW w:w="150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4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10.57</w:t>
            </w:r>
          </w:p>
        </w:tc>
        <w:tc>
          <w:tcPr>
            <w:tcW w:w="480" w:type="dxa"/>
            <w:vAlign w:val="bottom"/>
          </w:tcPr>
          <w:p>
            <w:pPr>
              <w:spacing w:after="0"/>
              <w:rPr>
                <w:sz w:val="19"/>
                <w:szCs w:val="19"/>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0" w:lineRule="exact"/>
        <w:rPr>
          <w:sz w:val="20"/>
          <w:szCs w:val="20"/>
          <w:color w:val="auto"/>
        </w:rPr>
      </w:pPr>
    </w:p>
    <w:p>
      <w:pPr>
        <w:sectPr>
          <w:pgSz w:w="11900" w:h="16838" w:orient="portrait"/>
          <w:cols w:equalWidth="0" w:num="2">
            <w:col w:w="5800" w:space="720"/>
            <w:col w:w="4920"/>
          </w:cols>
          <w:pgMar w:left="240" w:top="677" w:right="219" w:bottom="1440" w:gutter="0" w:footer="0" w:header="0"/>
          <w:type w:val="continuous"/>
        </w:sectPr>
      </w:pPr>
    </w:p>
    <w:p>
      <w:pPr>
        <w:ind w:left="460" w:right="20" w:hanging="279"/>
        <w:spacing w:after="0" w:line="24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Aircraft fuel and related taxes per ASM increased 37.1% primarily due to a 37.8% increase in the average price per gallon of fuel to $2.23 in the second quarter of 2018 from $1.62 in the 2017 period.</w:t>
      </w:r>
    </w:p>
    <w:p>
      <w:pPr>
        <w:spacing w:after="0" w:line="134" w:lineRule="exact"/>
        <w:rPr>
          <w:rFonts w:ascii="Arial" w:cs="Arial" w:eastAsia="Arial" w:hAnsi="Arial"/>
          <w:sz w:val="16"/>
          <w:szCs w:val="16"/>
          <w:color w:val="auto"/>
        </w:rPr>
      </w:pPr>
    </w:p>
    <w:p>
      <w:pPr>
        <w:ind w:left="460" w:hanging="279"/>
        <w:spacing w:after="0" w:line="24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rent and landing fees per ASM increased 6.6% and was primarily driven by rate increases at certain hub airports in the second quarter of 2018 as compared to the 2017 period.</w:t>
      </w:r>
    </w:p>
    <w:p>
      <w:pPr>
        <w:spacing w:after="0" w:line="134" w:lineRule="exact"/>
        <w:rPr>
          <w:rFonts w:ascii="Arial" w:cs="Arial" w:eastAsia="Arial" w:hAnsi="Arial"/>
          <w:sz w:val="16"/>
          <w:szCs w:val="16"/>
          <w:color w:val="auto"/>
        </w:rPr>
      </w:pPr>
    </w:p>
    <w:p>
      <w:pPr>
        <w:jc w:val="both"/>
        <w:ind w:left="460" w:hanging="279"/>
        <w:spacing w:after="0" w:line="24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Depreciation and amortization per ASM increased 9.1% due in part to our fleet renewal program as subsequent to the second quarter of 2017 we took delivery of 18 newly owned mainline aircraft. Information technology and software development projects associated with our merger integration also contributed to the increase.</w:t>
      </w:r>
    </w:p>
    <w:p>
      <w:pPr>
        <w:spacing w:after="0" w:line="136" w:lineRule="exact"/>
        <w:rPr>
          <w:rFonts w:ascii="Arial" w:cs="Arial" w:eastAsia="Arial" w:hAnsi="Arial"/>
          <w:sz w:val="16"/>
          <w:szCs w:val="16"/>
          <w:color w:val="auto"/>
        </w:rPr>
      </w:pPr>
    </w:p>
    <w:p>
      <w:pPr>
        <w:ind w:left="460" w:right="20" w:hanging="279"/>
        <w:spacing w:after="0" w:line="24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operating expenses per ASM increased 6.7% primarily due to expenses associated with improving our product offerings, customer experience and operational reliability.</w:t>
      </w:r>
    </w:p>
    <w:p>
      <w:pPr>
        <w:spacing w:after="0" w:line="134" w:lineRule="exact"/>
        <w:rPr>
          <w:rFonts w:ascii="Arial" w:cs="Arial" w:eastAsia="Arial" w:hAnsi="Arial"/>
          <w:sz w:val="16"/>
          <w:szCs w:val="16"/>
          <w:color w:val="auto"/>
        </w:rPr>
      </w:pPr>
    </w:p>
    <w:p>
      <w:pPr>
        <w:ind w:left="460" w:right="20" w:hanging="279"/>
        <w:spacing w:after="0" w:line="24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Regional aircraft fuel and related taxes per ASM increased 38.9% primarily due to a 35.7% increase in the average price per gallon of fuel to $2.29 in the second quarter of 2018 from $1.69 in the 2017 period as well as a 4.0% increase in gallons of fuel consumed.</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677" w:right="219" w:bottom="1440" w:gutter="0" w:footer="0" w:header="0"/>
          <w:type w:val="continuous"/>
        </w:sectPr>
      </w:pPr>
    </w:p>
    <w:bookmarkStart w:id="51" w:name="page52"/>
    <w:bookmarkEnd w:id="51"/>
    <w:p>
      <w:pPr>
        <w:ind w:left="186"/>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591820</wp:posOffset>
            </wp:positionV>
            <wp:extent cx="7265035" cy="148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p>
      <w:pPr>
        <w:spacing w:after="0" w:line="27"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148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ind w:left="26"/>
        <w:spacing w:after="0"/>
        <w:rPr>
          <w:sz w:val="20"/>
          <w:szCs w:val="20"/>
          <w:color w:val="auto"/>
        </w:rPr>
      </w:pPr>
      <w:r>
        <w:rPr>
          <w:rFonts w:ascii="Arial" w:cs="Arial" w:eastAsia="Arial" w:hAnsi="Arial"/>
          <w:sz w:val="15"/>
          <w:szCs w:val="15"/>
          <w:color w:val="auto"/>
        </w:rPr>
        <w:t xml:space="preserve">Mark-to-market adjustments on bankruptcy obligations </w:t>
      </w:r>
      <w:r>
        <w:rPr>
          <w:rFonts w:ascii="Arial" w:cs="Arial" w:eastAsia="Arial" w:hAnsi="Arial"/>
          <w:sz w:val="17"/>
          <w:szCs w:val="17"/>
          <w:color w:val="auto"/>
          <w:vertAlign w:val="superscript"/>
        </w:rPr>
        <w:t>(3)</w:t>
      </w:r>
    </w:p>
    <w:p>
      <w:pPr>
        <w:spacing w:after="0" w:line="38"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65035" cy="148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9" w:lineRule="exact"/>
        <w:rPr>
          <w:sz w:val="20"/>
          <w:szCs w:val="20"/>
          <w:color w:val="auto"/>
        </w:rPr>
      </w:pPr>
    </w:p>
    <w:p>
      <w:pPr>
        <w:ind w:left="26"/>
        <w:spacing w:after="0"/>
        <w:rPr>
          <w:sz w:val="20"/>
          <w:szCs w:val="20"/>
          <w:color w:val="auto"/>
        </w:rPr>
      </w:pPr>
      <w:r>
        <w:rPr>
          <w:rFonts w:ascii="Arial" w:cs="Arial" w:eastAsia="Arial" w:hAnsi="Arial"/>
          <w:sz w:val="16"/>
          <w:szCs w:val="16"/>
          <w:color w:val="auto"/>
        </w:rPr>
        <w:t>Litigation settlement</w:t>
      </w:r>
    </w:p>
    <w:p>
      <w:pPr>
        <w:spacing w:after="0" w:line="50" w:lineRule="exact"/>
        <w:rPr>
          <w:sz w:val="20"/>
          <w:szCs w:val="20"/>
          <w:color w:val="auto"/>
        </w:rPr>
      </w:pPr>
    </w:p>
    <w:p>
      <w:pPr>
        <w:ind w:left="26"/>
        <w:spacing w:after="0"/>
        <w:rPr>
          <w:sz w:val="20"/>
          <w:szCs w:val="20"/>
          <w:color w:val="auto"/>
        </w:rPr>
      </w:pPr>
      <w:r>
        <w:rPr>
          <w:rFonts w:ascii="Arial" w:cs="Arial" w:eastAsia="Arial" w:hAnsi="Arial"/>
          <w:sz w:val="16"/>
          <w:szCs w:val="16"/>
          <w:color w:val="auto"/>
        </w:rPr>
        <w:t>Labor contract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26"/>
        <w:spacing w:after="0"/>
        <w:rPr>
          <w:sz w:val="20"/>
          <w:szCs w:val="20"/>
          <w:color w:val="auto"/>
        </w:rPr>
      </w:pPr>
      <w:r>
        <w:rPr>
          <w:rFonts w:ascii="Arial" w:cs="Arial" w:eastAsia="Arial" w:hAnsi="Arial"/>
          <w:sz w:val="16"/>
          <w:szCs w:val="16"/>
          <w:color w:val="auto"/>
        </w:rPr>
        <w:t>Other operating charges, net</w:t>
      </w:r>
    </w:p>
    <w:p>
      <w:pPr>
        <w:spacing w:after="0" w:line="50" w:lineRule="exact"/>
        <w:rPr>
          <w:sz w:val="20"/>
          <w:szCs w:val="20"/>
          <w:color w:val="auto"/>
        </w:rPr>
      </w:pPr>
    </w:p>
    <w:p>
      <w:pPr>
        <w:ind w:left="146"/>
        <w:spacing w:after="0"/>
        <w:rPr>
          <w:sz w:val="20"/>
          <w:szCs w:val="20"/>
          <w:color w:val="auto"/>
        </w:rPr>
      </w:pPr>
      <w:r>
        <w:rPr>
          <w:rFonts w:ascii="Arial" w:cs="Arial" w:eastAsia="Arial" w:hAnsi="Arial"/>
          <w:sz w:val="16"/>
          <w:szCs w:val="16"/>
          <w:color w:val="auto"/>
        </w:rPr>
        <w:t>Total mainline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42" w:lineRule="exact"/>
        <w:rPr>
          <w:sz w:val="20"/>
          <w:szCs w:val="20"/>
          <w:color w:val="auto"/>
        </w:rPr>
      </w:pPr>
    </w:p>
    <w:p>
      <w:pPr>
        <w:ind w:left="26"/>
        <w:spacing w:after="0"/>
        <w:rPr>
          <w:sz w:val="20"/>
          <w:szCs w:val="20"/>
          <w:color w:val="auto"/>
        </w:rPr>
      </w:pPr>
      <w:r>
        <w:rPr>
          <w:rFonts w:ascii="Arial" w:cs="Arial" w:eastAsia="Arial" w:hAnsi="Arial"/>
          <w:sz w:val="16"/>
          <w:szCs w:val="16"/>
          <w:color w:val="auto"/>
        </w:rPr>
        <w:t>Regional operating special items, net</w:t>
      </w:r>
    </w:p>
    <w:p>
      <w:pPr>
        <w:spacing w:after="0" w:line="38" w:lineRule="exact"/>
        <w:rPr>
          <w:sz w:val="20"/>
          <w:szCs w:val="20"/>
          <w:color w:val="auto"/>
        </w:rPr>
      </w:pPr>
    </w:p>
    <w:p>
      <w:pPr>
        <w:ind w:left="146"/>
        <w:spacing w:after="0"/>
        <w:rPr>
          <w:sz w:val="20"/>
          <w:szCs w:val="20"/>
          <w:color w:val="auto"/>
        </w:rPr>
      </w:pPr>
      <w:r>
        <w:rPr>
          <w:rFonts w:ascii="Arial" w:cs="Arial" w:eastAsia="Arial" w:hAnsi="Arial"/>
          <w:sz w:val="16"/>
          <w:szCs w:val="16"/>
          <w:color w:val="auto"/>
        </w:rPr>
        <w:t>Total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134429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23177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88" w:lineRule="exact"/>
        <w:rPr>
          <w:sz w:val="20"/>
          <w:szCs w:val="20"/>
          <w:color w:val="auto"/>
        </w:rPr>
      </w:pPr>
    </w:p>
    <w:p>
      <w:pPr>
        <w:ind w:left="720"/>
        <w:spacing w:after="0"/>
        <w:tabs>
          <w:tab w:leader="none" w:pos="25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23177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70" w:lineRule="exact"/>
        <w:rPr>
          <w:sz w:val="20"/>
          <w:szCs w:val="20"/>
          <w:color w:val="auto"/>
        </w:rPr>
      </w:pPr>
    </w:p>
    <w:p>
      <w:pPr>
        <w:spacing w:after="0"/>
        <w:tabs>
          <w:tab w:leader="none" w:pos="1420" w:val="left"/>
          <w:tab w:leader="none" w:pos="1820" w:val="left"/>
          <w:tab w:leader="none" w:pos="3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83</w:t>
        <w:tab/>
        <w:t>$</w:t>
      </w:r>
      <w:r>
        <w:rPr>
          <w:sz w:val="20"/>
          <w:szCs w:val="20"/>
          <w:color w:val="auto"/>
        </w:rPr>
        <w:tab/>
      </w:r>
      <w:r>
        <w:rPr>
          <w:rFonts w:ascii="Arial" w:cs="Arial" w:eastAsia="Arial" w:hAnsi="Arial"/>
          <w:sz w:val="14"/>
          <w:szCs w:val="14"/>
          <w:color w:val="auto"/>
        </w:rPr>
        <w:t>48</w:t>
      </w:r>
    </w:p>
    <w:p>
      <w:pPr>
        <w:spacing w:after="0" w:line="50" w:lineRule="exact"/>
        <w:rPr>
          <w:sz w:val="20"/>
          <w:szCs w:val="20"/>
          <w:color w:val="auto"/>
        </w:rPr>
      </w:pPr>
    </w:p>
    <w:p>
      <w:pPr>
        <w:jc w:val="both"/>
        <w:ind w:left="1440"/>
        <w:spacing w:after="0"/>
        <w:tabs>
          <w:tab w:leader="none" w:pos="3340"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16"/>
          <w:szCs w:val="16"/>
          <w:color w:val="auto"/>
        </w:rPr>
        <w:t>68</w:t>
      </w:r>
    </w:p>
    <w:p>
      <w:pPr>
        <w:spacing w:after="0" w:line="50" w:lineRule="exact"/>
        <w:rPr>
          <w:sz w:val="20"/>
          <w:szCs w:val="20"/>
          <w:color w:val="auto"/>
        </w:rPr>
      </w:pPr>
    </w:p>
    <w:p>
      <w:pPr>
        <w:jc w:val="both"/>
        <w:ind w:left="1380"/>
        <w:spacing w:after="0"/>
        <w:tabs>
          <w:tab w:leader="none" w:pos="33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38</w:t>
      </w:r>
    </w:p>
    <w:p>
      <w:pPr>
        <w:spacing w:after="0" w:line="50" w:lineRule="exact"/>
        <w:rPr>
          <w:sz w:val="20"/>
          <w:szCs w:val="20"/>
          <w:color w:val="auto"/>
        </w:rPr>
      </w:pPr>
    </w:p>
    <w:p>
      <w:pPr>
        <w:jc w:val="both"/>
        <w:ind w:left="1440"/>
        <w:spacing w:after="0"/>
        <w:tabs>
          <w:tab w:leader="none" w:pos="33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r>
    </w:p>
    <w:p>
      <w:pPr>
        <w:spacing w:after="0" w:line="50" w:lineRule="exact"/>
        <w:rPr>
          <w:sz w:val="20"/>
          <w:szCs w:val="20"/>
          <w:color w:val="auto"/>
        </w:rPr>
      </w:pPr>
    </w:p>
    <w:p>
      <w:pPr>
        <w:jc w:val="both"/>
        <w:ind w:left="1520"/>
        <w:spacing w:after="0"/>
        <w:tabs>
          <w:tab w:leader="none" w:pos="336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w:t>
      </w:r>
    </w:p>
    <w:p>
      <w:pPr>
        <w:spacing w:after="0" w:line="50" w:lineRule="exact"/>
        <w:rPr>
          <w:sz w:val="20"/>
          <w:szCs w:val="20"/>
          <w:color w:val="auto"/>
        </w:rPr>
      </w:pPr>
    </w:p>
    <w:p>
      <w:pPr>
        <w:jc w:val="both"/>
        <w:ind w:left="1460"/>
        <w:spacing w:after="0"/>
        <w:tabs>
          <w:tab w:leader="none" w:pos="3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45</w:t>
      </w:r>
    </w:p>
    <w:p>
      <w:pPr>
        <w:spacing w:after="0" w:line="50" w:lineRule="exact"/>
        <w:rPr>
          <w:sz w:val="20"/>
          <w:szCs w:val="20"/>
          <w:color w:val="auto"/>
        </w:rPr>
      </w:pPr>
    </w:p>
    <w:p>
      <w:pPr>
        <w:jc w:val="both"/>
        <w:ind w:left="1440"/>
        <w:spacing w:after="0"/>
        <w:tabs>
          <w:tab w:leader="none" w:pos="342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30" w:lineRule="exact"/>
        <w:rPr>
          <w:sz w:val="20"/>
          <w:szCs w:val="20"/>
          <w:color w:val="auto"/>
        </w:rPr>
      </w:pPr>
    </w:p>
    <w:p>
      <w:pPr>
        <w:jc w:val="both"/>
        <w:ind w:left="1360"/>
        <w:spacing w:after="0"/>
        <w:tabs>
          <w:tab w:leader="none" w:pos="324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202</w:t>
      </w:r>
    </w:p>
    <w:p>
      <w:pPr>
        <w:spacing w:after="0" w:line="50" w:lineRule="exact"/>
        <w:rPr>
          <w:sz w:val="20"/>
          <w:szCs w:val="20"/>
          <w:color w:val="auto"/>
        </w:rPr>
      </w:pPr>
    </w:p>
    <w:p>
      <w:pPr>
        <w:jc w:val="both"/>
        <w:ind w:left="1460"/>
        <w:spacing w:after="0"/>
        <w:tabs>
          <w:tab w:leader="none" w:pos="3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30" w:lineRule="exact"/>
        <w:rPr>
          <w:sz w:val="20"/>
          <w:szCs w:val="20"/>
          <w:color w:val="auto"/>
        </w:rPr>
      </w:pPr>
    </w:p>
    <w:p>
      <w:pPr>
        <w:spacing w:after="0"/>
        <w:tabs>
          <w:tab w:leader="none" w:pos="1340" w:val="left"/>
          <w:tab w:leader="none" w:pos="1820" w:val="left"/>
          <w:tab w:leader="none" w:pos="3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152</w:t>
        <w:tab/>
        <w:t>$</w:t>
      </w:r>
      <w:r>
        <w:rPr>
          <w:sz w:val="20"/>
          <w:szCs w:val="20"/>
          <w:color w:val="auto"/>
        </w:rPr>
        <w:tab/>
      </w: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7750" cy="22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6" w:space="720"/>
            <w:col w:w="3640"/>
          </w:cols>
          <w:pgMar w:left="234" w:top="731" w:right="219" w:bottom="1440" w:gutter="0" w:footer="0" w:header="0"/>
        </w:sectPr>
      </w:pPr>
    </w:p>
    <w:p>
      <w:pPr>
        <w:spacing w:after="0" w:line="154" w:lineRule="exact"/>
        <w:rPr>
          <w:sz w:val="20"/>
          <w:szCs w:val="20"/>
          <w:color w:val="auto"/>
        </w:rPr>
      </w:pPr>
    </w:p>
    <w:p>
      <w:pPr>
        <w:ind w:left="426" w:hanging="286"/>
        <w:spacing w:after="0" w:line="223" w:lineRule="auto"/>
        <w:tabs>
          <w:tab w:leader="none" w:pos="426" w:val="left"/>
        </w:tabs>
        <w:numPr>
          <w:ilvl w:val="0"/>
          <w:numId w:val="38"/>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38"/>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our remaining integration projects, principally our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38"/>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our common stock. Accordingly, fluctuations in our stock price result in mark-to-market adjustments to these obligations.</w:t>
      </w:r>
    </w:p>
    <w:p>
      <w:pPr>
        <w:spacing w:after="0" w:line="120" w:lineRule="exact"/>
        <w:rPr>
          <w:rFonts w:ascii="Arial" w:cs="Arial" w:eastAsia="Arial" w:hAnsi="Arial"/>
          <w:sz w:val="19"/>
          <w:szCs w:val="19"/>
          <w:color w:val="auto"/>
          <w:vertAlign w:val="superscript"/>
        </w:rPr>
      </w:pPr>
    </w:p>
    <w:p>
      <w:pPr>
        <w:ind w:left="426" w:hanging="286"/>
        <w:spacing w:after="0"/>
        <w:tabs>
          <w:tab w:leader="none" w:pos="426" w:val="left"/>
        </w:tabs>
        <w:numPr>
          <w:ilvl w:val="0"/>
          <w:numId w:val="38"/>
        </w:numPr>
        <w:rPr>
          <w:rFonts w:ascii="Arial" w:cs="Arial" w:eastAsia="Arial" w:hAnsi="Arial"/>
          <w:sz w:val="18"/>
          <w:szCs w:val="18"/>
          <w:color w:val="auto"/>
          <w:vertAlign w:val="superscript"/>
        </w:rPr>
      </w:pPr>
      <w:r>
        <w:rPr>
          <w:rFonts w:ascii="Arial" w:cs="Arial" w:eastAsia="Arial" w:hAnsi="Arial"/>
          <w:sz w:val="15"/>
          <w:szCs w:val="15"/>
          <w:color w:val="auto"/>
        </w:rPr>
        <w:t>Intangible asset impairment includes a non-cash charge to write-off our Brazil route authority as a result of ratification of the U.S.-Brazil open skies agreement.</w:t>
      </w:r>
    </w:p>
    <w:p>
      <w:pPr>
        <w:spacing w:after="0" w:line="160" w:lineRule="exact"/>
        <w:rPr>
          <w:sz w:val="20"/>
          <w:szCs w:val="20"/>
          <w:color w:val="auto"/>
        </w:rPr>
      </w:pPr>
    </w:p>
    <w:p>
      <w:pPr>
        <w:ind w:left="266"/>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600" w:type="dxa"/>
            <w:vAlign w:val="bottom"/>
            <w:gridSpan w:val="4"/>
          </w:tcPr>
          <w:p>
            <w:pPr>
              <w:jc w:val="right"/>
              <w:ind w:right="70"/>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left="14"/>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right"/>
              <w:ind w:right="10"/>
              <w:spacing w:after="0" w:line="119" w:lineRule="exact"/>
              <w:rPr>
                <w:sz w:val="20"/>
                <w:szCs w:val="20"/>
                <w:color w:val="auto"/>
              </w:rPr>
            </w:pPr>
            <w:r>
              <w:rPr>
                <w:rFonts w:ascii="Arial" w:cs="Arial" w:eastAsia="Arial" w:hAnsi="Arial"/>
                <w:sz w:val="12"/>
                <w:szCs w:val="12"/>
                <w:b w:val="1"/>
                <w:bCs w:val="1"/>
                <w:color w:val="auto"/>
              </w:rPr>
              <w:t>Increase</w:t>
            </w:r>
          </w:p>
        </w:tc>
        <w:tc>
          <w:tcPr>
            <w:tcW w:w="360" w:type="dxa"/>
            <w:vAlign w:val="bottom"/>
          </w:tcPr>
          <w:p>
            <w:pPr>
              <w:spacing w:after="0"/>
              <w:rPr>
                <w:sz w:val="4"/>
                <w:szCs w:val="4"/>
                <w:color w:val="auto"/>
              </w:rPr>
            </w:pPr>
          </w:p>
        </w:tc>
        <w:tc>
          <w:tcPr>
            <w:tcW w:w="1460" w:type="dxa"/>
            <w:vAlign w:val="bottom"/>
            <w:vMerge w:val="restart"/>
          </w:tcPr>
          <w:p>
            <w:pPr>
              <w:jc w:val="center"/>
              <w:ind w:left="14"/>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(Decrease)</w:t>
            </w: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2"/>
                <w:szCs w:val="12"/>
                <w:b w:val="1"/>
                <w:bCs w:val="1"/>
                <w:color w:val="auto"/>
              </w:rPr>
              <w:t>(In millions, except percentage changes)</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81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54"/>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(52)</w:t>
            </w:r>
          </w:p>
        </w:tc>
        <w:tc>
          <w:tcPr>
            <w:tcW w:w="1460" w:type="dxa"/>
            <w:vAlign w:val="bottom"/>
            <w:shd w:val="clear" w:color="auto" w:fill="CCEEFF"/>
          </w:tcPr>
          <w:p>
            <w:pPr>
              <w:jc w:val="right"/>
              <w:ind w:right="54"/>
              <w:spacing w:after="0" w:line="240" w:lineRule="exact"/>
              <w:rPr>
                <w:sz w:val="20"/>
                <w:szCs w:val="20"/>
                <w:color w:val="auto"/>
              </w:rPr>
            </w:pPr>
            <w:r>
              <w:rPr>
                <w:rFonts w:ascii="Arial" w:cs="Arial" w:eastAsia="Arial" w:hAnsi="Arial"/>
                <w:sz w:val="27"/>
                <w:szCs w:val="27"/>
                <w:color w:val="auto"/>
                <w:vertAlign w:val="subscript"/>
              </w:rPr>
              <w:t>nm</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14"/>
        </w:trPr>
        <w:tc>
          <w:tcPr>
            <w:tcW w:w="5380" w:type="dxa"/>
            <w:vAlign w:val="bottom"/>
          </w:tcPr>
          <w:p>
            <w:pPr>
              <w:ind w:left="140"/>
              <w:spacing w:after="0"/>
              <w:rPr>
                <w:sz w:val="20"/>
                <w:szCs w:val="20"/>
                <w:color w:val="auto"/>
              </w:rPr>
            </w:pPr>
            <w:r>
              <w:rPr>
                <w:rFonts w:ascii="Arial" w:cs="Arial" w:eastAsia="Arial" w:hAnsi="Arial"/>
                <w:sz w:val="16"/>
                <w:szCs w:val="16"/>
                <w:color w:val="auto"/>
              </w:rPr>
              <w:t>Total nonoperating expense, net</w:t>
            </w:r>
          </w:p>
        </w:tc>
        <w:tc>
          <w:tcPr>
            <w:tcW w:w="980" w:type="dxa"/>
            <w:vAlign w:val="bottom"/>
            <w:tcBorders>
              <w:bottom w:val="single" w:sz="8" w:color="auto"/>
            </w:tcBorders>
          </w:tcPr>
          <w:p>
            <w:pPr>
              <w:jc w:val="right"/>
              <w:ind w:right="81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30"/>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(49)</w:t>
            </w:r>
          </w:p>
        </w:tc>
        <w:tc>
          <w:tcPr>
            <w:tcW w:w="1460" w:type="dxa"/>
            <w:vAlign w:val="bottom"/>
          </w:tcPr>
          <w:p>
            <w:pPr>
              <w:jc w:val="right"/>
              <w:ind w:right="54"/>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-742315</wp:posOffset>
            </wp:positionV>
            <wp:extent cx="6667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-742315</wp:posOffset>
            </wp:positionV>
            <wp:extent cx="7429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-742315</wp:posOffset>
            </wp:positionV>
            <wp:extent cx="6667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134429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52" w:lineRule="exact"/>
        <w:rPr>
          <w:sz w:val="20"/>
          <w:szCs w:val="20"/>
          <w:color w:val="auto"/>
        </w:rPr>
      </w:pPr>
    </w:p>
    <w:p>
      <w:pPr>
        <w:ind w:left="166" w:hanging="166"/>
        <w:spacing w:after="0"/>
        <w:tabs>
          <w:tab w:leader="none" w:pos="166" w:val="left"/>
        </w:tabs>
        <w:numPr>
          <w:ilvl w:val="0"/>
          <w:numId w:val="39"/>
        </w:numPr>
        <w:rPr>
          <w:rFonts w:ascii="Arial" w:cs="Arial" w:eastAsia="Arial" w:hAnsi="Arial"/>
          <w:sz w:val="19"/>
          <w:szCs w:val="19"/>
          <w:color w:val="auto"/>
          <w:vertAlign w:val="superscript"/>
        </w:rPr>
      </w:pPr>
      <w:r>
        <w:rPr>
          <w:rFonts w:ascii="Arial" w:cs="Arial" w:eastAsia="Arial" w:hAnsi="Arial"/>
          <w:sz w:val="16"/>
          <w:szCs w:val="16"/>
          <w:color w:val="auto"/>
        </w:rPr>
        <w:t>Not meaningful.</w:t>
      </w:r>
    </w:p>
    <w:p>
      <w:pPr>
        <w:spacing w:after="0" w:line="140" w:lineRule="exact"/>
        <w:rPr>
          <w:sz w:val="20"/>
          <w:szCs w:val="20"/>
          <w:color w:val="auto"/>
        </w:rPr>
      </w:pPr>
    </w:p>
    <w:p>
      <w:pPr>
        <w:jc w:val="both"/>
        <w:ind w:left="6" w:right="20" w:firstLine="187"/>
        <w:spacing w:after="0" w:line="245" w:lineRule="auto"/>
        <w:rPr>
          <w:sz w:val="20"/>
          <w:szCs w:val="20"/>
          <w:color w:val="auto"/>
        </w:rPr>
      </w:pPr>
      <w:r>
        <w:rPr>
          <w:rFonts w:ascii="Arial" w:cs="Arial" w:eastAsia="Arial" w:hAnsi="Arial"/>
          <w:sz w:val="16"/>
          <w:szCs w:val="16"/>
          <w:color w:val="auto"/>
        </w:rPr>
        <w:t>In the 2018 period, other nonoperating expense, net principally included a $66 million net special charge for mark-to-market unrealized losses primarily on our equity investment in China Southern Airlines Company Limited (China Southern Airlines), $29 million of net foreign currency losses, principally associated with losses from Latin American currencies, and $14 million of net special charges associated with debt refinancings and extinguishments. These charges were offset in part by $75 million of non-service related pension and other postretirement benefit plan income.</w:t>
      </w:r>
    </w:p>
    <w:p>
      <w:pPr>
        <w:spacing w:after="0" w:line="138"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In the 2017 period, other nonoperating income, net principally included $33 million of non-service related pension and other postretirement benefit plan income, offset in part by $7 million of net foreign currency losses.</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6"/>
          </w:cols>
          <w:pgMar w:left="234" w:top="731" w:right="219" w:bottom="1440" w:gutter="0" w:footer="0" w:header="0"/>
          <w:type w:val="continuous"/>
        </w:sectPr>
      </w:pPr>
    </w:p>
    <w:bookmarkStart w:id="52" w:name="page53"/>
    <w:bookmarkEnd w:id="52"/>
    <w:p>
      <w:pPr>
        <w:ind w:left="1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89"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In the second quarter of 2018, we recorded an income tax provision of $203 million, which was substantially non-cash due to utilization of our net operating losses (NOLs). This provision included an $18 million special income tax charge related to an international income tax matter. Substantially all of our income before income taxes is attributable to the United States. At December 31, 2017, we had approximately $10.0 billion of federal NOLs and $3.4 billion of state NOLs, substantially all of which are expected to be available in 2018 to reduce federal and state taxable income.</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7 to AAG’s Condensed Consolidated Financial Statements in Part I, Item 1A for additional information on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2018 Compared to Six Months Ended June 30, 2017</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Pre-tax income and net income were $1.0 billion and $753 million in the first six months of 2018, respectively. This compares to the first six months of 2017 pre-tax income and net income of $1.9 billion and $1.2 billion, respectively. Excluding the effects of pre-tax net special items, pre-tax income was $1.5 billion and $2.3 billion in the first six months of 2018 and 2017, respectively.</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 period-over-period declines in our pre-tax income on both a GAAP basis and excluding pre-tax net special items were principally driven by an increase in fuel costs and higher wage rates, which were offset in part by higher revenues.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Arial" w:cs="Arial" w:eastAsia="Arial" w:hAnsi="Arial"/>
                <w:sz w:val="12"/>
                <w:szCs w:val="12"/>
                <w:b w:val="1"/>
                <w:bCs w:val="1"/>
                <w:color w:val="auto"/>
              </w:rPr>
              <w:t>Six Months Ended June 30,</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jc w:val="center"/>
              <w:ind w:left="2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47"/>
              <w:spacing w:after="0" w:line="119"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2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(Decrease)</w:t>
            </w:r>
          </w:p>
        </w:tc>
        <w:tc>
          <w:tcPr>
            <w:tcW w:w="1480" w:type="dxa"/>
            <w:vAlign w:val="bottom"/>
            <w:tcBorders>
              <w:bottom w:val="single" w:sz="8" w:color="auto"/>
            </w:tcBorders>
          </w:tcPr>
          <w:p>
            <w:pPr>
              <w:jc w:val="center"/>
              <w:ind w:left="2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right"/>
              <w:ind w:right="147"/>
              <w:spacing w:after="0"/>
              <w:rPr>
                <w:sz w:val="20"/>
                <w:szCs w:val="20"/>
                <w:color w:val="auto"/>
              </w:rPr>
            </w:pPr>
            <w:r>
              <w:rPr>
                <w:rFonts w:ascii="Arial" w:cs="Arial" w:eastAsia="Arial" w:hAnsi="Arial"/>
                <w:sz w:val="12"/>
                <w:szCs w:val="12"/>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20,154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19,350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804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19"/>
                <w:szCs w:val="19"/>
                <w:color w:val="auto"/>
              </w:rPr>
            </w:pPr>
          </w:p>
        </w:tc>
        <w:tc>
          <w:tcPr>
            <w:tcW w:w="1060" w:type="dxa"/>
            <w:vAlign w:val="bottom"/>
          </w:tcPr>
          <w:p>
            <w:pPr>
              <w:jc w:val="right"/>
              <w:ind w:right="47"/>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7"/>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78</w:t>
            </w:r>
          </w:p>
        </w:tc>
        <w:tc>
          <w:tcPr>
            <w:tcW w:w="148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1,402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115</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22,044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21,047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997</w:t>
            </w:r>
          </w:p>
        </w:tc>
        <w:tc>
          <w:tcPr>
            <w:tcW w:w="1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This table presents our passenger revenue and the period-over-period change in certain operating statistics: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4"/>
          </w:tcPr>
          <w:p>
            <w:pPr>
              <w:jc w:val="center"/>
              <w:ind w:right="740"/>
              <w:spacing w:after="0"/>
              <w:rPr>
                <w:sz w:val="20"/>
                <w:szCs w:val="20"/>
                <w:color w:val="auto"/>
              </w:rPr>
            </w:pPr>
            <w:r>
              <w:rPr>
                <w:rFonts w:ascii="Arial" w:cs="Arial" w:eastAsia="Arial" w:hAnsi="Arial"/>
                <w:sz w:val="12"/>
                <w:szCs w:val="12"/>
                <w:b w:val="1"/>
                <w:bCs w:val="1"/>
                <w:color w:val="auto"/>
              </w:rPr>
              <w:t>Increase (Decrease)</w:t>
            </w:r>
          </w:p>
        </w:tc>
        <w:tc>
          <w:tcPr>
            <w:tcW w:w="960" w:type="dxa"/>
            <w:vAlign w:val="bottom"/>
          </w:tcPr>
          <w:p>
            <w:pPr>
              <w:spacing w:after="0"/>
              <w:rPr>
                <w:sz w:val="12"/>
                <w:szCs w:val="12"/>
                <w:color w:val="auto"/>
              </w:rPr>
            </w:pPr>
          </w:p>
        </w:tc>
      </w:tr>
      <w:tr>
        <w:trPr>
          <w:trHeight w:val="168"/>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2"/>
                <w:szCs w:val="12"/>
                <w:b w:val="1"/>
                <w:bCs w:val="1"/>
                <w:color w:val="auto"/>
              </w:rPr>
              <w:t>vs. Six Months Ended June 30, 2017</w:t>
            </w:r>
          </w:p>
        </w:tc>
        <w:tc>
          <w:tcPr>
            <w:tcW w:w="960" w:type="dxa"/>
            <w:vAlign w:val="bottom"/>
            <w:tcBorders>
              <w:bottom w:val="single" w:sz="8" w:color="auto"/>
            </w:tcBorders>
          </w:tcPr>
          <w:p>
            <w:pPr>
              <w:spacing w:after="0"/>
              <w:rPr>
                <w:sz w:val="14"/>
                <w:szCs w:val="14"/>
                <w:color w:val="auto"/>
              </w:rPr>
            </w:pPr>
          </w:p>
        </w:tc>
      </w:tr>
      <w:tr>
        <w:trPr>
          <w:trHeight w:val="151"/>
        </w:trPr>
        <w:tc>
          <w:tcPr>
            <w:tcW w:w="4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Six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Load</w:t>
            </w: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Passenger</w:t>
            </w:r>
          </w:p>
        </w:tc>
        <w:tc>
          <w:tcPr>
            <w:tcW w:w="960" w:type="dxa"/>
            <w:vAlign w:val="bottom"/>
          </w:tcPr>
          <w:p>
            <w:pPr>
              <w:spacing w:after="0"/>
              <w:rPr>
                <w:sz w:val="13"/>
                <w:szCs w:val="13"/>
                <w:color w:val="auto"/>
              </w:rPr>
            </w:pPr>
          </w:p>
        </w:tc>
      </w:tr>
      <w:tr>
        <w:trPr>
          <w:trHeight w:val="168"/>
        </w:trPr>
        <w:tc>
          <w:tcPr>
            <w:tcW w:w="4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254"/>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RPMs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ASMs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Factor</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Yield</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PRASM</w:t>
            </w:r>
          </w:p>
        </w:tc>
      </w:tr>
      <w:tr>
        <w:trPr>
          <w:trHeight w:val="214"/>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20,154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left="374"/>
              <w:spacing w:after="0"/>
              <w:rPr>
                <w:sz w:val="20"/>
                <w:szCs w:val="20"/>
                <w:color w:val="auto"/>
              </w:rPr>
            </w:pPr>
            <w:r>
              <w:rPr>
                <w:rFonts w:ascii="Arial" w:cs="Arial" w:eastAsia="Arial" w:hAnsi="Arial"/>
                <w:sz w:val="16"/>
                <w:szCs w:val="16"/>
                <w:color w:val="auto"/>
                <w:w w:val="96"/>
              </w:rPr>
              <w:t>0.8pts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140"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Passenger revenue increased $804 million, or 4.2%, in the first six months of 2018 from the 2017 period primarily driven by a 2.9% period-over-period increase in RPMs and 1.2% increase in yields driven by continued strong demand. International yields increased 6.4%, led by improved yields in the Atlantic market, which more than offset a 0.5% decrease in domestic yields.</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Cargo revenue increased $78 million, or 19.1%, in the first six months of 2018 from the 2017 period primarily driven by increases in freight volume and domestic and international freight yields.</w:t>
      </w:r>
    </w:p>
    <w:p>
      <w:pPr>
        <w:spacing w:after="0" w:line="13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Other revenue includes revenue associated with our loyalty program, airport clubs, advertising and vacation-related services. Other revenue increased $115 million, or 9.0%, in the first six months of 2018 from the 2017 period due to higher revenue associated with our loyalty program. In the first six months of 2018 and 2017, loyalty revenue included in other revenue was $1.2 billion and $1.0 billion, respectively.</w:t>
      </w:r>
    </w:p>
    <w:p>
      <w:pPr>
        <w:spacing w:after="0" w:line="136" w:lineRule="exact"/>
        <w:rPr>
          <w:sz w:val="20"/>
          <w:szCs w:val="20"/>
          <w:color w:val="auto"/>
        </w:rPr>
      </w:pPr>
    </w:p>
    <w:p>
      <w:pPr>
        <w:jc w:val="both"/>
        <w:ind w:firstLine="187"/>
        <w:spacing w:after="0" w:line="317" w:lineRule="auto"/>
        <w:rPr>
          <w:sz w:val="20"/>
          <w:szCs w:val="20"/>
          <w:color w:val="auto"/>
        </w:rPr>
      </w:pPr>
      <w:r>
        <w:rPr>
          <w:rFonts w:ascii="Arial" w:cs="Arial" w:eastAsia="Arial" w:hAnsi="Arial"/>
          <w:sz w:val="14"/>
          <w:szCs w:val="14"/>
          <w:color w:val="auto"/>
        </w:rPr>
        <w:t>Total operating revenues in the first six months of 2018 increased $997 million, or 4.7%, from the 2017 period driven principally by a 4.2% increase in passenger revenue as described above. Our TRASM was 15.89 cents in the first six months of 2018, a 2.8% increase as compared to 15.47 cents in the 2017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731" w:right="219" w:bottom="1440" w:gutter="0" w:footer="0" w:header="0"/>
        </w:sectPr>
      </w:pPr>
    </w:p>
    <w:bookmarkStart w:id="53" w:name="page54"/>
    <w:bookmarkEnd w:id="53"/>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5"/>
          </w:tcPr>
          <w:p>
            <w:pPr>
              <w:ind w:left="600"/>
              <w:spacing w:after="0"/>
              <w:rPr>
                <w:sz w:val="20"/>
                <w:szCs w:val="20"/>
                <w:color w:val="auto"/>
              </w:rPr>
            </w:pPr>
            <w:r>
              <w:rPr>
                <w:rFonts w:ascii="Arial" w:cs="Arial" w:eastAsia="Arial" w:hAnsi="Arial"/>
                <w:sz w:val="12"/>
                <w:szCs w:val="12"/>
                <w:b w:val="1"/>
                <w:bCs w:val="1"/>
                <w:color w:val="auto"/>
              </w:rPr>
              <w:t>Six Months Ended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vMerge w:val="restart"/>
          </w:tcPr>
          <w:p>
            <w:pPr>
              <w:jc w:val="center"/>
              <w:ind w:left="5"/>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64"/>
              <w:spacing w:after="0" w:line="119" w:lineRule="exact"/>
              <w:rPr>
                <w:sz w:val="20"/>
                <w:szCs w:val="20"/>
                <w:color w:val="auto"/>
              </w:rPr>
            </w:pPr>
            <w:r>
              <w:rPr>
                <w:rFonts w:ascii="Arial" w:cs="Arial" w:eastAsia="Arial" w:hAnsi="Arial"/>
                <w:sz w:val="12"/>
                <w:szCs w:val="12"/>
                <w:b w:val="1"/>
                <w:bCs w:val="1"/>
                <w:color w:val="auto"/>
              </w:rPr>
              <w:t>Increase</w:t>
            </w:r>
          </w:p>
        </w:tc>
        <w:tc>
          <w:tcPr>
            <w:tcW w:w="1460" w:type="dxa"/>
            <w:vAlign w:val="bottom"/>
            <w:vMerge w:val="restart"/>
          </w:tcPr>
          <w:p>
            <w:pPr>
              <w:jc w:val="center"/>
              <w:ind w:left="5"/>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b w:val="1"/>
                <w:bCs w:val="1"/>
                <w:color w:val="auto"/>
              </w:rPr>
              <w:t>(Decrease)</w:t>
            </w:r>
          </w:p>
        </w:tc>
        <w:tc>
          <w:tcPr>
            <w:tcW w:w="1460" w:type="dxa"/>
            <w:vAlign w:val="bottom"/>
            <w:tcBorders>
              <w:bottom w:val="single" w:sz="8" w:color="auto"/>
            </w:tcBorders>
          </w:tcPr>
          <w:p>
            <w:pPr>
              <w:jc w:val="center"/>
              <w:ind w:left="25"/>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164"/>
              <w:spacing w:after="0"/>
              <w:rPr>
                <w:sz w:val="20"/>
                <w:szCs w:val="20"/>
                <w:color w:val="auto"/>
              </w:rPr>
            </w:pPr>
            <w:r>
              <w:rPr>
                <w:rFonts w:ascii="Arial" w:cs="Arial" w:eastAsia="Arial" w:hAnsi="Arial"/>
                <w:sz w:val="12"/>
                <w:szCs w:val="12"/>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954</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6,111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5,898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213</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60</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20</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48</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86</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27</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2,587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184</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215</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2,546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81</w:t>
            </w:r>
          </w:p>
        </w:tc>
        <w:tc>
          <w:tcPr>
            <w:tcW w:w="1460" w:type="dxa"/>
            <w:vAlign w:val="bottom"/>
            <w:tcBorders>
              <w:bottom w:val="single" w:sz="8" w:color="CCEEFF"/>
            </w:tcBorders>
          </w:tcPr>
          <w:p>
            <w:pPr>
              <w:jc w:val="right"/>
              <w:ind w:right="45"/>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20,585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18,711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1,874</w:t>
            </w:r>
          </w:p>
        </w:tc>
        <w:tc>
          <w:tcPr>
            <w:tcW w:w="1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Total operating expenses increased $1.9 billion, or 10.0%, in the first six months of 2018 from the 2017 period. The increase in operating expenses was primarily driven by an increase in fuel costs and higher wage rates. See detailed explanations below relating to changes in total CASM.</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Total CASM</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37"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731" w:right="219" w:bottom="1440" w:gutter="0" w:footer="0" w:header="0"/>
        </w:sectPr>
      </w:pPr>
    </w:p>
    <w:bookmarkStart w:id="54" w:name="page55"/>
    <w:bookmarkEnd w:id="54"/>
    <w:p>
      <w:pPr>
        <w:ind w:right="20" w:firstLine="187"/>
        <w:spacing w:after="0" w:line="248" w:lineRule="auto"/>
        <w:rPr>
          <w:sz w:val="20"/>
          <w:szCs w:val="20"/>
          <w:color w:val="auto"/>
        </w:rPr>
      </w:pPr>
      <w:r>
        <w:rPr>
          <w:rFonts w:ascii="Arial" w:cs="Arial" w:eastAsia="Arial" w:hAnsi="Arial"/>
          <w:sz w:val="16"/>
          <w:szCs w:val="16"/>
          <w:color w:val="auto"/>
        </w:rPr>
        <w:t>The major components of our total CASM and our total CASM excluding special items and fuel for the six months ended June 30, 2018 and 2017 are as follows (amounts may not recalculate due to rounding):</w:t>
      </w:r>
    </w:p>
    <w:p>
      <w:pPr>
        <w:sectPr>
          <w:pgSz w:w="11900" w:h="16838" w:orient="portrait"/>
          <w:cols w:equalWidth="0" w:num="1">
            <w:col w:w="11440"/>
          </w:cols>
          <w:pgMar w:left="240" w:top="67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CASM:</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fuel and related taxes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Salaries, wages and benefits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Maintenance, materials and repairs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rent and landing fees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rent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expenses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 items, net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Regional expenses: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CASM</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 items, net: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Special items, net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Aircraft fuel and related taxes: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 - mainline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Aircraft fuel and related taxes - regional</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CASM, excluding special items and fuel</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220" w:type="dxa"/>
            <w:vAlign w:val="bottom"/>
            <w:gridSpan w:val="3"/>
          </w:tcPr>
          <w:p>
            <w:pPr>
              <w:jc w:val="center"/>
              <w:ind w:left="945"/>
              <w:spacing w:after="0"/>
              <w:rPr>
                <w:sz w:val="20"/>
                <w:szCs w:val="20"/>
                <w:color w:val="auto"/>
              </w:rPr>
            </w:pPr>
            <w:r>
              <w:rPr>
                <w:rFonts w:ascii="Arial" w:cs="Arial" w:eastAsia="Arial" w:hAnsi="Arial"/>
                <w:sz w:val="12"/>
                <w:szCs w:val="12"/>
                <w:b w:val="1"/>
                <w:bCs w:val="1"/>
                <w:color w:val="auto"/>
              </w:rPr>
              <w:t>Six Months Ended</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vMerge w:val="restart"/>
          </w:tcPr>
          <w:p>
            <w:pPr>
              <w:jc w:val="center"/>
              <w:ind w:right="304"/>
              <w:spacing w:after="0"/>
              <w:rPr>
                <w:sz w:val="20"/>
                <w:szCs w:val="20"/>
                <w:color w:val="auto"/>
              </w:rPr>
            </w:pPr>
            <w:r>
              <w:rPr>
                <w:rFonts w:ascii="Arial" w:cs="Arial" w:eastAsia="Arial" w:hAnsi="Arial"/>
                <w:sz w:val="12"/>
                <w:szCs w:val="12"/>
                <w:b w:val="1"/>
                <w:bCs w:val="1"/>
                <w:color w:val="auto"/>
                <w:w w:val="99"/>
              </w:rPr>
              <w:t>Percent</w:t>
            </w:r>
          </w:p>
        </w:tc>
        <w:tc>
          <w:tcPr>
            <w:tcW w:w="0" w:type="dxa"/>
            <w:vAlign w:val="bottom"/>
          </w:tcPr>
          <w:p>
            <w:pPr>
              <w:spacing w:after="0"/>
              <w:rPr>
                <w:sz w:val="1"/>
                <w:szCs w:val="1"/>
                <w:color w:val="auto"/>
              </w:rPr>
            </w:pPr>
          </w:p>
        </w:tc>
      </w:tr>
      <w:tr>
        <w:trPr>
          <w:trHeight w:val="127"/>
        </w:trPr>
        <w:tc>
          <w:tcPr>
            <w:tcW w:w="2220" w:type="dxa"/>
            <w:vAlign w:val="bottom"/>
            <w:gridSpan w:val="3"/>
          </w:tcPr>
          <w:p>
            <w:pPr>
              <w:jc w:val="center"/>
              <w:ind w:left="965"/>
              <w:spacing w:after="0" w:line="127" w:lineRule="exact"/>
              <w:rPr>
                <w:sz w:val="20"/>
                <w:szCs w:val="20"/>
                <w:color w:val="auto"/>
              </w:rPr>
            </w:pPr>
            <w:r>
              <w:rPr>
                <w:rFonts w:ascii="Arial" w:cs="Arial" w:eastAsia="Arial" w:hAnsi="Arial"/>
                <w:sz w:val="12"/>
                <w:szCs w:val="12"/>
                <w:b w:val="1"/>
                <w:bCs w:val="1"/>
                <w:color w:val="auto"/>
              </w:rPr>
              <w:t>June 30,</w:t>
            </w: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restart"/>
          </w:tcPr>
          <w:p>
            <w:pPr>
              <w:jc w:val="center"/>
              <w:ind w:right="304"/>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50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04"/>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3"/>
        </w:trPr>
        <w:tc>
          <w:tcPr>
            <w:tcW w:w="3700" w:type="dxa"/>
            <w:vAlign w:val="bottom"/>
            <w:gridSpan w:val="5"/>
          </w:tcPr>
          <w:p>
            <w:pPr>
              <w:ind w:left="1340"/>
              <w:spacing w:after="0"/>
              <w:rPr>
                <w:sz w:val="20"/>
                <w:szCs w:val="20"/>
                <w:color w:val="auto"/>
              </w:rPr>
            </w:pPr>
            <w:r>
              <w:rPr>
                <w:rFonts w:ascii="Arial" w:cs="Arial" w:eastAsia="Arial" w:hAnsi="Arial"/>
                <w:sz w:val="12"/>
                <w:szCs w:val="12"/>
                <w:b w:val="1"/>
                <w:bCs w:val="1"/>
                <w:color w:val="auto"/>
              </w:rPr>
              <w:t>(In cents, except percentage changes)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2.14</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4.33</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0.73</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0.66</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0.43</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0.51</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0.60</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0.24</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4"/>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1.77</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468"/>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0.48</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40"/>
        </w:trPr>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1.87</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1500" w:type="dxa"/>
            <w:vAlign w:val="bottom"/>
          </w:tcPr>
          <w:p>
            <w:pPr>
              <w:jc w:val="right"/>
              <w:ind w:right="45"/>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13.75</w:t>
            </w:r>
          </w:p>
        </w:tc>
        <w:tc>
          <w:tcPr>
            <w:tcW w:w="480" w:type="dxa"/>
            <w:vAlign w:val="bottom"/>
          </w:tcPr>
          <w:p>
            <w:pPr>
              <w:spacing w:after="0"/>
              <w:rPr>
                <w:sz w:val="18"/>
                <w:szCs w:val="18"/>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68"/>
        </w:trPr>
        <w:tc>
          <w:tcPr>
            <w:tcW w:w="15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(0.24)</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468"/>
        </w:trPr>
        <w:tc>
          <w:tcPr>
            <w:tcW w:w="15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w:t>
            </w:r>
          </w:p>
        </w:tc>
        <w:tc>
          <w:tcPr>
            <w:tcW w:w="480" w:type="dxa"/>
            <w:vAlign w:val="bottom"/>
          </w:tcPr>
          <w:p>
            <w:pPr>
              <w:spacing w:after="0"/>
              <w:rPr>
                <w:sz w:val="24"/>
                <w:szCs w:val="24"/>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4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48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20"/>
        </w:trPr>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10.90</w:t>
            </w:r>
          </w:p>
        </w:tc>
        <w:tc>
          <w:tcPr>
            <w:tcW w:w="480" w:type="dxa"/>
            <w:vAlign w:val="bottom"/>
          </w:tcPr>
          <w:p>
            <w:pPr>
              <w:spacing w:after="0"/>
              <w:rPr>
                <w:sz w:val="19"/>
                <w:szCs w:val="19"/>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-2992755</wp:posOffset>
            </wp:positionV>
            <wp:extent cx="7265035" cy="148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-2695575</wp:posOffset>
            </wp:positionV>
            <wp:extent cx="7265035" cy="148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-2399030</wp:posOffset>
            </wp:positionV>
            <wp:extent cx="7265035" cy="148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-2101850</wp:posOffset>
            </wp:positionV>
            <wp:extent cx="7265035" cy="148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-1804670</wp:posOffset>
            </wp:positionV>
            <wp:extent cx="7265035" cy="148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-1507490</wp:posOffset>
            </wp:positionV>
            <wp:extent cx="7265035" cy="148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-1210310</wp:posOffset>
            </wp:positionV>
            <wp:extent cx="7265035" cy="148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-913130</wp:posOffset>
            </wp:positionV>
            <wp:extent cx="7265035" cy="148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-615950</wp:posOffset>
            </wp:positionV>
            <wp:extent cx="7265035" cy="148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-318770</wp:posOffset>
            </wp:positionV>
            <wp:extent cx="7265035" cy="148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5800" w:space="720"/>
            <w:col w:w="4920"/>
          </w:cols>
          <w:pgMar w:left="240" w:top="677" w:right="219" w:bottom="1440" w:gutter="0" w:footer="0" w:header="0"/>
          <w:type w:val="continuous"/>
        </w:sectPr>
      </w:pPr>
    </w:p>
    <w:p>
      <w:pPr>
        <w:ind w:left="460" w:right="20" w:hanging="279"/>
        <w:spacing w:after="0" w:line="24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Aircraft fuel and related taxes per ASM increased 30.3% primarily due to a 31.1% increase in the average price per gallon of fuel to $2.16 in the first six months of 2018 from $1.65 in the 2017 period.</w:t>
      </w:r>
    </w:p>
    <w:p>
      <w:pPr>
        <w:spacing w:after="0" w:line="134" w:lineRule="exact"/>
        <w:rPr>
          <w:rFonts w:ascii="Arial" w:cs="Arial" w:eastAsia="Arial" w:hAnsi="Arial"/>
          <w:sz w:val="16"/>
          <w:szCs w:val="16"/>
          <w:color w:val="auto"/>
        </w:rPr>
      </w:pPr>
    </w:p>
    <w:p>
      <w:pPr>
        <w:ind w:left="460" w:hanging="279"/>
        <w:spacing w:after="0" w:line="24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Salaries, wages and benefits per ASM increased 1.6% primarily due to mid-contract pay rate increases for pilots and flight attendants effective in the second quarter of 2017.</w:t>
      </w:r>
    </w:p>
    <w:p>
      <w:pPr>
        <w:spacing w:after="0" w:line="134" w:lineRule="exact"/>
        <w:rPr>
          <w:rFonts w:ascii="Arial" w:cs="Arial" w:eastAsia="Arial" w:hAnsi="Arial"/>
          <w:sz w:val="16"/>
          <w:szCs w:val="16"/>
          <w:color w:val="auto"/>
        </w:rPr>
      </w:pPr>
    </w:p>
    <w:p>
      <w:pPr>
        <w:jc w:val="both"/>
        <w:ind w:left="460" w:hanging="279"/>
        <w:spacing w:after="0" w:line="24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Depreciation and amortization per ASM increased 8.4% due in part to our fleet renewal program as subsequent to the second quarter of 2017 we took delivery of 18 newly owned mainline aircraft. Information technology and software development projects associated with our merger integration also contributed to the increase.</w:t>
      </w:r>
    </w:p>
    <w:p>
      <w:pPr>
        <w:spacing w:after="0" w:line="136" w:lineRule="exact"/>
        <w:rPr>
          <w:rFonts w:ascii="Arial" w:cs="Arial" w:eastAsia="Arial" w:hAnsi="Arial"/>
          <w:sz w:val="16"/>
          <w:szCs w:val="16"/>
          <w:color w:val="auto"/>
        </w:rPr>
      </w:pPr>
    </w:p>
    <w:p>
      <w:pPr>
        <w:ind w:left="460" w:right="20" w:hanging="279"/>
        <w:spacing w:after="0" w:line="24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operating expenses per ASM increased 5.6% primarily due to expenses associated with improving our product offerings, customer experience and operational reliability.</w:t>
      </w:r>
    </w:p>
    <w:p>
      <w:pPr>
        <w:spacing w:after="0" w:line="134" w:lineRule="exact"/>
        <w:rPr>
          <w:rFonts w:ascii="Arial" w:cs="Arial" w:eastAsia="Arial" w:hAnsi="Arial"/>
          <w:sz w:val="16"/>
          <w:szCs w:val="16"/>
          <w:color w:val="auto"/>
        </w:rPr>
      </w:pPr>
    </w:p>
    <w:p>
      <w:pPr>
        <w:ind w:left="460" w:right="20" w:hanging="279"/>
        <w:spacing w:after="0" w:line="24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Regional aircraft fuel and related taxes per ASM increased 30.7% primarily due to a 29.4% increase in the average price per gallon of fuel to $2.22 in the first six months of 2018 from $1.72 in the 2017 period.</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677" w:right="219" w:bottom="1440" w:gutter="0" w:footer="0" w:header="0"/>
          <w:type w:val="continuous"/>
        </w:sectPr>
      </w:pPr>
    </w:p>
    <w:bookmarkStart w:id="55" w:name="page56"/>
    <w:bookmarkEnd w:id="55"/>
    <w:p>
      <w:pPr>
        <w:ind w:left="180"/>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2"/>
                <w:szCs w:val="12"/>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r>
      <w:tr>
        <w:trPr>
          <w:trHeight w:val="226"/>
        </w:trPr>
        <w:tc>
          <w:tcPr>
            <w:tcW w:w="2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2017</w:t>
            </w:r>
          </w:p>
        </w:tc>
        <w:tc>
          <w:tcPr>
            <w:tcW w:w="540" w:type="dxa"/>
            <w:vAlign w:val="bottom"/>
            <w:tcBorders>
              <w:bottom w:val="single" w:sz="8" w:color="auto"/>
            </w:tcBorders>
          </w:tcPr>
          <w:p>
            <w:pPr>
              <w:spacing w:after="0"/>
              <w:rPr>
                <w:sz w:val="19"/>
                <w:szCs w:val="19"/>
                <w:color w:val="auto"/>
              </w:rPr>
            </w:pPr>
          </w:p>
        </w:tc>
      </w:tr>
      <w:tr>
        <w:trPr>
          <w:trHeight w:val="179"/>
        </w:trPr>
        <w:tc>
          <w:tcPr>
            <w:tcW w:w="21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gridSpan w:val="3"/>
          </w:tcPr>
          <w:p>
            <w:pPr>
              <w:jc w:val="right"/>
              <w:ind w:right="807"/>
              <w:spacing w:after="0"/>
              <w:rPr>
                <w:sz w:val="20"/>
                <w:szCs w:val="20"/>
                <w:color w:val="auto"/>
              </w:rPr>
            </w:pPr>
            <w:r>
              <w:rPr>
                <w:rFonts w:ascii="Arial" w:cs="Arial" w:eastAsia="Arial" w:hAnsi="Arial"/>
                <w:sz w:val="12"/>
                <w:szCs w:val="12"/>
                <w:b w:val="1"/>
                <w:bCs w:val="1"/>
                <w:color w:val="auto"/>
              </w:rPr>
              <w:t>(In millions)</w:t>
            </w:r>
          </w:p>
        </w:tc>
        <w:tc>
          <w:tcPr>
            <w:tcW w:w="540" w:type="dxa"/>
            <w:vAlign w:val="bottom"/>
          </w:tcPr>
          <w:p>
            <w:pPr>
              <w:spacing w:after="0"/>
              <w:rPr>
                <w:sz w:val="15"/>
                <w:szCs w:val="15"/>
                <w:color w:val="auto"/>
              </w:rPr>
            </w:pPr>
          </w:p>
        </w:tc>
      </w:tr>
      <w:tr>
        <w:trPr>
          <w:trHeight w:val="23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r>
      <w:tr>
        <w:trPr>
          <w:trHeight w:val="234"/>
        </w:trPr>
        <w:tc>
          <w:tcPr>
            <w:tcW w:w="78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tc>
        <w:tc>
          <w:tcPr>
            <w:tcW w:w="1200" w:type="dxa"/>
            <w:vAlign w:val="bottom"/>
          </w:tcPr>
          <w:p>
            <w:pPr>
              <w:spacing w:after="0"/>
              <w:rPr>
                <w:sz w:val="20"/>
                <w:szCs w:val="20"/>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130</w:t>
            </w:r>
          </w:p>
        </w:tc>
      </w:tr>
      <w:tr>
        <w:trPr>
          <w:trHeight w:val="234"/>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Mark-to-market adjustments on bankruptcy obligations </w:t>
            </w:r>
            <w:r>
              <w:rPr>
                <w:rFonts w:ascii="Arial" w:cs="Arial" w:eastAsia="Arial" w:hAnsi="Arial"/>
                <w:sz w:val="18"/>
                <w:szCs w:val="18"/>
                <w:color w:val="auto"/>
                <w:vertAlign w:val="superscript"/>
              </w:rPr>
              <w:t>(3)</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r>
      <w:tr>
        <w:trPr>
          <w:trHeight w:val="234"/>
        </w:trPr>
        <w:tc>
          <w:tcPr>
            <w:tcW w:w="7880" w:type="dxa"/>
            <w:vAlign w:val="bottom"/>
            <w:gridSpan w:val="2"/>
          </w:tcPr>
          <w:p>
            <w:pPr>
              <w:ind w:left="20"/>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tc>
        <w:tc>
          <w:tcPr>
            <w:tcW w:w="1200" w:type="dxa"/>
            <w:vAlign w:val="bottom"/>
          </w:tcPr>
          <w:p>
            <w:pPr>
              <w:spacing w:after="0"/>
              <w:rPr>
                <w:sz w:val="20"/>
                <w:szCs w:val="20"/>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34"/>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Litigation settlement</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28"/>
        </w:trPr>
        <w:tc>
          <w:tcPr>
            <w:tcW w:w="7880" w:type="dxa"/>
            <w:vAlign w:val="bottom"/>
            <w:gridSpan w:val="2"/>
          </w:tcPr>
          <w:p>
            <w:pPr>
              <w:ind w:left="20"/>
              <w:spacing w:after="0"/>
              <w:rPr>
                <w:sz w:val="20"/>
                <w:szCs w:val="20"/>
                <w:color w:val="auto"/>
              </w:rPr>
            </w:pPr>
            <w:r>
              <w:rPr>
                <w:rFonts w:ascii="Arial" w:cs="Arial" w:eastAsia="Arial" w:hAnsi="Arial"/>
                <w:sz w:val="16"/>
                <w:szCs w:val="16"/>
                <w:color w:val="auto"/>
              </w:rPr>
              <w:t>Labor contract expenses</w:t>
            </w:r>
          </w:p>
        </w:tc>
        <w:tc>
          <w:tcPr>
            <w:tcW w:w="1200" w:type="dxa"/>
            <w:vAlign w:val="bottom"/>
          </w:tcPr>
          <w:p>
            <w:pPr>
              <w:spacing w:after="0"/>
              <w:rPr>
                <w:sz w:val="19"/>
                <w:szCs w:val="19"/>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45</w:t>
            </w:r>
          </w:p>
        </w:tc>
      </w:tr>
      <w:tr>
        <w:trPr>
          <w:trHeight w:val="24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charges, net</w:t>
            </w:r>
          </w:p>
        </w:tc>
        <w:tc>
          <w:tcPr>
            <w:tcW w:w="1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r>
      <w:tr>
        <w:trPr>
          <w:trHeight w:val="208"/>
        </w:trPr>
        <w:tc>
          <w:tcPr>
            <w:tcW w:w="7880" w:type="dxa"/>
            <w:vAlign w:val="bottom"/>
            <w:gridSpan w:val="2"/>
          </w:tcPr>
          <w:p>
            <w:pPr>
              <w:ind w:left="140"/>
              <w:spacing w:after="0"/>
              <w:rPr>
                <w:sz w:val="20"/>
                <w:szCs w:val="20"/>
                <w:color w:val="auto"/>
              </w:rPr>
            </w:pPr>
            <w:r>
              <w:rPr>
                <w:rFonts w:ascii="Arial" w:cs="Arial" w:eastAsia="Arial" w:hAnsi="Arial"/>
                <w:sz w:val="16"/>
                <w:szCs w:val="16"/>
                <w:color w:val="auto"/>
              </w:rPr>
              <w:t>Total mainline operating special items, net</w:t>
            </w:r>
          </w:p>
        </w:tc>
        <w:tc>
          <w:tcPr>
            <w:tcW w:w="120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320</w:t>
            </w:r>
          </w:p>
        </w:tc>
      </w:tr>
      <w:tr>
        <w:trPr>
          <w:trHeight w:val="24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operating special items, net</w:t>
            </w:r>
          </w:p>
        </w:tc>
        <w:tc>
          <w:tcPr>
            <w:tcW w:w="1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r>
      <w:tr>
        <w:trPr>
          <w:trHeight w:val="208"/>
        </w:trPr>
        <w:tc>
          <w:tcPr>
            <w:tcW w:w="7880" w:type="dxa"/>
            <w:vAlign w:val="bottom"/>
            <w:gridSpan w:val="2"/>
          </w:tcPr>
          <w:p>
            <w:pPr>
              <w:ind w:left="140"/>
              <w:spacing w:after="0"/>
              <w:rPr>
                <w:sz w:val="20"/>
                <w:szCs w:val="20"/>
                <w:color w:val="auto"/>
              </w:rPr>
            </w:pPr>
            <w:r>
              <w:rPr>
                <w:rFonts w:ascii="Arial" w:cs="Arial" w:eastAsia="Arial" w:hAnsi="Arial"/>
                <w:sz w:val="16"/>
                <w:szCs w:val="16"/>
                <w:color w:val="auto"/>
              </w:rPr>
              <w:t>Total operating special items, net</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324</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5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57" w:lineRule="exact"/>
        <w:rPr>
          <w:sz w:val="20"/>
          <w:szCs w:val="20"/>
          <w:color w:val="auto"/>
        </w:rPr>
      </w:pPr>
    </w:p>
    <w:p>
      <w:pPr>
        <w:ind w:left="420" w:hanging="286"/>
        <w:spacing w:after="0" w:line="223" w:lineRule="auto"/>
        <w:tabs>
          <w:tab w:leader="none" w:pos="420" w:val="left"/>
        </w:tabs>
        <w:numPr>
          <w:ilvl w:val="0"/>
          <w:numId w:val="41"/>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41"/>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our remaining integration projects, principally our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41"/>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our common stock. Accordingly, fluctuations in our stock price result in mark-to-market adjustments to these obligations.</w:t>
      </w:r>
    </w:p>
    <w:p>
      <w:pPr>
        <w:spacing w:after="0" w:line="120"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41"/>
        </w:numPr>
        <w:rPr>
          <w:rFonts w:ascii="Arial" w:cs="Arial" w:eastAsia="Arial" w:hAnsi="Arial"/>
          <w:sz w:val="18"/>
          <w:szCs w:val="18"/>
          <w:color w:val="auto"/>
          <w:vertAlign w:val="superscript"/>
        </w:rPr>
      </w:pPr>
      <w:r>
        <w:rPr>
          <w:rFonts w:ascii="Arial" w:cs="Arial" w:eastAsia="Arial" w:hAnsi="Arial"/>
          <w:sz w:val="15"/>
          <w:szCs w:val="15"/>
          <w:color w:val="auto"/>
        </w:rPr>
        <w:t>Intangible asset impairment includes a non-cash charge to write-off our Brazil route authority as a result of ratification of the U.S.-Brazil open skies agreement.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Six Months Ended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vMerge w:val="restart"/>
          </w:tcPr>
          <w:p>
            <w:pPr>
              <w:jc w:val="center"/>
              <w:ind w:left="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67"/>
              <w:spacing w:after="0" w:line="119" w:lineRule="exact"/>
              <w:rPr>
                <w:sz w:val="20"/>
                <w:szCs w:val="20"/>
                <w:color w:val="auto"/>
              </w:rPr>
            </w:pPr>
            <w:r>
              <w:rPr>
                <w:rFonts w:ascii="Arial" w:cs="Arial" w:eastAsia="Arial" w:hAnsi="Arial"/>
                <w:sz w:val="12"/>
                <w:szCs w:val="12"/>
                <w:b w:val="1"/>
                <w:bCs w:val="1"/>
                <w:color w:val="auto"/>
              </w:rPr>
              <w:t>Increase</w:t>
            </w:r>
          </w:p>
        </w:tc>
        <w:tc>
          <w:tcPr>
            <w:tcW w:w="1460" w:type="dxa"/>
            <w:vAlign w:val="bottom"/>
            <w:vMerge w:val="restart"/>
          </w:tcPr>
          <w:p>
            <w:pPr>
              <w:jc w:val="center"/>
              <w:ind w:left="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(Decrease)</w:t>
            </w:r>
          </w:p>
        </w:tc>
        <w:tc>
          <w:tcPr>
            <w:tcW w:w="1460" w:type="dxa"/>
            <w:vAlign w:val="bottom"/>
            <w:tcBorders>
              <w:bottom w:val="single" w:sz="8" w:color="auto"/>
            </w:tcBorders>
          </w:tcPr>
          <w:p>
            <w:pPr>
              <w:jc w:val="center"/>
              <w:ind w:left="2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167"/>
              <w:spacing w:after="0"/>
              <w:rPr>
                <w:sz w:val="20"/>
                <w:szCs w:val="20"/>
                <w:color w:val="auto"/>
              </w:rPr>
            </w:pPr>
            <w:r>
              <w:rPr>
                <w:rFonts w:ascii="Arial" w:cs="Arial" w:eastAsia="Arial" w:hAnsi="Arial"/>
                <w:sz w:val="12"/>
                <w:szCs w:val="12"/>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880" w:type="dxa"/>
            <w:vAlign w:val="bottom"/>
            <w:shd w:val="clear" w:color="auto" w:fill="CCEEFF"/>
          </w:tcPr>
          <w:p>
            <w:pPr>
              <w:jc w:val="right"/>
              <w:ind w:right="687"/>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10</w:t>
            </w: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460" w:type="dxa"/>
            <w:vAlign w:val="bottom"/>
          </w:tcPr>
          <w:p>
            <w:pPr>
              <w:jc w:val="right"/>
              <w:ind w:right="4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6"/>
                <w:szCs w:val="16"/>
                <w:color w:val="auto"/>
              </w:rPr>
              <w:t>Total nonoperating expense, net</w:t>
            </w:r>
          </w:p>
        </w:tc>
        <w:tc>
          <w:tcPr>
            <w:tcW w:w="880" w:type="dxa"/>
            <w:vAlign w:val="bottom"/>
            <w:tcBorders>
              <w:bottom w:val="single" w:sz="8" w:color="auto"/>
            </w:tcBorders>
          </w:tcPr>
          <w:p>
            <w:pPr>
              <w:jc w:val="right"/>
              <w:ind w:right="687"/>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4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In the 2018 period, other nonoperating income, net principally included $151 million of non-service related pension and other postretirement benefit plan income. This income was offset in part by a $66 million net special charge for mark-to-market unrealized losses primarily on our equity investment in China Southern Airlines, $23 million of net foreign currency losses, principally associated with losses from Latin American currencies, and $14 million of net special charges associated with debt refinancings and extinguishments.</w:t>
      </w:r>
    </w:p>
    <w:p>
      <w:pPr>
        <w:spacing w:after="0" w:line="138"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In the 2017 period, other nonoperating income, net principally included $68 million of non-service related pension and other postretirement benefit plan income, offset in part by $4 million of net foreign currency losses.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731" w:right="219" w:bottom="1440" w:gutter="0" w:footer="0" w:header="0"/>
        </w:sectPr>
      </w:pPr>
    </w:p>
    <w:bookmarkStart w:id="56" w:name="page57"/>
    <w:bookmarkEnd w:id="56"/>
    <w:p>
      <w:pPr>
        <w:ind w:left="1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In the first six months of 2018, we recorded an income tax provision of $289 million, which was substantially non-cash due to utilization of our NOLs. This provision included a $22 million special income tax charge to establish a required valuation allowance related to our estimated refund for Alternative Minimum Tax (AMT) credits and an $18 million special income tax charge related to an international income tax matter. Substantially all of our income before income taxes is attributable to the United States.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7 to AAG’s Condensed Consolidated Financial Statements in Part I, Item 1A for additional information on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American’s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2018 Compared to Three Months Ended June 30, 2017</w:t>
      </w:r>
    </w:p>
    <w:p>
      <w:pPr>
        <w:spacing w:after="0" w:line="91"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American realized pre-tax income of $839 million and net income of $619 million in the second quarter of 2018. This compares to the second quarter 2017 pre-tax income of $1.4 billion and net income of $888 million.</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quarter-over-quarter declines in American's pre-tax income were principally driven by an increase in fuel costs, which was offset in part by higher revenues.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5"/>
          </w:tcPr>
          <w:p>
            <w:pPr>
              <w:ind w:left="56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vMerge w:val="restart"/>
          </w:tcPr>
          <w:p>
            <w:pPr>
              <w:jc w:val="center"/>
              <w:ind w:left="2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restart"/>
          </w:tcPr>
          <w:p>
            <w:pPr>
              <w:jc w:val="right"/>
              <w:ind w:right="407"/>
              <w:spacing w:after="0" w:line="119" w:lineRule="exact"/>
              <w:rPr>
                <w:sz w:val="20"/>
                <w:szCs w:val="20"/>
                <w:color w:val="auto"/>
              </w:rPr>
            </w:pPr>
            <w:r>
              <w:rPr>
                <w:rFonts w:ascii="Arial" w:cs="Arial" w:eastAsia="Arial" w:hAnsi="Arial"/>
                <w:sz w:val="12"/>
                <w:szCs w:val="12"/>
                <w:b w:val="1"/>
                <w:bCs w:val="1"/>
                <w:color w:val="auto"/>
              </w:rPr>
              <w:t>Increase</w:t>
            </w:r>
          </w:p>
        </w:tc>
        <w:tc>
          <w:tcPr>
            <w:tcW w:w="1600" w:type="dxa"/>
            <w:vAlign w:val="bottom"/>
            <w:vMerge w:val="restart"/>
          </w:tcPr>
          <w:p>
            <w:pPr>
              <w:jc w:val="center"/>
              <w:ind w:left="2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(Decrease)</w:t>
            </w:r>
          </w:p>
        </w:tc>
        <w:tc>
          <w:tcPr>
            <w:tcW w:w="1600" w:type="dxa"/>
            <w:vAlign w:val="bottom"/>
            <w:tcBorders>
              <w:bottom w:val="single" w:sz="8" w:color="auto"/>
            </w:tcBorders>
          </w:tcPr>
          <w:p>
            <w:pPr>
              <w:jc w:val="center"/>
              <w:ind w:left="4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4"/>
          </w:tcPr>
          <w:p>
            <w:pPr>
              <w:jc w:val="right"/>
              <w:ind w:right="207"/>
              <w:spacing w:after="0"/>
              <w:rPr>
                <w:sz w:val="20"/>
                <w:szCs w:val="20"/>
                <w:color w:val="auto"/>
              </w:rPr>
            </w:pPr>
            <w:r>
              <w:rPr>
                <w:rFonts w:ascii="Arial" w:cs="Arial" w:eastAsia="Arial" w:hAnsi="Arial"/>
                <w:sz w:val="12"/>
                <w:szCs w:val="12"/>
                <w:b w:val="1"/>
                <w:bCs w:val="1"/>
                <w:color w:val="auto"/>
              </w:rPr>
              <w:t>(In millions, except percentage changes)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10,674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10,353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321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19"/>
                <w:szCs w:val="19"/>
                <w:color w:val="auto"/>
              </w:rPr>
            </w:pPr>
          </w:p>
        </w:tc>
        <w:tc>
          <w:tcPr>
            <w:tcW w:w="1040" w:type="dxa"/>
            <w:vAlign w:val="bottom"/>
          </w:tcPr>
          <w:p>
            <w:pPr>
              <w:jc w:val="right"/>
              <w:ind w:right="2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27"/>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color w:val="auto"/>
              </w:rPr>
              <w:t>42</w:t>
            </w:r>
          </w:p>
        </w:tc>
        <w:tc>
          <w:tcPr>
            <w:tcW w:w="160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53</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4"/>
        </w:trPr>
        <w:tc>
          <w:tcPr>
            <w:tcW w:w="5260" w:type="dxa"/>
            <w:vAlign w:val="bottom"/>
          </w:tcPr>
          <w:p>
            <w:pPr>
              <w:ind w:left="14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11,640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11,224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416</w:t>
            </w: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5247640</wp:posOffset>
            </wp:positionH>
            <wp:positionV relativeFrom="paragraph">
              <wp:posOffset>-742315</wp:posOffset>
            </wp:positionV>
            <wp:extent cx="6667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-742315</wp:posOffset>
            </wp:positionV>
            <wp:extent cx="7429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6250305</wp:posOffset>
            </wp:positionH>
            <wp:positionV relativeFrom="paragraph">
              <wp:posOffset>-742315</wp:posOffset>
            </wp:positionV>
            <wp:extent cx="6667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20"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Passenger revenue increased $321 million, or 3.1%, in the second quarter of 2018 from the 2017 period due to a quarter-over-quarter increase in RPMs and yields driven by continued strong demand. International yields increased, led by improved yields in the Atlantic market, which more than offset the decrease in domestic yields.</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Cargo revenue increased $42 million, or 19.4%, in the second quarter of 2018 from the 2017 period primarily driven by increases in freight volume and domestic and international freight yields.</w:t>
      </w:r>
    </w:p>
    <w:p>
      <w:pPr>
        <w:spacing w:after="0" w:line="13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Other revenue includes revenue associated with American's loyalty program, airport clubs, advertising and vacation-related services. Other revenue increased $53 million, or 8.1%, in the second quarter of 2018 from the 2017 period due to higher revenue associated with American's loyalty program. For the three months ended June 30, 2018 and 2017, loyalty revenue included in other revenue was $582 million and $533 million, respectively.</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Total operating revenues in the second quarter of 2018 increased $416 million, or 3.7%, from the 2017 period driven principally by a 3.1% increase in passenger revenue as described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731" w:right="219" w:bottom="1440" w:gutter="0" w:footer="0" w:header="0"/>
        </w:sectPr>
      </w:pPr>
    </w:p>
    <w:bookmarkStart w:id="57" w:name="page58"/>
    <w:bookmarkEnd w:id="57"/>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5"/>
          </w:tcPr>
          <w:p>
            <w:pPr>
              <w:ind w:left="52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vMerge w:val="restart"/>
          </w:tcPr>
          <w:p>
            <w:pPr>
              <w:jc w:val="center"/>
              <w:ind w:left="5"/>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27"/>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3"/>
          </w:tcPr>
          <w:p>
            <w:pPr>
              <w:jc w:val="right"/>
              <w:spacing w:after="0" w:line="127" w:lineRule="exact"/>
              <w:rPr>
                <w:sz w:val="20"/>
                <w:szCs w:val="20"/>
                <w:color w:val="auto"/>
              </w:rPr>
            </w:pPr>
            <w:r>
              <w:rPr>
                <w:rFonts w:ascii="Arial" w:cs="Arial" w:eastAsia="Arial" w:hAnsi="Arial"/>
                <w:sz w:val="12"/>
                <w:szCs w:val="12"/>
                <w:b w:val="1"/>
                <w:bCs w:val="1"/>
                <w:color w:val="auto"/>
              </w:rPr>
              <w:t>June 30,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64"/>
              <w:spacing w:after="0" w:line="119" w:lineRule="exact"/>
              <w:rPr>
                <w:sz w:val="20"/>
                <w:szCs w:val="20"/>
                <w:color w:val="auto"/>
              </w:rPr>
            </w:pPr>
            <w:r>
              <w:rPr>
                <w:rFonts w:ascii="Arial" w:cs="Arial" w:eastAsia="Arial" w:hAnsi="Arial"/>
                <w:sz w:val="12"/>
                <w:szCs w:val="12"/>
                <w:b w:val="1"/>
                <w:bCs w:val="1"/>
                <w:color w:val="auto"/>
              </w:rPr>
              <w:t>Increase</w:t>
            </w:r>
          </w:p>
        </w:tc>
        <w:tc>
          <w:tcPr>
            <w:tcW w:w="1460" w:type="dxa"/>
            <w:vAlign w:val="bottom"/>
            <w:vMerge w:val="restart"/>
          </w:tcPr>
          <w:p>
            <w:pPr>
              <w:jc w:val="center"/>
              <w:ind w:left="5"/>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b w:val="1"/>
                <w:bCs w:val="1"/>
                <w:color w:val="auto"/>
              </w:rPr>
              <w:t>(Decrease)</w:t>
            </w:r>
          </w:p>
        </w:tc>
        <w:tc>
          <w:tcPr>
            <w:tcW w:w="1460" w:type="dxa"/>
            <w:vAlign w:val="bottom"/>
            <w:tcBorders>
              <w:bottom w:val="single" w:sz="8" w:color="auto"/>
            </w:tcBorders>
          </w:tcPr>
          <w:p>
            <w:pPr>
              <w:jc w:val="center"/>
              <w:ind w:left="25"/>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164"/>
              <w:spacing w:after="0"/>
              <w:rPr>
                <w:sz w:val="20"/>
                <w:szCs w:val="20"/>
                <w:color w:val="auto"/>
              </w:rPr>
            </w:pPr>
            <w:r>
              <w:rPr>
                <w:rFonts w:ascii="Arial" w:cs="Arial" w:eastAsia="Arial" w:hAnsi="Arial"/>
                <w:sz w:val="12"/>
                <w:szCs w:val="12"/>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593</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56</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38</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45</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4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103</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136</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19</w:t>
            </w:r>
          </w:p>
        </w:tc>
        <w:tc>
          <w:tcPr>
            <w:tcW w:w="1460" w:type="dxa"/>
            <w:vAlign w:val="bottom"/>
            <w:tcBorders>
              <w:bottom w:val="single" w:sz="8" w:color="CCEEFF"/>
            </w:tcBorders>
          </w:tcPr>
          <w:p>
            <w:pPr>
              <w:jc w:val="right"/>
              <w:ind w:right="4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10,603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9,633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970</w:t>
            </w:r>
          </w:p>
        </w:tc>
        <w:tc>
          <w:tcPr>
            <w:tcW w:w="1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-2078990</wp:posOffset>
            </wp:positionV>
            <wp:extent cx="6667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-2078990</wp:posOffset>
            </wp:positionV>
            <wp:extent cx="742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-2078990</wp:posOffset>
            </wp:positionV>
            <wp:extent cx="6667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20"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Total operating expenses increased $970 million, or 10.1%, in the second quarter of 2018 from the 2017 period. The increase in operating expenses was principally driven by an increase in fuel costs.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Significant changes in the components of American's total operating expenses are as follows:</w:t>
      </w:r>
    </w:p>
    <w:p>
      <w:pPr>
        <w:spacing w:after="0" w:line="144" w:lineRule="exact"/>
        <w:rPr>
          <w:sz w:val="20"/>
          <w:szCs w:val="20"/>
          <w:color w:val="auto"/>
        </w:rPr>
      </w:pPr>
    </w:p>
    <w:p>
      <w:pPr>
        <w:ind w:left="480" w:hanging="276"/>
        <w:spacing w:after="0" w:line="248"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Aircraft fuel and related taxes increased 39.3% primarily due to a 37.8% increase in the average price per gallon of fuel to $2.23 in the second quarter of 2018 from $1.62 in the 2017 period.</w:t>
      </w:r>
    </w:p>
    <w:p>
      <w:pPr>
        <w:spacing w:after="0" w:line="134" w:lineRule="exact"/>
        <w:rPr>
          <w:rFonts w:ascii="Arial" w:cs="Arial" w:eastAsia="Arial" w:hAnsi="Arial"/>
          <w:sz w:val="16"/>
          <w:szCs w:val="16"/>
          <w:color w:val="auto"/>
        </w:rPr>
      </w:pPr>
    </w:p>
    <w:p>
      <w:pPr>
        <w:ind w:left="480" w:hanging="276"/>
        <w:spacing w:after="0" w:line="248"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rent and landing fees increased 8.3% and was primarily driven by rate increases at certain hub airports in the second quarter of 2018 as compared to the 2017 period.</w:t>
      </w:r>
    </w:p>
    <w:p>
      <w:pPr>
        <w:spacing w:after="0" w:line="134" w:lineRule="exact"/>
        <w:rPr>
          <w:rFonts w:ascii="Arial" w:cs="Arial" w:eastAsia="Arial" w:hAnsi="Arial"/>
          <w:sz w:val="16"/>
          <w:szCs w:val="16"/>
          <w:color w:val="auto"/>
        </w:rPr>
      </w:pPr>
    </w:p>
    <w:p>
      <w:pPr>
        <w:jc w:val="both"/>
        <w:ind w:left="480" w:right="20" w:hanging="276"/>
        <w:spacing w:after="0" w:line="246"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Depreciation and amortization increased 10.9% due in part to American's fleet renewal program as subsequent to the second quarter of 2017 American took delivery of 18 newly owned mainline aircraft. Information technology and software development projects associated with American's merger integration also contributed to the increase.</w:t>
      </w:r>
    </w:p>
    <w:p>
      <w:pPr>
        <w:spacing w:after="0" w:line="136" w:lineRule="exact"/>
        <w:rPr>
          <w:rFonts w:ascii="Arial" w:cs="Arial" w:eastAsia="Arial" w:hAnsi="Arial"/>
          <w:sz w:val="16"/>
          <w:szCs w:val="16"/>
          <w:color w:val="auto"/>
        </w:rPr>
      </w:pPr>
    </w:p>
    <w:p>
      <w:pPr>
        <w:ind w:left="480" w:hanging="276"/>
        <w:spacing w:after="0" w:line="248"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operating expenses increased 8.4% primarily due to expenses associated with improving American's product offerings, customer experience and operational reliability.</w:t>
      </w:r>
    </w:p>
    <w:p>
      <w:pPr>
        <w:spacing w:after="0" w:line="134" w:lineRule="exact"/>
        <w:rPr>
          <w:rFonts w:ascii="Arial" w:cs="Arial" w:eastAsia="Arial" w:hAnsi="Arial"/>
          <w:sz w:val="16"/>
          <w:szCs w:val="16"/>
          <w:color w:val="auto"/>
        </w:rPr>
      </w:pPr>
    </w:p>
    <w:p>
      <w:pPr>
        <w:ind w:left="480" w:right="20" w:hanging="276"/>
        <w:spacing w:after="0" w:line="248"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Regional aircraft fuel and related taxes increased 41.1% primarily due to a 35.7% increase in the average price per gallon of fuel to $2.29 in the second quarter of 2018 from $1.69 in the 2017 period as well as a 4.0% increase in gallons of fuel consumed.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40"/>
          </w:cols>
          <w:pgMar w:left="240" w:top="731" w:right="219" w:bottom="1440" w:gutter="0" w:footer="0" w:header="0"/>
        </w:sectPr>
      </w:pPr>
    </w:p>
    <w:bookmarkStart w:id="58" w:name="page59"/>
    <w:bookmarkEnd w:id="58"/>
    <w:p>
      <w:pPr>
        <w:ind w:left="186"/>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591820</wp:posOffset>
            </wp:positionV>
            <wp:extent cx="7265035" cy="148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p>
      <w:pPr>
        <w:spacing w:after="0" w:line="27"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148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ind w:left="26"/>
        <w:spacing w:after="0"/>
        <w:rPr>
          <w:sz w:val="20"/>
          <w:szCs w:val="20"/>
          <w:color w:val="auto"/>
        </w:rPr>
      </w:pPr>
      <w:r>
        <w:rPr>
          <w:rFonts w:ascii="Arial" w:cs="Arial" w:eastAsia="Arial" w:hAnsi="Arial"/>
          <w:sz w:val="15"/>
          <w:szCs w:val="15"/>
          <w:color w:val="auto"/>
        </w:rPr>
        <w:t xml:space="preserve">Mark-to-market adjustments on bankruptcy obligations </w:t>
      </w:r>
      <w:r>
        <w:rPr>
          <w:rFonts w:ascii="Arial" w:cs="Arial" w:eastAsia="Arial" w:hAnsi="Arial"/>
          <w:sz w:val="17"/>
          <w:szCs w:val="17"/>
          <w:color w:val="auto"/>
          <w:vertAlign w:val="superscript"/>
        </w:rPr>
        <w:t>(3)</w:t>
      </w:r>
    </w:p>
    <w:p>
      <w:pPr>
        <w:spacing w:after="0" w:line="38"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65035" cy="148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9" w:lineRule="exact"/>
        <w:rPr>
          <w:sz w:val="20"/>
          <w:szCs w:val="20"/>
          <w:color w:val="auto"/>
        </w:rPr>
      </w:pPr>
    </w:p>
    <w:p>
      <w:pPr>
        <w:ind w:left="26"/>
        <w:spacing w:after="0"/>
        <w:rPr>
          <w:sz w:val="20"/>
          <w:szCs w:val="20"/>
          <w:color w:val="auto"/>
        </w:rPr>
      </w:pPr>
      <w:r>
        <w:rPr>
          <w:rFonts w:ascii="Arial" w:cs="Arial" w:eastAsia="Arial" w:hAnsi="Arial"/>
          <w:sz w:val="16"/>
          <w:szCs w:val="16"/>
          <w:color w:val="auto"/>
        </w:rPr>
        <w:t>Litigation settlement</w:t>
      </w:r>
    </w:p>
    <w:p>
      <w:pPr>
        <w:spacing w:after="0" w:line="50" w:lineRule="exact"/>
        <w:rPr>
          <w:sz w:val="20"/>
          <w:szCs w:val="20"/>
          <w:color w:val="auto"/>
        </w:rPr>
      </w:pPr>
    </w:p>
    <w:p>
      <w:pPr>
        <w:ind w:left="26"/>
        <w:spacing w:after="0"/>
        <w:rPr>
          <w:sz w:val="20"/>
          <w:szCs w:val="20"/>
          <w:color w:val="auto"/>
        </w:rPr>
      </w:pPr>
      <w:r>
        <w:rPr>
          <w:rFonts w:ascii="Arial" w:cs="Arial" w:eastAsia="Arial" w:hAnsi="Arial"/>
          <w:sz w:val="16"/>
          <w:szCs w:val="16"/>
          <w:color w:val="auto"/>
        </w:rPr>
        <w:t>Labor contract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30" w:lineRule="exact"/>
        <w:rPr>
          <w:sz w:val="20"/>
          <w:szCs w:val="20"/>
          <w:color w:val="auto"/>
        </w:rPr>
      </w:pPr>
    </w:p>
    <w:p>
      <w:pPr>
        <w:ind w:left="26"/>
        <w:spacing w:after="0"/>
        <w:rPr>
          <w:sz w:val="20"/>
          <w:szCs w:val="20"/>
          <w:color w:val="auto"/>
        </w:rPr>
      </w:pPr>
      <w:r>
        <w:rPr>
          <w:rFonts w:ascii="Arial" w:cs="Arial" w:eastAsia="Arial" w:hAnsi="Arial"/>
          <w:sz w:val="16"/>
          <w:szCs w:val="16"/>
          <w:color w:val="auto"/>
        </w:rPr>
        <w:t>Other operating charges, net</w:t>
      </w:r>
    </w:p>
    <w:p>
      <w:pPr>
        <w:spacing w:after="0" w:line="50" w:lineRule="exact"/>
        <w:rPr>
          <w:sz w:val="20"/>
          <w:szCs w:val="20"/>
          <w:color w:val="auto"/>
        </w:rPr>
      </w:pPr>
    </w:p>
    <w:p>
      <w:pPr>
        <w:ind w:left="146"/>
        <w:spacing w:after="0"/>
        <w:rPr>
          <w:sz w:val="20"/>
          <w:szCs w:val="20"/>
          <w:color w:val="auto"/>
        </w:rPr>
      </w:pPr>
      <w:r>
        <w:rPr>
          <w:rFonts w:ascii="Arial" w:cs="Arial" w:eastAsia="Arial" w:hAnsi="Arial"/>
          <w:sz w:val="16"/>
          <w:szCs w:val="16"/>
          <w:color w:val="auto"/>
        </w:rPr>
        <w:t>Total mainline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5035" cy="148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5035" cy="148590"/>
                    </a:xfrm>
                    <a:prstGeom prst="rect">
                      <a:avLst/>
                    </a:prstGeom>
                    <a:noFill/>
                  </pic:spPr>
                </pic:pic>
              </a:graphicData>
            </a:graphic>
          </wp:anchor>
        </w:drawing>
      </w:r>
    </w:p>
    <w:p>
      <w:pPr>
        <w:spacing w:after="0" w:line="42" w:lineRule="exact"/>
        <w:rPr>
          <w:sz w:val="20"/>
          <w:szCs w:val="20"/>
          <w:color w:val="auto"/>
        </w:rPr>
      </w:pPr>
    </w:p>
    <w:p>
      <w:pPr>
        <w:ind w:left="26"/>
        <w:spacing w:after="0"/>
        <w:rPr>
          <w:sz w:val="20"/>
          <w:szCs w:val="20"/>
          <w:color w:val="auto"/>
        </w:rPr>
      </w:pPr>
      <w:r>
        <w:rPr>
          <w:rFonts w:ascii="Arial" w:cs="Arial" w:eastAsia="Arial" w:hAnsi="Arial"/>
          <w:sz w:val="16"/>
          <w:szCs w:val="16"/>
          <w:color w:val="auto"/>
        </w:rPr>
        <w:t>Regional operating special items, net</w:t>
      </w:r>
    </w:p>
    <w:p>
      <w:pPr>
        <w:spacing w:after="0" w:line="38" w:lineRule="exact"/>
        <w:rPr>
          <w:sz w:val="20"/>
          <w:szCs w:val="20"/>
          <w:color w:val="auto"/>
        </w:rPr>
      </w:pPr>
    </w:p>
    <w:p>
      <w:pPr>
        <w:ind w:left="146"/>
        <w:spacing w:after="0"/>
        <w:rPr>
          <w:sz w:val="20"/>
          <w:szCs w:val="20"/>
          <w:color w:val="auto"/>
        </w:rPr>
      </w:pPr>
      <w:r>
        <w:rPr>
          <w:rFonts w:ascii="Arial" w:cs="Arial" w:eastAsia="Arial" w:hAnsi="Arial"/>
          <w:sz w:val="16"/>
          <w:szCs w:val="16"/>
          <w:color w:val="auto"/>
        </w:rPr>
        <w:t>Total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134429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23177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88" w:lineRule="exact"/>
        <w:rPr>
          <w:sz w:val="20"/>
          <w:szCs w:val="20"/>
          <w:color w:val="auto"/>
        </w:rPr>
      </w:pPr>
    </w:p>
    <w:p>
      <w:pPr>
        <w:ind w:left="720"/>
        <w:spacing w:after="0"/>
        <w:tabs>
          <w:tab w:leader="none" w:pos="25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23177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70" w:lineRule="exact"/>
        <w:rPr>
          <w:sz w:val="20"/>
          <w:szCs w:val="20"/>
          <w:color w:val="auto"/>
        </w:rPr>
      </w:pPr>
    </w:p>
    <w:p>
      <w:pPr>
        <w:spacing w:after="0"/>
        <w:tabs>
          <w:tab w:leader="none" w:pos="1420" w:val="left"/>
          <w:tab w:leader="none" w:pos="1820" w:val="left"/>
          <w:tab w:leader="none" w:pos="3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83</w:t>
        <w:tab/>
        <w:t>$</w:t>
      </w:r>
      <w:r>
        <w:rPr>
          <w:sz w:val="20"/>
          <w:szCs w:val="20"/>
          <w:color w:val="auto"/>
        </w:rPr>
        <w:tab/>
      </w:r>
      <w:r>
        <w:rPr>
          <w:rFonts w:ascii="Arial" w:cs="Arial" w:eastAsia="Arial" w:hAnsi="Arial"/>
          <w:sz w:val="14"/>
          <w:szCs w:val="14"/>
          <w:color w:val="auto"/>
        </w:rPr>
        <w:t>48</w:t>
      </w:r>
    </w:p>
    <w:p>
      <w:pPr>
        <w:spacing w:after="0" w:line="50" w:lineRule="exact"/>
        <w:rPr>
          <w:sz w:val="20"/>
          <w:szCs w:val="20"/>
          <w:color w:val="auto"/>
        </w:rPr>
      </w:pPr>
    </w:p>
    <w:p>
      <w:pPr>
        <w:jc w:val="both"/>
        <w:ind w:left="1440"/>
        <w:spacing w:after="0"/>
        <w:tabs>
          <w:tab w:leader="none" w:pos="3340"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16"/>
          <w:szCs w:val="16"/>
          <w:color w:val="auto"/>
        </w:rPr>
        <w:t>68</w:t>
      </w:r>
    </w:p>
    <w:p>
      <w:pPr>
        <w:spacing w:after="0" w:line="50" w:lineRule="exact"/>
        <w:rPr>
          <w:sz w:val="20"/>
          <w:szCs w:val="20"/>
          <w:color w:val="auto"/>
        </w:rPr>
      </w:pPr>
    </w:p>
    <w:p>
      <w:pPr>
        <w:jc w:val="both"/>
        <w:ind w:left="1380"/>
        <w:spacing w:after="0"/>
        <w:tabs>
          <w:tab w:leader="none" w:pos="33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38</w:t>
      </w:r>
    </w:p>
    <w:p>
      <w:pPr>
        <w:spacing w:after="0" w:line="50" w:lineRule="exact"/>
        <w:rPr>
          <w:sz w:val="20"/>
          <w:szCs w:val="20"/>
          <w:color w:val="auto"/>
        </w:rPr>
      </w:pPr>
    </w:p>
    <w:p>
      <w:pPr>
        <w:jc w:val="both"/>
        <w:ind w:left="1440"/>
        <w:spacing w:after="0"/>
        <w:tabs>
          <w:tab w:leader="none" w:pos="33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r>
    </w:p>
    <w:p>
      <w:pPr>
        <w:spacing w:after="0" w:line="50" w:lineRule="exact"/>
        <w:rPr>
          <w:sz w:val="20"/>
          <w:szCs w:val="20"/>
          <w:color w:val="auto"/>
        </w:rPr>
      </w:pPr>
    </w:p>
    <w:p>
      <w:pPr>
        <w:jc w:val="both"/>
        <w:ind w:left="1520"/>
        <w:spacing w:after="0"/>
        <w:tabs>
          <w:tab w:leader="none" w:pos="336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w:t>
      </w:r>
    </w:p>
    <w:p>
      <w:pPr>
        <w:spacing w:after="0" w:line="50" w:lineRule="exact"/>
        <w:rPr>
          <w:sz w:val="20"/>
          <w:szCs w:val="20"/>
          <w:color w:val="auto"/>
        </w:rPr>
      </w:pPr>
    </w:p>
    <w:p>
      <w:pPr>
        <w:jc w:val="both"/>
        <w:ind w:left="1460"/>
        <w:spacing w:after="0"/>
        <w:tabs>
          <w:tab w:leader="none" w:pos="3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45</w:t>
      </w:r>
    </w:p>
    <w:p>
      <w:pPr>
        <w:spacing w:after="0" w:line="50" w:lineRule="exact"/>
        <w:rPr>
          <w:sz w:val="20"/>
          <w:szCs w:val="20"/>
          <w:color w:val="auto"/>
        </w:rPr>
      </w:pPr>
    </w:p>
    <w:p>
      <w:pPr>
        <w:jc w:val="both"/>
        <w:ind w:left="1440"/>
        <w:spacing w:after="0"/>
        <w:tabs>
          <w:tab w:leader="none" w:pos="342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30" w:lineRule="exact"/>
        <w:rPr>
          <w:sz w:val="20"/>
          <w:szCs w:val="20"/>
          <w:color w:val="auto"/>
        </w:rPr>
      </w:pPr>
    </w:p>
    <w:p>
      <w:pPr>
        <w:jc w:val="both"/>
        <w:ind w:left="1360"/>
        <w:spacing w:after="0"/>
        <w:tabs>
          <w:tab w:leader="none" w:pos="324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202</w:t>
      </w:r>
    </w:p>
    <w:p>
      <w:pPr>
        <w:spacing w:after="0" w:line="50" w:lineRule="exact"/>
        <w:rPr>
          <w:sz w:val="20"/>
          <w:szCs w:val="20"/>
          <w:color w:val="auto"/>
        </w:rPr>
      </w:pPr>
    </w:p>
    <w:p>
      <w:pPr>
        <w:jc w:val="both"/>
        <w:ind w:left="1460"/>
        <w:spacing w:after="0"/>
        <w:tabs>
          <w:tab w:leader="none" w:pos="3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7750" cy="7620"/>
                    </a:xfrm>
                    <a:prstGeom prst="rect">
                      <a:avLst/>
                    </a:prstGeom>
                    <a:noFill/>
                  </pic:spPr>
                </pic:pic>
              </a:graphicData>
            </a:graphic>
          </wp:anchor>
        </w:drawing>
      </w:r>
    </w:p>
    <w:p>
      <w:pPr>
        <w:spacing w:after="0" w:line="30" w:lineRule="exact"/>
        <w:rPr>
          <w:sz w:val="20"/>
          <w:szCs w:val="20"/>
          <w:color w:val="auto"/>
        </w:rPr>
      </w:pPr>
    </w:p>
    <w:p>
      <w:pPr>
        <w:spacing w:after="0"/>
        <w:tabs>
          <w:tab w:leader="none" w:pos="1340" w:val="left"/>
          <w:tab w:leader="none" w:pos="1820" w:val="left"/>
          <w:tab w:leader="none" w:pos="3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152</w:t>
        <w:tab/>
        <w:t>$</w:t>
      </w:r>
      <w:r>
        <w:rPr>
          <w:sz w:val="20"/>
          <w:szCs w:val="20"/>
          <w:color w:val="auto"/>
        </w:rPr>
        <w:tab/>
      </w: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wp:posOffset>
            </wp:positionV>
            <wp:extent cx="2317750"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7750" cy="22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6" w:space="720"/>
            <w:col w:w="3640"/>
          </w:cols>
          <w:pgMar w:left="234" w:top="731" w:right="219" w:bottom="1440" w:gutter="0" w:footer="0" w:header="0"/>
        </w:sectPr>
      </w:pPr>
    </w:p>
    <w:p>
      <w:pPr>
        <w:spacing w:after="0" w:line="154" w:lineRule="exact"/>
        <w:rPr>
          <w:sz w:val="20"/>
          <w:szCs w:val="20"/>
          <w:color w:val="auto"/>
        </w:rPr>
      </w:pPr>
    </w:p>
    <w:p>
      <w:pPr>
        <w:ind w:left="426" w:hanging="286"/>
        <w:spacing w:after="0" w:line="223" w:lineRule="auto"/>
        <w:tabs>
          <w:tab w:leader="none" w:pos="426" w:val="left"/>
        </w:tabs>
        <w:numPr>
          <w:ilvl w:val="0"/>
          <w:numId w:val="43"/>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43"/>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American's remaining integration projects, principally its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6" w:hanging="286"/>
        <w:spacing w:after="0" w:line="223" w:lineRule="auto"/>
        <w:tabs>
          <w:tab w:leader="none" w:pos="426" w:val="left"/>
        </w:tabs>
        <w:numPr>
          <w:ilvl w:val="0"/>
          <w:numId w:val="43"/>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AAG common stock. Accordingly, fluctuations in AAG's stock price result in mark-to-market adjustments to these obligations.</w:t>
      </w:r>
    </w:p>
    <w:p>
      <w:pPr>
        <w:spacing w:after="0" w:line="140" w:lineRule="exact"/>
        <w:rPr>
          <w:rFonts w:ascii="Arial" w:cs="Arial" w:eastAsia="Arial" w:hAnsi="Arial"/>
          <w:sz w:val="19"/>
          <w:szCs w:val="19"/>
          <w:color w:val="auto"/>
          <w:vertAlign w:val="superscript"/>
        </w:rPr>
      </w:pPr>
    </w:p>
    <w:p>
      <w:pPr>
        <w:ind w:left="426" w:hanging="286"/>
        <w:spacing w:after="0" w:line="223" w:lineRule="auto"/>
        <w:tabs>
          <w:tab w:leader="none" w:pos="426" w:val="left"/>
        </w:tabs>
        <w:numPr>
          <w:ilvl w:val="0"/>
          <w:numId w:val="43"/>
        </w:numPr>
        <w:rPr>
          <w:rFonts w:ascii="Arial" w:cs="Arial" w:eastAsia="Arial" w:hAnsi="Arial"/>
          <w:sz w:val="19"/>
          <w:szCs w:val="19"/>
          <w:color w:val="auto"/>
          <w:vertAlign w:val="superscript"/>
        </w:rPr>
      </w:pPr>
      <w:r>
        <w:rPr>
          <w:rFonts w:ascii="Arial" w:cs="Arial" w:eastAsia="Arial" w:hAnsi="Arial"/>
          <w:sz w:val="16"/>
          <w:szCs w:val="16"/>
          <w:color w:val="auto"/>
        </w:rPr>
        <w:t>Intangible asset impairment includes a non-cash charge to write-off American's Brazil route authority as a result of ratification of the U.S.-Brazil open skies agreement.</w:t>
      </w:r>
    </w:p>
    <w:p>
      <w:pPr>
        <w:spacing w:after="0" w:line="195" w:lineRule="exact"/>
        <w:rPr>
          <w:sz w:val="20"/>
          <w:szCs w:val="20"/>
          <w:color w:val="auto"/>
        </w:rPr>
      </w:pPr>
    </w:p>
    <w:p>
      <w:pPr>
        <w:ind w:left="186"/>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326"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600" w:type="dxa"/>
            <w:vAlign w:val="bottom"/>
            <w:gridSpan w:val="4"/>
          </w:tcPr>
          <w:p>
            <w:pPr>
              <w:jc w:val="right"/>
              <w:ind w:right="70"/>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left="34"/>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10"/>
              <w:spacing w:after="0" w:line="119" w:lineRule="exact"/>
              <w:rPr>
                <w:sz w:val="20"/>
                <w:szCs w:val="20"/>
                <w:color w:val="auto"/>
              </w:rPr>
            </w:pPr>
            <w:r>
              <w:rPr>
                <w:rFonts w:ascii="Arial" w:cs="Arial" w:eastAsia="Arial" w:hAnsi="Arial"/>
                <w:sz w:val="12"/>
                <w:szCs w:val="12"/>
                <w:b w:val="1"/>
                <w:bCs w:val="1"/>
                <w:color w:val="auto"/>
              </w:rPr>
              <w:t>Increase</w:t>
            </w:r>
          </w:p>
        </w:tc>
        <w:tc>
          <w:tcPr>
            <w:tcW w:w="340" w:type="dxa"/>
            <w:vAlign w:val="bottom"/>
          </w:tcPr>
          <w:p>
            <w:pPr>
              <w:spacing w:after="0"/>
              <w:rPr>
                <w:sz w:val="4"/>
                <w:szCs w:val="4"/>
                <w:color w:val="auto"/>
              </w:rPr>
            </w:pPr>
          </w:p>
        </w:tc>
        <w:tc>
          <w:tcPr>
            <w:tcW w:w="1480" w:type="dxa"/>
            <w:vAlign w:val="bottom"/>
            <w:vMerge w:val="restart"/>
          </w:tcPr>
          <w:p>
            <w:pPr>
              <w:jc w:val="center"/>
              <w:ind w:left="34"/>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(Decrease)</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left="34"/>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2"/>
                <w:szCs w:val="12"/>
                <w:b w:val="1"/>
                <w:bCs w:val="1"/>
                <w:color w:val="auto"/>
              </w:rPr>
              <w:t>(In millions, except percentage changes)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81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1"/>
              </w:rPr>
              <w:t>(11)</w:t>
            </w:r>
          </w:p>
        </w:tc>
        <w:tc>
          <w:tcPr>
            <w:tcW w:w="14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(52)</w:t>
            </w:r>
          </w:p>
        </w:tc>
        <w:tc>
          <w:tcPr>
            <w:tcW w:w="1480" w:type="dxa"/>
            <w:vAlign w:val="bottom"/>
            <w:shd w:val="clear" w:color="auto" w:fill="CCEEFF"/>
          </w:tcPr>
          <w:p>
            <w:pPr>
              <w:jc w:val="right"/>
              <w:spacing w:after="0" w:line="240" w:lineRule="exact"/>
              <w:rPr>
                <w:sz w:val="20"/>
                <w:szCs w:val="20"/>
                <w:color w:val="auto"/>
              </w:rPr>
            </w:pPr>
            <w:r>
              <w:rPr>
                <w:rFonts w:ascii="Arial" w:cs="Arial" w:eastAsia="Arial" w:hAnsi="Arial"/>
                <w:sz w:val="27"/>
                <w:szCs w:val="27"/>
                <w:color w:val="auto"/>
                <w:vertAlign w:val="subscript"/>
              </w:rPr>
              <w:t>nm</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14"/>
        </w:trPr>
        <w:tc>
          <w:tcPr>
            <w:tcW w:w="5380" w:type="dxa"/>
            <w:vAlign w:val="bottom"/>
          </w:tcPr>
          <w:p>
            <w:pPr>
              <w:ind w:left="140"/>
              <w:spacing w:after="0"/>
              <w:rPr>
                <w:sz w:val="20"/>
                <w:szCs w:val="20"/>
                <w:color w:val="auto"/>
              </w:rPr>
            </w:pPr>
            <w:r>
              <w:rPr>
                <w:rFonts w:ascii="Arial" w:cs="Arial" w:eastAsia="Arial" w:hAnsi="Arial"/>
                <w:sz w:val="16"/>
                <w:szCs w:val="16"/>
                <w:color w:val="auto"/>
              </w:rPr>
              <w:t>Total nonoperating expense, net</w:t>
            </w:r>
          </w:p>
        </w:tc>
        <w:tc>
          <w:tcPr>
            <w:tcW w:w="980" w:type="dxa"/>
            <w:vAlign w:val="bottom"/>
            <w:tcBorders>
              <w:bottom w:val="single" w:sz="8" w:color="auto"/>
            </w:tcBorders>
          </w:tcPr>
          <w:p>
            <w:pPr>
              <w:jc w:val="right"/>
              <w:ind w:right="81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(34)</w:t>
            </w:r>
          </w:p>
        </w:tc>
        <w:tc>
          <w:tcPr>
            <w:tcW w:w="148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-742315</wp:posOffset>
            </wp:positionV>
            <wp:extent cx="6667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-742315</wp:posOffset>
            </wp:positionV>
            <wp:extent cx="742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6329045</wp:posOffset>
            </wp:positionH>
            <wp:positionV relativeFrom="paragraph">
              <wp:posOffset>-742315</wp:posOffset>
            </wp:positionV>
            <wp:extent cx="6667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13442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52" w:lineRule="exact"/>
        <w:rPr>
          <w:sz w:val="20"/>
          <w:szCs w:val="20"/>
          <w:color w:val="auto"/>
        </w:rPr>
      </w:pPr>
    </w:p>
    <w:p>
      <w:pPr>
        <w:ind w:left="166" w:hanging="166"/>
        <w:spacing w:after="0"/>
        <w:tabs>
          <w:tab w:leader="none" w:pos="166" w:val="left"/>
        </w:tabs>
        <w:numPr>
          <w:ilvl w:val="0"/>
          <w:numId w:val="44"/>
        </w:numPr>
        <w:rPr>
          <w:rFonts w:ascii="Arial" w:cs="Arial" w:eastAsia="Arial" w:hAnsi="Arial"/>
          <w:sz w:val="19"/>
          <w:szCs w:val="19"/>
          <w:color w:val="auto"/>
          <w:vertAlign w:val="superscript"/>
        </w:rPr>
      </w:pPr>
      <w:r>
        <w:rPr>
          <w:rFonts w:ascii="Arial" w:cs="Arial" w:eastAsia="Arial" w:hAnsi="Arial"/>
          <w:sz w:val="16"/>
          <w:szCs w:val="16"/>
          <w:color w:val="auto"/>
        </w:rPr>
        <w:t>Not meaningful.</w:t>
      </w:r>
    </w:p>
    <w:p>
      <w:pPr>
        <w:spacing w:after="0" w:line="140" w:lineRule="exact"/>
        <w:rPr>
          <w:sz w:val="20"/>
          <w:szCs w:val="20"/>
          <w:color w:val="auto"/>
        </w:rPr>
      </w:pPr>
    </w:p>
    <w:p>
      <w:pPr>
        <w:ind w:left="186"/>
        <w:spacing w:after="0"/>
        <w:rPr>
          <w:sz w:val="20"/>
          <w:szCs w:val="20"/>
          <w:color w:val="auto"/>
        </w:rPr>
      </w:pPr>
      <w:r>
        <w:rPr>
          <w:rFonts w:ascii="Arial" w:cs="Arial" w:eastAsia="Arial" w:hAnsi="Arial"/>
          <w:sz w:val="16"/>
          <w:szCs w:val="16"/>
          <w:color w:val="auto"/>
        </w:rPr>
        <w:t>Interest income increased $29 million due to higher interest-bearing related party receivables from American's parent company, AAG.</w:t>
      </w:r>
    </w:p>
    <w:p>
      <w:pPr>
        <w:spacing w:after="0" w:line="144" w:lineRule="exact"/>
        <w:rPr>
          <w:sz w:val="20"/>
          <w:szCs w:val="20"/>
          <w:color w:val="auto"/>
        </w:rPr>
      </w:pPr>
    </w:p>
    <w:p>
      <w:pPr>
        <w:jc w:val="both"/>
        <w:ind w:left="6" w:right="20" w:firstLine="187"/>
        <w:spacing w:after="0" w:line="245" w:lineRule="auto"/>
        <w:rPr>
          <w:sz w:val="20"/>
          <w:szCs w:val="20"/>
          <w:color w:val="auto"/>
        </w:rPr>
      </w:pPr>
      <w:r>
        <w:rPr>
          <w:rFonts w:ascii="Arial" w:cs="Arial" w:eastAsia="Arial" w:hAnsi="Arial"/>
          <w:sz w:val="16"/>
          <w:szCs w:val="16"/>
          <w:color w:val="auto"/>
        </w:rPr>
        <w:t>In the 2018 period, other nonoperating expense, net principally included a $66 million net special charge for mark-to-market unrealized losses primarily on American's equity investment in China Southern Airlines, $29 million of net foreign currency losses, principally associated with losses from Latin American currencies, and $14 million of net special charges associated with debt refinancings and extinguishments. These charges were offset in part by $75 million of non-service related pension and other postretirement benefit plan income.</w:t>
      </w:r>
    </w:p>
    <w:p>
      <w:pPr>
        <w:spacing w:after="0" w:line="138" w:lineRule="exact"/>
        <w:rPr>
          <w:sz w:val="20"/>
          <w:szCs w:val="20"/>
          <w:color w:val="auto"/>
        </w:rPr>
      </w:pPr>
    </w:p>
    <w:p>
      <w:pPr>
        <w:jc w:val="both"/>
        <w:ind w:left="6" w:right="20" w:firstLine="187"/>
        <w:spacing w:after="0" w:line="248" w:lineRule="auto"/>
        <w:rPr>
          <w:sz w:val="20"/>
          <w:szCs w:val="20"/>
          <w:color w:val="auto"/>
        </w:rPr>
      </w:pPr>
      <w:r>
        <w:rPr>
          <w:rFonts w:ascii="Arial" w:cs="Arial" w:eastAsia="Arial" w:hAnsi="Arial"/>
          <w:sz w:val="16"/>
          <w:szCs w:val="16"/>
          <w:color w:val="auto"/>
        </w:rPr>
        <w:t>In the 2017 period, other nonoperating income, net principally included $34 million of non-service related pension and other postretirement benefit plan income, offset in part by $7 million of net foreign currency losses.</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6"/>
          </w:cols>
          <w:pgMar w:left="234" w:top="731" w:right="219" w:bottom="1440" w:gutter="0" w:footer="0" w:header="0"/>
          <w:type w:val="continuous"/>
        </w:sectPr>
      </w:pPr>
    </w:p>
    <w:bookmarkStart w:id="59" w:name="page60"/>
    <w:bookmarkEnd w:id="59"/>
    <w:p>
      <w:pPr>
        <w:ind w:left="1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American is part of the AAG consolidated income tax return.</w:t>
      </w:r>
    </w:p>
    <w:p>
      <w:pPr>
        <w:spacing w:after="0" w:line="144"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In the second quarter of 2018, American recorded an income tax provision of $220 million, which was substantially non-cash due to utilization of its NOLs. This provision included an $18 million special income tax charge related to an international income tax matter. Substantially all of American’s income before income taxes is attributable to the United States. At December 31, 2017, American had approximately $10.6 billion of federal NOLs and $3.2 billion of state NOLs, substantially all of which are expected to be available in 2018 to reduce federal and state taxable income.</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5 to American’s Condensed Consolidated Financial Statements in Part I, Item 1B for additional information on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2018 Compared to Six Months Ended June 30, 2017</w:t>
      </w:r>
    </w:p>
    <w:p>
      <w:pPr>
        <w:spacing w:after="0" w:line="91"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American realized pre-tax income of $1.2 billion and net income of $855 million in the first six months of 2018. This compares to the first six months of 2017 pre-tax income of $2.0 billion and net income of $1.3 billion.</w:t>
      </w:r>
    </w:p>
    <w:p>
      <w:pPr>
        <w:spacing w:after="0" w:line="134"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The period-over-period declines in American's pre-tax income were principally driven by an increase in fuel costs and higher wage rates, which were offset in part by higher revenues.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Operating Revenues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Arial" w:cs="Arial" w:eastAsia="Arial" w:hAnsi="Arial"/>
                <w:sz w:val="12"/>
                <w:szCs w:val="12"/>
                <w:b w:val="1"/>
                <w:bCs w:val="1"/>
                <w:color w:val="auto"/>
              </w:rPr>
              <w:t>Six Months Ended June 30,</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jc w:val="center"/>
              <w:ind w:left="2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47"/>
              <w:spacing w:after="0" w:line="119"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2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(Decrease)</w:t>
            </w:r>
          </w:p>
        </w:tc>
        <w:tc>
          <w:tcPr>
            <w:tcW w:w="1480" w:type="dxa"/>
            <w:vAlign w:val="bottom"/>
            <w:tcBorders>
              <w:bottom w:val="single" w:sz="8" w:color="auto"/>
            </w:tcBorders>
          </w:tcPr>
          <w:p>
            <w:pPr>
              <w:jc w:val="center"/>
              <w:ind w:left="2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right"/>
              <w:ind w:right="147"/>
              <w:spacing w:after="0"/>
              <w:rPr>
                <w:sz w:val="20"/>
                <w:szCs w:val="20"/>
                <w:color w:val="auto"/>
              </w:rPr>
            </w:pPr>
            <w:r>
              <w:rPr>
                <w:rFonts w:ascii="Arial" w:cs="Arial" w:eastAsia="Arial" w:hAnsi="Arial"/>
                <w:sz w:val="12"/>
                <w:szCs w:val="12"/>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20,154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19,350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804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19"/>
                <w:szCs w:val="19"/>
                <w:color w:val="auto"/>
              </w:rPr>
            </w:pPr>
          </w:p>
        </w:tc>
        <w:tc>
          <w:tcPr>
            <w:tcW w:w="1060" w:type="dxa"/>
            <w:vAlign w:val="bottom"/>
          </w:tcPr>
          <w:p>
            <w:pPr>
              <w:jc w:val="right"/>
              <w:ind w:right="47"/>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7"/>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78</w:t>
            </w:r>
          </w:p>
        </w:tc>
        <w:tc>
          <w:tcPr>
            <w:tcW w:w="148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116</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22,038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21,040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998</w:t>
            </w:r>
          </w:p>
        </w:tc>
        <w:tc>
          <w:tcPr>
            <w:tcW w:w="1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Passenger revenue increased $804 million, or 4.2%, in the first six months of 2018 from the 2017 period primarily driven by a period-over-period increase in RPMs and yields driven by continued strong demand. International yields increased, led by improved yields in the Atlantic market, which more than offset the decrease in domestic yields.</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Cargo revenue increased $78 million, or 19.1%, in the first six months of 2018 from the 2017 period primarily driven by increases in freight volume and domestic and international freight yields.</w:t>
      </w:r>
    </w:p>
    <w:p>
      <w:pPr>
        <w:spacing w:after="0" w:line="13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Other revenue includes revenue associated with American’s loyalty program, airport clubs, advertising and vacation-related services. Other revenue increased $116 million, or 9.1%, in the first six months of 2018 from the 2017 period due to higher revenue associated with American's loyalty program. In the first six months of 2018 and 2017, loyalty revenue included in other revenue was $1.2 billion and $1.0 billion, respectively.</w:t>
      </w:r>
    </w:p>
    <w:p>
      <w:pPr>
        <w:spacing w:after="0" w:line="136"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Total operating revenues in the first six months of 2018 increased $998 million, or 4.7%, from the 2017 period driven principally by a 4.2% increase in passenger revenue as described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40"/>
          </w:cols>
          <w:pgMar w:left="240" w:top="731" w:right="219" w:bottom="1440" w:gutter="0" w:footer="0" w:header="0"/>
        </w:sectPr>
      </w:pPr>
    </w:p>
    <w:bookmarkStart w:id="60" w:name="page61"/>
    <w:bookmarkEnd w:id="60"/>
    <w:p>
      <w:pPr>
        <w:ind w:left="180"/>
        <w:spacing w:after="0"/>
        <w:rPr>
          <w:sz w:val="20"/>
          <w:szCs w:val="20"/>
          <w:color w:val="auto"/>
        </w:rPr>
      </w:pPr>
      <w:r>
        <w:rPr>
          <w:rFonts w:ascii="Arial" w:cs="Arial" w:eastAsia="Arial" w:hAnsi="Arial"/>
          <w:sz w:val="16"/>
          <w:szCs w:val="16"/>
          <w:i w:val="1"/>
          <w:iCs w:val="1"/>
          <w:u w:val="single" w:color="auto"/>
          <w:color w:val="auto"/>
        </w:rPr>
        <w:t>Operating Expenses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380"/>
              <w:spacing w:after="0"/>
              <w:rPr>
                <w:sz w:val="20"/>
                <w:szCs w:val="20"/>
                <w:color w:val="auto"/>
              </w:rPr>
            </w:pPr>
            <w:r>
              <w:rPr>
                <w:rFonts w:ascii="Arial" w:cs="Arial" w:eastAsia="Arial" w:hAnsi="Arial"/>
                <w:sz w:val="12"/>
                <w:szCs w:val="12"/>
                <w:b w:val="1"/>
                <w:bCs w:val="1"/>
                <w:color w:val="auto"/>
              </w:rPr>
              <w:t>Six Months Ended June 30,</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jc w:val="center"/>
              <w:ind w:left="5"/>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vMerge w:val="restart"/>
          </w:tcPr>
          <w:p>
            <w:pPr>
              <w:jc w:val="right"/>
              <w:ind w:right="404"/>
              <w:spacing w:after="0" w:line="119" w:lineRule="exact"/>
              <w:rPr>
                <w:sz w:val="20"/>
                <w:szCs w:val="20"/>
                <w:color w:val="auto"/>
              </w:rPr>
            </w:pPr>
            <w:r>
              <w:rPr>
                <w:rFonts w:ascii="Arial" w:cs="Arial" w:eastAsia="Arial" w:hAnsi="Arial"/>
                <w:sz w:val="12"/>
                <w:szCs w:val="12"/>
                <w:b w:val="1"/>
                <w:bCs w:val="1"/>
                <w:color w:val="auto"/>
              </w:rPr>
              <w:t>Increase</w:t>
            </w:r>
          </w:p>
        </w:tc>
        <w:tc>
          <w:tcPr>
            <w:tcW w:w="1580" w:type="dxa"/>
            <w:vAlign w:val="bottom"/>
            <w:vMerge w:val="restart"/>
          </w:tcPr>
          <w:p>
            <w:pPr>
              <w:jc w:val="center"/>
              <w:ind w:left="25"/>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2"/>
                <w:szCs w:val="12"/>
                <w:b w:val="1"/>
                <w:bCs w:val="1"/>
                <w:color w:val="auto"/>
              </w:rPr>
              <w:t>(Decrease)</w:t>
            </w:r>
          </w:p>
        </w:tc>
        <w:tc>
          <w:tcPr>
            <w:tcW w:w="1580" w:type="dxa"/>
            <w:vAlign w:val="bottom"/>
            <w:tcBorders>
              <w:bottom w:val="single" w:sz="8" w:color="auto"/>
            </w:tcBorders>
          </w:tcPr>
          <w:p>
            <w:pPr>
              <w:jc w:val="center"/>
              <w:ind w:left="25"/>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4"/>
          </w:tcPr>
          <w:p>
            <w:pPr>
              <w:jc w:val="right"/>
              <w:ind w:right="224"/>
              <w:spacing w:after="0"/>
              <w:rPr>
                <w:sz w:val="20"/>
                <w:szCs w:val="20"/>
                <w:color w:val="auto"/>
              </w:rPr>
            </w:pPr>
            <w:r>
              <w:rPr>
                <w:rFonts w:ascii="Arial" w:cs="Arial" w:eastAsia="Arial" w:hAnsi="Arial"/>
                <w:sz w:val="12"/>
                <w:szCs w:val="12"/>
                <w:b w:val="1"/>
                <w:bCs w:val="1"/>
                <w:color w:val="auto"/>
              </w:rPr>
              <w:t>(In millions, except percentage changes)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954</w:t>
            </w:r>
          </w:p>
        </w:tc>
        <w:tc>
          <w:tcPr>
            <w:tcW w:w="15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34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6,104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5,891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213</w:t>
            </w:r>
          </w:p>
        </w:tc>
        <w:tc>
          <w:tcPr>
            <w:tcW w:w="1580" w:type="dxa"/>
            <w:vAlign w:val="bottom"/>
          </w:tcPr>
          <w:p>
            <w:pPr>
              <w:jc w:val="right"/>
              <w:ind w:right="45"/>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Maintenance, materials and repairs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6"/>
                <w:szCs w:val="16"/>
                <w:color w:val="auto"/>
              </w:rPr>
              <w:t>Other rent and landing fees</w:t>
            </w:r>
          </w:p>
        </w:tc>
        <w:tc>
          <w:tcPr>
            <w:tcW w:w="34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60</w:t>
            </w:r>
          </w:p>
        </w:tc>
        <w:tc>
          <w:tcPr>
            <w:tcW w:w="1580" w:type="dxa"/>
            <w:vAlign w:val="bottom"/>
          </w:tcPr>
          <w:p>
            <w:pPr>
              <w:jc w:val="right"/>
              <w:ind w:right="45"/>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Aircraft rent</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w:t>
            </w:r>
          </w:p>
        </w:tc>
        <w:tc>
          <w:tcPr>
            <w:tcW w:w="15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48</w:t>
            </w:r>
          </w:p>
        </w:tc>
        <w:tc>
          <w:tcPr>
            <w:tcW w:w="1580" w:type="dxa"/>
            <w:vAlign w:val="bottom"/>
          </w:tcPr>
          <w:p>
            <w:pPr>
              <w:jc w:val="right"/>
              <w:ind w:right="45"/>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86</w:t>
            </w:r>
          </w:p>
        </w:tc>
        <w:tc>
          <w:tcPr>
            <w:tcW w:w="15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27</w:t>
            </w:r>
          </w:p>
        </w:tc>
        <w:tc>
          <w:tcPr>
            <w:tcW w:w="1580" w:type="dxa"/>
            <w:vAlign w:val="bottom"/>
          </w:tcPr>
          <w:p>
            <w:pPr>
              <w:jc w:val="right"/>
              <w:ind w:right="45"/>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2,587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183</w:t>
            </w:r>
          </w:p>
        </w:tc>
        <w:tc>
          <w:tcPr>
            <w:tcW w:w="15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fuel and related taxes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215</w:t>
            </w:r>
          </w:p>
        </w:tc>
        <w:tc>
          <w:tcPr>
            <w:tcW w:w="15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28"/>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2,602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51</w:t>
            </w:r>
          </w:p>
        </w:tc>
        <w:tc>
          <w:tcPr>
            <w:tcW w:w="1580" w:type="dxa"/>
            <w:vAlign w:val="bottom"/>
            <w:tcBorders>
              <w:bottom w:val="single" w:sz="8" w:color="CCEEFF"/>
            </w:tcBorders>
          </w:tcPr>
          <w:p>
            <w:pPr>
              <w:jc w:val="right"/>
              <w:ind w:right="45"/>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20,553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18,710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1,843</w:t>
            </w:r>
          </w:p>
        </w:tc>
        <w:tc>
          <w:tcPr>
            <w:tcW w:w="1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Total operating expenses increased $1.8 billion, or 9.9%, in the first six months of 2018 from the 2017 period. The increase in operating expenses was primarily driven by an increase in fuel costs and higher wage rates.</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Significant changes in the components of American’s total operating expenses are as follows:</w:t>
      </w:r>
    </w:p>
    <w:p>
      <w:pPr>
        <w:spacing w:after="0" w:line="179" w:lineRule="exact"/>
        <w:rPr>
          <w:sz w:val="20"/>
          <w:szCs w:val="20"/>
          <w:color w:val="auto"/>
        </w:rPr>
      </w:pPr>
    </w:p>
    <w:p>
      <w:pPr>
        <w:ind w:left="380" w:hanging="281"/>
        <w:spacing w:after="0" w:line="248"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Aircraft fuel and related taxes increased 32.8% primarily due to a 31.1% increase in the average price per gallon of fuel to $2.16 in the first six months of 2018 from $1.65 in the 2017 period.</w:t>
      </w:r>
    </w:p>
    <w:p>
      <w:pPr>
        <w:spacing w:after="0" w:line="134" w:lineRule="exact"/>
        <w:rPr>
          <w:rFonts w:ascii="Arial" w:cs="Arial" w:eastAsia="Arial" w:hAnsi="Arial"/>
          <w:sz w:val="16"/>
          <w:szCs w:val="16"/>
          <w:color w:val="auto"/>
        </w:rPr>
      </w:pPr>
    </w:p>
    <w:p>
      <w:pPr>
        <w:ind w:left="380" w:right="20" w:hanging="281"/>
        <w:spacing w:after="0" w:line="248"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Salaries, wages and benefits increased 3.6% primarily due to mid-contract pay rate increases for pilots and flight attendants effective in the second quarter of 2017.</w:t>
      </w:r>
    </w:p>
    <w:p>
      <w:pPr>
        <w:spacing w:after="0" w:line="134" w:lineRule="exact"/>
        <w:rPr>
          <w:rFonts w:ascii="Arial" w:cs="Arial" w:eastAsia="Arial" w:hAnsi="Arial"/>
          <w:sz w:val="16"/>
          <w:szCs w:val="16"/>
          <w:color w:val="auto"/>
        </w:rPr>
      </w:pPr>
    </w:p>
    <w:p>
      <w:pPr>
        <w:jc w:val="both"/>
        <w:ind w:left="380" w:right="20" w:hanging="281"/>
        <w:spacing w:after="0" w:line="24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Depreciation and amortization increased 10.5% due in part to American's fleet renewal program as subsequent to the second quarter of 2017 American took delivery of 18 newly owned mainline aircraft. Information technology and software development projects associated with American's merger integration also contributed to the increase.</w:t>
      </w:r>
    </w:p>
    <w:p>
      <w:pPr>
        <w:spacing w:after="0" w:line="136" w:lineRule="exact"/>
        <w:rPr>
          <w:rFonts w:ascii="Arial" w:cs="Arial" w:eastAsia="Arial" w:hAnsi="Arial"/>
          <w:sz w:val="16"/>
          <w:szCs w:val="16"/>
          <w:color w:val="auto"/>
        </w:rPr>
      </w:pPr>
    </w:p>
    <w:p>
      <w:pPr>
        <w:ind w:left="380" w:hanging="281"/>
        <w:spacing w:after="0" w:line="248"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operating expenses increased 7.6% primarily due to expenses associated with improving American's product offerings, customer experience and operational reliability.</w:t>
      </w:r>
    </w:p>
    <w:p>
      <w:pPr>
        <w:spacing w:after="0" w:line="134" w:lineRule="exact"/>
        <w:rPr>
          <w:rFonts w:ascii="Arial" w:cs="Arial" w:eastAsia="Arial" w:hAnsi="Arial"/>
          <w:sz w:val="16"/>
          <w:szCs w:val="16"/>
          <w:color w:val="auto"/>
        </w:rPr>
      </w:pPr>
    </w:p>
    <w:p>
      <w:pPr>
        <w:ind w:left="380" w:right="20" w:hanging="281"/>
        <w:spacing w:after="0" w:line="248"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Regional aircraft fuel and related taxes increased 33.2% primarily due to a 29.4% increase in the average price per gallon of fuel to $2.22 in the first six months of 2018 from $1.72 in the 2017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40" w:top="731" w:right="219" w:bottom="1440" w:gutter="0" w:footer="0" w:header="0"/>
        </w:sectPr>
      </w:pPr>
    </w:p>
    <w:bookmarkStart w:id="61" w:name="page62"/>
    <w:bookmarkEnd w:id="61"/>
    <w:p>
      <w:pPr>
        <w:ind w:left="180"/>
        <w:spacing w:after="0"/>
        <w:rPr>
          <w:sz w:val="20"/>
          <w:szCs w:val="20"/>
          <w:color w:val="auto"/>
        </w:rPr>
      </w:pPr>
      <w:r>
        <w:rPr>
          <w:rFonts w:ascii="Arial" w:cs="Arial" w:eastAsia="Arial" w:hAnsi="Arial"/>
          <w:sz w:val="16"/>
          <w:szCs w:val="16"/>
          <w:i w:val="1"/>
          <w:iCs w:val="1"/>
          <w:u w:val="single" w:color="auto"/>
          <w:color w:val="auto"/>
        </w:rPr>
        <w:t>Operating Special Items, Net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8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2"/>
                <w:szCs w:val="12"/>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r>
      <w:tr>
        <w:trPr>
          <w:trHeight w:val="226"/>
        </w:trPr>
        <w:tc>
          <w:tcPr>
            <w:tcW w:w="788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2017</w:t>
            </w:r>
          </w:p>
        </w:tc>
        <w:tc>
          <w:tcPr>
            <w:tcW w:w="540" w:type="dxa"/>
            <w:vAlign w:val="bottom"/>
            <w:tcBorders>
              <w:bottom w:val="single" w:sz="8" w:color="auto"/>
            </w:tcBorders>
          </w:tcPr>
          <w:p>
            <w:pPr>
              <w:spacing w:after="0"/>
              <w:rPr>
                <w:sz w:val="19"/>
                <w:szCs w:val="19"/>
                <w:color w:val="auto"/>
              </w:rPr>
            </w:pPr>
          </w:p>
        </w:tc>
      </w:tr>
      <w:tr>
        <w:trPr>
          <w:trHeight w:val="179"/>
        </w:trPr>
        <w:tc>
          <w:tcPr>
            <w:tcW w:w="7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gridSpan w:val="3"/>
          </w:tcPr>
          <w:p>
            <w:pPr>
              <w:jc w:val="right"/>
              <w:ind w:right="807"/>
              <w:spacing w:after="0"/>
              <w:rPr>
                <w:sz w:val="20"/>
                <w:szCs w:val="20"/>
                <w:color w:val="auto"/>
              </w:rPr>
            </w:pPr>
            <w:r>
              <w:rPr>
                <w:rFonts w:ascii="Arial" w:cs="Arial" w:eastAsia="Arial" w:hAnsi="Arial"/>
                <w:sz w:val="12"/>
                <w:szCs w:val="12"/>
                <w:b w:val="1"/>
                <w:bCs w:val="1"/>
                <w:color w:val="auto"/>
              </w:rPr>
              <w:t>(In millions)</w:t>
            </w:r>
          </w:p>
        </w:tc>
        <w:tc>
          <w:tcPr>
            <w:tcW w:w="540" w:type="dxa"/>
            <w:vAlign w:val="bottom"/>
          </w:tcPr>
          <w:p>
            <w:pPr>
              <w:spacing w:after="0"/>
              <w:rPr>
                <w:sz w:val="15"/>
                <w:szCs w:val="15"/>
                <w:color w:val="auto"/>
              </w:rPr>
            </w:pPr>
          </w:p>
        </w:tc>
      </w:tr>
      <w:tr>
        <w:trPr>
          <w:trHeight w:val="23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Fleet restructuring expenses </w:t>
            </w:r>
            <w:r>
              <w:rPr>
                <w:rFonts w:ascii="Arial" w:cs="Arial" w:eastAsia="Arial" w:hAnsi="Arial"/>
                <w:sz w:val="18"/>
                <w:szCs w:val="18"/>
                <w:color w:val="auto"/>
                <w:vertAlign w:val="superscript"/>
              </w:rPr>
              <w:t>(1)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r>
      <w:tr>
        <w:trPr>
          <w:trHeight w:val="234"/>
        </w:trPr>
        <w:tc>
          <w:tcPr>
            <w:tcW w:w="7880" w:type="dxa"/>
            <w:vAlign w:val="bottom"/>
          </w:tcPr>
          <w:p>
            <w:pPr>
              <w:ind w:left="20"/>
              <w:spacing w:after="0"/>
              <w:rPr>
                <w:sz w:val="20"/>
                <w:szCs w:val="20"/>
                <w:color w:val="auto"/>
              </w:rPr>
            </w:pPr>
            <w:r>
              <w:rPr>
                <w:rFonts w:ascii="Arial" w:cs="Arial" w:eastAsia="Arial" w:hAnsi="Arial"/>
                <w:sz w:val="16"/>
                <w:szCs w:val="16"/>
                <w:color w:val="auto"/>
              </w:rPr>
              <w:t xml:space="preserve">Merger integration expenses </w:t>
            </w:r>
            <w:r>
              <w:rPr>
                <w:rFonts w:ascii="Arial" w:cs="Arial" w:eastAsia="Arial" w:hAnsi="Arial"/>
                <w:sz w:val="18"/>
                <w:szCs w:val="18"/>
                <w:color w:val="auto"/>
                <w:vertAlign w:val="superscript"/>
              </w:rPr>
              <w:t>(2)</w:t>
            </w:r>
          </w:p>
        </w:tc>
        <w:tc>
          <w:tcPr>
            <w:tcW w:w="1200" w:type="dxa"/>
            <w:vAlign w:val="bottom"/>
          </w:tcPr>
          <w:p>
            <w:pPr>
              <w:spacing w:after="0"/>
              <w:rPr>
                <w:sz w:val="20"/>
                <w:szCs w:val="20"/>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130</w:t>
            </w:r>
          </w:p>
        </w:tc>
      </w:tr>
      <w:tr>
        <w:trPr>
          <w:trHeight w:val="234"/>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Mark-to-market adjustments on bankruptcy obligations </w:t>
            </w:r>
            <w:r>
              <w:rPr>
                <w:rFonts w:ascii="Arial" w:cs="Arial" w:eastAsia="Arial" w:hAnsi="Arial"/>
                <w:sz w:val="18"/>
                <w:szCs w:val="18"/>
                <w:color w:val="auto"/>
                <w:vertAlign w:val="superscript"/>
              </w:rPr>
              <w:t>(3)</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r>
      <w:tr>
        <w:trPr>
          <w:trHeight w:val="234"/>
        </w:trPr>
        <w:tc>
          <w:tcPr>
            <w:tcW w:w="7880" w:type="dxa"/>
            <w:vAlign w:val="bottom"/>
          </w:tcPr>
          <w:p>
            <w:pPr>
              <w:ind w:left="20"/>
              <w:spacing w:after="0"/>
              <w:rPr>
                <w:sz w:val="20"/>
                <w:szCs w:val="20"/>
                <w:color w:val="auto"/>
              </w:rPr>
            </w:pPr>
            <w:r>
              <w:rPr>
                <w:rFonts w:ascii="Arial" w:cs="Arial" w:eastAsia="Arial" w:hAnsi="Arial"/>
                <w:sz w:val="16"/>
                <w:szCs w:val="16"/>
                <w:color w:val="auto"/>
              </w:rPr>
              <w:t xml:space="preserve">Intangible asset impairment </w:t>
            </w:r>
            <w:r>
              <w:rPr>
                <w:rFonts w:ascii="Arial" w:cs="Arial" w:eastAsia="Arial" w:hAnsi="Arial"/>
                <w:sz w:val="18"/>
                <w:szCs w:val="18"/>
                <w:color w:val="auto"/>
                <w:vertAlign w:val="superscript"/>
              </w:rPr>
              <w:t>(4)</w:t>
            </w:r>
          </w:p>
        </w:tc>
        <w:tc>
          <w:tcPr>
            <w:tcW w:w="1200" w:type="dxa"/>
            <w:vAlign w:val="bottom"/>
          </w:tcPr>
          <w:p>
            <w:pPr>
              <w:spacing w:after="0"/>
              <w:rPr>
                <w:sz w:val="20"/>
                <w:szCs w:val="20"/>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34"/>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28"/>
        </w:trPr>
        <w:tc>
          <w:tcPr>
            <w:tcW w:w="7880" w:type="dxa"/>
            <w:vAlign w:val="bottom"/>
          </w:tcPr>
          <w:p>
            <w:pPr>
              <w:ind w:left="20"/>
              <w:spacing w:after="0"/>
              <w:rPr>
                <w:sz w:val="20"/>
                <w:szCs w:val="20"/>
                <w:color w:val="auto"/>
              </w:rPr>
            </w:pPr>
            <w:r>
              <w:rPr>
                <w:rFonts w:ascii="Arial" w:cs="Arial" w:eastAsia="Arial" w:hAnsi="Arial"/>
                <w:sz w:val="16"/>
                <w:szCs w:val="16"/>
                <w:color w:val="auto"/>
              </w:rPr>
              <w:t>Labor contract expenses</w:t>
            </w:r>
          </w:p>
        </w:tc>
        <w:tc>
          <w:tcPr>
            <w:tcW w:w="1200" w:type="dxa"/>
            <w:vAlign w:val="bottom"/>
          </w:tcPr>
          <w:p>
            <w:pPr>
              <w:spacing w:after="0"/>
              <w:rPr>
                <w:sz w:val="19"/>
                <w:szCs w:val="19"/>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45</w:t>
            </w:r>
          </w:p>
        </w:tc>
      </w:tr>
      <w:tr>
        <w:trPr>
          <w:trHeight w:val="24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charges, net</w:t>
            </w:r>
          </w:p>
        </w:tc>
        <w:tc>
          <w:tcPr>
            <w:tcW w:w="1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r>
      <w:tr>
        <w:trPr>
          <w:trHeight w:val="208"/>
        </w:trPr>
        <w:tc>
          <w:tcPr>
            <w:tcW w:w="7880" w:type="dxa"/>
            <w:vAlign w:val="bottom"/>
          </w:tcPr>
          <w:p>
            <w:pPr>
              <w:ind w:left="140"/>
              <w:spacing w:after="0"/>
              <w:rPr>
                <w:sz w:val="20"/>
                <w:szCs w:val="20"/>
                <w:color w:val="auto"/>
              </w:rPr>
            </w:pPr>
            <w:r>
              <w:rPr>
                <w:rFonts w:ascii="Arial" w:cs="Arial" w:eastAsia="Arial" w:hAnsi="Arial"/>
                <w:sz w:val="16"/>
                <w:szCs w:val="16"/>
                <w:color w:val="auto"/>
              </w:rPr>
              <w:t>Total mainline operating special items, net</w:t>
            </w:r>
          </w:p>
        </w:tc>
        <w:tc>
          <w:tcPr>
            <w:tcW w:w="120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320</w:t>
            </w:r>
          </w:p>
        </w:tc>
      </w:tr>
      <w:tr>
        <w:trPr>
          <w:trHeight w:val="24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operating special items, net</w:t>
            </w:r>
          </w:p>
        </w:tc>
        <w:tc>
          <w:tcPr>
            <w:tcW w:w="1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r>
      <w:tr>
        <w:trPr>
          <w:trHeight w:val="208"/>
        </w:trPr>
        <w:tc>
          <w:tcPr>
            <w:tcW w:w="7880" w:type="dxa"/>
            <w:vAlign w:val="bottom"/>
          </w:tcPr>
          <w:p>
            <w:pPr>
              <w:ind w:left="140"/>
              <w:spacing w:after="0"/>
              <w:rPr>
                <w:sz w:val="20"/>
                <w:szCs w:val="20"/>
                <w:color w:val="auto"/>
              </w:rPr>
            </w:pPr>
            <w:r>
              <w:rPr>
                <w:rFonts w:ascii="Arial" w:cs="Arial" w:eastAsia="Arial" w:hAnsi="Arial"/>
                <w:sz w:val="16"/>
                <w:szCs w:val="16"/>
                <w:color w:val="auto"/>
              </w:rPr>
              <w:t>Total operating special items, net</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324</w:t>
            </w:r>
          </w:p>
        </w:tc>
      </w:tr>
      <w:tr>
        <w:trPr>
          <w:trHeight w:val="20"/>
        </w:trPr>
        <w:tc>
          <w:tcPr>
            <w:tcW w:w="7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13442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83" w:lineRule="exact"/>
        <w:rPr>
          <w:sz w:val="20"/>
          <w:szCs w:val="20"/>
          <w:color w:val="auto"/>
        </w:rPr>
      </w:pPr>
    </w:p>
    <w:p>
      <w:pPr>
        <w:ind w:left="420" w:hanging="286"/>
        <w:spacing w:after="0" w:line="223"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6"/>
          <w:szCs w:val="16"/>
          <w:color w:val="auto"/>
        </w:rPr>
        <w:t>Fleet restructuring expenses principally included the acceleration of depreciation and impairments for aircraft and related equipment grounded or expected to be grounded earlier than planned.</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6"/>
          <w:szCs w:val="16"/>
          <w:color w:val="auto"/>
        </w:rPr>
        <w:t>Merger integration expenses included costs associated with American's remaining integration projects, principally its flight attendant, human resources, payroll and technical operations integrations.</w:t>
      </w:r>
    </w:p>
    <w:p>
      <w:pPr>
        <w:spacing w:after="0" w:line="140" w:lineRule="exact"/>
        <w:rPr>
          <w:rFonts w:ascii="Arial" w:cs="Arial" w:eastAsia="Arial" w:hAnsi="Arial"/>
          <w:sz w:val="19"/>
          <w:szCs w:val="19"/>
          <w:color w:val="auto"/>
          <w:vertAlign w:val="superscript"/>
        </w:rPr>
      </w:pPr>
    </w:p>
    <w:p>
      <w:pPr>
        <w:ind w:left="420" w:hanging="286"/>
        <w:spacing w:after="0" w:line="223"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6"/>
          <w:szCs w:val="16"/>
          <w:color w:val="auto"/>
        </w:rPr>
        <w:t>Bankruptcy obligations will ultimately be settled in shares of AAG common stock. Accordingly, fluctuations in AAG's stock price result in mark-to-market adjustments to these obligations.</w:t>
      </w:r>
    </w:p>
    <w:p>
      <w:pPr>
        <w:spacing w:after="0" w:line="140" w:lineRule="exact"/>
        <w:rPr>
          <w:rFonts w:ascii="Arial" w:cs="Arial" w:eastAsia="Arial" w:hAnsi="Arial"/>
          <w:sz w:val="19"/>
          <w:szCs w:val="19"/>
          <w:color w:val="auto"/>
          <w:vertAlign w:val="superscript"/>
        </w:rPr>
      </w:pPr>
    </w:p>
    <w:p>
      <w:pPr>
        <w:ind w:left="420" w:hanging="286"/>
        <w:spacing w:after="0" w:line="223" w:lineRule="auto"/>
        <w:tabs>
          <w:tab w:leader="none" w:pos="420" w:val="left"/>
        </w:tabs>
        <w:numPr>
          <w:ilvl w:val="0"/>
          <w:numId w:val="46"/>
        </w:numPr>
        <w:rPr>
          <w:rFonts w:ascii="Arial" w:cs="Arial" w:eastAsia="Arial" w:hAnsi="Arial"/>
          <w:sz w:val="19"/>
          <w:szCs w:val="19"/>
          <w:color w:val="auto"/>
          <w:vertAlign w:val="superscript"/>
        </w:rPr>
      </w:pPr>
      <w:r>
        <w:rPr>
          <w:rFonts w:ascii="Arial" w:cs="Arial" w:eastAsia="Arial" w:hAnsi="Arial"/>
          <w:sz w:val="16"/>
          <w:szCs w:val="16"/>
          <w:color w:val="auto"/>
        </w:rPr>
        <w:t>Intangible asset impairment includes a non-cash charge to write-off American's Brazil route authority as a result of ratification of the U.S.-Brazil open skies agreement.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Nonoperating Results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020" w:type="dxa"/>
            <w:vAlign w:val="bottom"/>
            <w:gridSpan w:val="6"/>
          </w:tcPr>
          <w:p>
            <w:pPr>
              <w:ind w:left="660"/>
              <w:spacing w:after="0"/>
              <w:rPr>
                <w:sz w:val="20"/>
                <w:szCs w:val="20"/>
                <w:color w:val="auto"/>
              </w:rPr>
            </w:pPr>
            <w:r>
              <w:rPr>
                <w:rFonts w:ascii="Arial" w:cs="Arial" w:eastAsia="Arial" w:hAnsi="Arial"/>
                <w:sz w:val="12"/>
                <w:szCs w:val="12"/>
                <w:b w:val="1"/>
                <w:bCs w:val="1"/>
                <w:color w:val="auto"/>
              </w:rPr>
              <w:t>Six Months Ended June 30,</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center"/>
              <w:ind w:left="9"/>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right"/>
              <w:ind w:right="367"/>
              <w:spacing w:after="0" w:line="119" w:lineRule="exact"/>
              <w:rPr>
                <w:sz w:val="20"/>
                <w:szCs w:val="20"/>
                <w:color w:val="auto"/>
              </w:rPr>
            </w:pPr>
            <w:r>
              <w:rPr>
                <w:rFonts w:ascii="Arial" w:cs="Arial" w:eastAsia="Arial" w:hAnsi="Arial"/>
                <w:sz w:val="12"/>
                <w:szCs w:val="12"/>
                <w:b w:val="1"/>
                <w:bCs w:val="1"/>
                <w:color w:val="auto"/>
              </w:rPr>
              <w:t>Increase</w:t>
            </w:r>
          </w:p>
        </w:tc>
        <w:tc>
          <w:tcPr>
            <w:tcW w:w="1460" w:type="dxa"/>
            <w:vAlign w:val="bottom"/>
            <w:vMerge w:val="restart"/>
          </w:tcPr>
          <w:p>
            <w:pPr>
              <w:jc w:val="center"/>
              <w:ind w:left="9"/>
              <w:spacing w:after="0" w:line="119"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(Decrease)</w:t>
            </w:r>
          </w:p>
        </w:tc>
        <w:tc>
          <w:tcPr>
            <w:tcW w:w="1460" w:type="dxa"/>
            <w:vAlign w:val="bottom"/>
            <w:tcBorders>
              <w:bottom w:val="single" w:sz="8" w:color="auto"/>
            </w:tcBorders>
          </w:tcPr>
          <w:p>
            <w:pPr>
              <w:jc w:val="center"/>
              <w:ind w:left="2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167"/>
              <w:spacing w:after="0"/>
              <w:rPr>
                <w:sz w:val="20"/>
                <w:szCs w:val="20"/>
                <w:color w:val="auto"/>
              </w:rPr>
            </w:pPr>
            <w:r>
              <w:rPr>
                <w:rFonts w:ascii="Arial" w:cs="Arial" w:eastAsia="Arial" w:hAnsi="Arial"/>
                <w:sz w:val="12"/>
                <w:szCs w:val="12"/>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53</w:t>
            </w: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460" w:type="dxa"/>
            <w:vAlign w:val="bottom"/>
          </w:tcPr>
          <w:p>
            <w:pPr>
              <w:jc w:val="right"/>
              <w:ind w:right="4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4"/>
        </w:trPr>
        <w:tc>
          <w:tcPr>
            <w:tcW w:w="5600" w:type="dxa"/>
            <w:vAlign w:val="bottom"/>
          </w:tcPr>
          <w:p>
            <w:pPr>
              <w:ind w:left="140"/>
              <w:spacing w:after="0"/>
              <w:rPr>
                <w:sz w:val="20"/>
                <w:szCs w:val="20"/>
                <w:color w:val="auto"/>
              </w:rPr>
            </w:pPr>
            <w:r>
              <w:rPr>
                <w:rFonts w:ascii="Arial" w:cs="Arial" w:eastAsia="Arial" w:hAnsi="Arial"/>
                <w:sz w:val="16"/>
                <w:szCs w:val="16"/>
                <w:color w:val="auto"/>
              </w:rPr>
              <w:t>Total nonoperating expense, net</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27</w:t>
            </w:r>
          </w:p>
        </w:tc>
        <w:tc>
          <w:tcPr>
            <w:tcW w:w="14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increased $53 million due to higher interest-bearing related party receivables from American's parent company, AAG.</w:t>
      </w:r>
    </w:p>
    <w:p>
      <w:pPr>
        <w:spacing w:after="0" w:line="144"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In the 2018 period, other nonoperating income, net principally included $151 million of non-service related pension and other postretirement benefit plan income. This income was offset in part by a $66 million net special charge for mark-to-market unrealized losses primarily on American's equity investment in China Southern Airlines, $23 million of net foreign currency losses, principally associated with losses from Latin American currencies, and $14 million of net special charges associated with debt refinancings and extinguishments.</w:t>
      </w:r>
    </w:p>
    <w:p>
      <w:pPr>
        <w:spacing w:after="0" w:line="138"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In the 2017 period, other nonoperating income, net principally included $68 million of non-service related pension and other postretirement benefit plan income, offset in part by $4 million of net foreign currency losses.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40"/>
          </w:cols>
          <w:pgMar w:left="240" w:top="731" w:right="219" w:bottom="1440" w:gutter="0" w:footer="0" w:header="0"/>
        </w:sectPr>
      </w:pPr>
    </w:p>
    <w:bookmarkStart w:id="62" w:name="page63"/>
    <w:bookmarkEnd w:id="62"/>
    <w:p>
      <w:pPr>
        <w:ind w:left="1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American is part of the AAG consolidated income tax return.</w:t>
      </w:r>
    </w:p>
    <w:p>
      <w:pPr>
        <w:spacing w:after="0" w:line="144"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In the first six months of 2018, American recorded an income tax provision of $334 million, which was substantially non-cash due to utilization of its NOLs. This provision included a $30 million special income tax charge to establish a required valuation allowance related to American's estimated refund for AMT credits and an $18 million special income tax charge related to an international income tax matter. Substantially all of American’s income before income taxes is attributable to the United States.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5 to American’s Condensed Consolidated Financial Statements in Part I, Item 1B for additional information on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As of June 30, 2018, AAG had approximately $7.2 billion in total available liquidity and $183 million in restricted cash and short-term investments. Additional detail of our available liquidity is provided in the table below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AAG</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American</w:t>
            </w:r>
          </w:p>
        </w:tc>
        <w:tc>
          <w:tcPr>
            <w:tcW w:w="1440" w:type="dxa"/>
            <w:vAlign w:val="bottom"/>
            <w:tcBorders>
              <w:bottom w:val="single" w:sz="8" w:color="auto"/>
            </w:tcBorders>
          </w:tcPr>
          <w:p>
            <w:pPr>
              <w:spacing w:after="0"/>
              <w:rPr>
                <w:sz w:val="14"/>
                <w:szCs w:val="14"/>
                <w:color w:val="auto"/>
              </w:rPr>
            </w:pPr>
          </w:p>
        </w:tc>
      </w:tr>
      <w:tr>
        <w:trPr>
          <w:trHeight w:val="226"/>
        </w:trPr>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December 31, 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December 31, 2017</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287</w:t>
            </w:r>
          </w:p>
        </w:tc>
      </w:tr>
      <w:tr>
        <w:trPr>
          <w:trHeight w:val="228"/>
        </w:trPr>
        <w:tc>
          <w:tcPr>
            <w:tcW w:w="42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4,771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27"/>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45"/>
              <w:spacing w:after="0"/>
              <w:rPr>
                <w:sz w:val="20"/>
                <w:szCs w:val="20"/>
                <w:color w:val="auto"/>
              </w:rPr>
            </w:pPr>
            <w:r>
              <w:rPr>
                <w:rFonts w:ascii="Arial" w:cs="Arial" w:eastAsia="Arial" w:hAnsi="Arial"/>
                <w:sz w:val="16"/>
                <w:szCs w:val="16"/>
                <w:color w:val="auto"/>
              </w:rPr>
              <w:t>4,768</w:t>
            </w:r>
          </w:p>
        </w:tc>
      </w:tr>
      <w:tr>
        <w:trPr>
          <w:trHeight w:val="24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Undrawn revolving credit facilities</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2,500</w:t>
            </w:r>
          </w:p>
        </w:tc>
      </w:tr>
      <w:tr>
        <w:trPr>
          <w:trHeight w:val="208"/>
        </w:trPr>
        <w:tc>
          <w:tcPr>
            <w:tcW w:w="4240" w:type="dxa"/>
            <w:vAlign w:val="bottom"/>
          </w:tcPr>
          <w:p>
            <w:pPr>
              <w:ind w:left="160"/>
              <w:spacing w:after="0"/>
              <w:rPr>
                <w:sz w:val="20"/>
                <w:szCs w:val="20"/>
                <w:color w:val="auto"/>
              </w:rPr>
            </w:pPr>
            <w:r>
              <w:rPr>
                <w:rFonts w:ascii="Arial" w:cs="Arial" w:eastAsia="Arial" w:hAnsi="Arial"/>
                <w:sz w:val="16"/>
                <w:szCs w:val="16"/>
                <w:color w:val="auto"/>
              </w:rPr>
              <w:t>Total available liquidity</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7,174</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7,566</w:t>
            </w:r>
          </w:p>
        </w:tc>
        <w:tc>
          <w:tcPr>
            <w:tcW w:w="1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7"/>
              <w:spacing w:after="0"/>
              <w:rPr>
                <w:sz w:val="20"/>
                <w:szCs w:val="20"/>
                <w:color w:val="auto"/>
              </w:rPr>
            </w:pPr>
            <w:r>
              <w:rPr>
                <w:rFonts w:ascii="Arial" w:cs="Arial" w:eastAsia="Arial" w:hAnsi="Arial"/>
                <w:sz w:val="16"/>
                <w:szCs w:val="16"/>
                <w:color w:val="auto"/>
              </w:rPr>
              <w:t>7,152</w:t>
            </w:r>
          </w:p>
        </w:tc>
        <w:tc>
          <w:tcPr>
            <w:tcW w:w="10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5"/>
              <w:spacing w:after="0"/>
              <w:rPr>
                <w:sz w:val="20"/>
                <w:szCs w:val="20"/>
                <w:color w:val="auto"/>
              </w:rPr>
            </w:pPr>
            <w:r>
              <w:rPr>
                <w:rFonts w:ascii="Arial" w:cs="Arial" w:eastAsia="Arial" w:hAnsi="Arial"/>
                <w:sz w:val="16"/>
                <w:szCs w:val="16"/>
                <w:color w:val="auto"/>
              </w:rPr>
              <w:t>7,555</w:t>
            </w:r>
          </w:p>
        </w:tc>
      </w:tr>
      <w:tr>
        <w:trPr>
          <w:trHeight w:val="20"/>
        </w:trPr>
        <w:tc>
          <w:tcPr>
            <w:tcW w:w="4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Programs</w:t>
      </w:r>
    </w:p>
    <w:p>
      <w:pPr>
        <w:spacing w:after="0" w:line="91"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In April 2018, we announced that our Board of Directors authorized a new $2.0 billion share repurchase program that expires on December 31, 2020. Since July 2014, our Board of Directors has approved seven share repurchase programs aggregating $13.0 billion of authority. As of June 30, 2018, there was $1.7 billion remaining authority to repurchase shares under our new $2.0 billion share repurchase program. Share repurchases under our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We are not obligated to repurchase any specific number of shares and our repurchase of common stock may be limited, suspended or discontinued at any time at our discretion.</w:t>
      </w:r>
    </w:p>
    <w:p>
      <w:pPr>
        <w:spacing w:after="0" w:line="14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During the three months ended June 30, 2018, we repurchased 8.2 million shares of AAG common stock for $350 million at a weighted average cost per share of $42.81. During the six months ended June 30, 2018, we repurchased 16.6 million shares of AAG common stock for $800 million at a weighted average cost per share of $48.15. Since the inception of our share repurchase programs in July 2014, we have repurchased 278.9 million shares of AAG common stock for $11.3 billion at a weighted average cost per share of $40.69.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Dividends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Board of Directors declared a cash dividend of $0.10 per share for stockholders of record as of May 8, 2018 and paid on May 22, 2018, totaling $46 million.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2018, we paid total quarterly cash dividends of $94 million.</w:t>
      </w:r>
    </w:p>
    <w:p>
      <w:pPr>
        <w:spacing w:after="0" w:line="144"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In July 2018, we announced that our Board of Directors declared a $0.10 per share dividend for stockholders of record as of August 7, 2018, and payable on August 21, 2018.</w:t>
      </w:r>
    </w:p>
    <w:p>
      <w:pPr>
        <w:spacing w:after="0" w:line="134" w:lineRule="exact"/>
        <w:rPr>
          <w:sz w:val="20"/>
          <w:szCs w:val="20"/>
          <w:color w:val="auto"/>
        </w:rPr>
      </w:pPr>
    </w:p>
    <w:p>
      <w:pPr>
        <w:jc w:val="both"/>
        <w:ind w:firstLine="187"/>
        <w:spacing w:after="0" w:line="317" w:lineRule="auto"/>
        <w:rPr>
          <w:sz w:val="20"/>
          <w:szCs w:val="20"/>
          <w:color w:val="auto"/>
        </w:rPr>
      </w:pPr>
      <w:r>
        <w:rPr>
          <w:rFonts w:ascii="Arial" w:cs="Arial" w:eastAsia="Arial" w:hAnsi="Arial"/>
          <w:sz w:val="14"/>
          <w:szCs w:val="14"/>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0"/>
          </w:cols>
          <w:pgMar w:left="240" w:top="731" w:right="21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Collateral-Related Covenants</w:t>
      </w:r>
    </w:p>
    <w:p>
      <w:pPr>
        <w:spacing w:after="0" w:line="91" w:lineRule="exact"/>
        <w:rPr>
          <w:sz w:val="20"/>
          <w:szCs w:val="20"/>
          <w:color w:val="auto"/>
        </w:rPr>
      </w:pPr>
    </w:p>
    <w:p>
      <w:pPr>
        <w:jc w:val="both"/>
        <w:ind w:firstLine="187"/>
        <w:spacing w:after="0" w:line="292" w:lineRule="auto"/>
        <w:rPr>
          <w:sz w:val="20"/>
          <w:szCs w:val="20"/>
          <w:color w:val="auto"/>
        </w:rPr>
      </w:pPr>
      <w:r>
        <w:rPr>
          <w:rFonts w:ascii="Arial" w:cs="Arial" w:eastAsia="Arial" w:hAnsi="Arial"/>
          <w:sz w:val="14"/>
          <w:szCs w:val="14"/>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June 30, 2018, we were in compliance with the collateral coverage tests for the 2013 Credit Facilities, the 2014 Credit Facilities, the April 2016 Credit Facilities and the December 2016 Credit Facilities as of the most recent measurement dates.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Ratings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details AAG and American’s credit ratings as of June 30,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Current Rating</w:t>
            </w:r>
          </w:p>
        </w:tc>
      </w:tr>
      <w:tr>
        <w:trPr>
          <w:trHeight w:val="21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S&amp;P Local Issuer Credit Rating</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BB-</w:t>
            </w:r>
          </w:p>
        </w:tc>
      </w:tr>
      <w:tr>
        <w:trPr>
          <w:trHeight w:val="21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Fitch Issuer Default Credit Rating</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BB-</w:t>
            </w:r>
          </w:p>
        </w:tc>
      </w:tr>
      <w:tr>
        <w:trPr>
          <w:trHeight w:val="22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Moody’s Corporate Family Rating </w:t>
            </w:r>
            <w:r>
              <w:rPr>
                <w:rFonts w:ascii="Arial" w:cs="Arial" w:eastAsia="Arial" w:hAnsi="Arial"/>
                <w:sz w:val="18"/>
                <w:szCs w:val="18"/>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Ba3</w:t>
            </w:r>
          </w:p>
        </w:tc>
      </w:tr>
      <w:tr>
        <w:trPr>
          <w:trHeight w:val="222"/>
        </w:trPr>
        <w:tc>
          <w:tcPr>
            <w:tcW w:w="2120" w:type="dxa"/>
            <w:vAlign w:val="bottom"/>
            <w:tcBorders>
              <w:bottom w:val="single" w:sz="8" w:color="auto"/>
            </w:tcBorders>
          </w:tcPr>
          <w:p>
            <w:pPr>
              <w:spacing w:after="0"/>
              <w:rPr>
                <w:sz w:val="19"/>
                <w:szCs w:val="19"/>
                <w:color w:val="auto"/>
              </w:rPr>
            </w:pPr>
          </w:p>
        </w:tc>
        <w:tc>
          <w:tcPr>
            <w:tcW w:w="748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pacing w:after="0" w:line="225" w:lineRule="exact"/>
        <w:rPr>
          <w:sz w:val="20"/>
          <w:szCs w:val="20"/>
          <w:color w:val="auto"/>
        </w:rPr>
      </w:pPr>
    </w:p>
    <w:p>
      <w:pPr>
        <w:ind w:left="420" w:hanging="286"/>
        <w:spacing w:after="0"/>
        <w:tabs>
          <w:tab w:leader="none" w:pos="420" w:val="left"/>
        </w:tabs>
        <w:numPr>
          <w:ilvl w:val="0"/>
          <w:numId w:val="47"/>
        </w:numPr>
        <w:rPr>
          <w:rFonts w:ascii="Arial" w:cs="Arial" w:eastAsia="Arial" w:hAnsi="Arial"/>
          <w:sz w:val="19"/>
          <w:szCs w:val="19"/>
          <w:color w:val="auto"/>
          <w:vertAlign w:val="superscript"/>
        </w:rPr>
      </w:pPr>
      <w:r>
        <w:rPr>
          <w:rFonts w:ascii="Arial" w:cs="Arial" w:eastAsia="Arial" w:hAnsi="Arial"/>
          <w:sz w:val="16"/>
          <w:szCs w:val="16"/>
          <w:color w:val="auto"/>
        </w:rPr>
        <w:t>This rating is for AAG only. The credit agency does not rate this category for American.</w:t>
      </w:r>
    </w:p>
    <w:p>
      <w:pPr>
        <w:spacing w:after="0" w:line="140"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AAG</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Operating Activities</w:t>
      </w:r>
    </w:p>
    <w:p>
      <w:pPr>
        <w:spacing w:after="0" w:line="89"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Our net cash provided by operating activities was $2.9 billion and $3.9 billion for the first six months of 2018 and 2017, respectively, a period-over-period decrease of $1.0 billion. This decrease in operating cash flows from the 2017 to the 2018 period was primarily due to lower profitability in the first six months of 2018 driven by an increase in fuel costs and higher wage rates due to mid-contract pay rate increases for pilots and flight attendants effective in the second quarter of 2017, which were offset in part by higher revenues.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Investing Activities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net cash used in investing activities was $1.0 billion and $3.3 billion for the first six months of 2018 and 2017, respectively.</w:t>
      </w:r>
    </w:p>
    <w:p>
      <w:pPr>
        <w:spacing w:after="0" w:line="14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Our principal investing activities in the 2018 period included expenditures of $1.7 billion for property and equipment, including seven Boeing 737-8 MAX aircraft and two Boeing 787 Family aircraft. These cash outflows were offset in part by $395 million in net sales of short-term investments and $258 million of proceeds primarily from aircraft sale-leaseback transactions.</w:t>
      </w:r>
    </w:p>
    <w:p>
      <w:pPr>
        <w:spacing w:after="0" w:line="136"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Our principal investing activities in the 2017 period included expenditures of $3.2 billion for property and equipment, including 15 Airbus A321 aircraft, 10 Boeing 737-800 aircraft, nine Embraer 175 aircraft, and eight Boeing 787 Family aircraft. We also had $456 million in net purchases of short-term investments. These cash outflows were offset in part by $313 million of proceeds primarily from aircraft sale-leaseback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0"/>
          </w:cols>
          <w:pgMar w:left="240" w:top="729" w:right="219" w:bottom="1440" w:gutter="0" w:footer="0" w:header="0"/>
        </w:sectPr>
      </w:pPr>
    </w:p>
    <w:bookmarkStart w:id="64" w:name="page65"/>
    <w:bookmarkEnd w:id="64"/>
    <w:p>
      <w:pPr>
        <w:ind w:left="180"/>
        <w:spacing w:after="0"/>
        <w:rPr>
          <w:sz w:val="20"/>
          <w:szCs w:val="20"/>
          <w:color w:val="auto"/>
        </w:rPr>
      </w:pPr>
      <w:r>
        <w:rPr>
          <w:rFonts w:ascii="Arial" w:cs="Arial" w:eastAsia="Arial" w:hAnsi="Arial"/>
          <w:sz w:val="16"/>
          <w:szCs w:val="16"/>
          <w:i w:val="1"/>
          <w:iCs w:val="1"/>
          <w:color w:val="auto"/>
        </w:rPr>
        <w:t>Financing Activities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net cash used in financing activities was $1.9 billion and $621 million for the first six months of 2018 and 2017, respectively.</w:t>
      </w:r>
    </w:p>
    <w:p>
      <w:pPr>
        <w:spacing w:after="0" w:line="144"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Our principal financing activities in the 2018 period included $1.9 billion in debt repayments, consisting of $1.4 billion in scheduled debt repayments, including the repayment of our $500 million 6.125% senior notes, and the prepayment of $454 million of secured loans. We also had $837 million in share repurchases and $94 million in dividend payments. These cash outflows were offset in part by net proceeds of $892 million from the issuance of debt, primarily including the issuance of equipment notes related to EETCs.</w:t>
      </w:r>
    </w:p>
    <w:p>
      <w:pPr>
        <w:spacing w:after="0" w:line="138"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Our principal financing activities in the 2017 period included $1.1 billion in scheduled debt repayments, $1.0 billion in share repurchases and $102 million in dividend payments. These cash outflows were offset in part by net proceeds of $1.6 billion from the issuance of debt, primarily the issuance of $1.1 billion of EETCs and $533 million borrowed in connection with the financing of certain aircraft.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American</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Operating Activities</w:t>
      </w:r>
    </w:p>
    <w:p>
      <w:pPr>
        <w:spacing w:after="0" w:line="89"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American’s net cash provided by operating activities was $1.4 billion and $2.8 billion for the first six months of 2018 and 2017, respectively, a period-over-period decrease of $1.4 billion. This decrease in operating cash flows from the 2017 to the 2018 period was primarily due to lower profitability in the first six months of 2018 driven by an increase in fuel costs and higher wage rates due to mid-contract pay rate increases for pilots and flight attendants effective in the second quarter of 2017, which were offset in part by higher revenues.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Investing Activities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American’s net cash used in investing activities was $1.0 billion and $3.2 billion for the first six months of 2018 and 2017, respectively.</w:t>
      </w:r>
    </w:p>
    <w:p>
      <w:pPr>
        <w:spacing w:after="0" w:line="14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American’s principal investing activities in the 2018 period included expenditures of $1.7 billion for property and equipment, including seven Boeing 737-8 MAX aircraft and two Boeing 787 Family aircraft. These cash outflows were offset in part by $403 million in net sales of short-term investments and $255 million of proceeds primarily from aircraft sale-leaseback transactions.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American’s principal investing activities in the 2017 period included expenditures of $3.2 billion for property and equipment, including 15 Airbus A321 aircraft, 10</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Boeing 737-800 aircraft, nine Embraer 175 aircraft, and eight Boeing 787 Family aircraft. American also had $456 million in net purchases of short-term investments.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These cash outflows were offset in part by $312 million of proceeds primarily from aircraft sale-leaseback transactions.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Financing Activities</w:t>
      </w:r>
    </w:p>
    <w:p>
      <w:pPr>
        <w:spacing w:after="0" w:line="89"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American’s net cash used in financing activities was $509 million for the first six months of 2018, and American's net cash provided by financing activities was $494 million for the first six months of 2017.</w:t>
      </w:r>
    </w:p>
    <w:p>
      <w:pPr>
        <w:spacing w:after="0" w:line="134"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American’s principal financing activities in the 2018 period included $1.4 billion in debt repayments, consisting of $929 million in scheduled debt repayments and the prepayment of $454 million of secured loans. These cash outflows were offset in part by net proceeds of $892 million from the issuance of debt, primarily including the issuance of equipment notes related to EETCs.</w:t>
      </w:r>
    </w:p>
    <w:p>
      <w:pPr>
        <w:spacing w:after="0" w:line="136"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American’s principal financing activities in the 2017 period included $1.1 billion in scheduled debt repayments. These cash outflows were offset by net proceeds of $1.6 billion from the issuance of debt, primarily including the issuance of $1.1 billion of EETCs and $533 million borrowed in connection with the financing of certain aircraft.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40"/>
          </w:cols>
          <w:pgMar w:left="240" w:top="731" w:right="21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Significant Indebtedness</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As of June 30, 2018, AAG and American had $24.3 billion and $23.0 billion, respectively, including current maturities of $2.2 billion, in long-term debt and capital leases. During the six months ended June 30, 2018, there have been no material changes in our significant indebtedness as discussed in our 2017 Form 10-K, except as discussed in Note 6 to AAG’s Condensed Consolidated Financial Statements in Part I, Item 1A and Note 4 to American’s Condensed Consolidated Financial Statements in Part I, Item 1B.</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Aircraft and Engine Purchase Commitments</w:t>
      </w:r>
    </w:p>
    <w:p>
      <w:pPr>
        <w:spacing w:after="0" w:line="91"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As of June 30, 2018, we had definitive purchase agreements with Airbus, Boeing, Embraer and Bombardier for the acquisition of the following mainline and regional aircraft: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2023 and</w:t>
            </w:r>
          </w:p>
        </w:tc>
        <w:tc>
          <w:tcPr>
            <w:tcW w:w="10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Remainder of 2018</w:t>
            </w:r>
          </w:p>
        </w:tc>
        <w:tc>
          <w:tcPr>
            <w:tcW w:w="1040" w:type="dxa"/>
            <w:vAlign w:val="bottom"/>
          </w:tcPr>
          <w:p>
            <w:pPr>
              <w:jc w:val="right"/>
              <w:ind w:right="304"/>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1040" w:type="dxa"/>
            <w:vAlign w:val="bottom"/>
          </w:tcPr>
          <w:p>
            <w:pPr>
              <w:jc w:val="right"/>
              <w:ind w:right="30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040" w:type="dxa"/>
            <w:vAlign w:val="bottom"/>
          </w:tcPr>
          <w:p>
            <w:pPr>
              <w:jc w:val="right"/>
              <w:ind w:right="30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1020" w:type="dxa"/>
            <w:vAlign w:val="bottom"/>
          </w:tcPr>
          <w:p>
            <w:pPr>
              <w:jc w:val="right"/>
              <w:ind w:right="304"/>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Thereafter</w:t>
            </w:r>
          </w:p>
        </w:tc>
        <w:tc>
          <w:tcPr>
            <w:tcW w:w="1020" w:type="dxa"/>
            <w:vAlign w:val="bottom"/>
          </w:tcPr>
          <w:p>
            <w:pPr>
              <w:jc w:val="right"/>
              <w:ind w:right="304"/>
              <w:spacing w:after="0"/>
              <w:rPr>
                <w:sz w:val="20"/>
                <w:szCs w:val="20"/>
                <w:color w:val="auto"/>
              </w:rPr>
            </w:pPr>
            <w:r>
              <w:rPr>
                <w:rFonts w:ascii="Arial" w:cs="Arial" w:eastAsia="Arial" w:hAnsi="Arial"/>
                <w:sz w:val="12"/>
                <w:szCs w:val="12"/>
                <w:b w:val="1"/>
                <w:bCs w:val="1"/>
                <w:color w:val="auto"/>
              </w:rPr>
              <w:t>Total</w:t>
            </w:r>
          </w:p>
        </w:tc>
      </w:tr>
      <w:tr>
        <w:trPr>
          <w:trHeight w:val="161"/>
        </w:trPr>
        <w:tc>
          <w:tcPr>
            <w:tcW w:w="20" w:type="dxa"/>
            <w:vAlign w:val="bottom"/>
            <w:tcBorders>
              <w:top w:val="single" w:sz="8" w:color="CCEEFF"/>
            </w:tcBorders>
            <w:shd w:val="clear" w:color="auto" w:fill="CCEEFF"/>
          </w:tcPr>
          <w:p>
            <w:pPr>
              <w:spacing w:after="0"/>
              <w:rPr>
                <w:sz w:val="13"/>
                <w:szCs w:val="13"/>
                <w:color w:val="auto"/>
              </w:rPr>
            </w:pPr>
          </w:p>
        </w:tc>
        <w:tc>
          <w:tcPr>
            <w:tcW w:w="3180" w:type="dxa"/>
            <w:vAlign w:val="bottom"/>
            <w:tcBorders>
              <w:top w:val="single" w:sz="8" w:color="CCEEFF"/>
            </w:tcBorders>
            <w:gridSpan w:val="5"/>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 xml:space="preserve">Airbus </w:t>
            </w:r>
            <w:r>
              <w:rPr>
                <w:rFonts w:ascii="Arial" w:cs="Arial" w:eastAsia="Arial" w:hAnsi="Arial"/>
                <w:sz w:val="18"/>
                <w:szCs w:val="18"/>
                <w:color w:val="auto"/>
                <w:vertAlign w:val="superscript"/>
              </w:rPr>
              <w:t>(1)</w:t>
            </w: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50"/>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28"/>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6"/>
                <w:szCs w:val="16"/>
                <w:color w:val="auto"/>
              </w:rPr>
              <w:t>A320neo Family</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100</w:t>
            </w:r>
          </w:p>
        </w:tc>
      </w:tr>
      <w:tr>
        <w:trPr>
          <w:trHeight w:val="182"/>
        </w:trPr>
        <w:tc>
          <w:tcPr>
            <w:tcW w:w="20" w:type="dxa"/>
            <w:vAlign w:val="bottom"/>
            <w:shd w:val="clear" w:color="auto" w:fill="CCEEFF"/>
          </w:tcPr>
          <w:p>
            <w:pPr>
              <w:spacing w:after="0"/>
              <w:rPr>
                <w:sz w:val="15"/>
                <w:szCs w:val="15"/>
                <w:color w:val="auto"/>
              </w:rPr>
            </w:pPr>
          </w:p>
        </w:tc>
        <w:tc>
          <w:tcPr>
            <w:tcW w:w="3180" w:type="dxa"/>
            <w:vAlign w:val="bottom"/>
            <w:gridSpan w:val="5"/>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 xml:space="preserve">Boeing </w:t>
            </w:r>
            <w:r>
              <w:rPr>
                <w:rFonts w:ascii="Arial" w:cs="Arial" w:eastAsia="Arial" w:hAnsi="Arial"/>
                <w:sz w:val="18"/>
                <w:szCs w:val="18"/>
                <w:color w:val="auto"/>
                <w:vertAlign w:val="superscript"/>
              </w:rPr>
              <w:t>(2)</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30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r>
      <w:tr>
        <w:trPr>
          <w:trHeight w:val="228"/>
        </w:trPr>
        <w:tc>
          <w:tcPr>
            <w:tcW w:w="20" w:type="dxa"/>
            <w:vAlign w:val="bottom"/>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6"/>
                <w:szCs w:val="16"/>
                <w:color w:val="auto"/>
              </w:rPr>
              <w:t>737 MAX Family</w:t>
            </w: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89</w:t>
            </w:r>
          </w:p>
        </w:tc>
      </w:tr>
      <w:tr>
        <w:trPr>
          <w:trHeight w:val="240"/>
        </w:trPr>
        <w:tc>
          <w:tcPr>
            <w:tcW w:w="20" w:type="dxa"/>
            <w:vAlign w:val="bottom"/>
            <w:shd w:val="clear" w:color="auto" w:fill="CCEEFF"/>
          </w:tcPr>
          <w:p>
            <w:pPr>
              <w:spacing w:after="0"/>
              <w:rPr>
                <w:sz w:val="20"/>
                <w:szCs w:val="20"/>
                <w:color w:val="auto"/>
              </w:rPr>
            </w:pPr>
          </w:p>
        </w:tc>
        <w:tc>
          <w:tcPr>
            <w:tcW w:w="3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787 Family</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53</w:t>
            </w:r>
          </w:p>
        </w:tc>
      </w:tr>
      <w:tr>
        <w:trPr>
          <w:trHeight w:val="175"/>
        </w:trPr>
        <w:tc>
          <w:tcPr>
            <w:tcW w:w="20" w:type="dxa"/>
            <w:vAlign w:val="bottom"/>
          </w:tcPr>
          <w:p>
            <w:pPr>
              <w:spacing w:after="0"/>
              <w:rPr>
                <w:sz w:val="15"/>
                <w:szCs w:val="15"/>
                <w:color w:val="auto"/>
              </w:rPr>
            </w:pPr>
          </w:p>
        </w:tc>
        <w:tc>
          <w:tcPr>
            <w:tcW w:w="318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 xml:space="preserve">Embraer </w:t>
            </w:r>
            <w:r>
              <w:rPr>
                <w:rFonts w:ascii="Arial" w:cs="Arial" w:eastAsia="Arial" w:hAnsi="Arial"/>
                <w:sz w:val="18"/>
                <w:szCs w:val="18"/>
                <w:color w:val="auto"/>
                <w:vertAlign w:val="superscript"/>
              </w:rPr>
              <w:t>(3)</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4"/>
        </w:trPr>
        <w:tc>
          <w:tcPr>
            <w:tcW w:w="20" w:type="dxa"/>
            <w:vAlign w:val="bottom"/>
            <w:shd w:val="clear" w:color="auto" w:fill="CCEEFF"/>
          </w:tcPr>
          <w:p>
            <w:pPr>
              <w:spacing w:after="0"/>
              <w:rPr>
                <w:sz w:val="20"/>
                <w:szCs w:val="20"/>
                <w:color w:val="auto"/>
              </w:rPr>
            </w:pPr>
          </w:p>
        </w:tc>
        <w:tc>
          <w:tcPr>
            <w:tcW w:w="3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E175</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w:t>
            </w:r>
          </w:p>
        </w:tc>
      </w:tr>
      <w:tr>
        <w:trPr>
          <w:trHeight w:val="175"/>
        </w:trPr>
        <w:tc>
          <w:tcPr>
            <w:tcW w:w="20" w:type="dxa"/>
            <w:vAlign w:val="bottom"/>
          </w:tcPr>
          <w:p>
            <w:pPr>
              <w:spacing w:after="0"/>
              <w:rPr>
                <w:sz w:val="15"/>
                <w:szCs w:val="15"/>
                <w:color w:val="auto"/>
              </w:rPr>
            </w:pPr>
          </w:p>
        </w:tc>
        <w:tc>
          <w:tcPr>
            <w:tcW w:w="318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 xml:space="preserve">Bombardier </w:t>
            </w:r>
            <w:r>
              <w:rPr>
                <w:rFonts w:ascii="Arial" w:cs="Arial" w:eastAsia="Arial" w:hAnsi="Arial"/>
                <w:sz w:val="18"/>
                <w:szCs w:val="18"/>
                <w:color w:val="auto"/>
                <w:vertAlign w:val="superscript"/>
              </w:rPr>
              <w:t>(3)</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4"/>
        </w:trPr>
        <w:tc>
          <w:tcPr>
            <w:tcW w:w="20" w:type="dxa"/>
            <w:vAlign w:val="bottom"/>
            <w:shd w:val="clear" w:color="auto" w:fill="CCEEFF"/>
          </w:tcPr>
          <w:p>
            <w:pPr>
              <w:spacing w:after="0"/>
              <w:rPr>
                <w:sz w:val="20"/>
                <w:szCs w:val="20"/>
                <w:color w:val="auto"/>
              </w:rPr>
            </w:pPr>
          </w:p>
        </w:tc>
        <w:tc>
          <w:tcPr>
            <w:tcW w:w="31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CRJ900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w:t>
            </w:r>
          </w:p>
        </w:tc>
      </w:tr>
      <w:tr>
        <w:trPr>
          <w:trHeight w:val="201"/>
        </w:trPr>
        <w:tc>
          <w:tcPr>
            <w:tcW w:w="20" w:type="dxa"/>
            <w:vAlign w:val="bottom"/>
          </w:tcPr>
          <w:p>
            <w:pPr>
              <w:spacing w:after="0"/>
              <w:rPr>
                <w:sz w:val="17"/>
                <w:szCs w:val="17"/>
                <w:color w:val="auto"/>
              </w:rPr>
            </w:pPr>
          </w:p>
        </w:tc>
        <w:tc>
          <w:tcPr>
            <w:tcW w:w="3180" w:type="dxa"/>
            <w:vAlign w:val="bottom"/>
            <w:gridSpan w:val="5"/>
          </w:tcPr>
          <w:p>
            <w:pPr>
              <w:ind w:left="120"/>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13442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420" w:hanging="286"/>
        <w:spacing w:after="0" w:line="229" w:lineRule="auto"/>
        <w:tabs>
          <w:tab w:leader="none" w:pos="420" w:val="left"/>
        </w:tabs>
        <w:numPr>
          <w:ilvl w:val="0"/>
          <w:numId w:val="48"/>
        </w:numPr>
        <w:rPr>
          <w:rFonts w:ascii="Arial" w:cs="Arial" w:eastAsia="Arial" w:hAnsi="Arial"/>
          <w:sz w:val="19"/>
          <w:szCs w:val="19"/>
          <w:color w:val="auto"/>
          <w:vertAlign w:val="superscript"/>
        </w:rPr>
      </w:pPr>
      <w:r>
        <w:rPr>
          <w:rFonts w:ascii="Arial" w:cs="Arial" w:eastAsia="Arial" w:hAnsi="Arial"/>
          <w:sz w:val="16"/>
          <w:szCs w:val="16"/>
          <w:color w:val="auto"/>
        </w:rPr>
        <w:t>In April 2018, American and Airbus agreed to terminate the parties’ A350 XWB purchase agreement and cancel the parties’ obligations thereunder. American was scheduled to acquire 22 Airbus A350 aircraft with deliveries commencing in 2020 and continuing through 2024. The table above reflects the termination of this agreement. In addition, the termination of this agreement is reflected below in the Contractual Obligations table.</w:t>
      </w:r>
    </w:p>
    <w:p>
      <w:pPr>
        <w:spacing w:after="0" w:line="142" w:lineRule="exact"/>
        <w:rPr>
          <w:rFonts w:ascii="Arial" w:cs="Arial" w:eastAsia="Arial" w:hAnsi="Arial"/>
          <w:sz w:val="19"/>
          <w:szCs w:val="19"/>
          <w:color w:val="auto"/>
          <w:vertAlign w:val="superscript"/>
        </w:rPr>
      </w:pPr>
    </w:p>
    <w:p>
      <w:pPr>
        <w:jc w:val="both"/>
        <w:ind w:left="420"/>
        <w:spacing w:after="0" w:line="246" w:lineRule="auto"/>
        <w:rPr>
          <w:rFonts w:ascii="Arial" w:cs="Arial" w:eastAsia="Arial" w:hAnsi="Arial"/>
          <w:sz w:val="19"/>
          <w:szCs w:val="19"/>
          <w:color w:val="auto"/>
          <w:vertAlign w:val="superscript"/>
        </w:rPr>
      </w:pPr>
      <w:r>
        <w:rPr>
          <w:rFonts w:ascii="Arial" w:cs="Arial" w:eastAsia="Arial" w:hAnsi="Arial"/>
          <w:sz w:val="16"/>
          <w:szCs w:val="16"/>
          <w:color w:val="auto"/>
        </w:rPr>
        <w:t>In July 2018, American and Airbus entered into an agreement to defer the delivery of 22 Airbus A321neo aircraft currently scheduled for delivery in 2019, 2020 and 2021. These aircraft are now scheduled to be delivered in 2024. The table above reflects this revised delivery schedule. In addition, the future payments in the Contractual Obligations table below reflect these transactions.</w:t>
      </w:r>
    </w:p>
    <w:p>
      <w:pPr>
        <w:spacing w:after="0" w:line="136" w:lineRule="exact"/>
        <w:rPr>
          <w:rFonts w:ascii="Arial" w:cs="Arial" w:eastAsia="Arial" w:hAnsi="Arial"/>
          <w:sz w:val="19"/>
          <w:szCs w:val="19"/>
          <w:color w:val="auto"/>
          <w:vertAlign w:val="superscript"/>
        </w:rPr>
      </w:pPr>
    </w:p>
    <w:p>
      <w:pPr>
        <w:jc w:val="both"/>
        <w:ind w:left="420" w:hanging="286"/>
        <w:spacing w:after="0" w:line="235" w:lineRule="auto"/>
        <w:tabs>
          <w:tab w:leader="none" w:pos="420" w:val="left"/>
        </w:tabs>
        <w:numPr>
          <w:ilvl w:val="0"/>
          <w:numId w:val="48"/>
        </w:numPr>
        <w:rPr>
          <w:rFonts w:ascii="Arial" w:cs="Arial" w:eastAsia="Arial" w:hAnsi="Arial"/>
          <w:sz w:val="19"/>
          <w:szCs w:val="19"/>
          <w:color w:val="auto"/>
          <w:vertAlign w:val="superscript"/>
        </w:rPr>
      </w:pPr>
      <w:r>
        <w:rPr>
          <w:rFonts w:ascii="Arial" w:cs="Arial" w:eastAsia="Arial" w:hAnsi="Arial"/>
          <w:sz w:val="16"/>
          <w:szCs w:val="16"/>
          <w:color w:val="auto"/>
        </w:rPr>
        <w:t>In April 2018, American agreed with Boeing to acquire an additional 47 Boeing 787 aircraft, consisting of 22 787-8 aircraft and 25 787-9 aircraft with deliveries scheduled to commence in 2020 and continue through 2026. Additionally, American agreed with Boeing to defer the delivery of 40 737 MAX aircraft currently scheduled for delivery in 2020, 2021 and 2022. These aircraft are now scheduled to be delivered in 2025 and 2026. The table above reflects the additional 47 Boeing 787 aircraft deliveries as well as the revised delivery schedule for the 40 737 MAX aircraft. In addition, the future payments in the Contractual Obligations table below reflect these transactions.</w:t>
      </w:r>
    </w:p>
    <w:p>
      <w:pPr>
        <w:spacing w:after="0" w:line="141" w:lineRule="exact"/>
        <w:rPr>
          <w:rFonts w:ascii="Arial" w:cs="Arial" w:eastAsia="Arial" w:hAnsi="Arial"/>
          <w:sz w:val="19"/>
          <w:szCs w:val="19"/>
          <w:color w:val="auto"/>
          <w:vertAlign w:val="superscript"/>
        </w:rPr>
      </w:pPr>
    </w:p>
    <w:p>
      <w:pPr>
        <w:jc w:val="both"/>
        <w:ind w:left="420" w:hanging="286"/>
        <w:spacing w:after="0" w:line="233" w:lineRule="auto"/>
        <w:tabs>
          <w:tab w:leader="none" w:pos="420" w:val="left"/>
        </w:tabs>
        <w:numPr>
          <w:ilvl w:val="0"/>
          <w:numId w:val="48"/>
        </w:numPr>
        <w:rPr>
          <w:rFonts w:ascii="Arial" w:cs="Arial" w:eastAsia="Arial" w:hAnsi="Arial"/>
          <w:sz w:val="19"/>
          <w:szCs w:val="19"/>
          <w:color w:val="auto"/>
          <w:vertAlign w:val="superscript"/>
        </w:rPr>
      </w:pPr>
      <w:r>
        <w:rPr>
          <w:rFonts w:ascii="Arial" w:cs="Arial" w:eastAsia="Arial" w:hAnsi="Arial"/>
          <w:sz w:val="16"/>
          <w:szCs w:val="16"/>
          <w:color w:val="auto"/>
        </w:rPr>
        <w:t>These aircraft may be operated by wholly-owned regional subsidiaries which would operate the aircraft under capacity purchase arrangements. In May 2018, American agreed to purchase 15 additional E175 regional aircraft from Embraer S.A. and 15 additional CRJ900 aircraft from Bombardier Inc. scheduled for delivery in 2019 and 2020. Additionally, American obtained options to purchase an additional 15 E175 aircraft and 15 CRJ900 aircraft from Embraer S.A. and Bombardier Inc., respectively.</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also have agreements for 41 spare engines to be delivered in 2018 and beyond.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40"/>
          </w:cols>
          <w:pgMar w:left="240" w:top="729" w:right="219" w:bottom="1440" w:gutter="0" w:footer="0" w:header="0"/>
        </w:sectPr>
      </w:pPr>
    </w:p>
    <w:bookmarkStart w:id="66" w:name="page67"/>
    <w:bookmarkEnd w:id="66"/>
    <w:p>
      <w:pPr>
        <w:jc w:val="both"/>
        <w:ind w:left="6" w:firstLine="187"/>
        <w:spacing w:after="0" w:line="288" w:lineRule="auto"/>
        <w:rPr>
          <w:sz w:val="20"/>
          <w:szCs w:val="20"/>
          <w:color w:val="auto"/>
        </w:rPr>
      </w:pPr>
      <w:r>
        <w:rPr>
          <w:rFonts w:ascii="Arial" w:cs="Arial" w:eastAsia="Arial" w:hAnsi="Arial"/>
          <w:sz w:val="14"/>
          <w:szCs w:val="14"/>
          <w:color w:val="auto"/>
        </w:rPr>
        <w:t xml:space="preserve">As of June 30, 2018, we had financing commitments for all of the aircraft currently on order and scheduled to be delivered through December 2018. We do not have financing commitments for the following aircraft currently on order and scheduled to be delivered through the end of 2019: 17 Airbus A320neo Family aircraft, 20 Boeing 737 MAX Family aircraft, 15 Embraer E175 aircraft, 14 Bombardier CRJ-900 aircraft and two Boeing 787 Family aircraft. In addition, with the exception of the 47 recently ordered 787 Family aircraft, we do not have financing commitments in place for the remaining aircraft currently on order and scheduled to be delivered in 2020 and beyond. See Part II, Item 1A. Risk Factors – </w:t>
      </w:r>
      <w:r>
        <w:rPr>
          <w:rFonts w:ascii="Arial" w:cs="Arial" w:eastAsia="Arial" w:hAnsi="Arial"/>
          <w:sz w:val="14"/>
          <w:szCs w:val="14"/>
          <w:i w:val="1"/>
          <w:iCs w:val="1"/>
          <w:color w:val="auto"/>
        </w:rPr>
        <w:t>“We will need to obtain sufficient financing or other capital to operate successfully”</w:t>
      </w:r>
      <w:r>
        <w:rPr>
          <w:rFonts w:ascii="Arial" w:cs="Arial" w:eastAsia="Arial" w:hAnsi="Arial"/>
          <w:sz w:val="14"/>
          <w:szCs w:val="14"/>
          <w:color w:val="auto"/>
        </w:rPr>
        <w:t xml:space="preserve"> for additional discussion.</w:t>
      </w:r>
    </w:p>
    <w:p>
      <w:pPr>
        <w:spacing w:after="0" w:line="162" w:lineRule="exact"/>
        <w:rPr>
          <w:sz w:val="20"/>
          <w:szCs w:val="20"/>
          <w:color w:val="auto"/>
        </w:rPr>
      </w:pPr>
    </w:p>
    <w:p>
      <w:pPr>
        <w:ind w:left="186"/>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91" w:lineRule="exact"/>
        <w:rPr>
          <w:sz w:val="20"/>
          <w:szCs w:val="20"/>
          <w:color w:val="auto"/>
        </w:rPr>
      </w:pPr>
    </w:p>
    <w:p>
      <w:pPr>
        <w:ind w:left="186"/>
        <w:spacing w:after="0"/>
        <w:rPr>
          <w:sz w:val="20"/>
          <w:szCs w:val="20"/>
          <w:color w:val="auto"/>
        </w:rPr>
      </w:pPr>
      <w:r>
        <w:rPr>
          <w:rFonts w:ascii="Arial" w:cs="Arial" w:eastAsia="Arial" w:hAnsi="Arial"/>
          <w:sz w:val="14"/>
          <w:szCs w:val="14"/>
          <w:color w:val="auto"/>
        </w:rPr>
        <w:t>An off-balance sheet arrangement is any transaction, agreement or other contractual arrangement involving an unconsolidated entity under which a company has</w:t>
      </w:r>
    </w:p>
    <w:p>
      <w:pPr>
        <w:spacing w:after="0" w:line="26" w:lineRule="exact"/>
        <w:rPr>
          <w:sz w:val="20"/>
          <w:szCs w:val="20"/>
          <w:color w:val="auto"/>
        </w:rPr>
      </w:pPr>
    </w:p>
    <w:p>
      <w:pPr>
        <w:jc w:val="both"/>
        <w:ind w:left="6" w:right="20" w:hanging="6"/>
        <w:spacing w:after="0" w:line="246" w:lineRule="auto"/>
        <w:tabs>
          <w:tab w:leader="none" w:pos="2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36" w:lineRule="exact"/>
        <w:rPr>
          <w:sz w:val="20"/>
          <w:szCs w:val="20"/>
          <w:color w:val="auto"/>
        </w:rPr>
      </w:pPr>
    </w:p>
    <w:p>
      <w:pPr>
        <w:ind w:left="186"/>
        <w:spacing w:after="0"/>
        <w:rPr>
          <w:sz w:val="20"/>
          <w:szCs w:val="20"/>
          <w:color w:val="auto"/>
        </w:rPr>
      </w:pPr>
      <w:r>
        <w:rPr>
          <w:rFonts w:ascii="Arial" w:cs="Arial" w:eastAsia="Arial" w:hAnsi="Arial"/>
          <w:sz w:val="16"/>
          <w:szCs w:val="16"/>
          <w:color w:val="auto"/>
        </w:rPr>
        <w:t>There have been no material changes in our off-balance sheet arrangements as discussed in our 2017 Form 10-K.</w:t>
      </w:r>
    </w:p>
    <w:p>
      <w:pPr>
        <w:spacing w:after="0" w:line="196" w:lineRule="exact"/>
        <w:rPr>
          <w:sz w:val="20"/>
          <w:szCs w:val="20"/>
          <w:color w:val="auto"/>
        </w:rPr>
      </w:pPr>
    </w:p>
    <w:p>
      <w:pPr>
        <w:ind w:left="6"/>
        <w:spacing w:after="0"/>
        <w:rPr>
          <w:sz w:val="20"/>
          <w:szCs w:val="20"/>
          <w:color w:val="auto"/>
        </w:rPr>
      </w:pPr>
      <w:r>
        <w:rPr>
          <w:rFonts w:ascii="Arial" w:cs="Arial" w:eastAsia="Arial" w:hAnsi="Arial"/>
          <w:sz w:val="16"/>
          <w:szCs w:val="16"/>
          <w:b w:val="1"/>
          <w:bCs w:val="1"/>
          <w:u w:val="single" w:color="auto"/>
          <w:color w:val="auto"/>
        </w:rPr>
        <w:t>Contractual Obligations</w:t>
      </w:r>
    </w:p>
    <w:p>
      <w:pPr>
        <w:spacing w:after="0" w:line="9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provides details of our future cash contractual obligations as of June 30, 2018 (in millions):</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22"/>
              <w:spacing w:after="0"/>
              <w:rPr>
                <w:sz w:val="20"/>
                <w:szCs w:val="20"/>
                <w:color w:val="auto"/>
              </w:rPr>
            </w:pPr>
            <w:r>
              <w:rPr>
                <w:rFonts w:ascii="Arial" w:cs="Arial" w:eastAsia="Arial" w:hAnsi="Arial"/>
                <w:sz w:val="12"/>
                <w:szCs w:val="12"/>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1"/>
        </w:trPr>
        <w:tc>
          <w:tcPr>
            <w:tcW w:w="2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2023 and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8"/>
        </w:trPr>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Remainder of 2018</w:t>
            </w:r>
          </w:p>
        </w:tc>
        <w:tc>
          <w:tcPr>
            <w:tcW w:w="220" w:type="dxa"/>
            <w:vAlign w:val="bottom"/>
          </w:tcPr>
          <w:p>
            <w:pPr>
              <w:spacing w:after="0"/>
              <w:rPr>
                <w:sz w:val="14"/>
                <w:szCs w:val="14"/>
                <w:color w:val="auto"/>
              </w:rPr>
            </w:pPr>
          </w:p>
        </w:tc>
        <w:tc>
          <w:tcPr>
            <w:tcW w:w="720" w:type="dxa"/>
            <w:vAlign w:val="bottom"/>
          </w:tcPr>
          <w:p>
            <w:pPr>
              <w:jc w:val="right"/>
              <w:ind w:right="26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4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23"/>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23"/>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Thereafter</w:t>
            </w:r>
          </w:p>
        </w:tc>
        <w:tc>
          <w:tcPr>
            <w:tcW w:w="200" w:type="dxa"/>
            <w:vAlign w:val="bottom"/>
          </w:tcPr>
          <w:p>
            <w:pPr>
              <w:spacing w:after="0"/>
              <w:rPr>
                <w:sz w:val="14"/>
                <w:szCs w:val="14"/>
                <w:color w:val="auto"/>
              </w:rPr>
            </w:pPr>
          </w:p>
        </w:tc>
        <w:tc>
          <w:tcPr>
            <w:tcW w:w="700" w:type="dxa"/>
            <w:vAlign w:val="bottom"/>
          </w:tcPr>
          <w:p>
            <w:pPr>
              <w:jc w:val="right"/>
              <w:ind w:right="243"/>
              <w:spacing w:after="0"/>
              <w:rPr>
                <w:sz w:val="20"/>
                <w:szCs w:val="20"/>
                <w:color w:val="auto"/>
              </w:rPr>
            </w:pPr>
            <w:r>
              <w:rPr>
                <w:rFonts w:ascii="Arial" w:cs="Arial" w:eastAsia="Arial" w:hAnsi="Arial"/>
                <w:sz w:val="12"/>
                <w:szCs w:val="12"/>
                <w:b w:val="1"/>
                <w:bCs w:val="1"/>
                <w:color w:val="auto"/>
              </w:rPr>
              <w:t>Total</w:t>
            </w:r>
          </w:p>
        </w:tc>
      </w:tr>
      <w:tr>
        <w:trPr>
          <w:trHeight w:val="211"/>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American</w:t>
            </w: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34"/>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 xml:space="preserve">Debt and capital lease obligations </w:t>
            </w:r>
            <w:r>
              <w:rPr>
                <w:rFonts w:ascii="Arial" w:cs="Arial" w:eastAsia="Arial" w:hAnsi="Arial"/>
                <w:sz w:val="18"/>
                <w:szCs w:val="18"/>
                <w:color w:val="auto"/>
                <w:vertAlign w:val="superscript"/>
              </w:rPr>
              <w:t>(a) (c)</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2,113</w:t>
            </w:r>
          </w:p>
        </w:tc>
        <w:tc>
          <w:tcPr>
            <w:tcW w:w="100" w:type="dxa"/>
            <w:vAlign w:val="bottom"/>
          </w:tcPr>
          <w:p>
            <w:pPr>
              <w:spacing w:after="0"/>
              <w:rPr>
                <w:sz w:val="20"/>
                <w:szCs w:val="20"/>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20"/>
                <w:szCs w:val="20"/>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13,819</w:t>
            </w: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23,030</w:t>
            </w:r>
          </w:p>
        </w:tc>
      </w:tr>
      <w:tr>
        <w:trPr>
          <w:trHeight w:val="23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18"/>
                <w:szCs w:val="18"/>
                <w:color w:val="auto"/>
                <w:vertAlign w:val="superscript"/>
              </w:rPr>
              <w:t>(b) (c)</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5,395</w:t>
            </w:r>
          </w:p>
        </w:tc>
      </w:tr>
      <w:tr>
        <w:trPr>
          <w:trHeight w:val="196"/>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Aircraft and engine purchase</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3880" w:type="dxa"/>
            <w:vAlign w:val="bottom"/>
            <w:gridSpan w:val="2"/>
          </w:tcPr>
          <w:p>
            <w:pPr>
              <w:ind w:left="160"/>
              <w:spacing w:after="0" w:line="201"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18"/>
                <w:szCs w:val="18"/>
                <w:color w:val="auto"/>
                <w:vertAlign w:val="superscript"/>
              </w:rPr>
              <w:t>(d)</w:t>
            </w:r>
          </w:p>
        </w:tc>
        <w:tc>
          <w:tcPr>
            <w:tcW w:w="40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7,489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14,934</w:t>
            </w:r>
          </w:p>
        </w:tc>
      </w:tr>
      <w:tr>
        <w:trPr>
          <w:trHeight w:val="23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Operating lease commitments </w:t>
            </w:r>
            <w:r>
              <w:rPr>
                <w:rFonts w:ascii="Arial" w:cs="Arial" w:eastAsia="Arial" w:hAnsi="Arial"/>
                <w:sz w:val="18"/>
                <w:szCs w:val="18"/>
                <w:color w:val="auto"/>
                <w:vertAlign w:val="superscript"/>
              </w:rPr>
              <w:t>(e)</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1,993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6,127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14,667</w:t>
            </w:r>
          </w:p>
        </w:tc>
      </w:tr>
      <w:tr>
        <w:trPr>
          <w:trHeight w:val="234"/>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18"/>
                <w:szCs w:val="18"/>
                <w:color w:val="auto"/>
                <w:vertAlign w:val="superscript"/>
              </w:rPr>
              <w:t>(f)</w:t>
            </w:r>
          </w:p>
        </w:tc>
        <w:tc>
          <w:tcPr>
            <w:tcW w:w="40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7,057</w:t>
            </w:r>
          </w:p>
        </w:tc>
      </w:tr>
      <w:tr>
        <w:trPr>
          <w:trHeight w:val="23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Minimum pension obligations </w:t>
            </w:r>
            <w:r>
              <w:rPr>
                <w:rFonts w:ascii="Arial" w:cs="Arial" w:eastAsia="Arial" w:hAnsi="Arial"/>
                <w:sz w:val="18"/>
                <w:szCs w:val="18"/>
                <w:color w:val="auto"/>
                <w:vertAlign w:val="superscript"/>
              </w:rPr>
              <w:t>(g)</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4,079</w:t>
            </w:r>
          </w:p>
        </w:tc>
      </w:tr>
      <w:tr>
        <w:trPr>
          <w:trHeight w:val="228"/>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Retiree medical and other postretirement benefits</w:t>
            </w:r>
          </w:p>
        </w:tc>
        <w:tc>
          <w:tcPr>
            <w:tcW w:w="400" w:type="dxa"/>
            <w:vAlign w:val="bottom"/>
          </w:tcPr>
          <w:p>
            <w:pPr>
              <w:spacing w:after="0"/>
              <w:rPr>
                <w:sz w:val="19"/>
                <w:szCs w:val="19"/>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679</w:t>
            </w:r>
          </w:p>
        </w:tc>
      </w:tr>
      <w:tr>
        <w:trPr>
          <w:trHeight w:val="24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18"/>
                <w:szCs w:val="18"/>
                <w:color w:val="auto"/>
                <w:vertAlign w:val="superscript"/>
              </w:rPr>
              <w:t>(h)</w:t>
            </w: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1,149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5,428</w:t>
            </w:r>
          </w:p>
        </w:tc>
      </w:tr>
      <w:tr>
        <w:trPr>
          <w:trHeight w:val="208"/>
        </w:trPr>
        <w:tc>
          <w:tcPr>
            <w:tcW w:w="3880" w:type="dxa"/>
            <w:vAlign w:val="bottom"/>
            <w:gridSpan w:val="2"/>
          </w:tcPr>
          <w:p>
            <w:pPr>
              <w:ind w:left="140"/>
              <w:spacing w:after="0"/>
              <w:rPr>
                <w:sz w:val="20"/>
                <w:szCs w:val="20"/>
                <w:color w:val="auto"/>
              </w:rPr>
            </w:pPr>
            <w:r>
              <w:rPr>
                <w:rFonts w:ascii="Arial" w:cs="Arial" w:eastAsia="Arial" w:hAnsi="Arial"/>
                <w:sz w:val="16"/>
                <w:szCs w:val="16"/>
                <w:color w:val="auto"/>
              </w:rPr>
              <w:t>Total American Contractual Obligations</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5,693</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12,521</w:t>
            </w:r>
          </w:p>
        </w:tc>
        <w:tc>
          <w:tcPr>
            <w:tcW w:w="10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8,720</w:t>
            </w:r>
          </w:p>
        </w:tc>
        <w:tc>
          <w:tcPr>
            <w:tcW w:w="12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32,936</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75,269</w:t>
            </w:r>
          </w:p>
        </w:tc>
      </w:tr>
      <w:tr>
        <w:trPr>
          <w:trHeight w:val="240"/>
        </w:trPr>
        <w:tc>
          <w:tcPr>
            <w:tcW w:w="2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0"/>
        </w:trPr>
        <w:tc>
          <w:tcPr>
            <w:tcW w:w="3880" w:type="dxa"/>
            <w:vAlign w:val="bottom"/>
            <w:gridSpan w:val="2"/>
          </w:tcPr>
          <w:p>
            <w:pPr>
              <w:ind w:left="20"/>
              <w:spacing w:after="0"/>
              <w:rPr>
                <w:sz w:val="20"/>
                <w:szCs w:val="20"/>
                <w:color w:val="auto"/>
              </w:rPr>
            </w:pPr>
            <w:r>
              <w:rPr>
                <w:rFonts w:ascii="Arial" w:cs="Arial" w:eastAsia="Arial" w:hAnsi="Arial"/>
                <w:sz w:val="16"/>
                <w:szCs w:val="16"/>
                <w:i w:val="1"/>
                <w:iCs w:val="1"/>
                <w:color w:val="auto"/>
              </w:rPr>
              <w:t>AAG and Other AAG Subsidiaries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
        </w:trPr>
        <w:tc>
          <w:tcPr>
            <w:tcW w:w="2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Debt and capital lease obligations </w:t>
            </w:r>
            <w:r>
              <w:rPr>
                <w:rFonts w:ascii="Arial" w:cs="Arial" w:eastAsia="Arial" w:hAnsi="Arial"/>
                <w:sz w:val="18"/>
                <w:szCs w:val="18"/>
                <w:color w:val="auto"/>
                <w:vertAlign w:val="superscript"/>
              </w:rPr>
              <w:t>(a)</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1,279</w:t>
            </w:r>
          </w:p>
        </w:tc>
      </w:tr>
      <w:tr>
        <w:trPr>
          <w:trHeight w:val="234"/>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18"/>
                <w:szCs w:val="18"/>
                <w:color w:val="auto"/>
                <w:vertAlign w:val="superscript"/>
              </w:rPr>
              <w:t>(b)</w:t>
            </w:r>
          </w:p>
        </w:tc>
        <w:tc>
          <w:tcPr>
            <w:tcW w:w="40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123</w:t>
            </w:r>
          </w:p>
        </w:tc>
      </w:tr>
      <w:tr>
        <w:trPr>
          <w:trHeight w:val="23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Minimum pension obligations </w:t>
            </w:r>
            <w:r>
              <w:rPr>
                <w:rFonts w:ascii="Arial" w:cs="Arial" w:eastAsia="Arial" w:hAnsi="Arial"/>
                <w:sz w:val="18"/>
                <w:szCs w:val="18"/>
                <w:color w:val="auto"/>
                <w:vertAlign w:val="superscript"/>
              </w:rPr>
              <w:t>(g)</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w:t>
            </w:r>
          </w:p>
        </w:tc>
      </w:tr>
      <w:tr>
        <w:trPr>
          <w:trHeight w:val="228"/>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lease commitments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w:t>
            </w:r>
          </w:p>
        </w:tc>
      </w:tr>
      <w:tr>
        <w:trPr>
          <w:trHeight w:val="214"/>
        </w:trPr>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AAG Contractual Obligations</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5,737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13,353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9,251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9,023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6,402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32,995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76,761</w:t>
            </w:r>
          </w:p>
        </w:tc>
      </w:tr>
      <w:tr>
        <w:trPr>
          <w:trHeight w:val="20"/>
        </w:trPr>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4"/>
        </w:trPr>
        <w:tc>
          <w:tcPr>
            <w:tcW w:w="212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327" w:lineRule="exact"/>
        <w:rPr>
          <w:sz w:val="20"/>
          <w:szCs w:val="20"/>
          <w:color w:val="auto"/>
        </w:rPr>
      </w:pPr>
    </w:p>
    <w:p>
      <w:pPr>
        <w:jc w:val="both"/>
        <w:ind w:left="426" w:hanging="286"/>
        <w:spacing w:after="0" w:line="229" w:lineRule="auto"/>
        <w:tabs>
          <w:tab w:leader="none" w:pos="426" w:val="left"/>
        </w:tabs>
        <w:numPr>
          <w:ilvl w:val="0"/>
          <w:numId w:val="50"/>
        </w:numPr>
        <w:rPr>
          <w:rFonts w:ascii="Arial" w:cs="Arial" w:eastAsia="Arial" w:hAnsi="Arial"/>
          <w:sz w:val="19"/>
          <w:szCs w:val="19"/>
          <w:color w:val="auto"/>
          <w:vertAlign w:val="superscript"/>
        </w:rPr>
      </w:pPr>
      <w:r>
        <w:rPr>
          <w:rFonts w:ascii="Arial" w:cs="Arial" w:eastAsia="Arial" w:hAnsi="Arial"/>
          <w:sz w:val="16"/>
          <w:szCs w:val="16"/>
          <w:color w:val="auto"/>
        </w:rPr>
        <w:t>Amounts represent contractual amounts due. Excludes $229 million and $233 million of unamortized debt discount, premium and issuance costs as of June 30, 2018 for American and AAG, respectively. For additional information, see Note 6 and Note 4 to AAG’s and American’s Condensed Consolidated Financial Statements in Part I, Items 1A and 1B.</w:t>
      </w:r>
    </w:p>
    <w:p>
      <w:pPr>
        <w:spacing w:after="0" w:line="110" w:lineRule="exact"/>
        <w:rPr>
          <w:rFonts w:ascii="Arial" w:cs="Arial" w:eastAsia="Arial" w:hAnsi="Arial"/>
          <w:sz w:val="19"/>
          <w:szCs w:val="19"/>
          <w:color w:val="auto"/>
          <w:vertAlign w:val="superscript"/>
        </w:rPr>
      </w:pPr>
    </w:p>
    <w:p>
      <w:pPr>
        <w:ind w:left="426" w:hanging="286"/>
        <w:spacing w:after="0"/>
        <w:tabs>
          <w:tab w:leader="none" w:pos="426" w:val="left"/>
        </w:tabs>
        <w:numPr>
          <w:ilvl w:val="0"/>
          <w:numId w:val="50"/>
        </w:numPr>
        <w:rPr>
          <w:rFonts w:ascii="Arial" w:cs="Arial" w:eastAsia="Arial" w:hAnsi="Arial"/>
          <w:sz w:val="19"/>
          <w:szCs w:val="19"/>
          <w:color w:val="auto"/>
          <w:vertAlign w:val="superscript"/>
        </w:rPr>
      </w:pPr>
      <w:r>
        <w:rPr>
          <w:rFonts w:ascii="Arial" w:cs="Arial" w:eastAsia="Arial" w:hAnsi="Arial"/>
          <w:sz w:val="16"/>
          <w:szCs w:val="16"/>
          <w:color w:val="auto"/>
        </w:rPr>
        <w:t>For variable-rate debt, future interest obligations are estimated using the current forward rates at June 30, 2018.</w:t>
      </w:r>
    </w:p>
    <w:p>
      <w:pPr>
        <w:spacing w:after="0" w:line="140" w:lineRule="exact"/>
        <w:rPr>
          <w:rFonts w:ascii="Arial" w:cs="Arial" w:eastAsia="Arial" w:hAnsi="Arial"/>
          <w:sz w:val="19"/>
          <w:szCs w:val="19"/>
          <w:color w:val="auto"/>
          <w:vertAlign w:val="superscript"/>
        </w:rPr>
      </w:pPr>
    </w:p>
    <w:p>
      <w:pPr>
        <w:ind w:left="426" w:right="20" w:hanging="286"/>
        <w:spacing w:after="0" w:line="223" w:lineRule="auto"/>
        <w:tabs>
          <w:tab w:leader="none" w:pos="426" w:val="left"/>
        </w:tabs>
        <w:numPr>
          <w:ilvl w:val="0"/>
          <w:numId w:val="50"/>
        </w:numPr>
        <w:rPr>
          <w:rFonts w:ascii="Arial" w:cs="Arial" w:eastAsia="Arial" w:hAnsi="Arial"/>
          <w:sz w:val="19"/>
          <w:szCs w:val="19"/>
          <w:color w:val="auto"/>
          <w:vertAlign w:val="superscript"/>
        </w:rPr>
      </w:pPr>
      <w:r>
        <w:rPr>
          <w:rFonts w:ascii="Arial" w:cs="Arial" w:eastAsia="Arial" w:hAnsi="Arial"/>
          <w:sz w:val="16"/>
          <w:szCs w:val="16"/>
          <w:color w:val="auto"/>
        </w:rPr>
        <w:t>Includes $11.9 billion of future principal payments and $2.6 billion of future interest payments, as of June 30, 2018, related to EETC debt financings of certain aircraft.</w:t>
      </w:r>
    </w:p>
    <w:p>
      <w:pPr>
        <w:spacing w:after="0" w:line="21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46"/>
          </w:cols>
          <w:pgMar w:left="234" w:top="677" w:right="219" w:bottom="1440" w:gutter="0" w:footer="0" w:header="0"/>
        </w:sectPr>
      </w:pPr>
    </w:p>
    <w:bookmarkStart w:id="67" w:name="page68"/>
    <w:bookmarkEnd w:id="67"/>
    <w:p>
      <w:pPr>
        <w:jc w:val="both"/>
        <w:ind w:left="420" w:right="20" w:hanging="286"/>
        <w:spacing w:after="0" w:line="236" w:lineRule="auto"/>
        <w:tabs>
          <w:tab w:leader="none" w:pos="420" w:val="left"/>
        </w:tabs>
        <w:numPr>
          <w:ilvl w:val="0"/>
          <w:numId w:val="51"/>
        </w:numPr>
        <w:rPr>
          <w:rFonts w:ascii="Arial" w:cs="Arial" w:eastAsia="Arial" w:hAnsi="Arial"/>
          <w:sz w:val="19"/>
          <w:szCs w:val="19"/>
          <w:color w:val="auto"/>
          <w:vertAlign w:val="superscript"/>
        </w:rPr>
      </w:pPr>
      <w:r>
        <w:rPr>
          <w:rFonts w:ascii="Arial" w:cs="Arial" w:eastAsia="Arial" w:hAnsi="Arial"/>
          <w:sz w:val="16"/>
          <w:szCs w:val="16"/>
          <w:color w:val="auto"/>
        </w:rPr>
        <w:t>See Part I, Item 2. Management’s Discussion and Analysis of Financial Condition and Results of Operations –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additional information about these obligations. Boeing has committed to provide sale-leaseback financing (in the form of operating leases) for the 22 787-8 aircraft to be delivered in 2020 and 2021. This financing is reflected in the operating lease commitments line above.</w:t>
      </w:r>
    </w:p>
    <w:p>
      <w:pPr>
        <w:spacing w:after="0" w:line="109"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51"/>
        </w:numPr>
        <w:rPr>
          <w:rFonts w:ascii="Arial" w:cs="Arial" w:eastAsia="Arial" w:hAnsi="Arial"/>
          <w:sz w:val="19"/>
          <w:szCs w:val="19"/>
          <w:color w:val="auto"/>
          <w:vertAlign w:val="superscript"/>
        </w:rPr>
      </w:pPr>
      <w:r>
        <w:rPr>
          <w:rFonts w:ascii="Arial" w:cs="Arial" w:eastAsia="Arial" w:hAnsi="Arial"/>
          <w:sz w:val="16"/>
          <w:szCs w:val="16"/>
          <w:color w:val="auto"/>
        </w:rPr>
        <w:t>Includes $401 million of future minimum lease payments related to EETC leveraged lease financings of certain aircraft as of June 30, 2018.</w:t>
      </w:r>
    </w:p>
    <w:p>
      <w:pPr>
        <w:spacing w:after="0" w:line="140" w:lineRule="exact"/>
        <w:rPr>
          <w:rFonts w:ascii="Arial" w:cs="Arial" w:eastAsia="Arial" w:hAnsi="Arial"/>
          <w:sz w:val="19"/>
          <w:szCs w:val="19"/>
          <w:color w:val="auto"/>
          <w:vertAlign w:val="superscript"/>
        </w:rPr>
      </w:pPr>
    </w:p>
    <w:p>
      <w:pPr>
        <w:ind w:left="420" w:right="20" w:hanging="286"/>
        <w:spacing w:after="0" w:line="223" w:lineRule="auto"/>
        <w:tabs>
          <w:tab w:leader="none" w:pos="420" w:val="left"/>
        </w:tabs>
        <w:numPr>
          <w:ilvl w:val="0"/>
          <w:numId w:val="51"/>
        </w:numPr>
        <w:rPr>
          <w:rFonts w:ascii="Arial" w:cs="Arial" w:eastAsia="Arial" w:hAnsi="Arial"/>
          <w:sz w:val="19"/>
          <w:szCs w:val="19"/>
          <w:color w:val="auto"/>
          <w:vertAlign w:val="superscript"/>
        </w:rPr>
      </w:pPr>
      <w:r>
        <w:rPr>
          <w:rFonts w:ascii="Arial" w:cs="Arial" w:eastAsia="Arial" w:hAnsi="Arial"/>
          <w:sz w:val="16"/>
          <w:szCs w:val="16"/>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140" w:lineRule="exact"/>
        <w:rPr>
          <w:rFonts w:ascii="Arial" w:cs="Arial" w:eastAsia="Arial" w:hAnsi="Arial"/>
          <w:sz w:val="19"/>
          <w:szCs w:val="19"/>
          <w:color w:val="auto"/>
          <w:vertAlign w:val="superscript"/>
        </w:rPr>
      </w:pPr>
    </w:p>
    <w:p>
      <w:pPr>
        <w:jc w:val="both"/>
        <w:ind w:left="420" w:hanging="286"/>
        <w:spacing w:after="0" w:line="229" w:lineRule="auto"/>
        <w:tabs>
          <w:tab w:leader="none" w:pos="420" w:val="left"/>
        </w:tabs>
        <w:numPr>
          <w:ilvl w:val="0"/>
          <w:numId w:val="51"/>
        </w:numPr>
        <w:rPr>
          <w:rFonts w:ascii="Arial" w:cs="Arial" w:eastAsia="Arial" w:hAnsi="Arial"/>
          <w:sz w:val="19"/>
          <w:szCs w:val="19"/>
          <w:color w:val="auto"/>
          <w:vertAlign w:val="superscript"/>
        </w:rPr>
      </w:pPr>
      <w:r>
        <w:rPr>
          <w:rFonts w:ascii="Arial" w:cs="Arial" w:eastAsia="Arial" w:hAnsi="Arial"/>
          <w:sz w:val="16"/>
          <w:szCs w:val="16"/>
          <w:color w:val="auto"/>
        </w:rPr>
        <w:t>Includes minimum pension contributions based on actuarially determined estimates and is based on estimated payments through 2027. The total expected pension contribution of $156 million for the remainder of 2018 assumes a supplemental contribution of $153 million in addition to the $3 million minimum required contribution.</w:t>
      </w:r>
    </w:p>
    <w:p>
      <w:pPr>
        <w:spacing w:after="0" w:line="110" w:lineRule="exact"/>
        <w:rPr>
          <w:rFonts w:ascii="Arial" w:cs="Arial" w:eastAsia="Arial" w:hAnsi="Arial"/>
          <w:sz w:val="19"/>
          <w:szCs w:val="19"/>
          <w:color w:val="auto"/>
          <w:vertAlign w:val="superscript"/>
        </w:rPr>
      </w:pPr>
    </w:p>
    <w:p>
      <w:pPr>
        <w:ind w:left="420" w:hanging="286"/>
        <w:spacing w:after="0"/>
        <w:tabs>
          <w:tab w:leader="none" w:pos="420" w:val="left"/>
        </w:tabs>
        <w:numPr>
          <w:ilvl w:val="0"/>
          <w:numId w:val="51"/>
        </w:numPr>
        <w:rPr>
          <w:rFonts w:ascii="Arial" w:cs="Arial" w:eastAsia="Arial" w:hAnsi="Arial"/>
          <w:sz w:val="19"/>
          <w:szCs w:val="19"/>
          <w:color w:val="auto"/>
          <w:vertAlign w:val="superscript"/>
        </w:rPr>
      </w:pPr>
      <w:r>
        <w:rPr>
          <w:rFonts w:ascii="Arial" w:cs="Arial" w:eastAsia="Arial" w:hAnsi="Arial"/>
          <w:sz w:val="16"/>
          <w:szCs w:val="16"/>
          <w:color w:val="auto"/>
        </w:rPr>
        <w:t>Includes purchase commitments for jet fuel, facility construction projects and information technology support.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Raising Activity and Other Possible Actions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42"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Our Board of Directors has from time to time authorized programs to repurchase shares of our common stock, one of which is currently in effect and may authorize additional share repurchase programs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In the second quarter of 2018, there were no changes to our critical accounting policies and estimates from those disclosed in the Consolidated Financial Statements and accompanying notes contained in our 2017 Form 10-K, except as discussed below relating to the New Revenue Standard.</w:t>
      </w:r>
    </w:p>
    <w:p>
      <w:pPr>
        <w:spacing w:after="0" w:line="134" w:lineRule="exact"/>
        <w:rPr>
          <w:sz w:val="20"/>
          <w:szCs w:val="20"/>
          <w:color w:val="auto"/>
        </w:rPr>
      </w:pPr>
    </w:p>
    <w:p>
      <w:pPr>
        <w:jc w:val="both"/>
        <w:ind w:firstLine="199"/>
        <w:spacing w:after="0" w:line="292" w:lineRule="auto"/>
        <w:rPr>
          <w:sz w:val="20"/>
          <w:szCs w:val="20"/>
          <w:color w:val="auto"/>
        </w:rPr>
      </w:pPr>
      <w:r>
        <w:rPr>
          <w:rFonts w:ascii="Arial" w:cs="Arial" w:eastAsia="Arial" w:hAnsi="Arial"/>
          <w:sz w:val="14"/>
          <w:szCs w:val="14"/>
          <w:color w:val="auto"/>
        </w:rPr>
        <w:t>Effective January 1, 2018, we adopted the New Revenue Standard using the full retrospective method, which resulted in the recast of the prior reporting periods. See Recent Accounting Pronouncements below for effects of adoption on our condensed consolidated statement of operations for the three and six months ended June 30, 2017 and on our consolidated balance sheet as of December 31, 2017. Under the New Revenue Standard, revenue is recognized upon transfer of control of promised products or services to our customers in an amount that reflects the consideration we expect to receive in exchange for those products or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40"/>
          </w:cols>
          <w:pgMar w:left="240" w:top="661" w:right="219" w:bottom="1440" w:gutter="0" w:footer="0" w:header="0"/>
        </w:sectPr>
      </w:pPr>
    </w:p>
    <w:bookmarkStart w:id="68" w:name="page69"/>
    <w:bookmarkEnd w:id="68"/>
    <w:p>
      <w:pPr>
        <w:ind w:left="180"/>
        <w:spacing w:after="0"/>
        <w:rPr>
          <w:sz w:val="20"/>
          <w:szCs w:val="20"/>
          <w:color w:val="auto"/>
        </w:rPr>
      </w:pPr>
      <w:r>
        <w:rPr>
          <w:rFonts w:ascii="Arial" w:cs="Arial" w:eastAsia="Arial" w:hAnsi="Arial"/>
          <w:sz w:val="16"/>
          <w:szCs w:val="16"/>
          <w:i w:val="1"/>
          <w:iCs w:val="1"/>
          <w:u w:val="single" w:color="auto"/>
          <w:color w:val="auto"/>
        </w:rPr>
        <w:t>Passenger Revenue</w:t>
      </w:r>
    </w:p>
    <w:p>
      <w:pPr>
        <w:spacing w:after="0" w:line="89" w:lineRule="exact"/>
        <w:rPr>
          <w:sz w:val="20"/>
          <w:szCs w:val="20"/>
          <w:color w:val="auto"/>
        </w:rPr>
      </w:pPr>
    </w:p>
    <w:p>
      <w:pPr>
        <w:jc w:val="both"/>
        <w:ind w:firstLine="199"/>
        <w:spacing w:after="0" w:line="245" w:lineRule="auto"/>
        <w:rPr>
          <w:sz w:val="20"/>
          <w:szCs w:val="20"/>
          <w:color w:val="auto"/>
        </w:rPr>
      </w:pPr>
      <w:r>
        <w:rPr>
          <w:rFonts w:ascii="Arial" w:cs="Arial" w:eastAsia="Arial" w:hAnsi="Arial"/>
          <w:sz w:val="16"/>
          <w:szCs w:val="16"/>
          <w:color w:val="auto"/>
        </w:rPr>
        <w:t>We recognize all revenues generated from transportation on American and our regional flights operated under the brand name American Eagle, including associated baggage fees, ticketing change fees and other inflight services, as passenger revenue when transportation is provided. Ticket and other related sales for transportation that has not yet been provided are initially deferred and recorded as air traffic liability on the condensed consolidated balance sheets. The air traffic liability principally represents tickets sold for future travel dates and estimated future refunds and exchanges of tickets sold for past travel dates.</w:t>
      </w:r>
    </w:p>
    <w:p>
      <w:pPr>
        <w:spacing w:after="0" w:line="138"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majority of tickets sold are nonrefundable. A small percentage of tickets, some of which are partially used tickets, expire unused. Due to complex pricing structures, refund and exchange policies, and interline agreements with other airlines, certain amounts are recognized in passenger revenue using estimates regarding both the timing of the revenue recognition and the amount of revenue to be recognized. These estimates are generally based on the analysis of our historical data. We have consistently applied this accounting method to estimate revenue from forfeited tickets at the date of travel. Estimated future refunds and exchanges included in the air traffic liability are routinely evaluated based on subsequent activity to validate the accuracy of our estimates. Any adjustments resulting from periodic evaluations of the estimated air traffic liability are included in passenger revenue during the period in which the evaluations are completed.</w:t>
      </w:r>
    </w:p>
    <w:p>
      <w:pPr>
        <w:spacing w:after="0" w:line="14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Various taxes and fees assessed on the sale of tickets to end customers are collected by us as an agent and remitted to taxing authorities. These taxes and fees have been presented on a net basis in the accompanying condensed consolidated statements of operations and recorded as a liability until remitted to the appropriate taxing authority.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Loyalty Revenue</w:t>
      </w:r>
    </w:p>
    <w:p>
      <w:pPr>
        <w:spacing w:after="0" w:line="71" w:lineRule="exact"/>
        <w:rPr>
          <w:sz w:val="20"/>
          <w:szCs w:val="20"/>
          <w:color w:val="auto"/>
        </w:rPr>
      </w:pPr>
    </w:p>
    <w:p>
      <w:pPr>
        <w:jc w:val="both"/>
        <w:ind w:firstLine="187"/>
        <w:spacing w:after="0" w:line="300" w:lineRule="auto"/>
        <w:rPr>
          <w:sz w:val="20"/>
          <w:szCs w:val="20"/>
          <w:color w:val="auto"/>
        </w:rPr>
      </w:pPr>
      <w:r>
        <w:rPr>
          <w:rFonts w:ascii="Arial" w:cs="Arial" w:eastAsia="Arial" w:hAnsi="Arial"/>
          <w:sz w:val="14"/>
          <w:szCs w:val="14"/>
          <w:color w:val="auto"/>
        </w:rPr>
        <w:t xml:space="preserve">We currently operate the loyalty program, AAdvantage. This program awards mileage credits to passengers who fly on American, any </w:t>
      </w:r>
      <w:r>
        <w:rPr>
          <w:rFonts w:ascii="Arial" w:cs="Arial" w:eastAsia="Arial" w:hAnsi="Arial"/>
          <w:sz w:val="14"/>
          <w:szCs w:val="14"/>
          <w:b w:val="1"/>
          <w:bCs w:val="1"/>
          <w:color w:val="auto"/>
        </w:rPr>
        <w:t>one</w:t>
      </w:r>
      <w:r>
        <w:rPr>
          <w:rFonts w:ascii="Arial" w:cs="Arial" w:eastAsia="Arial" w:hAnsi="Arial"/>
          <w:sz w:val="14"/>
          <w:szCs w:val="14"/>
          <w:color w:val="auto"/>
        </w:rPr>
        <w:t>world airline or other partner airlines, or by using the services of other program participants, such as the Citi and Barclays US co-branded cards, hotels and car rental companies. Mileage credits can be redeemed for travel on American and other participating partner airlines as well as other non-air travel awards such as hotels and rental cars. For mileage credits earned by AAdvantage loyalty program members, we apply the deferred revenue method in accordance with the New Revenue Standard.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earned through travel</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fares as those used to settle award redemptions. The estimated selling price of miles is adjusted for an estimate of miles that will not be redeemed based on historical redemption patterns. For the year ended December 31, 2017, a hypothetical 10% increase in the estimated selling price of miles would have decreased revenues by approximately $100 million as a result of additional amounts being deferred from passenger ticket sales.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Mileage credits sold to co-branded cards and other partners</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We sell mileage credits to participating airline partners and non-airline business partners including our co-branded card partners, under contracts with terms extending generally for one to nine years. Sales of mileage credits to non-airline business partners are comprised of two components, transportation and marketing. We allocate the consideration received from the sale of mileage credits based on the relative selling price of each product or service delivered.</w:t>
      </w:r>
    </w:p>
    <w:p>
      <w:pPr>
        <w:spacing w:after="0" w:line="136"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Our most significant partner agreements are our co-branded card program agreements with Citi and Barclays US that we entered into in 2016. We identified the following revenue elements in these co-branded card agreements: the transportation component; and the use of intellectual property including the American brand and access to loyalty program member lists, which is the predominant element in the agreements, as well as advertising (collectively, the marketing component). Accordingly, we recognize the marketing component in other revenue in the period of the mileage sale following the sales-based royalty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40"/>
          </w:cols>
          <w:pgMar w:left="240" w:top="731" w:right="219" w:bottom="1440" w:gutter="0" w:footer="0" w:header="0"/>
        </w:sectPr>
      </w:pPr>
    </w:p>
    <w:bookmarkStart w:id="69" w:name="page70"/>
    <w:bookmarkEnd w:id="69"/>
    <w:p>
      <w:pPr>
        <w:jc w:val="both"/>
        <w:ind w:firstLine="187"/>
        <w:spacing w:after="0" w:line="246" w:lineRule="auto"/>
        <w:rPr>
          <w:sz w:val="20"/>
          <w:szCs w:val="20"/>
          <w:color w:val="auto"/>
        </w:rPr>
      </w:pPr>
      <w:r>
        <w:rPr>
          <w:rFonts w:ascii="Arial" w:cs="Arial" w:eastAsia="Arial" w:hAnsi="Arial"/>
          <w:sz w:val="16"/>
          <w:szCs w:val="16"/>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36"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For the portion of our outstanding mileage credits that we estimate will not be redeemed, we recognize the associated value proportionally as the remaining mileage credits are redeemed. Our estimates are based on analysis of historical redemption patterns. For the year ended December 31, 2017, a hypothetical 10% increase in our estimate of miles not expected to be redeemed would have increased revenues by approximately $100 million.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Cargo Revenue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Cargo revenue is recognized when we provide the transportation.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Other Revenue</w:t>
      </w:r>
    </w:p>
    <w:p>
      <w:pPr>
        <w:spacing w:after="0" w:line="89"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Other revenue includes revenue associated with our loyalty program, which is comprised principally of the marketing component of mileage sales to co-branded card and other partners and other marketing related payments. The accounting and recognition for the loyalty program marketing services are discussed above in Loyalty Revenue. The remaining amounts included within other revenue relate to airport clubs, advertising and vacation-related services.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u w:val="single" w:color="auto"/>
          <w:color w:val="auto"/>
        </w:rPr>
        <w:t>Standards Effective for 2018 Reporting Periods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Effective January 1, 2018, we adopted the accounting pronouncements described below.</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ASU 2014-09: Revenue from Contracts with Customers (Topic 606) (the New Revenue Standard)</w:t>
      </w:r>
    </w:p>
    <w:p>
      <w:pPr>
        <w:spacing w:after="0" w:line="91"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 New Revenue Standard applies to all companies that enter into contracts with customers to transfer goods or services. We adopted the New Revenue Standard using the full retrospective method, which resulted in the recast of prior reporting periods.</w:t>
      </w:r>
    </w:p>
    <w:p>
      <w:pPr>
        <w:spacing w:after="0" w:line="134"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adoption of the New Revenue Standard impacted our accounting for outstanding mileage credits earned through travel by AAdvantage loyalty program members. There was no change in accounting for sales of mileage credits to co-branded card or other partners. Prior to the adoption of the New Revenue Standard, we used the incremental cost method to account for the portion of our loyalty program liability related to mileage credits earned through travel, which were valued based on the estimated incremental cost of carrying one additional passenger. The New Revenue Standard required us to change our policy to the deferred revenue method and apply a relative selling price approach whereby a portion of each passenger ticket sale attributable to mileage credits earned is deferred and recognized in passenger revenue upon future mileage redemption. The value of the earned mileage credits is materially greater under the deferred revenue method than the value attributed to these mileage credits under the incremental cost method.</w:t>
      </w:r>
    </w:p>
    <w:p>
      <w:pPr>
        <w:spacing w:after="0" w:line="141"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The New Revenue Standard also required certain reclassifications, principally the reclassification of certain ancillary revenues previously classified and reported as other revenue to passenger revenue and as applicable to cargo revenue. Additionally, the New Revenue Standard required a gross presentation on the face of our condensed consolidated statement of operations for certain revenues and expenses that had previously been presented on a net basis.</w:t>
      </w:r>
    </w:p>
    <w:p>
      <w:pPr>
        <w:spacing w:after="0" w:line="136" w:lineRule="exact"/>
        <w:rPr>
          <w:sz w:val="20"/>
          <w:szCs w:val="20"/>
          <w:color w:val="auto"/>
        </w:rPr>
      </w:pPr>
    </w:p>
    <w:p>
      <w:pPr>
        <w:jc w:val="both"/>
        <w:ind w:right="20" w:firstLine="199"/>
        <w:spacing w:after="0" w:line="248" w:lineRule="auto"/>
        <w:rPr>
          <w:sz w:val="20"/>
          <w:szCs w:val="20"/>
          <w:color w:val="auto"/>
        </w:rPr>
      </w:pPr>
      <w:r>
        <w:rPr>
          <w:rFonts w:ascii="Arial" w:cs="Arial" w:eastAsia="Arial" w:hAnsi="Arial"/>
          <w:sz w:val="16"/>
          <w:szCs w:val="16"/>
          <w:color w:val="auto"/>
        </w:rPr>
        <w:t>See recast condensed consolidated statement of operations data for the three and six months ended June 30, 2017 and recast consolidated balance sheet data as of December 31, 2017 presented below for the effects of adoption.</w:t>
      </w:r>
    </w:p>
    <w:p>
      <w:pPr>
        <w:spacing w:after="0" w:line="187" w:lineRule="exact"/>
        <w:rPr>
          <w:sz w:val="20"/>
          <w:szCs w:val="20"/>
          <w:color w:val="auto"/>
        </w:rPr>
      </w:pPr>
    </w:p>
    <w:p>
      <w:pPr>
        <w:jc w:val="both"/>
        <w:ind w:firstLine="187"/>
        <w:spacing w:after="0" w:line="271" w:lineRule="auto"/>
        <w:rPr>
          <w:sz w:val="20"/>
          <w:szCs w:val="20"/>
          <w:color w:val="auto"/>
        </w:rPr>
      </w:pPr>
      <w:r>
        <w:rPr>
          <w:rFonts w:ascii="Arial" w:cs="Arial" w:eastAsia="Arial" w:hAnsi="Arial"/>
          <w:sz w:val="16"/>
          <w:szCs w:val="16"/>
          <w:b w:val="1"/>
          <w:bCs w:val="1"/>
          <w:i w:val="1"/>
          <w:iCs w:val="1"/>
          <w:color w:val="auto"/>
        </w:rPr>
        <w:t>ASU 2017-07: Compensation - Retirement Benefits (Topic 715): Improving the Presentation of Net Periodic Pension Cost and Net Periodic Postretirement Benefit Cost (the New Retirement Standard)</w:t>
      </w:r>
    </w:p>
    <w:p>
      <w:pPr>
        <w:spacing w:after="0" w:line="47"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The New Retirement Standard required all components of our net periodic benefit cost (income), with the exception of service cost, previously reported within operating expenses as salaries, wages and benefits, to be reclassified and reported within nonoperating income (expense). The New Retirement Standard was applied retrospectively, which resulted in the recast of each prior reporting period presented. The adoption of the New Retirement Standard had no impact on pre-tax income or net income reported.</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recast condensed consolidated statement of operations data for the three and six months ended June 30, 2017 presented below for the effects of adoption.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40"/>
          </w:cols>
          <w:pgMar w:left="240" w:top="677" w:right="219" w:bottom="1440" w:gutter="0" w:footer="0" w:header="0"/>
        </w:sectPr>
      </w:pPr>
    </w:p>
    <w:bookmarkStart w:id="70" w:name="page71"/>
    <w:bookmarkEnd w:id="70"/>
    <w:p>
      <w:pPr>
        <w:ind w:left="200"/>
        <w:spacing w:after="0"/>
        <w:rPr>
          <w:sz w:val="20"/>
          <w:szCs w:val="20"/>
          <w:color w:val="auto"/>
        </w:rPr>
      </w:pPr>
      <w:r>
        <w:rPr>
          <w:rFonts w:ascii="Arial" w:cs="Arial" w:eastAsia="Arial" w:hAnsi="Arial"/>
          <w:sz w:val="16"/>
          <w:szCs w:val="16"/>
          <w:b w:val="1"/>
          <w:bCs w:val="1"/>
          <w:i w:val="1"/>
          <w:iCs w:val="1"/>
          <w:color w:val="auto"/>
        </w:rPr>
        <w:t>Impacts to Prior Period Results</w:t>
      </w:r>
    </w:p>
    <w:p>
      <w:pPr>
        <w:spacing w:after="0" w:line="91" w:lineRule="exact"/>
        <w:rPr>
          <w:sz w:val="20"/>
          <w:szCs w:val="20"/>
          <w:color w:val="auto"/>
        </w:rPr>
      </w:pPr>
    </w:p>
    <w:p>
      <w:pPr>
        <w:ind w:right="20" w:firstLine="211"/>
        <w:spacing w:after="0" w:line="248" w:lineRule="auto"/>
        <w:rPr>
          <w:sz w:val="20"/>
          <w:szCs w:val="20"/>
          <w:color w:val="auto"/>
        </w:rPr>
      </w:pPr>
      <w:r>
        <w:rPr>
          <w:rFonts w:ascii="Arial" w:cs="Arial" w:eastAsia="Arial" w:hAnsi="Arial"/>
          <w:sz w:val="16"/>
          <w:szCs w:val="16"/>
          <w:color w:val="auto"/>
        </w:rPr>
        <w:t>The effects of adoption of the New Revenue Standard and New Retirement Standard to our condensed consolidated statement of operations for the three and six months ended June 30, 2017 were as follows (in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Three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c>
          <w:tcPr>
            <w:tcW w:w="0" w:type="dxa"/>
            <w:vAlign w:val="bottom"/>
          </w:tcPr>
          <w:p>
            <w:pPr>
              <w:spacing w:after="0"/>
              <w:rPr>
                <w:sz w:val="1"/>
                <w:szCs w:val="1"/>
                <w:color w:val="auto"/>
              </w:rPr>
            </w:pPr>
          </w:p>
        </w:tc>
      </w:tr>
      <w:tr>
        <w:trPr>
          <w:trHeight w:val="23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9,582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11,227</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9,628</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ind w:left="3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New Retirement</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2"/>
                <w:szCs w:val="12"/>
                <w:b w:val="1"/>
                <w:bCs w:val="1"/>
                <w:color w:val="auto"/>
              </w:rPr>
              <w:t>New Revenue Standard</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Standard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rPr>
              <w:t>Deferred Revenue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Six Months Ended June 30, 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Method</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rPr>
              <w:t>Reclassifications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As Recast</w:t>
            </w:r>
          </w:p>
        </w:tc>
        <w:tc>
          <w:tcPr>
            <w:tcW w:w="0" w:type="dxa"/>
            <w:vAlign w:val="bottom"/>
          </w:tcPr>
          <w:p>
            <w:pPr>
              <w:spacing w:after="0"/>
              <w:rPr>
                <w:sz w:val="1"/>
                <w:szCs w:val="1"/>
                <w:color w:val="auto"/>
              </w:rPr>
            </w:pPr>
          </w:p>
        </w:tc>
      </w:tr>
      <w:tr>
        <w:trPr>
          <w:trHeight w:val="23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Passenger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17,737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19,350</w:t>
            </w:r>
          </w:p>
        </w:tc>
        <w:tc>
          <w:tcPr>
            <w:tcW w:w="0" w:type="dxa"/>
            <w:vAlign w:val="bottom"/>
          </w:tcPr>
          <w:p>
            <w:pPr>
              <w:spacing w:after="0"/>
              <w:rPr>
                <w:sz w:val="1"/>
                <w:szCs w:val="1"/>
                <w:color w:val="auto"/>
              </w:rPr>
            </w:pPr>
          </w:p>
        </w:tc>
      </w:tr>
      <w:tr>
        <w:trPr>
          <w:trHeight w:val="24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Cargo</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2,624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revenues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21,047</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18,593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18,711</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nonoperating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20"/>
        </w:trPr>
        <w:tc>
          <w:tcPr>
            <w:tcW w:w="4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ind w:left="3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vMerge w:val="restart"/>
          </w:tcPr>
          <w:p>
            <w:pPr>
              <w:jc w:val="right"/>
              <w:ind w:right="1046"/>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59" w:right="219" w:bottom="1440" w:gutter="0" w:footer="0" w:header="0"/>
        </w:sectPr>
      </w:pPr>
    </w:p>
    <w:bookmarkStart w:id="71" w:name="page72"/>
    <w:bookmarkEnd w:id="71"/>
    <w:p>
      <w:pPr>
        <w:ind w:left="180"/>
        <w:spacing w:after="0"/>
        <w:rPr>
          <w:sz w:val="20"/>
          <w:szCs w:val="20"/>
          <w:color w:val="auto"/>
        </w:rPr>
      </w:pPr>
      <w:r>
        <w:rPr>
          <w:rFonts w:ascii="Arial" w:cs="Arial" w:eastAsia="Arial" w:hAnsi="Arial"/>
          <w:sz w:val="16"/>
          <w:szCs w:val="16"/>
          <w:color w:val="auto"/>
        </w:rPr>
        <w:t>The effects of adoption of the New Revenue Standard to our December 31, 2017 consolidated balance sheet are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As Reported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New Revenue Standard</w:t>
            </w:r>
          </w:p>
        </w:tc>
        <w:tc>
          <w:tcPr>
            <w:tcW w:w="360" w:type="dxa"/>
            <w:vAlign w:val="bottom"/>
          </w:tcPr>
          <w:p>
            <w:pPr>
              <w:spacing w:after="0"/>
              <w:rPr>
                <w:sz w:val="14"/>
                <w:szCs w:val="14"/>
                <w:color w:val="auto"/>
              </w:rPr>
            </w:pPr>
          </w:p>
        </w:tc>
        <w:tc>
          <w:tcPr>
            <w:tcW w:w="1460" w:type="dxa"/>
            <w:vAlign w:val="bottom"/>
          </w:tcPr>
          <w:p>
            <w:pPr>
              <w:jc w:val="right"/>
              <w:ind w:right="545"/>
              <w:spacing w:after="0"/>
              <w:rPr>
                <w:sz w:val="20"/>
                <w:szCs w:val="20"/>
                <w:color w:val="auto"/>
              </w:rPr>
            </w:pPr>
            <w:r>
              <w:rPr>
                <w:rFonts w:ascii="Arial" w:cs="Arial" w:eastAsia="Arial" w:hAnsi="Arial"/>
                <w:sz w:val="12"/>
                <w:szCs w:val="12"/>
                <w:b w:val="1"/>
                <w:bCs w:val="1"/>
                <w:color w:val="auto"/>
              </w:rPr>
              <w:t>As Recast</w:t>
            </w:r>
          </w:p>
        </w:tc>
      </w:tr>
      <w:tr>
        <w:trPr>
          <w:trHeight w:val="21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1,389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1,816</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Air traffic liability</w:t>
            </w:r>
          </w:p>
        </w:tc>
        <w:tc>
          <w:tcPr>
            <w:tcW w:w="132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99"/>
              </w:rPr>
              <w:t>3,978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4,042</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loyalty program liability</w:t>
            </w: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9"/>
              </w:rPr>
              <w:t>2,791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3,121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Noncurrent loyalty program liability</w:t>
            </w:r>
          </w:p>
        </w:tc>
        <w:tc>
          <w:tcPr>
            <w:tcW w:w="13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5,701</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9"/>
              </w:rPr>
              <w:t>3,926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bl>
    <w:p>
      <w:pPr>
        <w:spacing w:after="0" w:line="210" w:lineRule="exact"/>
        <w:rPr>
          <w:sz w:val="20"/>
          <w:szCs w:val="20"/>
          <w:color w:val="auto"/>
        </w:rPr>
      </w:pPr>
    </w:p>
    <w:p>
      <w:pPr>
        <w:jc w:val="both"/>
        <w:ind w:right="20" w:firstLine="211"/>
        <w:spacing w:after="0" w:line="248" w:lineRule="auto"/>
        <w:rPr>
          <w:sz w:val="20"/>
          <w:szCs w:val="20"/>
          <w:color w:val="auto"/>
        </w:rPr>
      </w:pPr>
      <w:r>
        <w:rPr>
          <w:rFonts w:ascii="Arial" w:cs="Arial" w:eastAsia="Arial" w:hAnsi="Arial"/>
          <w:sz w:val="16"/>
          <w:szCs w:val="16"/>
          <w:color w:val="auto"/>
        </w:rPr>
        <w:t>See Note 1 to AAG's Condensed Consolidated Financial Statements in Part 1, Item 1A and Note 1 to American's Condensed Consolidated Financial Statements in Part 1, Item 1B for further information on recent accounting pronouncements.</w:t>
      </w:r>
    </w:p>
    <w:p>
      <w:pPr>
        <w:spacing w:after="0" w:line="187" w:lineRule="exact"/>
        <w:rPr>
          <w:sz w:val="20"/>
          <w:szCs w:val="20"/>
          <w:color w:val="auto"/>
        </w:rPr>
      </w:pPr>
    </w:p>
    <w:p>
      <w:pPr>
        <w:ind w:right="5400"/>
        <w:spacing w:after="0" w:line="347" w:lineRule="auto"/>
        <w:rPr>
          <w:sz w:val="20"/>
          <w:szCs w:val="20"/>
          <w:color w:val="auto"/>
        </w:rPr>
      </w:pPr>
      <w:r>
        <w:rPr>
          <w:rFonts w:ascii="Arial" w:cs="Arial" w:eastAsia="Arial" w:hAnsi="Arial"/>
          <w:sz w:val="16"/>
          <w:szCs w:val="16"/>
          <w:b w:val="1"/>
          <w:bCs w:val="1"/>
          <w:color w:val="auto"/>
        </w:rPr>
        <w:t xml:space="preserve">ITEM 3. QUANTITATIVE AND QUALITATIVE DISCLOSURES ABOUT MARKET RISK </w:t>
      </w:r>
      <w:r>
        <w:rPr>
          <w:rFonts w:ascii="Arial" w:cs="Arial" w:eastAsia="Arial" w:hAnsi="Arial"/>
          <w:sz w:val="16"/>
          <w:szCs w:val="16"/>
          <w:b w:val="1"/>
          <w:bCs w:val="1"/>
          <w:u w:val="single" w:color="auto"/>
          <w:color w:val="auto"/>
        </w:rPr>
        <w:t>AAG and American’s Market Risk Sensitive Instruments and Positions</w:t>
      </w:r>
    </w:p>
    <w:p>
      <w:pPr>
        <w:spacing w:after="0" w:line="1"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Our primary market risk exposures include the price of aircraft fuel, foreign currency exchange rates and interest rate risk. Our exposure to these market risks has not changed materially from our exposure discussed in our 2017 Form 10-K except as updated below.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Aircraft Fuel</w:t>
      </w:r>
    </w:p>
    <w:p>
      <w:pPr>
        <w:spacing w:after="0" w:line="91"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As of June 30, 2018,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2018 forecasted fuel consumption, we estimate that a one cent per gallon increase in aviation fuel price would increase our 2018 annual fuel expense by $45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w:t>
      </w:r>
    </w:p>
    <w:p>
      <w:pPr>
        <w:spacing w:after="0" w:line="91"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36"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6"/>
          <w:szCs w:val="16"/>
          <w:i w:val="1"/>
          <w:iCs w:val="1"/>
          <w:color w:val="auto"/>
        </w:rPr>
        <w:t>“We operate a global business with international operations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Our earnings and cash flow are affected by changes in interest rates due to the impact those changes have on our interest expense from variable rate debt instruments and our interest income from short-term, interest bearing investments. If annual interest rates increase 100 basis points, based on our June 30, 2018 variable-rate debt and short term investments balances, annual interest expense on variable rate debt would increase by approximately $91 million and annual interest income on short-term investments would increase by approximately $47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40"/>
          </w:cols>
          <w:pgMar w:left="240" w:top="677" w:right="21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Evaluation of Disclosure Controls and Procedures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June 30, 2018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In connection with the adoption of the New Revenue Standard on January 1, 2018, we materially modified certain processes related to our loyalty program. The operating effectiveness of these changes will be evaluated as part of our annual assessment of internal control over financial reporting. For the quarter ended June 30, 2018, there have been no changes in AAG’s or American’s internal control over financial reporting that has materially affected, or is reasonably likely to materially affect, AAG’s and American’s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the Effectiveness of Controls</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40"/>
          </w:cols>
          <w:pgMar w:left="240" w:top="729"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75" w:lineRule="exact"/>
        <w:rPr>
          <w:sz w:val="20"/>
          <w:szCs w:val="20"/>
          <w:color w:val="auto"/>
        </w:rPr>
      </w:pPr>
    </w:p>
    <w:p>
      <w:pPr>
        <w:jc w:val="both"/>
        <w:ind w:firstLine="187"/>
        <w:spacing w:after="0" w:line="299" w:lineRule="auto"/>
        <w:rPr>
          <w:sz w:val="20"/>
          <w:szCs w:val="20"/>
          <w:color w:val="auto"/>
        </w:rPr>
      </w:pPr>
      <w:r>
        <w:rPr>
          <w:rFonts w:ascii="Arial" w:cs="Arial" w:eastAsia="Arial" w:hAnsi="Arial"/>
          <w:sz w:val="14"/>
          <w:szCs w:val="14"/>
          <w:i w:val="1"/>
          <w:iCs w:val="1"/>
          <w:color w:val="auto"/>
        </w:rPr>
        <w:t>Chapter 11 Cases</w:t>
      </w:r>
      <w:r>
        <w:rPr>
          <w:rFonts w:ascii="Arial" w:cs="Arial" w:eastAsia="Arial" w:hAnsi="Arial"/>
          <w:sz w:val="14"/>
          <w:szCs w:val="14"/>
          <w:color w:val="auto"/>
        </w:rPr>
        <w:t>. On November 29, 2011, AMR, American, and certain of AMR’s other direct and indirect domestic subsidiaries (the Debtors) filed voluntary</w:t>
      </w:r>
      <w:r>
        <w:rPr>
          <w:rFonts w:ascii="Arial" w:cs="Arial" w:eastAsia="Arial" w:hAnsi="Arial"/>
          <w:sz w:val="14"/>
          <w:szCs w:val="14"/>
          <w:i w:val="1"/>
          <w:iCs w:val="1"/>
          <w:color w:val="auto"/>
        </w:rPr>
        <w:t xml:space="preserve"> </w:t>
      </w:r>
      <w:r>
        <w:rPr>
          <w:rFonts w:ascii="Arial" w:cs="Arial" w:eastAsia="Arial" w:hAnsi="Arial"/>
          <w:sz w:val="14"/>
          <w:szCs w:val="14"/>
          <w:color w:val="auto"/>
        </w:rPr>
        <w:t>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03"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2018, there were approximately 24.5 million shares of AAG common stock remaining in the Disputed Claims Reserve. As disputed claims are resolved, the claimants will receive distributions of shares from the Disputed Claims Reserve.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141"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As of June 30, 2018, we have determined not to pursue this claim and have a motion pending in the Bankruptcy Court to this effect.</w:t>
      </w:r>
    </w:p>
    <w:p>
      <w:pPr>
        <w:spacing w:after="0" w:line="120" w:lineRule="exact"/>
        <w:rPr>
          <w:sz w:val="20"/>
          <w:szCs w:val="20"/>
          <w:color w:val="auto"/>
        </w:rPr>
      </w:pPr>
    </w:p>
    <w:p>
      <w:pPr>
        <w:jc w:val="both"/>
        <w:ind w:right="20" w:firstLine="187"/>
        <w:spacing w:after="0" w:line="256" w:lineRule="auto"/>
        <w:rPr>
          <w:sz w:val="20"/>
          <w:szCs w:val="20"/>
          <w:color w:val="auto"/>
        </w:rPr>
      </w:pPr>
      <w:r>
        <w:rPr>
          <w:rFonts w:ascii="Arial" w:cs="Arial" w:eastAsia="Arial" w:hAnsi="Arial"/>
          <w:sz w:val="16"/>
          <w:szCs w:val="16"/>
          <w:i w:val="1"/>
          <w:iCs w:val="1"/>
          <w:color w:val="auto"/>
        </w:rPr>
        <w:t>DOJ Antitrust Civil Investigative Demand</w:t>
      </w:r>
      <w:r>
        <w:rPr>
          <w:rFonts w:ascii="Arial" w:cs="Arial" w:eastAsia="Arial" w:hAnsi="Arial"/>
          <w:sz w:val="16"/>
          <w:szCs w:val="16"/>
          <w:color w:val="auto"/>
        </w:rPr>
        <w:t>. In June 2015, we received a Civil Investigative Demand (CID) from the United States Department of Justice (DOJ)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w:t>
      </w:r>
    </w:p>
    <w:p>
      <w:pPr>
        <w:spacing w:after="0" w:line="113" w:lineRule="exact"/>
        <w:rPr>
          <w:sz w:val="20"/>
          <w:szCs w:val="20"/>
          <w:color w:val="auto"/>
        </w:rPr>
      </w:pPr>
    </w:p>
    <w:p>
      <w:pPr>
        <w:jc w:val="both"/>
        <w:ind w:firstLine="187"/>
        <w:spacing w:after="0" w:line="294" w:lineRule="auto"/>
        <w:rPr>
          <w:sz w:val="20"/>
          <w:szCs w:val="20"/>
          <w:color w:val="auto"/>
        </w:rPr>
      </w:pPr>
      <w:r>
        <w:rPr>
          <w:rFonts w:ascii="Arial" w:cs="Arial" w:eastAsia="Arial" w:hAnsi="Arial"/>
          <w:sz w:val="14"/>
          <w:szCs w:val="14"/>
          <w:i w:val="1"/>
          <w:iCs w:val="1"/>
          <w:color w:val="auto"/>
        </w:rPr>
        <w:t xml:space="preserve">Private Party Antitrust Action. </w:t>
      </w:r>
      <w:r>
        <w:rPr>
          <w:rFonts w:ascii="Arial" w:cs="Arial" w:eastAsia="Arial" w:hAnsi="Arial"/>
          <w:sz w:val="14"/>
          <w:szCs w:val="14"/>
          <w:color w:val="auto"/>
        </w:rPr>
        <w:t>Subsequent to announcement of the delivery of CIDs by the DOJ, we, along with Delta Air Lines, Inc., Southwest Airlines Co., United</w:t>
      </w:r>
      <w:r>
        <w:rPr>
          <w:rFonts w:ascii="Arial" w:cs="Arial" w:eastAsia="Arial" w:hAnsi="Arial"/>
          <w:sz w:val="14"/>
          <w:szCs w:val="14"/>
          <w:i w:val="1"/>
          <w:iCs w:val="1"/>
          <w:color w:val="auto"/>
        </w:rPr>
        <w:t xml:space="preserve"> </w:t>
      </w:r>
      <w:r>
        <w:rPr>
          <w:rFonts w:ascii="Arial" w:cs="Arial" w:eastAsia="Arial" w:hAnsi="Arial"/>
          <w:sz w:val="14"/>
          <w:szCs w:val="14"/>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June 15, 2018, we reached a preliminary settlement agreement with the plaintiffs in the amount of $45 million that, once approved, will resolve all claims in the U.S. lawsuits. That settlement received preliminary approval from the Court on June 18, 2018. We expect the Court to issue final approval of the settlement later this year.</w:t>
      </w:r>
    </w:p>
    <w:p>
      <w:pPr>
        <w:spacing w:after="0" w:line="90" w:lineRule="exact"/>
        <w:rPr>
          <w:sz w:val="20"/>
          <w:szCs w:val="20"/>
          <w:color w:val="auto"/>
        </w:rPr>
      </w:pPr>
    </w:p>
    <w:p>
      <w:pPr>
        <w:jc w:val="both"/>
        <w:ind w:firstLine="187"/>
        <w:spacing w:after="0" w:line="249" w:lineRule="auto"/>
        <w:rPr>
          <w:sz w:val="20"/>
          <w:szCs w:val="20"/>
          <w:color w:val="auto"/>
        </w:rPr>
      </w:pPr>
      <w:r>
        <w:rPr>
          <w:rFonts w:ascii="Arial" w:cs="Arial" w:eastAsia="Arial" w:hAnsi="Arial"/>
          <w:sz w:val="16"/>
          <w:szCs w:val="16"/>
          <w:i w:val="1"/>
          <w:iCs w:val="1"/>
          <w:color w:val="auto"/>
        </w:rPr>
        <w:t>Private Party Antitrust Action Related to the Merger</w:t>
      </w:r>
      <w:r>
        <w:rPr>
          <w:rFonts w:ascii="Arial" w:cs="Arial" w:eastAsia="Arial" w:hAnsi="Arial"/>
          <w:sz w:val="16"/>
          <w:szCs w:val="16"/>
          <w:color w:val="auto"/>
        </w:rPr>
        <w:t>. On August 6, 2013, a lawsuit captioned Carolyn Fjord, et al., v. AMR Corporation, et al., was filed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Bankruptcy Court for the Southern District of New York. The complaint named as defendants US Airways Group,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March 26, 2018, the Court held a hearing on motions for summary judgment filed by defendants and plaintiffs. The Court has not yet issued an order. We believe this lawsuit is without merit and intend to vigorously defend against the allegations.</w:t>
      </w:r>
    </w:p>
    <w:p>
      <w:pPr>
        <w:spacing w:after="0" w:line="118" w:lineRule="exact"/>
        <w:rPr>
          <w:sz w:val="20"/>
          <w:szCs w:val="20"/>
          <w:color w:val="auto"/>
        </w:rPr>
      </w:pPr>
    </w:p>
    <w:p>
      <w:pPr>
        <w:jc w:val="both"/>
        <w:ind w:firstLine="187"/>
        <w:spacing w:after="0" w:line="299" w:lineRule="auto"/>
        <w:rPr>
          <w:sz w:val="20"/>
          <w:szCs w:val="20"/>
          <w:color w:val="auto"/>
        </w:rPr>
      </w:pPr>
      <w:r>
        <w:rPr>
          <w:rFonts w:ascii="Arial" w:cs="Arial" w:eastAsia="Arial" w:hAnsi="Arial"/>
          <w:sz w:val="14"/>
          <w:szCs w:val="14"/>
          <w:i w:val="1"/>
          <w:iCs w:val="1"/>
          <w:color w:val="auto"/>
        </w:rPr>
        <w:t>DOJ Investigation Related to the United States Postal Service</w:t>
      </w:r>
      <w:r>
        <w:rPr>
          <w:rFonts w:ascii="Arial" w:cs="Arial" w:eastAsia="Arial" w:hAnsi="Arial"/>
          <w:sz w:val="14"/>
          <w:szCs w:val="14"/>
          <w:color w:val="auto"/>
        </w:rPr>
        <w:t>. In April 2015, the DOJ informed us of an inquiry regarding American’s 2009 and 2011 contracts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87"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In addition to the specifically identified legal proceedings, we and our subsidiaries are also engaged in other legal proceedings from time to time.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6"/>
          <w:szCs w:val="16"/>
          <w:i w:val="1"/>
          <w:iCs w:val="1"/>
          <w:color w:val="auto"/>
        </w:rPr>
        <w:t>We may be a party to</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 in the normal course of business or otherwise, which could affect our financial position and liquidity</w:t>
      </w:r>
      <w:r>
        <w:rPr>
          <w:rFonts w:ascii="Arial" w:cs="Arial" w:eastAsia="Arial" w:hAnsi="Arial"/>
          <w:sz w:val="16"/>
          <w:szCs w:val="16"/>
          <w:color w:val="auto"/>
        </w:rPr>
        <w:t>” for additional discussion.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40"/>
          </w:cols>
          <w:pgMar w:left="240" w:top="518"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ITEM 1A. RISK FACTORS</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Downturns in economic conditions could adversely affect our business.</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6"/>
          <w:szCs w:val="16"/>
          <w:i w:val="1"/>
          <w:iCs w:val="1"/>
          <w:color w:val="auto"/>
        </w:rPr>
        <w:t>“The airline industry is intensely competitive and dynamic”</w:t>
      </w:r>
      <w:r>
        <w:rPr>
          <w:rFonts w:ascii="Arial" w:cs="Arial" w:eastAsia="Arial" w:hAnsi="Arial"/>
          <w:sz w:val="16"/>
          <w:szCs w:val="16"/>
          <w:color w:val="auto"/>
        </w:rPr>
        <w:t xml:space="preserve"> below.</w:t>
      </w:r>
    </w:p>
    <w:p>
      <w:pPr>
        <w:spacing w:after="0" w:line="190"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47"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34"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38"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oil production, refinery operations or pipeline capacity and possibly result in significant increases in the price of aircraft fuel and diminished availability of aircraft fuel supply.</w:t>
      </w:r>
    </w:p>
    <w:p>
      <w:pPr>
        <w:spacing w:after="0" w:line="14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June 30, 2018, we did not have any fuel hedging contracts outstanding.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6"/>
          <w:szCs w:val="16"/>
          <w:i w:val="1"/>
          <w:iCs w:val="1"/>
          <w:color w:val="auto"/>
        </w:rPr>
        <w:t>“Aircraft Fuel.”</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airline industry is intensely competitive and dynamic.</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40"/>
          </w:cols>
          <w:pgMar w:left="240" w:top="729" w:right="219" w:bottom="1440" w:gutter="0" w:footer="0" w:header="0"/>
        </w:sectPr>
      </w:pPr>
    </w:p>
    <w:bookmarkStart w:id="75" w:name="page76"/>
    <w:bookmarkEnd w:id="75"/>
    <w:p>
      <w:pPr>
        <w:jc w:val="both"/>
        <w:ind w:firstLine="187"/>
        <w:spacing w:after="0" w:line="244" w:lineRule="auto"/>
        <w:rPr>
          <w:sz w:val="20"/>
          <w:szCs w:val="20"/>
          <w:color w:val="auto"/>
        </w:rPr>
      </w:pPr>
      <w:r>
        <w:rPr>
          <w:rFonts w:ascii="Arial" w:cs="Arial" w:eastAsia="Arial" w:hAnsi="Arial"/>
          <w:sz w:val="16"/>
          <w:szCs w:val="16"/>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could continue to have an impact on our revenues and overall performance. In addition, we and several other large network carriers have announced “basic economy” fares designed to compete against low-cost carriers and we cannot predict whether these initiatives will be successful or the competitive reaction of the low-cost carriers. Additionally, competition is also increasing from low cost airlines executing international long-haul expansion strategies, including, for example, Icelandair, Norwegian Air Shuttle and Wow Air. The actions of the low-cost carriers, including those described above, could have a material adverse effect on our operations and financial performance.</w:t>
      </w:r>
    </w:p>
    <w:p>
      <w:pPr>
        <w:spacing w:after="0" w:line="142"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 xml:space="preserve">Our presence in international markets, such as Asia,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We believe these carriers benefit from significant government subsidies, which has allowed them to grow quickly, reinvest in their product and expand their global presence. 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See also </w:t>
      </w:r>
      <w:r>
        <w:rPr>
          <w:rFonts w:ascii="Arial" w:cs="Arial" w:eastAsia="Arial" w:hAnsi="Arial"/>
          <w:sz w:val="16"/>
          <w:szCs w:val="16"/>
          <w:i w:val="1"/>
          <w:iCs w:val="1"/>
          <w:color w:val="auto"/>
        </w:rPr>
        <w:t>“Our business is subject to extensive</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142"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3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have established antitrust-immunized joint business agreements (JBAs) with British Airways, Iberia and Finnair, and separately with Japan Airlines. In October 2017, American and its transatlantic partners executed an amended and restated JBA which, among other things, extends the term of the agreement. Also, we had previously signed a revised JBA with Qantas Airways and applied for antitrust immunity with the U.S. Department of Transportation (DOT) for the revised relationship, but we withdrew that application in November 2016 after it was tentatively denied by the DOT. In February 2018, we filed a new application for antitrust immunity with the DOT, which, if granted, would allow us to further expand our relationship with Qantas Airways. In addition, we have signed JBAs with certain air carriers of the LATAM Airlines Group and have applied for antitrust immunity in the relevant jurisdictions affected by such agreements, which applications have been approved in some jurisdictions, but are still pending in other jurisdictions, including the United States and Chile.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14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40"/>
          </w:cols>
          <w:pgMar w:left="240" w:top="677" w:right="219" w:bottom="1440" w:gutter="0" w:footer="0" w:header="0"/>
        </w:sectPr>
      </w:pPr>
    </w:p>
    <w:bookmarkStart w:id="76" w:name="page77"/>
    <w:bookmarkEnd w:id="76"/>
    <w:p>
      <w:pPr>
        <w:jc w:val="both"/>
        <w:ind w:firstLine="211"/>
        <w:spacing w:after="0" w:line="292" w:lineRule="auto"/>
        <w:rPr>
          <w:sz w:val="20"/>
          <w:szCs w:val="20"/>
          <w:color w:val="auto"/>
        </w:rPr>
      </w:pPr>
      <w:r>
        <w:rPr>
          <w:rFonts w:ascii="Arial" w:cs="Arial" w:eastAsia="Arial" w:hAnsi="Arial"/>
          <w:sz w:val="14"/>
          <w:szCs w:val="14"/>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158"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47" w:lineRule="exact"/>
        <w:rPr>
          <w:sz w:val="20"/>
          <w:szCs w:val="20"/>
          <w:color w:val="auto"/>
        </w:rPr>
      </w:pPr>
    </w:p>
    <w:p>
      <w:pPr>
        <w:jc w:val="both"/>
        <w:ind w:right="20" w:firstLine="211"/>
        <w:spacing w:after="0" w:line="245" w:lineRule="auto"/>
        <w:rPr>
          <w:sz w:val="20"/>
          <w:szCs w:val="20"/>
          <w:color w:val="auto"/>
        </w:rPr>
      </w:pPr>
      <w:r>
        <w:rPr>
          <w:rFonts w:ascii="Arial" w:cs="Arial" w:eastAsia="Arial" w:hAnsi="Arial"/>
          <w:sz w:val="16"/>
          <w:szCs w:val="16"/>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37"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Furthermore, in response to these threats there has been heightened legislative and regulatory focus on data privacy and security in the U.S., the European Union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41" w:lineRule="exact"/>
        <w:rPr>
          <w:sz w:val="20"/>
          <w:szCs w:val="20"/>
          <w:color w:val="auto"/>
        </w:rPr>
      </w:pPr>
    </w:p>
    <w:p>
      <w:pPr>
        <w:jc w:val="both"/>
        <w:ind w:firstLine="211"/>
        <w:spacing w:after="0" w:line="245" w:lineRule="auto"/>
        <w:rPr>
          <w:sz w:val="20"/>
          <w:szCs w:val="20"/>
          <w:color w:val="auto"/>
        </w:rPr>
      </w:pPr>
      <w:r>
        <w:rPr>
          <w:rFonts w:ascii="Arial" w:cs="Arial" w:eastAsia="Arial" w:hAnsi="Arial"/>
          <w:sz w:val="16"/>
          <w:szCs w:val="16"/>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38" w:lineRule="exact"/>
        <w:rPr>
          <w:sz w:val="20"/>
          <w:szCs w:val="20"/>
          <w:color w:val="auto"/>
        </w:rPr>
      </w:pPr>
    </w:p>
    <w:p>
      <w:pPr>
        <w:jc w:val="both"/>
        <w:ind w:firstLine="211"/>
        <w:spacing w:after="0" w:line="244" w:lineRule="auto"/>
        <w:rPr>
          <w:sz w:val="20"/>
          <w:szCs w:val="20"/>
          <w:color w:val="auto"/>
        </w:rPr>
      </w:pPr>
      <w:r>
        <w:rPr>
          <w:rFonts w:ascii="Arial" w:cs="Arial" w:eastAsia="Arial" w:hAnsi="Arial"/>
          <w:sz w:val="16"/>
          <w:szCs w:val="16"/>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 Failure to appropriately address these issues could also give rise to potentially material legal risks and liabilities.</w:t>
      </w:r>
    </w:p>
    <w:p>
      <w:pPr>
        <w:spacing w:after="0" w:line="19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47" w:lineRule="exact"/>
        <w:rPr>
          <w:sz w:val="20"/>
          <w:szCs w:val="20"/>
          <w:color w:val="auto"/>
        </w:rPr>
      </w:pPr>
    </w:p>
    <w:p>
      <w:pPr>
        <w:jc w:val="both"/>
        <w:ind w:right="20" w:firstLine="187"/>
        <w:spacing w:after="0" w:line="298" w:lineRule="auto"/>
        <w:rPr>
          <w:sz w:val="20"/>
          <w:szCs w:val="20"/>
          <w:color w:val="auto"/>
        </w:rPr>
      </w:pPr>
      <w:r>
        <w:rPr>
          <w:rFonts w:ascii="Arial" w:cs="Arial" w:eastAsia="Arial" w:hAnsi="Arial"/>
          <w:sz w:val="14"/>
          <w:szCs w:val="14"/>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102" w:lineRule="exact"/>
        <w:rPr>
          <w:sz w:val="20"/>
          <w:szCs w:val="20"/>
          <w:color w:val="auto"/>
        </w:rPr>
      </w:pPr>
    </w:p>
    <w:p>
      <w:pPr>
        <w:ind w:left="1120" w:hanging="565"/>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may make it more difficult for us to satisfy our obligations under our indebtedness;</w:t>
      </w:r>
    </w:p>
    <w:p>
      <w:pPr>
        <w:spacing w:after="0" w:line="143"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40"/>
          </w:cols>
          <w:pgMar w:left="240" w:top="677" w:right="219" w:bottom="1440" w:gutter="0" w:footer="0" w:header="0"/>
        </w:sectPr>
      </w:pPr>
    </w:p>
    <w:bookmarkStart w:id="77" w:name="page78"/>
    <w:bookmarkEnd w:id="77"/>
    <w:p>
      <w:pPr>
        <w:ind w:left="1120" w:right="20" w:hanging="565"/>
        <w:spacing w:after="0" w:line="248"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and other obligations, thereby reducing the funds available for other purposes;</w:t>
      </w:r>
    </w:p>
    <w:p>
      <w:pPr>
        <w:spacing w:after="0" w:line="134" w:lineRule="exact"/>
        <w:rPr>
          <w:rFonts w:ascii="Arial" w:cs="Arial" w:eastAsia="Arial" w:hAnsi="Arial"/>
          <w:sz w:val="16"/>
          <w:szCs w:val="16"/>
          <w:color w:val="auto"/>
        </w:rPr>
      </w:pPr>
    </w:p>
    <w:p>
      <w:pPr>
        <w:ind w:left="1120" w:hanging="565"/>
        <w:spacing w:after="0" w:line="248"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make us more vulnerable to economic downturns, industry conditions and catastrophic external events, particularly relative to competitors with lower relative levels of financial leverage;</w:t>
      </w:r>
    </w:p>
    <w:p>
      <w:pPr>
        <w:spacing w:after="0" w:line="134"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contain covenants requiring us to maintain an aggregate of at least $2.0 billion of unrestricted cash and cash equivalents and amounts available to be drawn under revolving credit facilities;</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contain restrictive covenants that could:</w:t>
      </w:r>
    </w:p>
    <w:p>
      <w:pPr>
        <w:spacing w:after="0" w:line="143" w:lineRule="exact"/>
        <w:rPr>
          <w:rFonts w:ascii="Arial" w:cs="Arial" w:eastAsia="Arial" w:hAnsi="Arial"/>
          <w:sz w:val="16"/>
          <w:szCs w:val="16"/>
          <w:color w:val="auto"/>
        </w:rPr>
      </w:pPr>
    </w:p>
    <w:p>
      <w:pPr>
        <w:ind w:left="1400" w:hanging="283"/>
        <w:spacing w:after="0"/>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limit our ability to merge, consolidate, sell assets, incur additional indebtedness, issue preferred stock, make investments and pay dividends;</w:t>
      </w:r>
    </w:p>
    <w:p>
      <w:pPr>
        <w:spacing w:after="0" w:line="143" w:lineRule="exact"/>
        <w:rPr>
          <w:rFonts w:ascii="Arial" w:cs="Arial" w:eastAsia="Arial" w:hAnsi="Arial"/>
          <w:sz w:val="16"/>
          <w:szCs w:val="16"/>
          <w:color w:val="auto"/>
        </w:rPr>
      </w:pPr>
    </w:p>
    <w:p>
      <w:pPr>
        <w:jc w:val="both"/>
        <w:ind w:left="1400" w:hanging="283"/>
        <w:spacing w:after="0" w:line="246" w:lineRule="auto"/>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36" w:lineRule="exact"/>
        <w:rPr>
          <w:rFonts w:ascii="Arial" w:cs="Arial" w:eastAsia="Arial" w:hAnsi="Arial"/>
          <w:sz w:val="16"/>
          <w:szCs w:val="16"/>
          <w:color w:val="auto"/>
        </w:rPr>
      </w:pPr>
    </w:p>
    <w:p>
      <w:pPr>
        <w:ind w:left="1400" w:hanging="283"/>
        <w:spacing w:after="0"/>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limit our ability to withstand competitive pressures and reduce our flexibility in responding to changing business and economic conditions; and</w:t>
      </w:r>
    </w:p>
    <w:p>
      <w:pPr>
        <w:spacing w:after="0" w:line="143" w:lineRule="exact"/>
        <w:rPr>
          <w:rFonts w:ascii="Arial" w:cs="Arial" w:eastAsia="Arial" w:hAnsi="Arial"/>
          <w:sz w:val="16"/>
          <w:szCs w:val="16"/>
          <w:color w:val="auto"/>
        </w:rPr>
      </w:pPr>
    </w:p>
    <w:p>
      <w:pPr>
        <w:ind w:left="1400" w:hanging="283"/>
        <w:spacing w:after="0"/>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result in an event of default under our indebtedness.</w:t>
      </w:r>
    </w:p>
    <w:p>
      <w:pPr>
        <w:spacing w:after="0" w:line="144"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Further, a substantial portion of our long-term indebtedness bears interest at fluctuating interest rates, primarily based on the London interbank offered rate for deposits of U.S. dollars (LIBOR). LIBOR tends to fluctuate based on general interest rates, rates set by the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 Item 3. Quantitative and Qualitative Disclosures About Market Risk –</w:t>
      </w:r>
      <w:r>
        <w:rPr>
          <w:rFonts w:ascii="Arial" w:cs="Arial" w:eastAsia="Arial" w:hAnsi="Arial"/>
          <w:sz w:val="16"/>
          <w:szCs w:val="16"/>
          <w:i w:val="1"/>
          <w:iCs w:val="1"/>
          <w:color w:val="auto"/>
        </w:rPr>
        <w:t>“Interest.”</w:t>
      </w:r>
    </w:p>
    <w:p>
      <w:pPr>
        <w:spacing w:after="0" w:line="142"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will need to obtain sufficient financing or other capital to operate successfully.</w:t>
      </w:r>
    </w:p>
    <w:p>
      <w:pPr>
        <w:spacing w:after="0" w:line="91" w:lineRule="exact"/>
        <w:rPr>
          <w:sz w:val="20"/>
          <w:szCs w:val="20"/>
          <w:color w:val="auto"/>
        </w:rPr>
      </w:pPr>
    </w:p>
    <w:p>
      <w:pPr>
        <w:jc w:val="both"/>
        <w:ind w:firstLine="187"/>
        <w:spacing w:after="0" w:line="283" w:lineRule="auto"/>
        <w:rPr>
          <w:sz w:val="20"/>
          <w:szCs w:val="20"/>
          <w:color w:val="auto"/>
        </w:rPr>
      </w:pPr>
      <w:r>
        <w:rPr>
          <w:rFonts w:ascii="Arial" w:cs="Arial" w:eastAsia="Arial" w:hAnsi="Arial"/>
          <w:sz w:val="14"/>
          <w:szCs w:val="14"/>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June 30, 2018, our planned aggregate expenditures for aircraft purchase commitments and certain engines on a consolidated basis for calendar years 2018-2022 would be approximately $8.4 billion. Accordingly, we will need substantial financing or other capital resources to finance such aircraft and engines.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40"/>
          </w:cols>
          <w:pgMar w:left="240" w:top="677" w:right="219" w:bottom="1440" w:gutter="0" w:footer="0" w:header="0"/>
        </w:sectPr>
      </w:pPr>
    </w:p>
    <w:bookmarkStart w:id="78" w:name="page79"/>
    <w:bookmarkEnd w:id="78"/>
    <w:p>
      <w:pPr>
        <w:ind w:left="200"/>
        <w:spacing w:after="0" w:line="271" w:lineRule="auto"/>
        <w:rPr>
          <w:sz w:val="20"/>
          <w:szCs w:val="20"/>
          <w:color w:val="auto"/>
        </w:rPr>
      </w:pPr>
      <w:r>
        <w:rPr>
          <w:rFonts w:ascii="Arial" w:cs="Arial" w:eastAsia="Arial" w:hAnsi="Arial"/>
          <w:sz w:val="16"/>
          <w:szCs w:val="16"/>
          <w:b w:val="1"/>
          <w:bCs w:val="1"/>
          <w:i w:val="1"/>
          <w:iCs w:val="1"/>
          <w:color w:val="auto"/>
        </w:rPr>
        <w:t>We have significant pension and other postretirement benefit funding obligations, which may adversely affect our liquidity, results of operations and financial condition.</w:t>
      </w:r>
    </w:p>
    <w:p>
      <w:pPr>
        <w:spacing w:after="0" w:line="47"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Our minimum pension funding obligations are likely to increase materially beginning in 2019, when we will be required to make cash contributions corresponding to determinations made regarding the 2018 fiscal year. In addition, we may have significant obligations for other postretirement benefits, retiree medical and other postretirement benefits.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our financial condition worsens, provisions in our credit card processing and other commercial agreements may adversely affect our liquidity.</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Union disputes, employee strikes and other labor-related disruptions may adversely affect our operations.</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6"/>
          <w:szCs w:val="16"/>
          <w:i w:val="1"/>
          <w:iCs w:val="1"/>
          <w:color w:val="auto"/>
        </w:rPr>
        <w:t>“Employees and Labor Relations”</w:t>
      </w:r>
      <w:r>
        <w:rPr>
          <w:rFonts w:ascii="Arial" w:cs="Arial" w:eastAsia="Arial" w:hAnsi="Arial"/>
          <w:sz w:val="16"/>
          <w:szCs w:val="16"/>
          <w:color w:val="auto"/>
        </w:rPr>
        <w:t xml:space="preserve"> in our 2017 Form 10-K.</w:t>
      </w:r>
    </w:p>
    <w:p>
      <w:pPr>
        <w:spacing w:after="0" w:line="13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4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w:t>
      </w:r>
      <w:r>
        <w:rPr>
          <w:rFonts w:ascii="Arial" w:cs="Arial" w:eastAsia="Arial" w:hAnsi="Arial"/>
          <w:sz w:val="16"/>
          <w:szCs w:val="16"/>
          <w:i w:val="1"/>
          <w:iCs w:val="1"/>
          <w:color w:val="auto"/>
        </w:rPr>
        <w:t>“Employees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Labor Relations” </w:t>
      </w:r>
      <w:r>
        <w:rPr>
          <w:rFonts w:ascii="Arial" w:cs="Arial" w:eastAsia="Arial" w:hAnsi="Arial"/>
          <w:sz w:val="16"/>
          <w:szCs w:val="16"/>
          <w:color w:val="auto"/>
        </w:rPr>
        <w:t>in our 2017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729" w:right="219" w:bottom="1440" w:gutter="0" w:footer="0" w:header="0"/>
        </w:sectPr>
      </w:pPr>
    </w:p>
    <w:bookmarkStart w:id="79" w:name="page80"/>
    <w:bookmarkEnd w:id="79"/>
    <w:p>
      <w:pPr>
        <w:ind w:left="200"/>
        <w:spacing w:after="0"/>
        <w:rPr>
          <w:sz w:val="20"/>
          <w:szCs w:val="20"/>
          <w:color w:val="auto"/>
        </w:rPr>
      </w:pPr>
      <w:r>
        <w:rPr>
          <w:rFonts w:ascii="Arial" w:cs="Arial" w:eastAsia="Arial" w:hAnsi="Arial"/>
          <w:sz w:val="16"/>
          <w:szCs w:val="16"/>
          <w:b w:val="1"/>
          <w:bCs w:val="1"/>
          <w:i w:val="1"/>
          <w:iCs w:val="1"/>
          <w:color w:val="auto"/>
        </w:rPr>
        <w:t>The inability to maintain labor costs at competitive levels would harm our financial performance.</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 such as the employee profit sharing program we instituted effective January 1, 2016, the mid-contract adjustment we provided to our flight attendants and pilots in 2017 and the $1,000 per employee one-time bonus we announced on January 2, 2018. As of December 31, 2017,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Interruptions or disruptions in service at one of our key facilities could have a material adverse impact on our operations.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or other airports where we have a significant presence, such as London Heathrow, resulting from air traffic control (ATC) delays, weather conditions, natural disasters, growth constraints, relations with third-party service providers (such as electric utility or telecommunications providers), failure of computer systems, disruptions at 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 We have minimal control over the operation, quality or maintenance of these services or whether vendors will improve or continue to provide services that are essential to our business.</w:t>
      </w:r>
    </w:p>
    <w:p>
      <w:pPr>
        <w:spacing w:after="0" w:line="194"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6"/>
          <w:szCs w:val="16"/>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9"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Additionally, there is presently a significant amount of capital spending underway at major airports in the United States that we serve, and that spending is expected to result in increased costs to airlines and the traveling public that use those facilities as the airports seek to recover these investments through increased rental, landing and other facility costs. In some circumstances, such costs could be imposed by the relevant airport authority without our approval.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40"/>
          </w:cols>
          <w:pgMar w:left="240" w:top="729" w:right="219" w:bottom="1440" w:gutter="0" w:footer="0" w:header="0"/>
        </w:sectPr>
      </w:pPr>
    </w:p>
    <w:bookmarkStart w:id="80" w:name="page81"/>
    <w:bookmarkEnd w:id="80"/>
    <w:p>
      <w:pPr>
        <w:jc w:val="both"/>
        <w:ind w:firstLine="211"/>
        <w:spacing w:after="0" w:line="282" w:lineRule="auto"/>
        <w:rPr>
          <w:sz w:val="20"/>
          <w:szCs w:val="20"/>
          <w:color w:val="auto"/>
        </w:rPr>
      </w:pPr>
      <w:r>
        <w:rPr>
          <w:rFonts w:ascii="Arial" w:cs="Arial" w:eastAsia="Arial" w:hAnsi="Arial"/>
          <w:sz w:val="14"/>
          <w:szCs w:val="14"/>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Federal Aviation Administration (FAA) currently regulate the allocation of slots or slot exemptions at Ronald Reagan Washington National Airport (DCA) and two New York City airports: John F. Kennedy International Airport (JFK) and La Guardia Airport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London Heathrow (LHR), Paris, Tokyo and other airports outside the U.S. are regulated by local slot authorities pursuant to the International Airline Trade Association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304" w:lineRule="exact"/>
        <w:rPr>
          <w:sz w:val="20"/>
          <w:szCs w:val="20"/>
          <w:color w:val="auto"/>
        </w:rPr>
      </w:pPr>
    </w:p>
    <w:p>
      <w:pPr>
        <w:jc w:val="both"/>
        <w:ind w:firstLine="211"/>
        <w:spacing w:after="0" w:line="246" w:lineRule="auto"/>
        <w:rPr>
          <w:sz w:val="20"/>
          <w:szCs w:val="20"/>
          <w:color w:val="auto"/>
        </w:rPr>
      </w:pPr>
      <w:r>
        <w:rPr>
          <w:rFonts w:ascii="Arial" w:cs="Arial" w:eastAsia="Arial" w:hAnsi="Arial"/>
          <w:sz w:val="16"/>
          <w:szCs w:val="16"/>
          <w:color w:val="auto"/>
        </w:rPr>
        <w:t>Our ability to provide service can also be impaired at airports, such as Chicago O'Hare International Airport (ORD) and Los Angeles International Airport, where the airport gate and other facilities are inadequate to accommodate all of the service that we would like to provide, or airports such as Dallas Love Field Airport where we have no access to gates at all.</w:t>
      </w:r>
    </w:p>
    <w:p>
      <w:pPr>
        <w:spacing w:after="0" w:line="136" w:lineRule="exact"/>
        <w:rPr>
          <w:sz w:val="20"/>
          <w:szCs w:val="20"/>
          <w:color w:val="auto"/>
        </w:rPr>
      </w:pPr>
    </w:p>
    <w:p>
      <w:pPr>
        <w:jc w:val="both"/>
        <w:ind w:right="20" w:firstLine="211"/>
        <w:spacing w:after="0" w:line="248" w:lineRule="auto"/>
        <w:rPr>
          <w:sz w:val="20"/>
          <w:szCs w:val="20"/>
          <w:color w:val="auto"/>
        </w:rPr>
      </w:pPr>
      <w:r>
        <w:rPr>
          <w:rFonts w:ascii="Arial" w:cs="Arial" w:eastAsia="Arial" w:hAnsi="Arial"/>
          <w:sz w:val="16"/>
          <w:szCs w:val="16"/>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 significant portion of our regional operations are conducted by third-party operators on our behalf, primarily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4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40"/>
          </w:cols>
          <w:pgMar w:left="240" w:top="677" w:right="219" w:bottom="1440" w:gutter="0" w:footer="0" w:header="0"/>
        </w:sectPr>
      </w:pPr>
    </w:p>
    <w:bookmarkStart w:id="81" w:name="page82"/>
    <w:bookmarkEnd w:id="81"/>
    <w:p>
      <w:pPr>
        <w:ind w:left="200"/>
        <w:spacing w:after="0"/>
        <w:rPr>
          <w:sz w:val="20"/>
          <w:szCs w:val="20"/>
          <w:color w:val="auto"/>
        </w:rPr>
      </w:pPr>
      <w:r>
        <w:rPr>
          <w:rFonts w:ascii="Arial" w:cs="Arial" w:eastAsia="Arial" w:hAnsi="Arial"/>
          <w:sz w:val="16"/>
          <w:szCs w:val="16"/>
          <w:b w:val="1"/>
          <w:bCs w:val="1"/>
          <w:i w:val="1"/>
          <w:iCs w:val="1"/>
          <w:color w:val="auto"/>
        </w:rPr>
        <w:t>The commercial relationships that we have with airlines, including any related equity investment, may not produce the returns or results we expect.</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An important part of our strategy to expand our network has been to expand our commercial relationships with other airlines, such as global alliance, joint business and code share relationships, and, in one recent instance, make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rely on third-party distribution channels and must manage effectively the costs, rights and functionality of these channels.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 xml:space="preserve">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6"/>
          <w:szCs w:val="16"/>
          <w:i w:val="1"/>
          <w:iCs w:val="1"/>
          <w:color w:val="auto"/>
        </w:rPr>
        <w:t>www.aa.com</w:t>
      </w:r>
      <w:r>
        <w:rPr>
          <w:rFonts w:ascii="Arial" w:cs="Arial" w:eastAsia="Arial" w:hAnsi="Arial"/>
          <w:sz w:val="16"/>
          <w:szCs w:val="16"/>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These imperatives may affect our relationships with GDSs and OTAs, including as consolidation of OTAs continues or is proposed to continue. Further, as distribution technology changes we will need to continue to update our technology either by acquiring new technology from third parties, building the functionality ourselves, or a combination, which in any event will likely entail significant technological and commercial risk and involve potentially material investments.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9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7"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36"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37" w:lineRule="exact"/>
        <w:rPr>
          <w:sz w:val="20"/>
          <w:szCs w:val="20"/>
          <w:color w:val="auto"/>
        </w:rPr>
      </w:pPr>
    </w:p>
    <w:p>
      <w:pPr>
        <w:jc w:val="both"/>
        <w:ind w:right="20" w:firstLine="187"/>
        <w:spacing w:after="0" w:line="244" w:lineRule="auto"/>
        <w:rPr>
          <w:sz w:val="20"/>
          <w:szCs w:val="20"/>
          <w:color w:val="auto"/>
        </w:rPr>
      </w:pPr>
      <w:r>
        <w:rPr>
          <w:rFonts w:ascii="Arial" w:cs="Arial" w:eastAsia="Arial" w:hAnsi="Arial"/>
          <w:sz w:val="16"/>
          <w:szCs w:val="16"/>
          <w:color w:val="auto"/>
        </w:rPr>
        <w:t>The DOT consumer rules that took effect in 2010 require procedures for customer handling during long onboard delays, further regulate airline interactions with passengers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Further, Congress has proposed the FAIR Fees Act, which would direct the DOT to prescribe regulations prohibiting an air carrier from imposing change or cancellation fees that are unreasonable or disproportional to the costs incurred by the carrier, as well as establish standards for assessing whether all other fees are reasonable and proportional to the costs incurred by the air carrier.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40"/>
          </w:cols>
          <w:pgMar w:left="240" w:top="729" w:right="219" w:bottom="1440" w:gutter="0" w:footer="0" w:header="0"/>
        </w:sectPr>
      </w:pPr>
    </w:p>
    <w:bookmarkStart w:id="82" w:name="page83"/>
    <w:bookmarkEnd w:id="82"/>
    <w:p>
      <w:pPr>
        <w:jc w:val="both"/>
        <w:ind w:firstLine="187"/>
        <w:spacing w:after="0" w:line="246" w:lineRule="auto"/>
        <w:rPr>
          <w:sz w:val="20"/>
          <w:szCs w:val="20"/>
          <w:color w:val="auto"/>
        </w:rPr>
      </w:pPr>
      <w:r>
        <w:rPr>
          <w:rFonts w:ascii="Arial" w:cs="Arial" w:eastAsia="Arial" w:hAnsi="Arial"/>
          <w:sz w:val="16"/>
          <w:szCs w:val="16"/>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36"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The results of our operations, demand for air travel, and the manner in which we conduct business each may be affected by changes in law and future actions taken by governmental agencies, including:</w:t>
      </w:r>
    </w:p>
    <w:p>
      <w:pPr>
        <w:spacing w:after="0" w:line="134" w:lineRule="exact"/>
        <w:rPr>
          <w:sz w:val="20"/>
          <w:szCs w:val="20"/>
          <w:color w:val="auto"/>
        </w:rPr>
      </w:pPr>
    </w:p>
    <w:p>
      <w:pPr>
        <w:ind w:left="1120" w:hanging="565"/>
        <w:spacing w:after="0" w:line="248" w:lineRule="auto"/>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changes in law that affect the services that can be offered by airlines in particular markets and at particular airports, or the types of fees that can be charged to passengers;</w:t>
      </w:r>
    </w:p>
    <w:p>
      <w:pPr>
        <w:spacing w:after="0" w:line="134" w:lineRule="exact"/>
        <w:rPr>
          <w:rFonts w:ascii="Arial" w:cs="Arial" w:eastAsia="Arial" w:hAnsi="Arial"/>
          <w:sz w:val="16"/>
          <w:szCs w:val="16"/>
          <w:color w:val="auto"/>
        </w:rPr>
      </w:pPr>
    </w:p>
    <w:p>
      <w:pPr>
        <w:ind w:left="1120" w:hanging="565"/>
        <w:spacing w:after="0" w:line="248" w:lineRule="auto"/>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granting and timing of certain governmental approvals (including antitrust or foreign government approvals) needed for codesharing alliances, joint businesses and other arrangements with other airlines;</w:t>
      </w:r>
    </w:p>
    <w:p>
      <w:pPr>
        <w:spacing w:after="0" w:line="134"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restrictions on competitive practices (for example, court orders, or agency regulations or orders, that would curtail an airline’s ability to respond to a competitor);</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w:t>
      </w:r>
    </w:p>
    <w:p>
      <w:pPr>
        <w:spacing w:after="0" w:line="143"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restrictions on airport operations, such as restrictions on the use of slots at airports or the auction or reallocation of slot rights currently held by us; and</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adoption of more restrictive locally-imposed noise restrictions.</w:t>
      </w:r>
    </w:p>
    <w:p>
      <w:pPr>
        <w:spacing w:after="0" w:line="144"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36" w:lineRule="exact"/>
        <w:rPr>
          <w:sz w:val="20"/>
          <w:szCs w:val="20"/>
          <w:color w:val="auto"/>
        </w:rPr>
      </w:pPr>
    </w:p>
    <w:p>
      <w:pPr>
        <w:jc w:val="both"/>
        <w:ind w:firstLine="187"/>
        <w:spacing w:after="0" w:line="285" w:lineRule="auto"/>
        <w:rPr>
          <w:sz w:val="20"/>
          <w:szCs w:val="20"/>
          <w:color w:val="auto"/>
        </w:rPr>
      </w:pPr>
      <w:r>
        <w:rPr>
          <w:rFonts w:ascii="Arial" w:cs="Arial" w:eastAsia="Arial" w:hAnsi="Arial"/>
          <w:sz w:val="14"/>
          <w:szCs w:val="14"/>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12"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the early 2000s, the FAA embarked on a path to modernize the national airspace system, including migration from the current radar-based ATC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 We support legislative efforts that would establish a nimble not-for-profit entity better suited to manage the long-term investments in technology and provide a governance structure needed to successfully implement NextGen and improve the operation of the ATC system.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40"/>
          </w:cols>
          <w:pgMar w:left="240" w:top="677" w:right="219" w:bottom="1440" w:gutter="0" w:footer="0" w:header="0"/>
        </w:sectPr>
      </w:pPr>
    </w:p>
    <w:bookmarkStart w:id="83" w:name="page84"/>
    <w:bookmarkEnd w:id="83"/>
    <w:p>
      <w:pPr>
        <w:jc w:val="both"/>
        <w:ind w:firstLine="187"/>
        <w:spacing w:after="0" w:line="244" w:lineRule="auto"/>
        <w:rPr>
          <w:sz w:val="20"/>
          <w:szCs w:val="20"/>
          <w:color w:val="auto"/>
        </w:rPr>
      </w:pPr>
      <w:r>
        <w:rPr>
          <w:rFonts w:ascii="Arial" w:cs="Arial" w:eastAsia="Arial" w:hAnsi="Arial"/>
          <w:sz w:val="16"/>
          <w:szCs w:val="16"/>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we face increased competition in these markets, including LHR. The pending withdrawal of the United Kingdom from the EU, commonly referred to as Brexit, will mandate further modification in the current regulatory regime.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 generally,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airline industry is heavily taxed.</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142"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40"/>
          </w:cols>
          <w:pgMar w:left="240" w:top="677" w:right="219" w:bottom="1440" w:gutter="0" w:footer="0" w:header="0"/>
        </w:sectPr>
      </w:pPr>
    </w:p>
    <w:bookmarkStart w:id="84" w:name="page85"/>
    <w:bookmarkEnd w:id="84"/>
    <w:p>
      <w:pPr>
        <w:ind w:left="180"/>
        <w:spacing w:after="0"/>
        <w:rPr>
          <w:sz w:val="20"/>
          <w:szCs w:val="20"/>
          <w:color w:val="auto"/>
        </w:rPr>
      </w:pPr>
      <w:r>
        <w:rPr>
          <w:rFonts w:ascii="Arial" w:cs="Arial" w:eastAsia="Arial" w:hAnsi="Arial"/>
          <w:sz w:val="16"/>
          <w:szCs w:val="16"/>
          <w:b w:val="1"/>
          <w:bCs w:val="1"/>
          <w:i w:val="1"/>
          <w:iCs w:val="1"/>
          <w:color w:val="auto"/>
        </w:rPr>
        <w:t>Recent U.S. tax legislation may adversely affect our financial condition, results of operations and cash flows.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NOLs and the rules governing foreign tax credits and introducing new anti-base erosion provisions.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 We continue to work with our tax advisors to determine the full impact of this legislation on us.</w:t>
      </w:r>
    </w:p>
    <w:p>
      <w:pPr>
        <w:spacing w:after="0" w:line="141"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6"/>
          <w:szCs w:val="16"/>
          <w:color w:val="auto"/>
        </w:rPr>
        <w:t>See Note 7 to AAG’s Condensed Consolidated Financial Statements in Part I, Item 1A and Note 5 to American’s Condensed Consolidated Financial Statements in Part I, Item 1B for additional information on income taxes.</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i w:val="1"/>
          <w:iCs w:val="1"/>
          <w:color w:val="auto"/>
        </w:rPr>
        <w:t>Changes to our business model that are designed to increase revenues may not be successful and may cause operational difficulties or decreased demand.</w:t>
      </w:r>
    </w:p>
    <w:p>
      <w:pPr>
        <w:spacing w:after="0" w:line="4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have recently instituted, and intend to institute in the future, changes to our business model to increase revenues and offset costs. These measures include premium economy service, basic economy service and other low-cost fares, enhancements to our AAdvantage loyalty program,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19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The loss of key personnel upon whom we depend to operate our business or the inability to attract additional qualified personnel could adversely affect our business.</w:t>
      </w:r>
    </w:p>
    <w:p>
      <w:pPr>
        <w:spacing w:after="0" w:line="47"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40"/>
          </w:cols>
          <w:pgMar w:left="240" w:top="729" w:right="219" w:bottom="1440" w:gutter="0" w:footer="0" w:header="0"/>
        </w:sectPr>
      </w:pPr>
    </w:p>
    <w:bookmarkStart w:id="85" w:name="page86"/>
    <w:bookmarkEnd w:id="85"/>
    <w:p>
      <w:pPr>
        <w:ind w:left="20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9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4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operate a global business with significant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4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40"/>
          </w:cols>
          <w:pgMar w:left="240" w:top="729" w:right="219" w:bottom="1440" w:gutter="0" w:footer="0" w:header="0"/>
        </w:sectPr>
      </w:pPr>
    </w:p>
    <w:bookmarkStart w:id="86" w:name="page87"/>
    <w:bookmarkEnd w:id="86"/>
    <w:p>
      <w:pPr>
        <w:jc w:val="both"/>
        <w:ind w:firstLine="187"/>
        <w:spacing w:after="0" w:line="281" w:lineRule="auto"/>
        <w:rPr>
          <w:sz w:val="20"/>
          <w:szCs w:val="20"/>
          <w:color w:val="auto"/>
        </w:rPr>
      </w:pPr>
      <w:r>
        <w:rPr>
          <w:rFonts w:ascii="Arial" w:cs="Arial" w:eastAsia="Arial" w:hAnsi="Arial"/>
          <w:sz w:val="14"/>
          <w:szCs w:val="14"/>
          <w:color w:val="auto"/>
        </w:rPr>
        <w:t>The United Kingdom held a referendum in June 2016 regarding its membership in the EU in which a majority of the United Kingdom electorate voted in favor of the British government taking the necessary action for the United Kingdom to leave the EU, commonly referred to as Brexit.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may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Among other things, Brexit will likely require a transition arrangement or new air services agreement involving the U.S. and United Kingdom, and the United Kingdom and EU, to permit our current air services (including those involving our joint business and code share partners) to continue as we currently conduct them. 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as to air traffic services. The exit of the United Kingdom could also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are subject to many forms of environmental and noise regulation and may incur substantial costs as a result.</w:t>
      </w:r>
    </w:p>
    <w:p>
      <w:pPr>
        <w:spacing w:after="0" w:line="91"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38" w:lineRule="exact"/>
        <w:rPr>
          <w:sz w:val="20"/>
          <w:szCs w:val="20"/>
          <w:color w:val="auto"/>
        </w:rPr>
      </w:pPr>
    </w:p>
    <w:p>
      <w:pPr>
        <w:jc w:val="both"/>
        <w:ind w:firstLine="187"/>
        <w:spacing w:after="0" w:line="288" w:lineRule="auto"/>
        <w:rPr>
          <w:sz w:val="20"/>
          <w:szCs w:val="20"/>
          <w:color w:val="auto"/>
        </w:rPr>
      </w:pPr>
      <w:r>
        <w:rPr>
          <w:rFonts w:ascii="Arial" w:cs="Arial" w:eastAsia="Arial" w:hAnsi="Arial"/>
          <w:sz w:val="14"/>
          <w:szCs w:val="14"/>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10"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38"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40"/>
          </w:cols>
          <w:pgMar w:left="240" w:top="677" w:right="219" w:bottom="1440" w:gutter="0" w:footer="0" w:header="0"/>
        </w:sectPr>
      </w:pPr>
    </w:p>
    <w:bookmarkStart w:id="87" w:name="page88"/>
    <w:bookmarkEnd w:id="87"/>
    <w:p>
      <w:pPr>
        <w:ind w:left="200"/>
        <w:spacing w:after="0"/>
        <w:rPr>
          <w:sz w:val="20"/>
          <w:szCs w:val="20"/>
          <w:color w:val="auto"/>
        </w:rPr>
      </w:pPr>
      <w:r>
        <w:rPr>
          <w:rFonts w:ascii="Arial" w:cs="Arial" w:eastAsia="Arial" w:hAnsi="Arial"/>
          <w:sz w:val="16"/>
          <w:szCs w:val="16"/>
          <w:b w:val="1"/>
          <w:bCs w:val="1"/>
          <w:i w:val="1"/>
          <w:iCs w:val="1"/>
          <w:color w:val="auto"/>
        </w:rPr>
        <w:t>We are subject to risks associated with climate change, including increased regulation to reduce emissions of greenhouse gases.</w:t>
      </w:r>
    </w:p>
    <w:p>
      <w:pPr>
        <w:spacing w:after="0" w:line="91" w:lineRule="exact"/>
        <w:rPr>
          <w:sz w:val="20"/>
          <w:szCs w:val="20"/>
          <w:color w:val="auto"/>
        </w:rPr>
      </w:pPr>
    </w:p>
    <w:p>
      <w:pPr>
        <w:jc w:val="both"/>
        <w:ind w:firstLine="187"/>
        <w:spacing w:after="0" w:line="282" w:lineRule="auto"/>
        <w:rPr>
          <w:sz w:val="20"/>
          <w:szCs w:val="20"/>
          <w:color w:val="auto"/>
        </w:rPr>
      </w:pPr>
      <w:r>
        <w:rPr>
          <w:rFonts w:ascii="Arial" w:cs="Arial" w:eastAsia="Arial" w:hAnsi="Arial"/>
          <w:sz w:val="14"/>
          <w:szCs w:val="14"/>
          <w:color w:val="auto"/>
        </w:rPr>
        <w:t>There is increasing global regulatory focus on climate change and greenhouse gas (GHG) emissions. Efforts by the EU in 2009 to regulate flights arriving from or departing for airports outside of the EU have been postponed as members of the International Civil Aviation Organization (ICAO) are negotiating a global agreement on GHG emissions from the aviation sector. On October 6, 2016, the ICAO passed a resolution adopting the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ensure that these costs will be more evenly applied to American and its competitors since there will be a common global regulatory regime. The CORSIA is expected to be implemented in phases, with phase I beginning in 2021. Certain details still need to be developed and the impact of the CORSIA cannot be fully predicted. While we do not anticipate any significant emissions allowance expenditures in 2018, compliance with the CORSIA or similar emissions-related requirements could significantly increase our operating costs after 2020. The potential impact of the CORSIA or other emissions-related requirements on our costs will ultimately depend on a number of factors, including baseline emissions, the price of emission allowances or offsets that American would need to acquire, the GHG efficiency of the American fleet, and the number of future American flights subject to such emissions-related requirements. These costs have not been completely defined and could fluctuate.</w:t>
      </w:r>
    </w:p>
    <w:p>
      <w:pPr>
        <w:spacing w:after="0" w:line="304"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that agreement, to the extent countries implement that Agreement or impose other climate change regulations, either with respect to the aviation industry or with respect to related industries such as the aviation fuel industry, it could have an adverse direct or indirect effect on our business.</w:t>
      </w:r>
    </w:p>
    <w:p>
      <w:pPr>
        <w:spacing w:after="0" w:line="137"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In 2018 or potentially 2019, the Environmental Protection Agency (EPA) is expected to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38" w:lineRule="exact"/>
        <w:rPr>
          <w:sz w:val="20"/>
          <w:szCs w:val="20"/>
          <w:color w:val="auto"/>
        </w:rPr>
      </w:pPr>
    </w:p>
    <w:p>
      <w:pPr>
        <w:jc w:val="both"/>
        <w:ind w:firstLine="187"/>
        <w:spacing w:after="0" w:line="298" w:lineRule="auto"/>
        <w:rPr>
          <w:sz w:val="20"/>
          <w:szCs w:val="20"/>
          <w:color w:val="auto"/>
        </w:rPr>
      </w:pPr>
      <w:r>
        <w:rPr>
          <w:rFonts w:ascii="Arial" w:cs="Arial" w:eastAsia="Arial" w:hAnsi="Arial"/>
          <w:sz w:val="14"/>
          <w:szCs w:val="14"/>
          <w:color w:val="auto"/>
        </w:rPr>
        <w:t>In addition, several states have adopted or are considering initiatives to regulate emissions of GHGs,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02"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face challenges in integrating our computer, communications and other technology systems.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40"/>
          </w:cols>
          <w:pgMar w:left="240" w:top="729" w:right="219" w:bottom="1440" w:gutter="0" w:footer="0" w:header="0"/>
        </w:sectPr>
      </w:pPr>
    </w:p>
    <w:bookmarkStart w:id="88" w:name="page89"/>
    <w:bookmarkEnd w:id="88"/>
    <w:p>
      <w:pPr>
        <w:jc w:val="both"/>
        <w:ind w:firstLine="211"/>
        <w:spacing w:after="0" w:line="246" w:lineRule="auto"/>
        <w:rPr>
          <w:sz w:val="20"/>
          <w:szCs w:val="20"/>
          <w:color w:val="auto"/>
        </w:rPr>
      </w:pPr>
      <w:r>
        <w:rPr>
          <w:rFonts w:ascii="Arial" w:cs="Arial" w:eastAsia="Arial" w:hAnsi="Arial"/>
          <w:sz w:val="16"/>
          <w:szCs w:val="16"/>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88"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42"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193" w:lineRule="exact"/>
        <w:rPr>
          <w:sz w:val="20"/>
          <w:szCs w:val="20"/>
          <w:color w:val="auto"/>
        </w:rPr>
      </w:pPr>
    </w:p>
    <w:p>
      <w:pPr>
        <w:jc w:val="both"/>
        <w:ind w:left="200" w:right="20"/>
        <w:spacing w:after="0" w:line="344" w:lineRule="auto"/>
        <w:rPr>
          <w:sz w:val="20"/>
          <w:szCs w:val="20"/>
          <w:color w:val="auto"/>
        </w:rPr>
      </w:pPr>
      <w:r>
        <w:rPr>
          <w:rFonts w:ascii="Arial" w:cs="Arial" w:eastAsia="Arial" w:hAnsi="Arial"/>
          <w:sz w:val="14"/>
          <w:szCs w:val="14"/>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a modern world where news can be captured and travel rapidly, we are at risk of adverse publicity stemming from any public incident involving our company, our people or our brand. Such an incident could involve the alleged behavior of any of our more than 100,000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40"/>
          </w:cols>
          <w:pgMar w:left="240" w:top="677" w:right="219" w:bottom="1440" w:gutter="0" w:footer="0" w:header="0"/>
        </w:sectPr>
      </w:pPr>
    </w:p>
    <w:bookmarkStart w:id="89" w:name="page90"/>
    <w:bookmarkEnd w:id="89"/>
    <w:p>
      <w:pPr>
        <w:ind w:left="200"/>
        <w:spacing w:after="0" w:line="271" w:lineRule="auto"/>
        <w:rPr>
          <w:sz w:val="20"/>
          <w:szCs w:val="20"/>
          <w:color w:val="auto"/>
        </w:rPr>
      </w:pPr>
      <w:r>
        <w:rPr>
          <w:rFonts w:ascii="Arial" w:cs="Arial" w:eastAsia="Arial" w:hAnsi="Arial"/>
          <w:sz w:val="16"/>
          <w:szCs w:val="16"/>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7"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depend on a limited number of suppliers for aircraft, aircraft engines and parts.</w:t>
      </w:r>
    </w:p>
    <w:p>
      <w:pPr>
        <w:spacing w:after="0" w:line="91" w:lineRule="exact"/>
        <w:rPr>
          <w:sz w:val="20"/>
          <w:szCs w:val="20"/>
          <w:color w:val="auto"/>
        </w:rPr>
      </w:pPr>
    </w:p>
    <w:p>
      <w:pPr>
        <w:jc w:val="both"/>
        <w:ind w:right="20" w:firstLine="211"/>
        <w:spacing w:after="0" w:line="245"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These suppliers continue to consolidate as evidenced by the pending United Technologies acquisition of Rockwell Collins, the recently completed transaction involving Airbus and Bombardier and the recently announced transaction involving Boeing and Embraer. Due to the limited number of these suppliers, we are vulnerable to any problems associated with the performance of their obligation to supply key aircraft, parts and engines, including design defects, mechanical problems, contractual performance by suppliers, or adverse perception by the public that would result in customer avoidance or in actions by the FAA resulting in an inability to operate our aircraft.</w:t>
      </w:r>
    </w:p>
    <w:p>
      <w:pPr>
        <w:spacing w:after="0" w:line="189"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7" w:lineRule="exact"/>
        <w:rPr>
          <w:sz w:val="20"/>
          <w:szCs w:val="20"/>
          <w:color w:val="auto"/>
        </w:rPr>
      </w:pPr>
    </w:p>
    <w:p>
      <w:pPr>
        <w:ind w:firstLine="187"/>
        <w:spacing w:after="0" w:line="248" w:lineRule="auto"/>
        <w:rPr>
          <w:sz w:val="20"/>
          <w:szCs w:val="20"/>
          <w:color w:val="auto"/>
        </w:rPr>
      </w:pPr>
      <w:r>
        <w:rPr>
          <w:rFonts w:ascii="Arial" w:cs="Arial" w:eastAsia="Arial" w:hAnsi="Arial"/>
          <w:sz w:val="16"/>
          <w:szCs w:val="16"/>
          <w:color w:val="auto"/>
        </w:rPr>
        <w:t>Our business, results of operations and financial condition have been and will continue to be affected by many changing economic and other conditions beyond our control, including, among others:</w:t>
      </w:r>
    </w:p>
    <w:p>
      <w:pPr>
        <w:spacing w:after="0" w:line="134" w:lineRule="exact"/>
        <w:rPr>
          <w:sz w:val="20"/>
          <w:szCs w:val="20"/>
          <w:color w:val="auto"/>
        </w:rPr>
      </w:pPr>
    </w:p>
    <w:p>
      <w:pPr>
        <w:ind w:left="1120" w:right="20" w:hanging="565"/>
        <w:spacing w:after="0" w:line="248" w:lineRule="auto"/>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consumer preferences, perceptions, spending patterns and demographic trends;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the competitive environment due to industry consolidation, changes in airline alliance affiliations, and other factors;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actual or potential disruptions to the ATC systems;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increases in costs of safety, security, and environmental measures;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outbreaks of diseases that affect travel behavior; and</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weather and natural disasters.</w:t>
      </w:r>
    </w:p>
    <w:p>
      <w:pPr>
        <w:spacing w:after="0" w:line="144" w:lineRule="exact"/>
        <w:rPr>
          <w:sz w:val="20"/>
          <w:szCs w:val="20"/>
          <w:color w:val="auto"/>
        </w:rPr>
      </w:pPr>
    </w:p>
    <w:p>
      <w:pPr>
        <w:jc w:val="both"/>
        <w:ind w:firstLine="187"/>
        <w:spacing w:after="0" w:line="288" w:lineRule="auto"/>
        <w:rPr>
          <w:sz w:val="20"/>
          <w:szCs w:val="20"/>
          <w:color w:val="auto"/>
        </w:rPr>
      </w:pPr>
      <w:r>
        <w:rPr>
          <w:rFonts w:ascii="Arial" w:cs="Arial" w:eastAsia="Arial" w:hAnsi="Arial"/>
          <w:sz w:val="14"/>
          <w:szCs w:val="14"/>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40"/>
          </w:cols>
          <w:pgMar w:left="240" w:top="729" w:right="219" w:bottom="1440" w:gutter="0" w:footer="0" w:header="0"/>
        </w:sectPr>
      </w:pPr>
    </w:p>
    <w:bookmarkStart w:id="90" w:name="page91"/>
    <w:bookmarkEnd w:id="90"/>
    <w:p>
      <w:pPr>
        <w:jc w:val="both"/>
        <w:ind w:left="200"/>
        <w:spacing w:after="0" w:line="257" w:lineRule="auto"/>
        <w:rPr>
          <w:sz w:val="20"/>
          <w:szCs w:val="20"/>
          <w:color w:val="auto"/>
        </w:rPr>
      </w:pPr>
      <w:r>
        <w:rPr>
          <w:rFonts w:ascii="Arial" w:cs="Arial" w:eastAsia="Arial" w:hAnsi="Arial"/>
          <w:sz w:val="16"/>
          <w:szCs w:val="16"/>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and other factors have caused a shortage of pilots that could materially adversely affect our business.</w:t>
      </w:r>
    </w:p>
    <w:p>
      <w:pPr>
        <w:spacing w:after="0" w:line="59"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We currently have a higher than normal number of pilots eligible for retirement. Large numbers of pilots in the industry are approaching the FAA’s mandatory retirement age of 65.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Increases in insurance costs or reductions in insurance coverage may adversely impact our operations and financial results.</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be a party to litigation in the normal course of business or otherwise, which could affect our financial position and liquidity.</w:t>
      </w:r>
    </w:p>
    <w:p>
      <w:pPr>
        <w:spacing w:after="0" w:line="9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ability to utilize our NOL Carryforwards may be limited.</w:t>
      </w:r>
    </w:p>
    <w:p>
      <w:pPr>
        <w:spacing w:after="0" w:line="91" w:lineRule="exact"/>
        <w:rPr>
          <w:sz w:val="20"/>
          <w:szCs w:val="20"/>
          <w:color w:val="auto"/>
        </w:rPr>
      </w:pPr>
    </w:p>
    <w:p>
      <w:pPr>
        <w:jc w:val="both"/>
        <w:ind w:right="20" w:firstLine="187"/>
        <w:spacing w:after="0" w:line="245" w:lineRule="auto"/>
        <w:rPr>
          <w:sz w:val="20"/>
          <w:szCs w:val="20"/>
          <w:color w:val="auto"/>
        </w:rPr>
      </w:pPr>
      <w:r>
        <w:rPr>
          <w:rFonts w:ascii="Arial" w:cs="Arial" w:eastAsia="Arial" w:hAnsi="Arial"/>
          <w:sz w:val="16"/>
          <w:szCs w:val="16"/>
          <w:color w:val="auto"/>
        </w:rPr>
        <w:t>Under the Internal Revenue Code of 1986, as amended (the Code), a corporation is generally allowed a deduction for NOLs carried over from prior taxable years (NOL Carryforwards). As of December 31, 2017, we had available NOL Carryforwards of approximately $10.0 billion for regular federal income tax purposes that will expire, if unused, beginning in 2022, and approximately $3.4 billion for state income tax purposes that will expire, if unused, between 2018 and 2037. Our NOL Carryforwards are subject to adjustment on audit by the Internal Revenue Service and the respective state taxing authorities.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40"/>
          </w:cols>
          <w:pgMar w:left="240" w:top="729" w:right="219" w:bottom="1440" w:gutter="0" w:footer="0" w:header="0"/>
        </w:sectPr>
      </w:pPr>
    </w:p>
    <w:bookmarkStart w:id="91" w:name="page92"/>
    <w:bookmarkEnd w:id="91"/>
    <w:p>
      <w:pPr>
        <w:jc w:val="both"/>
        <w:ind w:firstLine="187"/>
        <w:spacing w:after="0" w:line="283" w:lineRule="auto"/>
        <w:rPr>
          <w:sz w:val="20"/>
          <w:szCs w:val="20"/>
          <w:color w:val="auto"/>
        </w:rPr>
      </w:pPr>
      <w:r>
        <w:rPr>
          <w:rFonts w:ascii="Arial" w:cs="Arial" w:eastAsia="Arial" w:hAnsi="Arial"/>
          <w:sz w:val="14"/>
          <w:szCs w:val="14"/>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2017)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304" w:lineRule="exact"/>
        <w:rPr>
          <w:sz w:val="20"/>
          <w:szCs w:val="20"/>
          <w:color w:val="auto"/>
        </w:rPr>
      </w:pPr>
    </w:p>
    <w:p>
      <w:pPr>
        <w:jc w:val="both"/>
        <w:ind w:firstLine="187"/>
        <w:spacing w:after="0" w:line="288" w:lineRule="auto"/>
        <w:rPr>
          <w:sz w:val="20"/>
          <w:szCs w:val="20"/>
          <w:color w:val="auto"/>
        </w:rPr>
      </w:pPr>
      <w:r>
        <w:rPr>
          <w:rFonts w:ascii="Arial" w:cs="Arial" w:eastAsia="Arial" w:hAnsi="Arial"/>
          <w:sz w:val="14"/>
          <w:szCs w:val="14"/>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10" w:lineRule="exact"/>
        <w:rPr>
          <w:sz w:val="20"/>
          <w:szCs w:val="20"/>
          <w:color w:val="auto"/>
        </w:rPr>
      </w:pPr>
    </w:p>
    <w:p>
      <w:pPr>
        <w:jc w:val="both"/>
        <w:ind w:right="20" w:firstLine="187"/>
        <w:spacing w:after="0" w:line="248" w:lineRule="auto"/>
        <w:rPr>
          <w:sz w:val="20"/>
          <w:szCs w:val="20"/>
          <w:color w:val="auto"/>
        </w:rPr>
      </w:pPr>
      <w:r>
        <w:rPr>
          <w:rFonts w:ascii="Arial" w:cs="Arial" w:eastAsia="Arial" w:hAnsi="Arial"/>
          <w:sz w:val="16"/>
          <w:szCs w:val="16"/>
          <w:color w:val="auto"/>
        </w:rPr>
        <w:t>Our ability to use our NOL Carryforwards also will depend on the amount of taxable income generated in future periods. The NOL Carryforwards may expire before we can generate sufficient taxable income to use them.</w:t>
      </w:r>
    </w:p>
    <w:p>
      <w:pPr>
        <w:spacing w:after="0" w:line="187"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7"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38" w:lineRule="exact"/>
        <w:rPr>
          <w:sz w:val="20"/>
          <w:szCs w:val="20"/>
          <w:color w:val="auto"/>
        </w:rPr>
      </w:pPr>
    </w:p>
    <w:p>
      <w:pPr>
        <w:jc w:val="both"/>
        <w:ind w:firstLine="187"/>
        <w:spacing w:after="0" w:line="245" w:lineRule="auto"/>
        <w:rPr>
          <w:sz w:val="20"/>
          <w:szCs w:val="20"/>
          <w:color w:val="auto"/>
        </w:rPr>
      </w:pPr>
      <w:r>
        <w:rPr>
          <w:rFonts w:ascii="Arial" w:cs="Arial" w:eastAsia="Arial" w:hAnsi="Arial"/>
          <w:sz w:val="16"/>
          <w:szCs w:val="16"/>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price of AAG common stock has recently been and may in the future be volatile.</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market price of AAG common stock may fluctuate substantially due to a variety of factors, many of which are beyond our control, including:</w:t>
      </w:r>
    </w:p>
    <w:p>
      <w:pPr>
        <w:spacing w:after="0" w:line="144" w:lineRule="exact"/>
        <w:rPr>
          <w:sz w:val="20"/>
          <w:szCs w:val="20"/>
          <w:color w:val="auto"/>
        </w:rPr>
      </w:pPr>
    </w:p>
    <w:p>
      <w:pPr>
        <w:ind w:left="1120" w:hanging="565"/>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AAG’s operating and financial results failing to meet the expectations of securities analysts or investors;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changes in financial estimates or recommendations by securities analysts;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material announcements by us or our competitors;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movements in fuel prices;</w:t>
      </w:r>
    </w:p>
    <w:p>
      <w:pPr>
        <w:spacing w:after="0" w:line="143"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new regulatory pronouncements and changes in regulatory guidelines;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40"/>
          </w:cols>
          <w:pgMar w:left="240" w:top="677" w:right="219" w:bottom="1440" w:gutter="0" w:footer="0" w:header="0"/>
        </w:sectPr>
      </w:pPr>
    </w:p>
    <w:bookmarkStart w:id="92" w:name="page93"/>
    <w:bookmarkEnd w:id="92"/>
    <w:p>
      <w:pPr>
        <w:ind w:left="1120" w:hanging="565"/>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general and industry-specific economic conditions;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our key personnel;</w:t>
      </w:r>
    </w:p>
    <w:p>
      <w:pPr>
        <w:spacing w:after="0" w:line="143"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distributions of shares of AAG common stock pursuant to the Plan, including distributions from the disputed claims reserve established under the plan of reorganization upon the resolution of the underlying claims;</w:t>
      </w:r>
    </w:p>
    <w:p>
      <w:pPr>
        <w:spacing w:after="0" w:line="134" w:lineRule="exact"/>
        <w:rPr>
          <w:rFonts w:ascii="Arial" w:cs="Arial" w:eastAsia="Arial" w:hAnsi="Arial"/>
          <w:sz w:val="16"/>
          <w:szCs w:val="16"/>
          <w:color w:val="auto"/>
        </w:rPr>
      </w:pPr>
    </w:p>
    <w:p>
      <w:pPr>
        <w:ind w:left="1120" w:hanging="565"/>
        <w:spacing w:after="0" w:line="248" w:lineRule="auto"/>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increases or decreases in reported holdings by insiders or other significant stockholders;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fluctuations in trading volume; and</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market values of airline companies as well as general market conditions.</w:t>
      </w:r>
    </w:p>
    <w:p>
      <w:pPr>
        <w:spacing w:after="0" w:line="196"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59"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Since July 2014, as part of our capital deployment program, our Board of Directors has approved seven share repurchase programs aggregating $13.0 billion of authority. As of June 30, 2018, there was $1.7 billion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Our repurchase of common stock may be limited, suspended or discontinued at any time without prior notice.</w:t>
      </w:r>
    </w:p>
    <w:p>
      <w:pPr>
        <w:spacing w:after="0" w:line="14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41"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In addition, any future repurchases of AAG common stock or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common stock or dividends will diminish our cash reserves, which may impact our ability to finance future growth and to pursue possible future strategic opportunities and acquisitions. Further, our repurchase of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193"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7"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36" w:lineRule="exact"/>
        <w:rPr>
          <w:sz w:val="20"/>
          <w:szCs w:val="20"/>
          <w:color w:val="auto"/>
        </w:rPr>
      </w:pPr>
    </w:p>
    <w:p>
      <w:pPr>
        <w:ind w:left="1120" w:hanging="565"/>
        <w:spacing w:after="0"/>
        <w:tabs>
          <w:tab w:leader="none" w:pos="11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advance notice procedures for stockholder proposals to be considered at stockholders’ meetings;</w:t>
      </w:r>
    </w:p>
    <w:p>
      <w:pPr>
        <w:spacing w:after="0" w:line="143" w:lineRule="exact"/>
        <w:rPr>
          <w:rFonts w:ascii="Arial" w:cs="Arial" w:eastAsia="Arial" w:hAnsi="Arial"/>
          <w:sz w:val="16"/>
          <w:szCs w:val="16"/>
          <w:color w:val="auto"/>
        </w:rPr>
      </w:pPr>
    </w:p>
    <w:p>
      <w:pPr>
        <w:ind w:left="1120" w:hanging="565"/>
        <w:spacing w:after="0"/>
        <w:tabs>
          <w:tab w:leader="none" w:pos="11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ability of our Board of Directors to fill vacancies on the board;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40"/>
          </w:cols>
          <w:pgMar w:left="240" w:top="677" w:right="219" w:bottom="1440" w:gutter="0" w:footer="0" w:header="0"/>
        </w:sectPr>
      </w:pPr>
    </w:p>
    <w:bookmarkStart w:id="93" w:name="page94"/>
    <w:bookmarkEnd w:id="93"/>
    <w:p>
      <w:pPr>
        <w:ind w:left="1120" w:hanging="565"/>
        <w:spacing w:after="0"/>
        <w:tabs>
          <w:tab w:leader="none" w:pos="11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prohibition against stockholders taking action by written consent;</w:t>
      </w:r>
    </w:p>
    <w:p>
      <w:pPr>
        <w:spacing w:after="0" w:line="143"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holders are restricted from calling a special meeting unless they hold at least 20% of our outstanding shares and follow the procedures provided for in the amended Bylaws;</w:t>
      </w:r>
    </w:p>
    <w:p>
      <w:pPr>
        <w:spacing w:after="0" w:line="134" w:lineRule="exact"/>
        <w:rPr>
          <w:rFonts w:ascii="Arial" w:cs="Arial" w:eastAsia="Arial" w:hAnsi="Arial"/>
          <w:sz w:val="16"/>
          <w:szCs w:val="16"/>
          <w:color w:val="auto"/>
        </w:rPr>
      </w:pPr>
    </w:p>
    <w:p>
      <w:pPr>
        <w:ind w:left="1120" w:right="20" w:hanging="565"/>
        <w:spacing w:after="0" w:line="248" w:lineRule="auto"/>
        <w:tabs>
          <w:tab w:leader="none" w:pos="11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requirement that holders of at least 80% of the voting power of the shares entitled to vote in the election of directors approve any amendment of our Bylaws submitted to stockholders for approval; and</w:t>
      </w:r>
    </w:p>
    <w:p>
      <w:pPr>
        <w:spacing w:after="0" w:line="134" w:lineRule="exact"/>
        <w:rPr>
          <w:rFonts w:ascii="Arial" w:cs="Arial" w:eastAsia="Arial" w:hAnsi="Arial"/>
          <w:sz w:val="16"/>
          <w:szCs w:val="16"/>
          <w:color w:val="auto"/>
        </w:rPr>
      </w:pPr>
    </w:p>
    <w:p>
      <w:pPr>
        <w:ind w:left="1120" w:hanging="565"/>
        <w:spacing w:after="0"/>
        <w:tabs>
          <w:tab w:leader="none" w:pos="11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super-majority voting requirements to modify or amend specified provisions of our Certificate of Incorporation.</w:t>
      </w:r>
    </w:p>
    <w:p>
      <w:pPr>
        <w:spacing w:after="0" w:line="144" w:lineRule="exact"/>
        <w:rPr>
          <w:sz w:val="20"/>
          <w:szCs w:val="20"/>
          <w:color w:val="auto"/>
        </w:rPr>
      </w:pPr>
    </w:p>
    <w:p>
      <w:pPr>
        <w:jc w:val="both"/>
        <w:ind w:firstLine="187"/>
        <w:spacing w:after="0" w:line="244" w:lineRule="auto"/>
        <w:rPr>
          <w:sz w:val="20"/>
          <w:szCs w:val="20"/>
          <w:color w:val="auto"/>
        </w:rPr>
      </w:pPr>
      <w:r>
        <w:rPr>
          <w:rFonts w:ascii="Arial" w:cs="Arial" w:eastAsia="Arial" w:hAnsi="Arial"/>
          <w:sz w:val="16"/>
          <w:szCs w:val="16"/>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91" w:lineRule="exact"/>
        <w:rPr>
          <w:sz w:val="20"/>
          <w:szCs w:val="20"/>
          <w:color w:val="auto"/>
        </w:rPr>
      </w:pPr>
    </w:p>
    <w:p>
      <w:pPr>
        <w:jc w:val="both"/>
        <w:ind w:firstLine="187"/>
        <w:spacing w:after="0" w:line="246" w:lineRule="auto"/>
        <w:rPr>
          <w:sz w:val="20"/>
          <w:szCs w:val="20"/>
          <w:color w:val="auto"/>
        </w:rPr>
      </w:pPr>
      <w:r>
        <w:rPr>
          <w:rFonts w:ascii="Arial" w:cs="Arial" w:eastAsia="Arial" w:hAnsi="Arial"/>
          <w:sz w:val="16"/>
          <w:szCs w:val="16"/>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June 30,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Total number of shares</w:t>
            </w:r>
          </w:p>
        </w:tc>
        <w:tc>
          <w:tcPr>
            <w:tcW w:w="2740" w:type="dxa"/>
            <w:vAlign w:val="bottom"/>
          </w:tcPr>
          <w:p>
            <w:pPr>
              <w:jc w:val="center"/>
              <w:spacing w:after="0"/>
              <w:rPr>
                <w:sz w:val="20"/>
                <w:szCs w:val="20"/>
                <w:color w:val="auto"/>
              </w:rPr>
            </w:pPr>
            <w:r>
              <w:rPr>
                <w:rFonts w:ascii="Arial" w:cs="Arial" w:eastAsia="Arial" w:hAnsi="Arial"/>
                <w:sz w:val="12"/>
                <w:szCs w:val="12"/>
                <w:b w:val="1"/>
                <w:bCs w:val="1"/>
                <w:color w:val="auto"/>
              </w:rPr>
              <w:t>Maximum dollar value of shares</w:t>
            </w: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purchased as part of</w:t>
            </w:r>
          </w:p>
        </w:tc>
        <w:tc>
          <w:tcPr>
            <w:tcW w:w="2740" w:type="dxa"/>
            <w:vAlign w:val="bottom"/>
          </w:tcPr>
          <w:p>
            <w:pPr>
              <w:jc w:val="center"/>
              <w:spacing w:after="0"/>
              <w:rPr>
                <w:sz w:val="20"/>
                <w:szCs w:val="20"/>
                <w:color w:val="auto"/>
              </w:rPr>
            </w:pPr>
            <w:r>
              <w:rPr>
                <w:rFonts w:ascii="Arial" w:cs="Arial" w:eastAsia="Arial" w:hAnsi="Arial"/>
                <w:sz w:val="12"/>
                <w:szCs w:val="12"/>
                <w:b w:val="1"/>
                <w:bCs w:val="1"/>
                <w:color w:val="auto"/>
              </w:rPr>
              <w:t>that may be purchased under</w:t>
            </w: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Total number of</w:t>
            </w:r>
          </w:p>
        </w:tc>
        <w:tc>
          <w:tcPr>
            <w:tcW w:w="1700" w:type="dxa"/>
            <w:vAlign w:val="bottom"/>
            <w:gridSpan w:val="2"/>
          </w:tcPr>
          <w:p>
            <w:pPr>
              <w:ind w:left="380"/>
              <w:spacing w:after="0"/>
              <w:rPr>
                <w:sz w:val="20"/>
                <w:szCs w:val="20"/>
                <w:color w:val="auto"/>
              </w:rPr>
            </w:pPr>
            <w:r>
              <w:rPr>
                <w:rFonts w:ascii="Arial" w:cs="Arial" w:eastAsia="Arial" w:hAnsi="Arial"/>
                <w:sz w:val="12"/>
                <w:szCs w:val="12"/>
                <w:b w:val="1"/>
                <w:bCs w:val="1"/>
                <w:color w:val="auto"/>
              </w:rPr>
              <w:t>Average price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publicly announced</w:t>
            </w:r>
          </w:p>
        </w:tc>
        <w:tc>
          <w:tcPr>
            <w:tcW w:w="2740" w:type="dxa"/>
            <w:vAlign w:val="bottom"/>
          </w:tcPr>
          <w:p>
            <w:pPr>
              <w:jc w:val="center"/>
              <w:spacing w:after="0"/>
              <w:rPr>
                <w:sz w:val="20"/>
                <w:szCs w:val="20"/>
                <w:color w:val="auto"/>
              </w:rPr>
            </w:pPr>
            <w:r>
              <w:rPr>
                <w:rFonts w:ascii="Arial" w:cs="Arial" w:eastAsia="Arial" w:hAnsi="Arial"/>
                <w:sz w:val="12"/>
                <w:szCs w:val="12"/>
                <w:b w:val="1"/>
                <w:bCs w:val="1"/>
                <w:color w:val="auto"/>
              </w:rPr>
              <w:t>the plan or program</w:t>
            </w:r>
          </w:p>
        </w:tc>
      </w:tr>
      <w:tr>
        <w:trPr>
          <w:trHeight w:val="168"/>
        </w:trPr>
        <w:tc>
          <w:tcPr>
            <w:tcW w:w="3100" w:type="dxa"/>
            <w:vAlign w:val="bottom"/>
            <w:tcBorders>
              <w:bottom w:val="single" w:sz="8" w:color="auto"/>
            </w:tcBorders>
          </w:tcPr>
          <w:p>
            <w:pPr>
              <w:ind w:left="1120"/>
              <w:spacing w:after="0"/>
              <w:rPr>
                <w:sz w:val="20"/>
                <w:szCs w:val="20"/>
                <w:color w:val="auto"/>
              </w:rPr>
            </w:pPr>
            <w:r>
              <w:rPr>
                <w:rFonts w:ascii="Arial" w:cs="Arial" w:eastAsia="Arial" w:hAnsi="Arial"/>
                <w:sz w:val="12"/>
                <w:szCs w:val="12"/>
                <w:b w:val="1"/>
                <w:bCs w:val="1"/>
                <w:color w:val="auto"/>
              </w:rPr>
              <w:t>Period</w:t>
            </w: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shares purchased</w:t>
            </w: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paid per share</w:t>
            </w:r>
          </w:p>
        </w:tc>
        <w:tc>
          <w:tcPr>
            <w:tcW w:w="10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plan or program</w:t>
            </w:r>
          </w:p>
        </w:tc>
        <w:tc>
          <w:tcPr>
            <w:tcW w:w="10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millions)</w:t>
            </w:r>
          </w:p>
        </w:tc>
      </w:tr>
      <w:tr>
        <w:trPr>
          <w:trHeight w:val="21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2018</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637,201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$43.15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637,201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$1,973</w:t>
            </w:r>
          </w:p>
        </w:tc>
      </w:tr>
      <w:tr>
        <w:trPr>
          <w:trHeight w:val="228"/>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May 2018</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7,537,806</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$42.79</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5"/>
              </w:rPr>
              <w:t>7,537,806</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8"/>
              </w:rPr>
              <w:t>$1,650</w:t>
            </w:r>
          </w:p>
        </w:tc>
      </w:tr>
      <w:tr>
        <w:trPr>
          <w:trHeight w:val="24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2018</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$1,650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91" w:lineRule="exact"/>
        <w:rPr>
          <w:sz w:val="20"/>
          <w:szCs w:val="20"/>
          <w:color w:val="auto"/>
        </w:rPr>
      </w:pPr>
    </w:p>
    <w:p>
      <w:pPr>
        <w:jc w:val="both"/>
        <w:ind w:right="20" w:firstLine="187"/>
        <w:spacing w:after="0" w:line="246" w:lineRule="auto"/>
        <w:rPr>
          <w:sz w:val="20"/>
          <w:szCs w:val="20"/>
          <w:color w:val="auto"/>
        </w:rPr>
      </w:pPr>
      <w:r>
        <w:rPr>
          <w:rFonts w:ascii="Arial" w:cs="Arial" w:eastAsia="Arial" w:hAnsi="Arial"/>
          <w:sz w:val="16"/>
          <w:szCs w:val="16"/>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0" w:type="dxa"/>
            <w:vAlign w:val="bottom"/>
          </w:tcPr>
          <w:p>
            <w:pPr>
              <w:jc w:val="right"/>
              <w:ind w:right="188"/>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920" w:type="dxa"/>
            <w:vAlign w:val="bottom"/>
          </w:tcPr>
          <w:p>
            <w:pPr>
              <w:jc w:val="right"/>
              <w:ind w:right="148"/>
              <w:spacing w:after="0"/>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580" w:type="dxa"/>
            <w:vAlign w:val="bottom"/>
            <w:gridSpan w:val="6"/>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920" w:type="dxa"/>
            <w:vAlign w:val="bottom"/>
          </w:tcPr>
          <w:p>
            <w:pPr>
              <w:jc w:val="right"/>
              <w:ind w:right="608"/>
              <w:spacing w:after="0"/>
              <w:rPr>
                <w:sz w:val="20"/>
                <w:szCs w:val="20"/>
                <w:color w:val="auto"/>
              </w:rPr>
            </w:pPr>
            <w:r>
              <w:rPr>
                <w:rFonts w:ascii="Arial" w:cs="Arial" w:eastAsia="Arial" w:hAnsi="Arial"/>
                <w:sz w:val="16"/>
                <w:szCs w:val="16"/>
                <w:color w:val="auto"/>
                <w:w w:val="98"/>
              </w:rPr>
              <w:t>3.1</w:t>
            </w:r>
          </w:p>
        </w:tc>
        <w:tc>
          <w:tcPr>
            <w:tcW w:w="20" w:type="dxa"/>
            <w:vAlign w:val="bottom"/>
          </w:tcPr>
          <w:p>
            <w:pPr>
              <w:spacing w:after="0"/>
              <w:rPr>
                <w:sz w:val="23"/>
                <w:szCs w:val="23"/>
                <w:color w:val="auto"/>
              </w:rPr>
            </w:pPr>
          </w:p>
        </w:tc>
        <w:tc>
          <w:tcPr>
            <w:tcW w:w="10480" w:type="dxa"/>
            <w:vAlign w:val="bottom"/>
            <w:gridSpan w:val="7"/>
          </w:tcPr>
          <w:p>
            <w:pPr>
              <w:spacing w:after="0"/>
              <w:rPr>
                <w:rFonts w:ascii="Arial" w:cs="Arial" w:eastAsia="Arial" w:hAnsi="Arial"/>
                <w:sz w:val="16"/>
                <w:szCs w:val="16"/>
                <w:color w:val="0000FF"/>
                <w:w w:val="99"/>
              </w:rPr>
            </w:pPr>
            <w:hyperlink r:id="rId141">
              <w:r>
                <w:rPr>
                  <w:rFonts w:ascii="Arial" w:cs="Arial" w:eastAsia="Arial" w:hAnsi="Arial"/>
                  <w:sz w:val="16"/>
                  <w:szCs w:val="16"/>
                  <w:color w:val="0000FF"/>
                  <w:w w:val="99"/>
                </w:rPr>
                <w:t>Restated Certificate of Incorporation of American Airlines Group Inc., including the Certificate of Designations, Powers, Preferences and Rights of the</w:t>
              </w:r>
            </w:hyperlink>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8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r:id="rId141">
              <w:r>
                <w:rPr>
                  <w:rFonts w:ascii="Arial" w:cs="Arial" w:eastAsia="Arial" w:hAnsi="Arial"/>
                  <w:sz w:val="16"/>
                  <w:szCs w:val="16"/>
                  <w:color w:val="0000FF"/>
                </w:rPr>
                <w:t>American Airlines Group Inc. Series A Convertible Preferred Stock attached as Annex I thereto (incorporated by reference to Exhibit 3.1 to AAG’s</w:t>
              </w:r>
            </w:hyperlink>
          </w:p>
        </w:tc>
      </w:tr>
      <w:tr>
        <w:trPr>
          <w:trHeight w:val="155"/>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80" w:type="dxa"/>
            <w:vAlign w:val="bottom"/>
            <w:gridSpan w:val="7"/>
          </w:tcPr>
          <w:p>
            <w:pPr>
              <w:spacing w:after="0" w:line="155" w:lineRule="exact"/>
              <w:rPr>
                <w:rFonts w:ascii="Arial" w:cs="Arial" w:eastAsia="Arial" w:hAnsi="Arial"/>
                <w:sz w:val="16"/>
                <w:szCs w:val="16"/>
                <w:color w:val="0000FF"/>
              </w:rPr>
            </w:pPr>
            <w:hyperlink r:id="rId141">
              <w:r>
                <w:rPr>
                  <w:rFonts w:ascii="Arial" w:cs="Arial" w:eastAsia="Arial" w:hAnsi="Arial"/>
                  <w:sz w:val="16"/>
                  <w:szCs w:val="16"/>
                  <w:color w:val="0000FF"/>
                </w:rPr>
                <w:t>Current Report on Form 8-K filed on December 9, 2013 (Commission File No. 1-8400)).</w:t>
              </w:r>
            </w:hyperlink>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jc w:val="right"/>
              <w:ind w:right="608"/>
              <w:spacing w:after="0"/>
              <w:rPr>
                <w:sz w:val="20"/>
                <w:szCs w:val="20"/>
                <w:color w:val="auto"/>
              </w:rPr>
            </w:pPr>
            <w:r>
              <w:rPr>
                <w:rFonts w:ascii="Arial" w:cs="Arial" w:eastAsia="Arial" w:hAnsi="Arial"/>
                <w:sz w:val="16"/>
                <w:szCs w:val="16"/>
                <w:color w:val="auto"/>
                <w:w w:val="98"/>
              </w:rPr>
              <w:t>3.2</w:t>
            </w:r>
          </w:p>
        </w:tc>
        <w:tc>
          <w:tcPr>
            <w:tcW w:w="20" w:type="dxa"/>
            <w:vAlign w:val="bottom"/>
          </w:tcPr>
          <w:p>
            <w:pPr>
              <w:spacing w:after="0"/>
              <w:rPr>
                <w:sz w:val="17"/>
                <w:szCs w:val="17"/>
                <w:color w:val="auto"/>
              </w:rPr>
            </w:pPr>
          </w:p>
        </w:tc>
        <w:tc>
          <w:tcPr>
            <w:tcW w:w="10480" w:type="dxa"/>
            <w:vAlign w:val="bottom"/>
            <w:tcBorders>
              <w:bottom w:val="single" w:sz="8" w:color="0000FF"/>
            </w:tcBorders>
            <w:gridSpan w:val="7"/>
          </w:tcPr>
          <w:p>
            <w:pPr>
              <w:spacing w:after="0"/>
              <w:rPr>
                <w:rFonts w:ascii="Arial" w:cs="Arial" w:eastAsia="Arial" w:hAnsi="Arial"/>
                <w:sz w:val="16"/>
                <w:szCs w:val="16"/>
                <w:color w:val="0000FF"/>
                <w:w w:val="98"/>
              </w:rPr>
            </w:pPr>
            <w:hyperlink r:id="rId142">
              <w:r>
                <w:rPr>
                  <w:rFonts w:ascii="Arial" w:cs="Arial" w:eastAsia="Arial" w:hAnsi="Arial"/>
                  <w:sz w:val="16"/>
                  <w:szCs w:val="16"/>
                  <w:color w:val="0000FF"/>
                  <w:w w:val="98"/>
                </w:rPr>
                <w:t>Certificate of Amendment of Restated Certificate of Incorporation of American Airlines Group Inc. (incorporated by reference to Exhibit 3.1 to American</w:t>
              </w:r>
            </w:hyperlink>
          </w:p>
        </w:tc>
      </w:tr>
      <w:tr>
        <w:trPr>
          <w:trHeight w:val="155"/>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80" w:type="dxa"/>
            <w:vAlign w:val="bottom"/>
            <w:gridSpan w:val="7"/>
          </w:tcPr>
          <w:p>
            <w:pPr>
              <w:spacing w:after="0" w:line="155" w:lineRule="exact"/>
              <w:rPr>
                <w:rFonts w:ascii="Arial" w:cs="Arial" w:eastAsia="Arial" w:hAnsi="Arial"/>
                <w:sz w:val="16"/>
                <w:szCs w:val="16"/>
                <w:color w:val="0000FF"/>
              </w:rPr>
            </w:pPr>
            <w:hyperlink r:id="rId142">
              <w:r>
                <w:rPr>
                  <w:rFonts w:ascii="Arial" w:cs="Arial" w:eastAsia="Arial" w:hAnsi="Arial"/>
                  <w:sz w:val="16"/>
                  <w:szCs w:val="16"/>
                  <w:color w:val="0000FF"/>
                </w:rPr>
                <w:t>Airlines Group Inc.’s Current Report on Form 8-K filed on June 13, 2018 (Commission File No. 1-8400)).</w:t>
              </w:r>
            </w:hyperlink>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jc w:val="right"/>
              <w:ind w:right="608"/>
              <w:spacing w:after="0"/>
              <w:rPr>
                <w:sz w:val="20"/>
                <w:szCs w:val="20"/>
                <w:color w:val="auto"/>
              </w:rPr>
            </w:pPr>
            <w:r>
              <w:rPr>
                <w:rFonts w:ascii="Arial" w:cs="Arial" w:eastAsia="Arial" w:hAnsi="Arial"/>
                <w:sz w:val="16"/>
                <w:szCs w:val="16"/>
                <w:color w:val="auto"/>
                <w:w w:val="98"/>
              </w:rPr>
              <w:t>3.3</w:t>
            </w:r>
          </w:p>
        </w:tc>
        <w:tc>
          <w:tcPr>
            <w:tcW w:w="20" w:type="dxa"/>
            <w:vAlign w:val="bottom"/>
          </w:tcPr>
          <w:p>
            <w:pPr>
              <w:spacing w:after="0"/>
              <w:rPr>
                <w:sz w:val="17"/>
                <w:szCs w:val="17"/>
                <w:color w:val="auto"/>
              </w:rPr>
            </w:pPr>
          </w:p>
        </w:tc>
        <w:tc>
          <w:tcPr>
            <w:tcW w:w="10480" w:type="dxa"/>
            <w:vAlign w:val="bottom"/>
            <w:gridSpan w:val="7"/>
          </w:tcPr>
          <w:p>
            <w:pPr>
              <w:spacing w:after="0"/>
              <w:rPr>
                <w:rFonts w:ascii="Arial" w:cs="Arial" w:eastAsia="Arial" w:hAnsi="Arial"/>
                <w:sz w:val="16"/>
                <w:szCs w:val="16"/>
                <w:color w:val="0000FF"/>
                <w:w w:val="97"/>
              </w:rPr>
            </w:pPr>
            <w:hyperlink r:id="rId143">
              <w:r>
                <w:rPr>
                  <w:rFonts w:ascii="Arial" w:cs="Arial" w:eastAsia="Arial" w:hAnsi="Arial"/>
                  <w:sz w:val="16"/>
                  <w:szCs w:val="16"/>
                  <w:color w:val="0000FF"/>
                  <w:w w:val="97"/>
                </w:rPr>
                <w:t>Third Amended and Restated Bylaws of American Airlines Group Inc. (incorporated by reference to Exhibit 3.2 to American Airlines Group Inc.’s Current</w:t>
              </w:r>
            </w:hyperlink>
          </w:p>
        </w:tc>
      </w:tr>
      <w:tr>
        <w:trPr>
          <w:trHeight w:val="155"/>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60" w:type="dxa"/>
            <w:vAlign w:val="bottom"/>
            <w:tcBorders>
              <w:top w:val="single" w:sz="8" w:color="0000FF"/>
            </w:tcBorders>
            <w:gridSpan w:val="6"/>
          </w:tcPr>
          <w:p>
            <w:pPr>
              <w:spacing w:after="0" w:line="155" w:lineRule="exact"/>
              <w:rPr>
                <w:rFonts w:ascii="Arial" w:cs="Arial" w:eastAsia="Arial" w:hAnsi="Arial"/>
                <w:sz w:val="16"/>
                <w:szCs w:val="16"/>
                <w:color w:val="0000FF"/>
              </w:rPr>
            </w:pPr>
            <w:hyperlink r:id="rId143">
              <w:r>
                <w:rPr>
                  <w:rFonts w:ascii="Arial" w:cs="Arial" w:eastAsia="Arial" w:hAnsi="Arial"/>
                  <w:sz w:val="16"/>
                  <w:szCs w:val="16"/>
                  <w:color w:val="0000FF"/>
                </w:rPr>
                <w:t>Report on Form 8-K filed on June 13, 2018 (Commission File No. 1-8400)).</w:t>
              </w:r>
            </w:hyperlink>
          </w:p>
        </w:tc>
        <w:tc>
          <w:tcPr>
            <w:tcW w:w="20" w:type="dxa"/>
            <w:vAlign w:val="bottom"/>
          </w:tcPr>
          <w:p>
            <w:pPr>
              <w:spacing w:after="0"/>
              <w:rPr>
                <w:sz w:val="13"/>
                <w:szCs w:val="13"/>
                <w:color w:val="auto"/>
              </w:rPr>
            </w:pPr>
          </w:p>
        </w:tc>
      </w:tr>
      <w:tr>
        <w:trPr>
          <w:trHeight w:val="56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top w:val="single" w:sz="8" w:color="0000FF"/>
            </w:tcBorders>
          </w:tcPr>
          <w:p>
            <w:pPr>
              <w:ind w:left="4680"/>
              <w:spacing w:after="0"/>
              <w:rPr>
                <w:sz w:val="20"/>
                <w:szCs w:val="20"/>
                <w:color w:val="auto"/>
              </w:rPr>
            </w:pPr>
            <w:r>
              <w:rPr>
                <w:rFonts w:ascii="Arial" w:cs="Arial" w:eastAsia="Arial" w:hAnsi="Arial"/>
                <w:sz w:val="16"/>
                <w:szCs w:val="16"/>
                <w:color w:val="auto"/>
              </w:rPr>
              <w:t>93</w:t>
            </w: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677" w:right="2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4.1</w:t>
            </w:r>
          </w:p>
        </w:tc>
        <w:tc>
          <w:tcPr>
            <w:tcW w:w="10480" w:type="dxa"/>
            <w:vAlign w:val="bottom"/>
            <w:tcBorders>
              <w:bottom w:val="single" w:sz="8" w:color="0000FF"/>
            </w:tcBorders>
            <w:gridSpan w:val="29"/>
          </w:tcPr>
          <w:p>
            <w:pPr>
              <w:spacing w:after="0"/>
              <w:rPr>
                <w:rFonts w:ascii="Arial" w:cs="Arial" w:eastAsia="Arial" w:hAnsi="Arial"/>
                <w:sz w:val="16"/>
                <w:szCs w:val="16"/>
                <w:color w:val="0000FF"/>
                <w:w w:val="97"/>
              </w:rPr>
            </w:pPr>
            <w:hyperlink r:id="rId144">
              <w:r>
                <w:rPr>
                  <w:rFonts w:ascii="Arial" w:cs="Arial" w:eastAsia="Arial" w:hAnsi="Arial"/>
                  <w:sz w:val="16"/>
                  <w:szCs w:val="16"/>
                  <w:color w:val="0000FF"/>
                  <w:w w:val="97"/>
                </w:rPr>
                <w:t>Trust Supplement No. 2012-2C(R), dated as of May 15, 2018, between American Airlines, Inc. and Wilmington Trust Company, as Trustee, to the Pass</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rPr>
            </w:pPr>
            <w:hyperlink r:id="rId144">
              <w:r>
                <w:rPr>
                  <w:rFonts w:ascii="Arial" w:cs="Arial" w:eastAsia="Arial" w:hAnsi="Arial"/>
                  <w:sz w:val="16"/>
                  <w:szCs w:val="16"/>
                  <w:color w:val="0000FF"/>
                </w:rPr>
                <w:t>Through Trust Agreement, dated as of September 16, 2014 (incorporated by reference to Exhibit 4.2 to American Airlines, Inc.’s Current Report on</w:t>
              </w:r>
            </w:hyperlink>
          </w:p>
        </w:tc>
      </w:tr>
      <w:tr>
        <w:trPr>
          <w:trHeight w:val="155"/>
        </w:trPr>
        <w:tc>
          <w:tcPr>
            <w:tcW w:w="920" w:type="dxa"/>
            <w:vAlign w:val="bottom"/>
          </w:tcPr>
          <w:p>
            <w:pPr>
              <w:spacing w:after="0"/>
              <w:rPr>
                <w:sz w:val="13"/>
                <w:szCs w:val="13"/>
                <w:color w:val="auto"/>
              </w:rPr>
            </w:pPr>
          </w:p>
        </w:tc>
        <w:tc>
          <w:tcPr>
            <w:tcW w:w="4400" w:type="dxa"/>
            <w:vAlign w:val="bottom"/>
            <w:tcBorders>
              <w:bottom w:val="single" w:sz="8" w:color="0000FF"/>
            </w:tcBorders>
            <w:gridSpan w:val="6"/>
          </w:tcPr>
          <w:p>
            <w:pPr>
              <w:spacing w:after="0" w:line="155" w:lineRule="exact"/>
              <w:rPr>
                <w:rFonts w:ascii="Arial" w:cs="Arial" w:eastAsia="Arial" w:hAnsi="Arial"/>
                <w:sz w:val="16"/>
                <w:szCs w:val="16"/>
                <w:color w:val="0000FF"/>
                <w:w w:val="97"/>
              </w:rPr>
            </w:pPr>
            <w:hyperlink r:id="rId144">
              <w:r>
                <w:rPr>
                  <w:rFonts w:ascii="Arial" w:cs="Arial" w:eastAsia="Arial" w:hAnsi="Arial"/>
                  <w:sz w:val="16"/>
                  <w:szCs w:val="16"/>
                  <w:color w:val="0000FF"/>
                  <w:w w:val="97"/>
                </w:rPr>
                <w:t>Form 8-K filed on May 16, 2018 (Commission File No. 1-2691)).</w:t>
              </w:r>
            </w:hyperlink>
          </w:p>
        </w:tc>
        <w:tc>
          <w:tcPr>
            <w:tcW w:w="6080" w:type="dxa"/>
            <w:vAlign w:val="bottom"/>
            <w:gridSpan w:val="23"/>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4.2</w:t>
            </w:r>
          </w:p>
        </w:tc>
        <w:tc>
          <w:tcPr>
            <w:tcW w:w="10480" w:type="dxa"/>
            <w:vAlign w:val="bottom"/>
            <w:tcBorders>
              <w:bottom w:val="single" w:sz="8" w:color="0000FF"/>
            </w:tcBorders>
            <w:gridSpan w:val="2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Form of Amendment No. 2 to Intercreditor Agreement (2012-2C(R)) among Wilmington Trust Company, not in its individual capacity but solely as</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Trustee of the American Airlines, Inc. Pass Through Trust 2012-2C(R), American Airlines, Inc. and Wilmington Trust Company, not in its individual</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w w:val="97"/>
              </w:rPr>
            </w:pPr>
            <w:hyperlink r:id="rId145">
              <w:r>
                <w:rPr>
                  <w:rFonts w:ascii="Arial" w:cs="Arial" w:eastAsia="Arial" w:hAnsi="Arial"/>
                  <w:sz w:val="16"/>
                  <w:szCs w:val="16"/>
                  <w:color w:val="0000FF"/>
                  <w:w w:val="97"/>
                </w:rPr>
                <w:t>capacity but solely as Subordination Agent and Trustee (incorporated by reference to Exhibit C to Exhibit 4.6 to American Airlines, Inc.’s Current Report</w:t>
              </w:r>
            </w:hyperlink>
          </w:p>
        </w:tc>
      </w:tr>
      <w:tr>
        <w:trPr>
          <w:trHeight w:val="155"/>
        </w:trPr>
        <w:tc>
          <w:tcPr>
            <w:tcW w:w="920" w:type="dxa"/>
            <w:vAlign w:val="bottom"/>
          </w:tcPr>
          <w:p>
            <w:pPr>
              <w:spacing w:after="0"/>
              <w:rPr>
                <w:sz w:val="13"/>
                <w:szCs w:val="13"/>
                <w:color w:val="auto"/>
              </w:rPr>
            </w:pPr>
          </w:p>
        </w:tc>
        <w:tc>
          <w:tcPr>
            <w:tcW w:w="4620" w:type="dxa"/>
            <w:vAlign w:val="bottom"/>
            <w:tcBorders>
              <w:bottom w:val="single" w:sz="8" w:color="0000FF"/>
            </w:tcBorders>
            <w:gridSpan w:val="7"/>
          </w:tcPr>
          <w:p>
            <w:pPr>
              <w:spacing w:after="0" w:line="155" w:lineRule="exact"/>
              <w:rPr>
                <w:rFonts w:ascii="Arial" w:cs="Arial" w:eastAsia="Arial" w:hAnsi="Arial"/>
                <w:sz w:val="16"/>
                <w:szCs w:val="16"/>
                <w:color w:val="0000FF"/>
                <w:w w:val="97"/>
              </w:rPr>
            </w:pPr>
            <w:hyperlink r:id="rId145">
              <w:r>
                <w:rPr>
                  <w:rFonts w:ascii="Arial" w:cs="Arial" w:eastAsia="Arial" w:hAnsi="Arial"/>
                  <w:sz w:val="16"/>
                  <w:szCs w:val="16"/>
                  <w:color w:val="0000FF"/>
                  <w:w w:val="97"/>
                </w:rPr>
                <w:t>on Form 8-K filed on May 16, 2018 (Commission File No. 1-2691)).</w:t>
              </w:r>
            </w:hyperlink>
          </w:p>
        </w:tc>
        <w:tc>
          <w:tcPr>
            <w:tcW w:w="5860" w:type="dxa"/>
            <w:vAlign w:val="bottom"/>
            <w:gridSpan w:val="22"/>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4.3</w:t>
            </w:r>
          </w:p>
        </w:tc>
        <w:tc>
          <w:tcPr>
            <w:tcW w:w="10480" w:type="dxa"/>
            <w:vAlign w:val="bottom"/>
            <w:tcBorders>
              <w:bottom w:val="single" w:sz="8" w:color="0000FF"/>
            </w:tcBorders>
            <w:gridSpan w:val="29"/>
          </w:tcPr>
          <w:p>
            <w:pPr>
              <w:spacing w:after="0"/>
              <w:rPr>
                <w:rFonts w:ascii="Arial" w:cs="Arial" w:eastAsia="Arial" w:hAnsi="Arial"/>
                <w:sz w:val="16"/>
                <w:szCs w:val="16"/>
                <w:color w:val="0000FF"/>
                <w:w w:val="97"/>
              </w:rPr>
            </w:pPr>
            <w:hyperlink r:id="rId146">
              <w:r>
                <w:rPr>
                  <w:rFonts w:ascii="Arial" w:cs="Arial" w:eastAsia="Arial" w:hAnsi="Arial"/>
                  <w:sz w:val="16"/>
                  <w:szCs w:val="16"/>
                  <w:color w:val="0000FF"/>
                  <w:w w:val="97"/>
                </w:rPr>
                <w:t>Deposit Agreement (Class C(R)), dated as of May 15, 2018, between Wilmington Trust, National Association, as Escrow Agent, and Natixis S.A., acting</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w w:val="99"/>
              </w:rPr>
            </w:pPr>
            <w:hyperlink r:id="rId146">
              <w:r>
                <w:rPr>
                  <w:rFonts w:ascii="Arial" w:cs="Arial" w:eastAsia="Arial" w:hAnsi="Arial"/>
                  <w:sz w:val="16"/>
                  <w:szCs w:val="16"/>
                  <w:color w:val="0000FF"/>
                  <w:w w:val="99"/>
                </w:rPr>
                <w:t>through its New York Branch, as Depositary (incorporated by reference to Exhibit 4.4 to American Airlines, Inc.’s Current Report on Form 8-K filed on</w:t>
              </w:r>
            </w:hyperlink>
          </w:p>
        </w:tc>
      </w:tr>
      <w:tr>
        <w:trPr>
          <w:trHeight w:val="155"/>
        </w:trPr>
        <w:tc>
          <w:tcPr>
            <w:tcW w:w="920" w:type="dxa"/>
            <w:vAlign w:val="bottom"/>
          </w:tcPr>
          <w:p>
            <w:pPr>
              <w:spacing w:after="0"/>
              <w:rPr>
                <w:sz w:val="13"/>
                <w:szCs w:val="13"/>
                <w:color w:val="auto"/>
              </w:rPr>
            </w:pPr>
          </w:p>
        </w:tc>
        <w:tc>
          <w:tcPr>
            <w:tcW w:w="3200" w:type="dxa"/>
            <w:vAlign w:val="bottom"/>
            <w:tcBorders>
              <w:bottom w:val="single" w:sz="8" w:color="0000FF"/>
            </w:tcBorders>
            <w:gridSpan w:val="5"/>
          </w:tcPr>
          <w:p>
            <w:pPr>
              <w:spacing w:after="0" w:line="155" w:lineRule="exact"/>
              <w:rPr>
                <w:rFonts w:ascii="Arial" w:cs="Arial" w:eastAsia="Arial" w:hAnsi="Arial"/>
                <w:sz w:val="16"/>
                <w:szCs w:val="16"/>
                <w:color w:val="0000FF"/>
                <w:w w:val="96"/>
              </w:rPr>
            </w:pPr>
            <w:hyperlink r:id="rId146">
              <w:r>
                <w:rPr>
                  <w:rFonts w:ascii="Arial" w:cs="Arial" w:eastAsia="Arial" w:hAnsi="Arial"/>
                  <w:sz w:val="16"/>
                  <w:szCs w:val="16"/>
                  <w:color w:val="0000FF"/>
                  <w:w w:val="96"/>
                </w:rPr>
                <w:t>May 16, 2018 (Commission File No. 1- 2691)).</w:t>
              </w:r>
            </w:hyperlink>
          </w:p>
        </w:tc>
        <w:tc>
          <w:tcPr>
            <w:tcW w:w="7280" w:type="dxa"/>
            <w:vAlign w:val="bottom"/>
            <w:gridSpan w:val="24"/>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4.4</w:t>
            </w:r>
          </w:p>
        </w:tc>
        <w:tc>
          <w:tcPr>
            <w:tcW w:w="10480" w:type="dxa"/>
            <w:vAlign w:val="bottom"/>
            <w:tcBorders>
              <w:bottom w:val="single" w:sz="8" w:color="0000FF"/>
            </w:tcBorders>
            <w:gridSpan w:val="29"/>
          </w:tcPr>
          <w:p>
            <w:pPr>
              <w:spacing w:after="0"/>
              <w:rPr>
                <w:rFonts w:ascii="Arial" w:cs="Arial" w:eastAsia="Arial" w:hAnsi="Arial"/>
                <w:sz w:val="16"/>
                <w:szCs w:val="16"/>
                <w:color w:val="0000FF"/>
              </w:rPr>
            </w:pPr>
            <w:hyperlink r:id="rId147">
              <w:r>
                <w:rPr>
                  <w:rFonts w:ascii="Arial" w:cs="Arial" w:eastAsia="Arial" w:hAnsi="Arial"/>
                  <w:sz w:val="16"/>
                  <w:szCs w:val="16"/>
                  <w:color w:val="0000FF"/>
                </w:rPr>
                <w:t>Escrow and Paying Agent Agreement (Class C(R)), dated as of May 15, 2018, among Wilmington Trust, National Association, as Escrow Agent,</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w w:val="97"/>
              </w:rPr>
            </w:pPr>
            <w:hyperlink r:id="rId147">
              <w:r>
                <w:rPr>
                  <w:rFonts w:ascii="Arial" w:cs="Arial" w:eastAsia="Arial" w:hAnsi="Arial"/>
                  <w:sz w:val="16"/>
                  <w:szCs w:val="16"/>
                  <w:color w:val="0000FF"/>
                  <w:w w:val="97"/>
                </w:rPr>
                <w:t>Deutsche Bank Securities Inc., as Underwriter, Wilmington Trust Company, not in its individual capacity, but solely as Pass Through Trustee for and on</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rPr>
            </w:pPr>
            <w:hyperlink r:id="rId147">
              <w:r>
                <w:rPr>
                  <w:rFonts w:ascii="Arial" w:cs="Arial" w:eastAsia="Arial" w:hAnsi="Arial"/>
                  <w:sz w:val="16"/>
                  <w:szCs w:val="16"/>
                  <w:color w:val="0000FF"/>
                </w:rPr>
                <w:t>behalf of American Airlines, Inc. Pass Through Trust 2012-2C(R), and Wilmington Trust Company, as Paying Agent (incorporated by reference to</w:t>
              </w:r>
            </w:hyperlink>
          </w:p>
        </w:tc>
      </w:tr>
      <w:tr>
        <w:trPr>
          <w:trHeight w:val="155"/>
        </w:trPr>
        <w:tc>
          <w:tcPr>
            <w:tcW w:w="920" w:type="dxa"/>
            <w:vAlign w:val="bottom"/>
          </w:tcPr>
          <w:p>
            <w:pPr>
              <w:spacing w:after="0"/>
              <w:rPr>
                <w:sz w:val="13"/>
                <w:szCs w:val="13"/>
                <w:color w:val="auto"/>
              </w:rPr>
            </w:pPr>
          </w:p>
        </w:tc>
        <w:tc>
          <w:tcPr>
            <w:tcW w:w="8380" w:type="dxa"/>
            <w:vAlign w:val="bottom"/>
            <w:tcBorders>
              <w:bottom w:val="single" w:sz="8" w:color="0000FF"/>
            </w:tcBorders>
            <w:gridSpan w:val="16"/>
          </w:tcPr>
          <w:p>
            <w:pPr>
              <w:spacing w:after="0" w:line="155" w:lineRule="exact"/>
              <w:rPr>
                <w:rFonts w:ascii="Arial" w:cs="Arial" w:eastAsia="Arial" w:hAnsi="Arial"/>
                <w:sz w:val="16"/>
                <w:szCs w:val="16"/>
                <w:color w:val="0000FF"/>
                <w:w w:val="97"/>
              </w:rPr>
            </w:pPr>
            <w:hyperlink r:id="rId147">
              <w:r>
                <w:rPr>
                  <w:rFonts w:ascii="Arial" w:cs="Arial" w:eastAsia="Arial" w:hAnsi="Arial"/>
                  <w:sz w:val="16"/>
                  <w:szCs w:val="16"/>
                  <w:color w:val="0000FF"/>
                  <w:w w:val="97"/>
                </w:rPr>
                <w:t>Exhibit 4.5 to American Airlines, Inc.’s Current Report on Form 8-K filed on May 16, 2018 (Commission File No. 1- 2691)).</w:t>
              </w:r>
            </w:hyperlink>
          </w:p>
        </w:tc>
        <w:tc>
          <w:tcPr>
            <w:tcW w:w="2100" w:type="dxa"/>
            <w:vAlign w:val="bottom"/>
            <w:gridSpan w:val="13"/>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4.5</w:t>
            </w:r>
          </w:p>
        </w:tc>
        <w:tc>
          <w:tcPr>
            <w:tcW w:w="10480" w:type="dxa"/>
            <w:vAlign w:val="bottom"/>
            <w:tcBorders>
              <w:bottom w:val="single" w:sz="8" w:color="0000FF"/>
            </w:tcBorders>
            <w:gridSpan w:val="2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Note Purchase Agreement, dated as of May 15, 2018, among American Airlines, Inc., Wilmington Trust Company, not in its individual capacity, but</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solely as Pass Through Trustee under the Class C(R) Pass Through Trust Agreement, as Subordination Agent and as Indenture Trustee, Wilmington</w:t>
              </w:r>
            </w:hyperlink>
          </w:p>
        </w:tc>
      </w:tr>
      <w:tr>
        <w:trPr>
          <w:trHeight w:val="155"/>
        </w:trPr>
        <w:tc>
          <w:tcPr>
            <w:tcW w:w="920" w:type="dxa"/>
            <w:vAlign w:val="bottom"/>
          </w:tcPr>
          <w:p>
            <w:pPr>
              <w:spacing w:after="0"/>
              <w:rPr>
                <w:sz w:val="13"/>
                <w:szCs w:val="13"/>
                <w:color w:val="auto"/>
              </w:rPr>
            </w:pPr>
          </w:p>
        </w:tc>
        <w:tc>
          <w:tcPr>
            <w:tcW w:w="10480" w:type="dxa"/>
            <w:vAlign w:val="bottom"/>
            <w:tcBorders>
              <w:bottom w:val="single" w:sz="8" w:color="0000FF"/>
            </w:tcBorders>
            <w:gridSpan w:val="29"/>
          </w:tcPr>
          <w:p>
            <w:pPr>
              <w:spacing w:after="0" w:line="155"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Trust, National Association, as Escrow Agent, and Wilmington Trust Company, as Paying Agent (incorporated by reference to Exhibit 4.6 to American</w:t>
              </w:r>
            </w:hyperlink>
          </w:p>
        </w:tc>
      </w:tr>
      <w:tr>
        <w:trPr>
          <w:trHeight w:val="155"/>
        </w:trPr>
        <w:tc>
          <w:tcPr>
            <w:tcW w:w="920" w:type="dxa"/>
            <w:vAlign w:val="bottom"/>
          </w:tcPr>
          <w:p>
            <w:pPr>
              <w:spacing w:after="0"/>
              <w:rPr>
                <w:sz w:val="13"/>
                <w:szCs w:val="13"/>
                <w:color w:val="auto"/>
              </w:rPr>
            </w:pPr>
          </w:p>
        </w:tc>
        <w:tc>
          <w:tcPr>
            <w:tcW w:w="6740" w:type="dxa"/>
            <w:vAlign w:val="bottom"/>
            <w:tcBorders>
              <w:bottom w:val="single" w:sz="8" w:color="0000FF"/>
            </w:tcBorders>
            <w:gridSpan w:val="13"/>
          </w:tcPr>
          <w:p>
            <w:pPr>
              <w:spacing w:after="0" w:line="155" w:lineRule="exact"/>
              <w:rPr>
                <w:rFonts w:ascii="Arial" w:cs="Arial" w:eastAsia="Arial" w:hAnsi="Arial"/>
                <w:sz w:val="16"/>
                <w:szCs w:val="16"/>
                <w:color w:val="0000FF"/>
                <w:w w:val="97"/>
              </w:rPr>
            </w:pPr>
            <w:hyperlink r:id="rId145">
              <w:r>
                <w:rPr>
                  <w:rFonts w:ascii="Arial" w:cs="Arial" w:eastAsia="Arial" w:hAnsi="Arial"/>
                  <w:sz w:val="16"/>
                  <w:szCs w:val="16"/>
                  <w:color w:val="0000FF"/>
                  <w:w w:val="97"/>
                </w:rPr>
                <w:t>Airlines, Inc.’s Current Report on Form 8-K filed on May 16, 2018 (Commission File No. 1- 2691)).</w:t>
              </w:r>
            </w:hyperlink>
          </w:p>
        </w:tc>
        <w:tc>
          <w:tcPr>
            <w:tcW w:w="3740" w:type="dxa"/>
            <w:vAlign w:val="bottom"/>
            <w:gridSpan w:val="16"/>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4.6</w:t>
            </w:r>
          </w:p>
        </w:tc>
        <w:tc>
          <w:tcPr>
            <w:tcW w:w="10480" w:type="dxa"/>
            <w:vAlign w:val="bottom"/>
            <w:gridSpan w:val="29"/>
          </w:tcPr>
          <w:p>
            <w:pPr>
              <w:spacing w:after="0"/>
              <w:rPr>
                <w:rFonts w:ascii="Arial" w:cs="Arial" w:eastAsia="Arial" w:hAnsi="Arial"/>
                <w:sz w:val="16"/>
                <w:szCs w:val="16"/>
                <w:color w:val="0000FF"/>
                <w:w w:val="99"/>
              </w:rPr>
            </w:pPr>
            <w:hyperlink r:id="rId145">
              <w:r>
                <w:rPr>
                  <w:rFonts w:ascii="Arial" w:cs="Arial" w:eastAsia="Arial" w:hAnsi="Arial"/>
                  <w:sz w:val="16"/>
                  <w:szCs w:val="16"/>
                  <w:color w:val="0000FF"/>
                  <w:w w:val="99"/>
                </w:rPr>
                <w:t>Form of Amendment to Participation Agreement (Amendment to Participation Agreement among American Airlines, Inc., Wilmington Trust Company,</w:t>
              </w:r>
            </w:hyperlink>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w w:val="98"/>
              </w:rPr>
            </w:pPr>
            <w:hyperlink r:id="rId145">
              <w:r>
                <w:rPr>
                  <w:rFonts w:ascii="Arial" w:cs="Arial" w:eastAsia="Arial" w:hAnsi="Arial"/>
                  <w:sz w:val="16"/>
                  <w:szCs w:val="16"/>
                  <w:color w:val="0000FF"/>
                  <w:w w:val="98"/>
                </w:rPr>
                <w:t>not in its individual capacity, but solely as Subordination Agent and as Indenture Trustee, and Wilmington Trust Company, not in its individual capacity,</w:t>
              </w:r>
            </w:hyperlink>
          </w:p>
        </w:tc>
      </w:tr>
      <w:tr>
        <w:trPr>
          <w:trHeight w:val="155"/>
        </w:trPr>
        <w:tc>
          <w:tcPr>
            <w:tcW w:w="920" w:type="dxa"/>
            <w:vAlign w:val="bottom"/>
          </w:tcPr>
          <w:p>
            <w:pPr>
              <w:spacing w:after="0"/>
              <w:rPr>
                <w:sz w:val="13"/>
                <w:szCs w:val="13"/>
                <w:color w:val="auto"/>
              </w:rPr>
            </w:pPr>
          </w:p>
        </w:tc>
        <w:tc>
          <w:tcPr>
            <w:tcW w:w="10320" w:type="dxa"/>
            <w:vAlign w:val="bottom"/>
            <w:tcBorders>
              <w:top w:val="single" w:sz="8" w:color="0000FF"/>
            </w:tcBorders>
            <w:gridSpan w:val="24"/>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but solely as Pass Through Trustee under each of the Pass Through Trust Agreements) (incorporated by reference to Exhibit A to Exhibit 4.6 to</w:t>
              </w:r>
            </w:hyperlink>
          </w:p>
        </w:tc>
        <w:tc>
          <w:tcPr>
            <w:tcW w:w="160" w:type="dxa"/>
            <w:vAlign w:val="bottom"/>
            <w:gridSpan w:val="5"/>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14"/>
          </w:tcPr>
          <w:p>
            <w:pPr>
              <w:spacing w:after="0" w:line="155" w:lineRule="exact"/>
              <w:rPr>
                <w:rFonts w:ascii="Arial" w:cs="Arial" w:eastAsia="Arial" w:hAnsi="Arial"/>
                <w:sz w:val="16"/>
                <w:szCs w:val="16"/>
                <w:color w:val="0000FF"/>
                <w:w w:val="97"/>
              </w:rPr>
            </w:pPr>
            <w:hyperlink r:id="rId145">
              <w:r>
                <w:rPr>
                  <w:rFonts w:ascii="Arial" w:cs="Arial" w:eastAsia="Arial" w:hAnsi="Arial"/>
                  <w:sz w:val="16"/>
                  <w:szCs w:val="16"/>
                  <w:color w:val="0000FF"/>
                  <w:w w:val="97"/>
                </w:rPr>
                <w:t>American Airlines, Inc.’s Current Report on Form 8-K filed on May 16, 2018 (Commission File No. 1- 2691)).</w:t>
              </w:r>
            </w:hyperlink>
          </w:p>
        </w:tc>
        <w:tc>
          <w:tcPr>
            <w:tcW w:w="2420" w:type="dxa"/>
            <w:vAlign w:val="bottom"/>
            <w:tcBorders>
              <w:top w:val="single" w:sz="8" w:color="0000FF"/>
            </w:tcBorders>
            <w:gridSpan w:val="5"/>
          </w:tcPr>
          <w:p>
            <w:pPr>
              <w:spacing w:after="0"/>
              <w:rPr>
                <w:sz w:val="13"/>
                <w:szCs w:val="13"/>
                <w:color w:val="auto"/>
              </w:rPr>
            </w:pPr>
          </w:p>
        </w:tc>
        <w:tc>
          <w:tcPr>
            <w:tcW w:w="620" w:type="dxa"/>
            <w:vAlign w:val="bottom"/>
            <w:gridSpan w:val="10"/>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4.7</w:t>
            </w:r>
          </w:p>
        </w:tc>
        <w:tc>
          <w:tcPr>
            <w:tcW w:w="10260" w:type="dxa"/>
            <w:vAlign w:val="bottom"/>
            <w:tcBorders>
              <w:bottom w:val="single" w:sz="8" w:color="0000FF"/>
            </w:tcBorders>
            <w:gridSpan w:val="22"/>
          </w:tcPr>
          <w:p>
            <w:pPr>
              <w:spacing w:after="0"/>
              <w:rPr>
                <w:rFonts w:ascii="Arial" w:cs="Arial" w:eastAsia="Arial" w:hAnsi="Arial"/>
                <w:sz w:val="16"/>
                <w:szCs w:val="16"/>
                <w:color w:val="0000FF"/>
                <w:w w:val="97"/>
              </w:rPr>
            </w:pPr>
            <w:hyperlink r:id="rId145">
              <w:r>
                <w:rPr>
                  <w:rFonts w:ascii="Arial" w:cs="Arial" w:eastAsia="Arial" w:hAnsi="Arial"/>
                  <w:sz w:val="16"/>
                  <w:szCs w:val="16"/>
                  <w:color w:val="0000FF"/>
                  <w:w w:val="97"/>
                </w:rPr>
                <w:t>Form of Amendment to Trust Indenture and Security Agreement (Amendment to Trust Indenture and Security Agreement between American Airlines,</w:t>
              </w:r>
            </w:hyperlink>
          </w:p>
        </w:tc>
        <w:tc>
          <w:tcPr>
            <w:tcW w:w="220" w:type="dxa"/>
            <w:vAlign w:val="bottom"/>
            <w:gridSpan w:val="7"/>
          </w:tcPr>
          <w:p>
            <w:pPr>
              <w:spacing w:after="0"/>
              <w:rPr>
                <w:sz w:val="17"/>
                <w:szCs w:val="17"/>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w w:val="97"/>
              </w:rPr>
            </w:pPr>
            <w:hyperlink r:id="rId145">
              <w:r>
                <w:rPr>
                  <w:rFonts w:ascii="Arial" w:cs="Arial" w:eastAsia="Arial" w:hAnsi="Arial"/>
                  <w:sz w:val="16"/>
                  <w:szCs w:val="16"/>
                  <w:color w:val="0000FF"/>
                  <w:w w:val="97"/>
                </w:rPr>
                <w:t>Inc., Wilmington Trust Company, not in its individual capacity, but solely as Indenture Trustee, and Wilmington Trust, National Association, as Securities</w:t>
              </w:r>
            </w:hyperlink>
          </w:p>
        </w:tc>
      </w:tr>
      <w:tr>
        <w:trPr>
          <w:trHeight w:val="155"/>
        </w:trPr>
        <w:tc>
          <w:tcPr>
            <w:tcW w:w="920" w:type="dxa"/>
            <w:vAlign w:val="bottom"/>
          </w:tcPr>
          <w:p>
            <w:pPr>
              <w:spacing w:after="0"/>
              <w:rPr>
                <w:sz w:val="13"/>
                <w:szCs w:val="13"/>
                <w:color w:val="auto"/>
              </w:rPr>
            </w:pPr>
          </w:p>
        </w:tc>
        <w:tc>
          <w:tcPr>
            <w:tcW w:w="10420" w:type="dxa"/>
            <w:vAlign w:val="bottom"/>
            <w:tcBorders>
              <w:top w:val="single" w:sz="8" w:color="0000FF"/>
            </w:tcBorders>
            <w:gridSpan w:val="27"/>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Intermediary) (incorporated by reference to Exhibit B to Exhibit 4.6 to American Airlines, Inc.’s Current Report on Form 8-K filed on May 16, 2018</w:t>
              </w:r>
            </w:hyperlink>
          </w:p>
        </w:tc>
        <w:tc>
          <w:tcPr>
            <w:tcW w:w="60" w:type="dxa"/>
            <w:vAlign w:val="bottom"/>
            <w:gridSpan w:val="2"/>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(Commission File No. 1-2691)).</w:t>
              </w:r>
            </w:hyperlink>
          </w:p>
        </w:tc>
        <w:tc>
          <w:tcPr>
            <w:tcW w:w="520" w:type="dxa"/>
            <w:vAlign w:val="bottom"/>
            <w:gridSpan w:val="9"/>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4.8</w:t>
            </w:r>
          </w:p>
        </w:tc>
        <w:tc>
          <w:tcPr>
            <w:tcW w:w="10480" w:type="dxa"/>
            <w:vAlign w:val="bottom"/>
            <w:gridSpan w:val="29"/>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Form of Pass Through Trust Certificate, Series 2012-2C(R) (incorporated by reference to Exhibit A to Exhibit 4.2 to American Airlines, Inc.’s Current</w:t>
              </w:r>
            </w:hyperlink>
          </w:p>
        </w:tc>
      </w:tr>
      <w:tr>
        <w:trPr>
          <w:trHeight w:val="155"/>
        </w:trPr>
        <w:tc>
          <w:tcPr>
            <w:tcW w:w="920" w:type="dxa"/>
            <w:vAlign w:val="bottom"/>
          </w:tcPr>
          <w:p>
            <w:pPr>
              <w:spacing w:after="0"/>
              <w:rPr>
                <w:sz w:val="13"/>
                <w:szCs w:val="13"/>
                <w:color w:val="auto"/>
              </w:rPr>
            </w:pPr>
          </w:p>
        </w:tc>
        <w:tc>
          <w:tcPr>
            <w:tcW w:w="10220" w:type="dxa"/>
            <w:vAlign w:val="bottom"/>
            <w:tcBorders>
              <w:top w:val="single" w:sz="8" w:color="0000FF"/>
            </w:tcBorders>
            <w:gridSpan w:val="21"/>
          </w:tcPr>
          <w:p>
            <w:pPr>
              <w:spacing w:after="0" w:line="155" w:lineRule="exact"/>
              <w:rPr>
                <w:rFonts w:ascii="Arial" w:cs="Arial" w:eastAsia="Arial" w:hAnsi="Arial"/>
                <w:sz w:val="16"/>
                <w:szCs w:val="16"/>
                <w:color w:val="0000FF"/>
              </w:rPr>
            </w:pPr>
            <w:hyperlink r:id="rId144">
              <w:r>
                <w:rPr>
                  <w:rFonts w:ascii="Arial" w:cs="Arial" w:eastAsia="Arial" w:hAnsi="Arial"/>
                  <w:sz w:val="16"/>
                  <w:szCs w:val="16"/>
                  <w:color w:val="0000FF"/>
                </w:rPr>
                <w:t>Report on Form 8-K filed on May 16, 2018 (Commission File No. 1-2691)).</w:t>
              </w:r>
            </w:hyperlink>
          </w:p>
        </w:tc>
        <w:tc>
          <w:tcPr>
            <w:tcW w:w="260" w:type="dxa"/>
            <w:vAlign w:val="bottom"/>
            <w:gridSpan w:val="8"/>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10400" w:type="dxa"/>
            <w:vAlign w:val="bottom"/>
            <w:tcBorders>
              <w:bottom w:val="single" w:sz="8" w:color="0000FF"/>
            </w:tcBorders>
            <w:gridSpan w:val="26"/>
          </w:tcPr>
          <w:p>
            <w:pPr>
              <w:spacing w:after="0"/>
              <w:rPr>
                <w:rFonts w:ascii="Arial" w:cs="Arial" w:eastAsia="Arial" w:hAnsi="Arial"/>
                <w:sz w:val="16"/>
                <w:szCs w:val="16"/>
                <w:color w:val="0000FF"/>
                <w:w w:val="97"/>
              </w:rPr>
            </w:pPr>
            <w:hyperlink w:anchor="page98">
              <w:r>
                <w:rPr>
                  <w:rFonts w:ascii="Arial" w:cs="Arial" w:eastAsia="Arial" w:hAnsi="Arial"/>
                  <w:sz w:val="16"/>
                  <w:szCs w:val="16"/>
                  <w:color w:val="0000FF"/>
                  <w:w w:val="97"/>
                </w:rPr>
                <w:t>Supplemental Agreement No. 11, dated as of April 6, 2018, to Purchase Agreement No. 3219 dated as of October 15, 2008, by and between American</w:t>
              </w:r>
            </w:hyperlink>
          </w:p>
        </w:tc>
        <w:tc>
          <w:tcPr>
            <w:tcW w:w="80" w:type="dxa"/>
            <w:vAlign w:val="bottom"/>
            <w:gridSpan w:val="3"/>
          </w:tcPr>
          <w:p>
            <w:pPr>
              <w:spacing w:after="0"/>
              <w:rPr>
                <w:sz w:val="17"/>
                <w:szCs w:val="17"/>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rPr>
            </w:pPr>
            <w:hyperlink w:anchor="page98">
              <w:r>
                <w:rPr>
                  <w:rFonts w:ascii="Arial" w:cs="Arial" w:eastAsia="Arial" w:hAnsi="Arial"/>
                  <w:sz w:val="16"/>
                  <w:szCs w:val="16"/>
                  <w:color w:val="0000FF"/>
                </w:rPr>
                <w:t xml:space="preserve">Airlines, Inc. and The Boeing Company. </w:t>
              </w:r>
              <w:r>
                <w:rPr>
                  <w:rFonts w:ascii="Arial" w:cs="Arial" w:eastAsia="Arial" w:hAnsi="Arial"/>
                  <w:sz w:val="16"/>
                  <w:szCs w:val="16"/>
                  <w:color w:val="000000"/>
                </w:rPr>
                <w:t>*</w:t>
              </w:r>
            </w:hyperlink>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10.2</w:t>
            </w:r>
          </w:p>
        </w:tc>
        <w:tc>
          <w:tcPr>
            <w:tcW w:w="10380" w:type="dxa"/>
            <w:vAlign w:val="bottom"/>
            <w:tcBorders>
              <w:bottom w:val="single" w:sz="8" w:color="0000FF"/>
            </w:tcBorders>
            <w:gridSpan w:val="25"/>
          </w:tcPr>
          <w:p>
            <w:pPr>
              <w:spacing w:after="0"/>
              <w:rPr>
                <w:rFonts w:ascii="Arial" w:cs="Arial" w:eastAsia="Arial" w:hAnsi="Arial"/>
                <w:sz w:val="16"/>
                <w:szCs w:val="16"/>
                <w:color w:val="0000FF"/>
                <w:w w:val="97"/>
              </w:rPr>
            </w:pPr>
            <w:hyperlink w:anchor="page207">
              <w:r>
                <w:rPr>
                  <w:rFonts w:ascii="Arial" w:cs="Arial" w:eastAsia="Arial" w:hAnsi="Arial"/>
                  <w:sz w:val="16"/>
                  <w:szCs w:val="16"/>
                  <w:color w:val="0000FF"/>
                  <w:w w:val="97"/>
                </w:rPr>
                <w:t>Supplemental Agreement No. 9, dated as of April 6, 2018, to Purchase Agreement No. 03735 dated as of February 1, 2013, by and between American</w:t>
              </w:r>
            </w:hyperlink>
          </w:p>
        </w:tc>
        <w:tc>
          <w:tcPr>
            <w:tcW w:w="100" w:type="dxa"/>
            <w:vAlign w:val="bottom"/>
            <w:gridSpan w:val="4"/>
          </w:tcPr>
          <w:p>
            <w:pPr>
              <w:spacing w:after="0"/>
              <w:rPr>
                <w:sz w:val="17"/>
                <w:szCs w:val="17"/>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rPr>
            </w:pPr>
            <w:hyperlink w:anchor="page207">
              <w:r>
                <w:rPr>
                  <w:rFonts w:ascii="Arial" w:cs="Arial" w:eastAsia="Arial" w:hAnsi="Arial"/>
                  <w:sz w:val="16"/>
                  <w:szCs w:val="16"/>
                  <w:color w:val="0000FF"/>
                </w:rPr>
                <w:t xml:space="preserve">Airlines, Inc. and The Boeing Company. </w:t>
              </w:r>
              <w:r>
                <w:rPr>
                  <w:rFonts w:ascii="Arial" w:cs="Arial" w:eastAsia="Arial" w:hAnsi="Arial"/>
                  <w:sz w:val="16"/>
                  <w:szCs w:val="16"/>
                  <w:color w:val="000000"/>
                </w:rPr>
                <w:t>*</w:t>
              </w:r>
            </w:hyperlink>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10.3</w:t>
            </w:r>
          </w:p>
        </w:tc>
        <w:tc>
          <w:tcPr>
            <w:tcW w:w="10480" w:type="dxa"/>
            <w:vAlign w:val="bottom"/>
            <w:tcBorders>
              <w:bottom w:val="single" w:sz="8" w:color="0000FF"/>
            </w:tcBorders>
            <w:gridSpan w:val="29"/>
          </w:tcPr>
          <w:p>
            <w:pPr>
              <w:spacing w:after="0"/>
              <w:rPr>
                <w:rFonts w:ascii="Arial" w:cs="Arial" w:eastAsia="Arial" w:hAnsi="Arial"/>
                <w:sz w:val="16"/>
                <w:szCs w:val="16"/>
                <w:color w:val="0000FF"/>
                <w:w w:val="97"/>
              </w:rPr>
            </w:pPr>
            <w:hyperlink w:anchor="page246">
              <w:r>
                <w:rPr>
                  <w:rFonts w:ascii="Arial" w:cs="Arial" w:eastAsia="Arial" w:hAnsi="Arial"/>
                  <w:sz w:val="16"/>
                  <w:szCs w:val="16"/>
                  <w:color w:val="0000FF"/>
                  <w:w w:val="97"/>
                </w:rPr>
                <w:t>Fourth Amendment to Amended and Restated Credit and Guaranty Agreement, dated as of May 15, 2018, amending the Amended and Restated Credit</w:t>
              </w:r>
            </w:hyperlink>
          </w:p>
        </w:tc>
      </w:tr>
      <w:tr>
        <w:trPr>
          <w:trHeight w:val="155"/>
        </w:trPr>
        <w:tc>
          <w:tcPr>
            <w:tcW w:w="920" w:type="dxa"/>
            <w:vAlign w:val="bottom"/>
          </w:tcPr>
          <w:p>
            <w:pPr>
              <w:spacing w:after="0"/>
              <w:rPr>
                <w:sz w:val="13"/>
                <w:szCs w:val="13"/>
                <w:color w:val="auto"/>
              </w:rPr>
            </w:pPr>
          </w:p>
        </w:tc>
        <w:tc>
          <w:tcPr>
            <w:tcW w:w="10280" w:type="dxa"/>
            <w:vAlign w:val="bottom"/>
            <w:tcBorders>
              <w:bottom w:val="single" w:sz="8" w:color="0000FF"/>
            </w:tcBorders>
            <w:gridSpan w:val="23"/>
          </w:tcPr>
          <w:p>
            <w:pPr>
              <w:spacing w:after="0" w:line="155" w:lineRule="exact"/>
              <w:rPr>
                <w:rFonts w:ascii="Arial" w:cs="Arial" w:eastAsia="Arial" w:hAnsi="Arial"/>
                <w:sz w:val="16"/>
                <w:szCs w:val="16"/>
                <w:color w:val="0000FF"/>
                <w:w w:val="97"/>
              </w:rPr>
            </w:pPr>
            <w:hyperlink w:anchor="page246">
              <w:r>
                <w:rPr>
                  <w:rFonts w:ascii="Arial" w:cs="Arial" w:eastAsia="Arial" w:hAnsi="Arial"/>
                  <w:sz w:val="16"/>
                  <w:szCs w:val="16"/>
                  <w:color w:val="0000FF"/>
                  <w:w w:val="97"/>
                </w:rPr>
                <w:t>and Guaranty Agreement, dated as of May 21, 2015, among American Airlines, Inc., American Airlines Group Inc., the lenders from time to time party</w:t>
              </w:r>
            </w:hyperlink>
          </w:p>
        </w:tc>
        <w:tc>
          <w:tcPr>
            <w:tcW w:w="200" w:type="dxa"/>
            <w:vAlign w:val="bottom"/>
            <w:gridSpan w:val="6"/>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rPr>
            </w:pPr>
            <w:hyperlink w:anchor="page246">
              <w:r>
                <w:rPr>
                  <w:rFonts w:ascii="Arial" w:cs="Arial" w:eastAsia="Arial" w:hAnsi="Arial"/>
                  <w:sz w:val="16"/>
                  <w:szCs w:val="16"/>
                  <w:color w:val="0000FF"/>
                </w:rPr>
                <w:t>thereto, Deutsche Bank AG New York Branch, as administrative agent, and Barclays Bank PLC, as designated replacement term lender.</w:t>
              </w:r>
            </w:hyperlink>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12.1</w:t>
            </w:r>
          </w:p>
        </w:tc>
        <w:tc>
          <w:tcPr>
            <w:tcW w:w="8400" w:type="dxa"/>
            <w:vAlign w:val="bottom"/>
            <w:tcBorders>
              <w:top w:val="single" w:sz="8" w:color="0000FF"/>
              <w:bottom w:val="single" w:sz="8" w:color="0000FF"/>
            </w:tcBorders>
            <w:gridSpan w:val="17"/>
          </w:tcPr>
          <w:p>
            <w:pPr>
              <w:spacing w:after="0"/>
              <w:rPr>
                <w:rFonts w:ascii="Arial" w:cs="Arial" w:eastAsia="Arial" w:hAnsi="Arial"/>
                <w:sz w:val="16"/>
                <w:szCs w:val="16"/>
                <w:color w:val="0000FF"/>
                <w:w w:val="97"/>
              </w:rPr>
            </w:pPr>
            <w:hyperlink w:anchor="page258">
              <w:r>
                <w:rPr>
                  <w:rFonts w:ascii="Arial" w:cs="Arial" w:eastAsia="Arial" w:hAnsi="Arial"/>
                  <w:sz w:val="16"/>
                  <w:szCs w:val="16"/>
                  <w:color w:val="0000FF"/>
                  <w:w w:val="97"/>
                </w:rPr>
                <w:t>Computation of ratio of earnings to fixed charges of American Airlines Group Inc. for the six months ended June 30, 2018.</w:t>
              </w:r>
            </w:hyperlink>
          </w:p>
        </w:tc>
        <w:tc>
          <w:tcPr>
            <w:tcW w:w="980" w:type="dxa"/>
            <w:vAlign w:val="bottom"/>
            <w:tcBorders>
              <w:top w:val="single" w:sz="8" w:color="0000FF"/>
            </w:tcBorders>
          </w:tcPr>
          <w:p>
            <w:pPr>
              <w:spacing w:after="0"/>
              <w:rPr>
                <w:sz w:val="17"/>
                <w:szCs w:val="17"/>
                <w:color w:val="auto"/>
              </w:rPr>
            </w:pPr>
          </w:p>
        </w:tc>
        <w:tc>
          <w:tcPr>
            <w:tcW w:w="1100" w:type="dxa"/>
            <w:vAlign w:val="bottom"/>
            <w:gridSpan w:val="11"/>
          </w:tcPr>
          <w:p>
            <w:pPr>
              <w:spacing w:after="0"/>
              <w:rPr>
                <w:sz w:val="17"/>
                <w:szCs w:val="17"/>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12.2</w:t>
            </w:r>
          </w:p>
        </w:tc>
        <w:tc>
          <w:tcPr>
            <w:tcW w:w="7960" w:type="dxa"/>
            <w:vAlign w:val="bottom"/>
            <w:tcBorders>
              <w:bottom w:val="single" w:sz="8" w:color="0000FF"/>
            </w:tcBorders>
            <w:gridSpan w:val="15"/>
          </w:tcPr>
          <w:p>
            <w:pPr>
              <w:spacing w:after="0"/>
              <w:rPr>
                <w:rFonts w:ascii="Arial" w:cs="Arial" w:eastAsia="Arial" w:hAnsi="Arial"/>
                <w:sz w:val="16"/>
                <w:szCs w:val="16"/>
                <w:color w:val="0000FF"/>
                <w:w w:val="97"/>
              </w:rPr>
            </w:pPr>
            <w:hyperlink w:anchor="page259">
              <w:r>
                <w:rPr>
                  <w:rFonts w:ascii="Arial" w:cs="Arial" w:eastAsia="Arial" w:hAnsi="Arial"/>
                  <w:sz w:val="16"/>
                  <w:szCs w:val="16"/>
                  <w:color w:val="0000FF"/>
                  <w:w w:val="97"/>
                </w:rPr>
                <w:t>Computation of ratio of earnings to fixed charges of American Airlines, Inc. for the six months ended June 30, 2018.</w:t>
              </w:r>
            </w:hyperlink>
          </w:p>
        </w:tc>
        <w:tc>
          <w:tcPr>
            <w:tcW w:w="2520" w:type="dxa"/>
            <w:vAlign w:val="bottom"/>
            <w:gridSpan w:val="14"/>
          </w:tcPr>
          <w:p>
            <w:pPr>
              <w:spacing w:after="0"/>
              <w:rPr>
                <w:sz w:val="17"/>
                <w:szCs w:val="17"/>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10480" w:type="dxa"/>
            <w:vAlign w:val="bottom"/>
            <w:gridSpan w:val="29"/>
          </w:tcPr>
          <w:p>
            <w:pPr>
              <w:spacing w:after="0"/>
              <w:rPr>
                <w:rFonts w:ascii="Arial" w:cs="Arial" w:eastAsia="Arial" w:hAnsi="Arial"/>
                <w:sz w:val="16"/>
                <w:szCs w:val="16"/>
                <w:color w:val="0000FF"/>
              </w:rPr>
            </w:pPr>
            <w:hyperlink w:anchor="page260">
              <w:r>
                <w:rPr>
                  <w:rFonts w:ascii="Arial" w:cs="Arial" w:eastAsia="Arial" w:hAnsi="Arial"/>
                  <w:sz w:val="16"/>
                  <w:szCs w:val="16"/>
                  <w:color w:val="0000FF"/>
                </w:rPr>
                <w:t>Certification of AAG Chief Executive Officer pursuant to Rule 13a-14(a).</w:t>
              </w:r>
            </w:hyperlink>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490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7"/>
              </w:rPr>
            </w:pPr>
            <w:hyperlink w:anchor="page261">
              <w:r>
                <w:rPr>
                  <w:rFonts w:ascii="Arial" w:cs="Arial" w:eastAsia="Arial" w:hAnsi="Arial"/>
                  <w:sz w:val="16"/>
                  <w:szCs w:val="16"/>
                  <w:color w:val="0000FF"/>
                  <w:w w:val="97"/>
                </w:rPr>
                <w:t>Certification of AAG Chief Financial Officer pursuant to Rule 13a-14(a).</w:t>
              </w:r>
            </w:hyperlink>
          </w:p>
        </w:tc>
        <w:tc>
          <w:tcPr>
            <w:tcW w:w="40" w:type="dxa"/>
            <w:vAlign w:val="bottom"/>
            <w:tcBorders>
              <w:top w:val="single" w:sz="8" w:color="0000FF"/>
            </w:tcBorders>
          </w:tcPr>
          <w:p>
            <w:pPr>
              <w:spacing w:after="0"/>
              <w:rPr>
                <w:sz w:val="17"/>
                <w:szCs w:val="17"/>
                <w:color w:val="auto"/>
              </w:rPr>
            </w:pPr>
          </w:p>
        </w:tc>
        <w:tc>
          <w:tcPr>
            <w:tcW w:w="5540" w:type="dxa"/>
            <w:vAlign w:val="bottom"/>
            <w:gridSpan w:val="20"/>
          </w:tcPr>
          <w:p>
            <w:pPr>
              <w:spacing w:after="0"/>
              <w:rPr>
                <w:sz w:val="17"/>
                <w:szCs w:val="17"/>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31.3</w:t>
            </w:r>
          </w:p>
        </w:tc>
        <w:tc>
          <w:tcPr>
            <w:tcW w:w="5280" w:type="dxa"/>
            <w:vAlign w:val="bottom"/>
            <w:tcBorders>
              <w:bottom w:val="single" w:sz="8" w:color="0000FF"/>
            </w:tcBorders>
            <w:gridSpan w:val="12"/>
          </w:tcPr>
          <w:p>
            <w:pPr>
              <w:spacing w:after="0"/>
              <w:rPr>
                <w:rFonts w:ascii="Arial" w:cs="Arial" w:eastAsia="Arial" w:hAnsi="Arial"/>
                <w:sz w:val="16"/>
                <w:szCs w:val="16"/>
                <w:color w:val="0000FF"/>
                <w:w w:val="97"/>
              </w:rPr>
            </w:pPr>
            <w:hyperlink w:anchor="page262">
              <w:r>
                <w:rPr>
                  <w:rFonts w:ascii="Arial" w:cs="Arial" w:eastAsia="Arial" w:hAnsi="Arial"/>
                  <w:sz w:val="16"/>
                  <w:szCs w:val="16"/>
                  <w:color w:val="0000FF"/>
                  <w:w w:val="97"/>
                </w:rPr>
                <w:t>Certification of American Chief Executive Officer pursuant to Rule 13a-14(a).</w:t>
              </w:r>
            </w:hyperlink>
          </w:p>
        </w:tc>
        <w:tc>
          <w:tcPr>
            <w:tcW w:w="5200" w:type="dxa"/>
            <w:vAlign w:val="bottom"/>
            <w:gridSpan w:val="17"/>
          </w:tcPr>
          <w:p>
            <w:pPr>
              <w:spacing w:after="0"/>
              <w:rPr>
                <w:sz w:val="17"/>
                <w:szCs w:val="17"/>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31.4</w:t>
            </w:r>
          </w:p>
        </w:tc>
        <w:tc>
          <w:tcPr>
            <w:tcW w:w="10480" w:type="dxa"/>
            <w:vAlign w:val="bottom"/>
            <w:gridSpan w:val="29"/>
          </w:tcPr>
          <w:p>
            <w:pPr>
              <w:spacing w:after="0"/>
              <w:rPr>
                <w:rFonts w:ascii="Arial" w:cs="Arial" w:eastAsia="Arial" w:hAnsi="Arial"/>
                <w:sz w:val="16"/>
                <w:szCs w:val="16"/>
                <w:color w:val="0000FF"/>
              </w:rPr>
            </w:pPr>
            <w:hyperlink w:anchor="page263">
              <w:r>
                <w:rPr>
                  <w:rFonts w:ascii="Arial" w:cs="Arial" w:eastAsia="Arial" w:hAnsi="Arial"/>
                  <w:sz w:val="16"/>
                  <w:szCs w:val="16"/>
                  <w:color w:val="0000FF"/>
                </w:rPr>
                <w:t>Certification of American Chief Financial Officer pursuant to Rule 13a-14(a).</w:t>
              </w:r>
            </w:hyperlink>
          </w:p>
        </w:tc>
      </w:tr>
      <w:tr>
        <w:trPr>
          <w:trHeight w:val="20"/>
        </w:trPr>
        <w:tc>
          <w:tcPr>
            <w:tcW w:w="9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52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10480" w:type="dxa"/>
            <w:vAlign w:val="bottom"/>
            <w:tcBorders>
              <w:bottom w:val="single" w:sz="8" w:color="0000FF"/>
            </w:tcBorders>
            <w:gridSpan w:val="29"/>
          </w:tcPr>
          <w:p>
            <w:pPr>
              <w:spacing w:after="0"/>
              <w:rPr>
                <w:rFonts w:ascii="Arial" w:cs="Arial" w:eastAsia="Arial" w:hAnsi="Arial"/>
                <w:sz w:val="16"/>
                <w:szCs w:val="16"/>
                <w:color w:val="0000FF"/>
                <w:w w:val="97"/>
              </w:rPr>
            </w:pPr>
            <w:hyperlink w:anchor="page264">
              <w:r>
                <w:rPr>
                  <w:rFonts w:ascii="Arial" w:cs="Arial" w:eastAsia="Arial" w:hAnsi="Arial"/>
                  <w:sz w:val="16"/>
                  <w:szCs w:val="16"/>
                  <w:color w:val="0000FF"/>
                  <w:w w:val="97"/>
                </w:rPr>
                <w:t>AAG Certification pursuant to Rule 13a-14(b) and section 906 of the Sarbanes-Oxley Act of 2002 (subsections (a) and (b) of section 1350, chapter 63 of</w:t>
              </w:r>
            </w:hyperlink>
          </w:p>
        </w:tc>
      </w:tr>
      <w:tr>
        <w:trPr>
          <w:trHeight w:val="155"/>
        </w:trPr>
        <w:tc>
          <w:tcPr>
            <w:tcW w:w="920" w:type="dxa"/>
            <w:vAlign w:val="bottom"/>
          </w:tcPr>
          <w:p>
            <w:pPr>
              <w:spacing w:after="0"/>
              <w:rPr>
                <w:sz w:val="13"/>
                <w:szCs w:val="13"/>
                <w:color w:val="auto"/>
              </w:rPr>
            </w:pPr>
          </w:p>
        </w:tc>
        <w:tc>
          <w:tcPr>
            <w:tcW w:w="2000" w:type="dxa"/>
            <w:vAlign w:val="bottom"/>
            <w:tcBorders>
              <w:bottom w:val="single" w:sz="8" w:color="0000FF"/>
            </w:tcBorders>
          </w:tcPr>
          <w:p>
            <w:pPr>
              <w:spacing w:after="0" w:line="155" w:lineRule="exact"/>
              <w:rPr>
                <w:rFonts w:ascii="Arial" w:cs="Arial" w:eastAsia="Arial" w:hAnsi="Arial"/>
                <w:sz w:val="16"/>
                <w:szCs w:val="16"/>
                <w:color w:val="0000FF"/>
                <w:w w:val="96"/>
              </w:rPr>
            </w:pPr>
            <w:hyperlink w:anchor="page264">
              <w:r>
                <w:rPr>
                  <w:rFonts w:ascii="Arial" w:cs="Arial" w:eastAsia="Arial" w:hAnsi="Arial"/>
                  <w:sz w:val="16"/>
                  <w:szCs w:val="16"/>
                  <w:color w:val="0000FF"/>
                  <w:w w:val="96"/>
                </w:rPr>
                <w:t>title 18, United States Code).</w:t>
              </w:r>
            </w:hyperlink>
          </w:p>
        </w:tc>
        <w:tc>
          <w:tcPr>
            <w:tcW w:w="8480" w:type="dxa"/>
            <w:vAlign w:val="bottom"/>
            <w:gridSpan w:val="28"/>
          </w:tcPr>
          <w:p>
            <w:pPr>
              <w:spacing w:after="0"/>
              <w:rPr>
                <w:sz w:val="13"/>
                <w:szCs w:val="13"/>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10460" w:type="dxa"/>
            <w:vAlign w:val="bottom"/>
            <w:tcBorders>
              <w:bottom w:val="single" w:sz="8" w:color="0000FF"/>
            </w:tcBorders>
            <w:gridSpan w:val="28"/>
          </w:tcPr>
          <w:p>
            <w:pPr>
              <w:spacing w:after="0"/>
              <w:rPr>
                <w:rFonts w:ascii="Arial" w:cs="Arial" w:eastAsia="Arial" w:hAnsi="Arial"/>
                <w:sz w:val="16"/>
                <w:szCs w:val="16"/>
                <w:color w:val="0000FF"/>
                <w:w w:val="97"/>
              </w:rPr>
            </w:pPr>
            <w:hyperlink w:anchor="page265">
              <w:r>
                <w:rPr>
                  <w:rFonts w:ascii="Arial" w:cs="Arial" w:eastAsia="Arial" w:hAnsi="Arial"/>
                  <w:sz w:val="16"/>
                  <w:szCs w:val="16"/>
                  <w:color w:val="0000FF"/>
                  <w:w w:val="97"/>
                </w:rPr>
                <w:t>American Certification pursuant to Rule 13a-14(b) and section 906 of the Sarbanes-Oxley Act of 2002 (subsections (a) and (b) of section 1350, chapter</w:t>
              </w:r>
            </w:hyperlink>
          </w:p>
        </w:tc>
        <w:tc>
          <w:tcPr>
            <w:tcW w:w="20" w:type="dxa"/>
            <w:vAlign w:val="bottom"/>
          </w:tcPr>
          <w:p>
            <w:pPr>
              <w:spacing w:after="0"/>
              <w:rPr>
                <w:sz w:val="17"/>
                <w:szCs w:val="17"/>
                <w:color w:val="auto"/>
              </w:rPr>
            </w:pPr>
          </w:p>
        </w:tc>
      </w:tr>
      <w:tr>
        <w:trPr>
          <w:trHeight w:val="155"/>
        </w:trPr>
        <w:tc>
          <w:tcPr>
            <w:tcW w:w="920" w:type="dxa"/>
            <w:vAlign w:val="bottom"/>
          </w:tcPr>
          <w:p>
            <w:pPr>
              <w:spacing w:after="0"/>
              <w:rPr>
                <w:sz w:val="13"/>
                <w:szCs w:val="13"/>
                <w:color w:val="auto"/>
              </w:rPr>
            </w:pPr>
          </w:p>
        </w:tc>
        <w:tc>
          <w:tcPr>
            <w:tcW w:w="10480" w:type="dxa"/>
            <w:vAlign w:val="bottom"/>
            <w:gridSpan w:val="29"/>
          </w:tcPr>
          <w:p>
            <w:pPr>
              <w:spacing w:after="0" w:line="155" w:lineRule="exact"/>
              <w:rPr>
                <w:rFonts w:ascii="Arial" w:cs="Arial" w:eastAsia="Arial" w:hAnsi="Arial"/>
                <w:sz w:val="16"/>
                <w:szCs w:val="16"/>
                <w:color w:val="0000FF"/>
              </w:rPr>
            </w:pPr>
            <w:hyperlink w:anchor="page265">
              <w:r>
                <w:rPr>
                  <w:rFonts w:ascii="Arial" w:cs="Arial" w:eastAsia="Arial" w:hAnsi="Arial"/>
                  <w:sz w:val="16"/>
                  <w:szCs w:val="16"/>
                  <w:color w:val="0000FF"/>
                </w:rPr>
                <w:t>63 of title 18, United States Code).</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8100" w:type="dxa"/>
            <w:vAlign w:val="bottom"/>
            <w:gridSpan w:val="26"/>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color w:val="auto"/>
              </w:rPr>
              <w:t>101.1</w:t>
            </w:r>
          </w:p>
        </w:tc>
        <w:tc>
          <w:tcPr>
            <w:tcW w:w="10480" w:type="dxa"/>
            <w:vAlign w:val="bottom"/>
            <w:gridSpan w:val="29"/>
          </w:tcPr>
          <w:p>
            <w:pPr>
              <w:spacing w:after="0"/>
              <w:rPr>
                <w:sz w:val="20"/>
                <w:szCs w:val="20"/>
                <w:color w:val="auto"/>
              </w:rPr>
            </w:pPr>
            <w:r>
              <w:rPr>
                <w:rFonts w:ascii="Arial" w:cs="Arial" w:eastAsia="Arial" w:hAnsi="Arial"/>
                <w:sz w:val="16"/>
                <w:szCs w:val="16"/>
                <w:color w:val="auto"/>
              </w:rPr>
              <w:t>Interactive data files pursuant to Rule 405 of Regulation S-T.</w:t>
            </w:r>
          </w:p>
        </w:tc>
      </w:tr>
      <w:tr>
        <w:trPr>
          <w:trHeight w:val="737"/>
        </w:trPr>
        <w:tc>
          <w:tcPr>
            <w:tcW w:w="920" w:type="dxa"/>
            <w:vAlign w:val="bottom"/>
          </w:tcPr>
          <w:p>
            <w:pPr>
              <w:spacing w:after="0"/>
              <w:rPr>
                <w:sz w:val="24"/>
                <w:szCs w:val="24"/>
                <w:color w:val="auto"/>
              </w:rPr>
            </w:pPr>
          </w:p>
        </w:tc>
        <w:tc>
          <w:tcPr>
            <w:tcW w:w="4900" w:type="dxa"/>
            <w:vAlign w:val="bottom"/>
            <w:gridSpan w:val="8"/>
          </w:tcPr>
          <w:p>
            <w:pPr>
              <w:ind w:left="4680"/>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60" w:top="786" w:right="239" w:bottom="1440" w:gutter="0" w:footer="0" w:header="0"/>
        </w:sectPr>
      </w:pPr>
    </w:p>
    <w:bookmarkStart w:id="95" w:name="page96"/>
    <w:bookmarkEnd w:id="95"/>
    <w:p>
      <w:pPr>
        <w:ind w:left="66" w:hanging="66"/>
        <w:spacing w:after="0"/>
        <w:tabs>
          <w:tab w:leader="none" w:pos="66" w:val="left"/>
        </w:tabs>
        <w:numPr>
          <w:ilvl w:val="0"/>
          <w:numId w:val="60"/>
        </w:numPr>
        <w:rPr>
          <w:rFonts w:ascii="Arial" w:cs="Arial" w:eastAsia="Arial" w:hAnsi="Arial"/>
          <w:sz w:val="18"/>
          <w:szCs w:val="18"/>
          <w:color w:val="auto"/>
          <w:vertAlign w:val="superscript"/>
        </w:rPr>
      </w:pPr>
      <w:r>
        <w:rPr>
          <w:rFonts w:ascii="Arial" w:cs="Arial" w:eastAsia="Arial" w:hAnsi="Arial"/>
          <w:sz w:val="15"/>
          <w:szCs w:val="15"/>
          <w:color w:val="auto"/>
        </w:rPr>
        <w:t>Confidential treatment has been requested with respect to certain portions of this agreement.</w:t>
      </w:r>
    </w:p>
    <w:p>
      <w:pPr>
        <w:sectPr>
          <w:pgSz w:w="11900" w:h="16838" w:orient="portrait"/>
          <w:cols w:equalWidth="0" w:num="1">
            <w:col w:w="10226"/>
          </w:cols>
          <w:pgMar w:left="234" w:top="657" w:right="1440" w:bottom="1440" w:gutter="0" w:footer="0" w:header="0"/>
        </w:sectPr>
      </w:pPr>
    </w:p>
    <w:p>
      <w:pPr>
        <w:spacing w:after="0" w:line="211" w:lineRule="exact"/>
        <w:rPr>
          <w:sz w:val="20"/>
          <w:szCs w:val="20"/>
          <w:color w:val="auto"/>
        </w:rPr>
      </w:pPr>
    </w:p>
    <w:p>
      <w:pPr>
        <w:ind w:left="5626"/>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226"/>
          </w:cols>
          <w:pgMar w:left="234" w:top="657" w:right="1440"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SIGNATURES</w:t>
      </w:r>
    </w:p>
    <w:p>
      <w:pPr>
        <w:spacing w:after="0" w:line="115" w:lineRule="exact"/>
        <w:rPr>
          <w:sz w:val="20"/>
          <w:szCs w:val="20"/>
          <w:color w:val="auto"/>
        </w:rPr>
      </w:pPr>
    </w:p>
    <w:p>
      <w:pPr>
        <w:ind w:firstLine="187"/>
        <w:spacing w:after="0" w:line="24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American Airlines Group Inc.</w:t>
      </w:r>
    </w:p>
    <w:p>
      <w:pPr>
        <w:spacing w:after="0" w:line="337" w:lineRule="exact"/>
        <w:rPr>
          <w:sz w:val="20"/>
          <w:szCs w:val="20"/>
          <w:color w:val="auto"/>
        </w:rPr>
      </w:pPr>
    </w:p>
    <w:p>
      <w:pPr>
        <w:ind w:left="20"/>
        <w:spacing w:after="0"/>
        <w:tabs>
          <w:tab w:leader="none" w:pos="4880" w:val="left"/>
          <w:tab w:leader="none" w:pos="5540" w:val="left"/>
        </w:tabs>
        <w:rPr>
          <w:sz w:val="20"/>
          <w:szCs w:val="20"/>
          <w:color w:val="auto"/>
        </w:rPr>
      </w:pPr>
      <w:r>
        <w:rPr>
          <w:rFonts w:ascii="Arial" w:cs="Arial" w:eastAsia="Arial" w:hAnsi="Arial"/>
          <w:sz w:val="16"/>
          <w:szCs w:val="16"/>
          <w:color w:val="auto"/>
        </w:rPr>
        <w:t>Date: July 26,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10160</wp:posOffset>
            </wp:positionV>
            <wp:extent cx="35064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3506470" cy="7620"/>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Derek J. Kerr</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Executive Vice President and Chief Financial Officer</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02" w:lineRule="exact"/>
        <w:rPr>
          <w:sz w:val="20"/>
          <w:szCs w:val="20"/>
          <w:color w:val="auto"/>
        </w:rPr>
      </w:pPr>
    </w:p>
    <w:p>
      <w:pPr>
        <w:ind w:firstLine="187"/>
        <w:spacing w:after="0" w:line="24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American Airlines, Inc.</w:t>
      </w:r>
    </w:p>
    <w:p>
      <w:pPr>
        <w:spacing w:after="0" w:line="337" w:lineRule="exact"/>
        <w:rPr>
          <w:sz w:val="20"/>
          <w:szCs w:val="20"/>
          <w:color w:val="auto"/>
        </w:rPr>
      </w:pPr>
    </w:p>
    <w:p>
      <w:pPr>
        <w:ind w:left="20"/>
        <w:spacing w:after="0"/>
        <w:tabs>
          <w:tab w:leader="none" w:pos="4880" w:val="left"/>
          <w:tab w:leader="none" w:pos="5540" w:val="left"/>
        </w:tabs>
        <w:rPr>
          <w:sz w:val="20"/>
          <w:szCs w:val="20"/>
          <w:color w:val="auto"/>
        </w:rPr>
      </w:pPr>
      <w:r>
        <w:rPr>
          <w:rFonts w:ascii="Arial" w:cs="Arial" w:eastAsia="Arial" w:hAnsi="Arial"/>
          <w:sz w:val="16"/>
          <w:szCs w:val="16"/>
          <w:color w:val="auto"/>
        </w:rPr>
        <w:t>Date: July 26,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10160</wp:posOffset>
            </wp:positionV>
            <wp:extent cx="35064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506470" cy="7620"/>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Derek J. Kerr</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Executive Vice President and Chief Financial Officer</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40"/>
          </w:cols>
          <w:pgMar w:left="240" w:top="518"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9"/>
          <w:szCs w:val="19"/>
          <w:b w:val="1"/>
          <w:bCs w:val="1"/>
          <w:color w:val="auto"/>
        </w:rPr>
        <w:t>SUPPLEMENTAL AGREEMENT NO. 11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Agreement No. 3219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BOEING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AMERICAN AIRLINES, INC.</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842"/>
        <w:spacing w:after="0" w:line="255" w:lineRule="auto"/>
        <w:rPr>
          <w:sz w:val="20"/>
          <w:szCs w:val="20"/>
          <w:color w:val="auto"/>
        </w:rPr>
      </w:pPr>
      <w:r>
        <w:rPr>
          <w:rFonts w:ascii="Arial" w:cs="Arial" w:eastAsia="Arial" w:hAnsi="Arial"/>
          <w:sz w:val="19"/>
          <w:szCs w:val="19"/>
          <w:color w:val="auto"/>
        </w:rPr>
        <w:t>THIS SUPPLEMENTAL AGREEMENT No. 11 (</w:t>
      </w:r>
      <w:r>
        <w:rPr>
          <w:rFonts w:ascii="Arial" w:cs="Arial" w:eastAsia="Arial" w:hAnsi="Arial"/>
          <w:sz w:val="19"/>
          <w:szCs w:val="19"/>
          <w:b w:val="1"/>
          <w:bCs w:val="1"/>
          <w:i w:val="1"/>
          <w:iCs w:val="1"/>
          <w:color w:val="auto"/>
        </w:rPr>
        <w:t>SA-11</w:t>
      </w:r>
      <w:r>
        <w:rPr>
          <w:rFonts w:ascii="Arial" w:cs="Arial" w:eastAsia="Arial" w:hAnsi="Arial"/>
          <w:sz w:val="19"/>
          <w:szCs w:val="19"/>
          <w:color w:val="auto"/>
        </w:rPr>
        <w:t>) is made between THE BOEING COMPANY, a Delaware corporation with offices in Seattle, Washington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a Delaware corporation with offices in Fort Worth, Texas, together with its successors and permitted assigns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w:t>
      </w:r>
    </w:p>
    <w:p>
      <w:pPr>
        <w:spacing w:after="0" w:line="158" w:lineRule="exact"/>
        <w:rPr>
          <w:sz w:val="20"/>
          <w:szCs w:val="20"/>
          <w:color w:val="auto"/>
        </w:rPr>
      </w:pPr>
    </w:p>
    <w:p>
      <w:pPr>
        <w:jc w:val="both"/>
        <w:ind w:firstLine="842"/>
        <w:spacing w:after="0" w:line="255" w:lineRule="auto"/>
        <w:rPr>
          <w:sz w:val="20"/>
          <w:szCs w:val="20"/>
          <w:color w:val="auto"/>
        </w:rPr>
      </w:pPr>
      <w:r>
        <w:rPr>
          <w:rFonts w:ascii="Arial" w:cs="Arial" w:eastAsia="Arial" w:hAnsi="Arial"/>
          <w:sz w:val="19"/>
          <w:szCs w:val="19"/>
          <w:color w:val="auto"/>
        </w:rPr>
        <w:t>WHEREAS, Boeing and Customer entered into Purchase Agreement No. 3219 dated October 15, 2008, relating to Boeing Model 787 aircraft, as amended and supplemented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and capitalized terms used herein without definitions shall have the meanings specified in such Purchase Agreement;</w:t>
      </w:r>
    </w:p>
    <w:p>
      <w:pPr>
        <w:spacing w:after="0" w:line="158" w:lineRule="exact"/>
        <w:rPr>
          <w:sz w:val="20"/>
          <w:szCs w:val="20"/>
          <w:color w:val="auto"/>
        </w:rPr>
      </w:pPr>
    </w:p>
    <w:p>
      <w:pPr>
        <w:jc w:val="both"/>
        <w:ind w:firstLine="842"/>
        <w:spacing w:after="0" w:line="251" w:lineRule="auto"/>
        <w:rPr>
          <w:sz w:val="20"/>
          <w:szCs w:val="20"/>
          <w:color w:val="auto"/>
        </w:rPr>
      </w:pPr>
      <w:r>
        <w:rPr>
          <w:rFonts w:ascii="Arial" w:cs="Arial" w:eastAsia="Arial" w:hAnsi="Arial"/>
          <w:sz w:val="19"/>
          <w:szCs w:val="19"/>
          <w:color w:val="auto"/>
        </w:rPr>
        <w:t>WHEREAS, Boeing and Customer entered into that certain Letter Agreement 6-1162-TRW-0664R1 entitled “</w:t>
      </w:r>
      <w:r>
        <w:rPr>
          <w:rFonts w:ascii="Arial" w:cs="Arial" w:eastAsia="Arial" w:hAnsi="Arial"/>
          <w:sz w:val="19"/>
          <w:szCs w:val="19"/>
          <w:u w:val="single" w:color="auto"/>
          <w:color w:val="auto"/>
        </w:rPr>
        <w:t>Aircraft Purchase Rights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Substitution Rights</w:t>
      </w:r>
      <w:r>
        <w:rPr>
          <w:rFonts w:ascii="Arial" w:cs="Arial" w:eastAsia="Arial" w:hAnsi="Arial"/>
          <w:sz w:val="19"/>
          <w:szCs w:val="19"/>
          <w:color w:val="auto"/>
        </w:rPr>
        <w:t xml:space="preserve">” referencing SA-3 in the footer, including the following (collectively, the </w:t>
      </w:r>
      <w:r>
        <w:rPr>
          <w:rFonts w:ascii="Arial" w:cs="Arial" w:eastAsia="Arial" w:hAnsi="Arial"/>
          <w:sz w:val="19"/>
          <w:szCs w:val="19"/>
          <w:b w:val="1"/>
          <w:bCs w:val="1"/>
          <w:i w:val="1"/>
          <w:iCs w:val="1"/>
          <w:color w:val="auto"/>
        </w:rPr>
        <w:t>Original 787 Rights Letter</w:t>
      </w:r>
      <w:r>
        <w:rPr>
          <w:rFonts w:ascii="Arial" w:cs="Arial" w:eastAsia="Arial" w:hAnsi="Arial"/>
          <w:sz w:val="19"/>
          <w:szCs w:val="19"/>
          <w:color w:val="auto"/>
        </w:rPr>
        <w:t>): Attachment A(R2) referencing SA-6 in footer, Attachment B(R2) referencing SA-6 in the footer, Attachment C(R3) referencing SA-8 in the footer, Attachment D referencing SA-3 in the footer, and Attachment E referencing SA-3 in the footer;</w:t>
      </w:r>
    </w:p>
    <w:p>
      <w:pPr>
        <w:spacing w:after="0" w:line="162" w:lineRule="exact"/>
        <w:rPr>
          <w:sz w:val="20"/>
          <w:szCs w:val="20"/>
          <w:color w:val="auto"/>
        </w:rPr>
      </w:pPr>
    </w:p>
    <w:p>
      <w:pPr>
        <w:jc w:val="both"/>
        <w:ind w:right="20" w:firstLine="842"/>
        <w:spacing w:after="0" w:line="266" w:lineRule="auto"/>
        <w:rPr>
          <w:sz w:val="20"/>
          <w:szCs w:val="20"/>
          <w:color w:val="auto"/>
        </w:rPr>
      </w:pPr>
      <w:r>
        <w:rPr>
          <w:rFonts w:ascii="Arial" w:cs="Arial" w:eastAsia="Arial" w:hAnsi="Arial"/>
          <w:sz w:val="19"/>
          <w:szCs w:val="19"/>
          <w:color w:val="auto"/>
        </w:rPr>
        <w:t>WHEREAS, the Original 787 Rights Letter sets forth, among other things, the treatment of aircraft Purchase Rights (as defined in the Original 787 Rights Letter);</w:t>
      </w:r>
    </w:p>
    <w:p>
      <w:pPr>
        <w:spacing w:after="0" w:line="147" w:lineRule="exact"/>
        <w:rPr>
          <w:sz w:val="20"/>
          <w:szCs w:val="20"/>
          <w:color w:val="auto"/>
        </w:rPr>
      </w:pPr>
    </w:p>
    <w:p>
      <w:pPr>
        <w:jc w:val="both"/>
        <w:ind w:right="20" w:firstLine="842"/>
        <w:spacing w:after="0" w:line="266" w:lineRule="auto"/>
        <w:rPr>
          <w:sz w:val="20"/>
          <w:szCs w:val="20"/>
          <w:color w:val="auto"/>
        </w:rPr>
      </w:pPr>
      <w:r>
        <w:rPr>
          <w:rFonts w:ascii="Arial" w:cs="Arial" w:eastAsia="Arial" w:hAnsi="Arial"/>
          <w:sz w:val="19"/>
          <w:szCs w:val="19"/>
          <w:color w:val="auto"/>
        </w:rPr>
        <w:t>WHEREAS, in addition to the forty-two (42) Aircraft that Customer previously agreed to purchase as set forth on Table 1(R7), Table 2(R1), and Table 3(R1),</w:t>
      </w:r>
    </w:p>
    <w:p>
      <w:pPr>
        <w:spacing w:after="0" w:line="370" w:lineRule="exact"/>
        <w:rPr>
          <w:sz w:val="20"/>
          <w:szCs w:val="20"/>
          <w:color w:val="auto"/>
        </w:rPr>
      </w:pPr>
    </w:p>
    <w:p>
      <w:pPr>
        <w:spacing w:after="0"/>
        <w:tabs>
          <w:tab w:leader="none" w:pos="800" w:val="left"/>
          <w:tab w:leader="none" w:pos="166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889" w:right="219" w:bottom="1440" w:gutter="0" w:footer="0" w:header="0"/>
        </w:sectPr>
      </w:pPr>
    </w:p>
    <w:bookmarkStart w:id="98" w:name="page99"/>
    <w:bookmarkEnd w:id="98"/>
    <w:p>
      <w:pPr>
        <w:ind w:left="6" w:right="20"/>
        <w:spacing w:after="0" w:line="282" w:lineRule="auto"/>
        <w:rPr>
          <w:sz w:val="20"/>
          <w:szCs w:val="20"/>
          <w:color w:val="auto"/>
        </w:rPr>
      </w:pPr>
      <w:r>
        <w:rPr>
          <w:rFonts w:ascii="Arial" w:cs="Arial" w:eastAsia="Arial" w:hAnsi="Arial"/>
          <w:sz w:val="17"/>
          <w:szCs w:val="17"/>
          <w:color w:val="auto"/>
        </w:rPr>
        <w:t xml:space="preserve">Customer desires to purchase twenty-five (25) additional 787-9 Aircraft and twenty-two (22) additional 787-8 Aircraft not contemplated in the original Purchase Agreement; and, therefore, Customer hereby [*CTR] for twenty-five (25) 787-9 Aircraft (the </w:t>
      </w:r>
      <w:r>
        <w:rPr>
          <w:rFonts w:ascii="Arial" w:cs="Arial" w:eastAsia="Arial" w:hAnsi="Arial"/>
          <w:sz w:val="17"/>
          <w:szCs w:val="17"/>
          <w:b w:val="1"/>
          <w:bCs w:val="1"/>
          <w:i w:val="1"/>
          <w:iCs w:val="1"/>
          <w:color w:val="auto"/>
        </w:rPr>
        <w:t>2018 787-9 [*CTR] Aircraft</w:t>
      </w:r>
      <w:r>
        <w:rPr>
          <w:rFonts w:ascii="Arial" w:cs="Arial" w:eastAsia="Arial" w:hAnsi="Arial"/>
          <w:sz w:val="17"/>
          <w:szCs w:val="17"/>
          <w:color w:val="auto"/>
        </w:rPr>
        <w:t>) and twenty-two</w:t>
      </w:r>
    </w:p>
    <w:p>
      <w:pPr>
        <w:spacing w:after="0" w:line="1" w:lineRule="exact"/>
        <w:rPr>
          <w:sz w:val="20"/>
          <w:szCs w:val="20"/>
          <w:color w:val="auto"/>
        </w:rPr>
      </w:pPr>
    </w:p>
    <w:p>
      <w:pPr>
        <w:ind w:left="6" w:hanging="6"/>
        <w:spacing w:after="0" w:line="248" w:lineRule="auto"/>
        <w:tabs>
          <w:tab w:leader="none" w:pos="365" w:val="left"/>
        </w:tabs>
        <w:numPr>
          <w:ilvl w:val="0"/>
          <w:numId w:val="61"/>
        </w:numPr>
        <w:rPr>
          <w:rFonts w:ascii="Arial" w:cs="Arial" w:eastAsia="Arial" w:hAnsi="Arial"/>
          <w:sz w:val="19"/>
          <w:szCs w:val="19"/>
          <w:color w:val="auto"/>
        </w:rPr>
      </w:pPr>
      <w:r>
        <w:rPr>
          <w:rFonts w:ascii="Arial" w:cs="Arial" w:eastAsia="Arial" w:hAnsi="Arial"/>
          <w:sz w:val="19"/>
          <w:szCs w:val="19"/>
          <w:color w:val="auto"/>
        </w:rPr>
        <w:t>787-8 Aircraft (</w:t>
      </w:r>
      <w:r>
        <w:rPr>
          <w:rFonts w:ascii="Arial" w:cs="Arial" w:eastAsia="Arial" w:hAnsi="Arial"/>
          <w:sz w:val="19"/>
          <w:szCs w:val="19"/>
          <w:b w:val="1"/>
          <w:bCs w:val="1"/>
          <w:i w:val="1"/>
          <w:iCs w:val="1"/>
          <w:color w:val="auto"/>
        </w:rPr>
        <w:t>2018 787-8 [*CTR] Aircraft</w:t>
      </w:r>
      <w:r>
        <w:rPr>
          <w:rFonts w:ascii="Arial" w:cs="Arial" w:eastAsia="Arial" w:hAnsi="Arial"/>
          <w:sz w:val="19"/>
          <w:szCs w:val="19"/>
          <w:color w:val="auto"/>
        </w:rPr>
        <w:t xml:space="preserve">, and together with the 2018 787-9 Exercised Aircraft, the </w:t>
      </w:r>
      <w:r>
        <w:rPr>
          <w:rFonts w:ascii="Arial" w:cs="Arial" w:eastAsia="Arial" w:hAnsi="Arial"/>
          <w:sz w:val="19"/>
          <w:szCs w:val="19"/>
          <w:b w:val="1"/>
          <w:bCs w:val="1"/>
          <w:i w:val="1"/>
          <w:iCs w:val="1"/>
          <w:color w:val="auto"/>
        </w:rPr>
        <w:t>2018 [*CTR] Aircraft</w:t>
      </w:r>
      <w:r>
        <w:rPr>
          <w:rFonts w:ascii="Arial" w:cs="Arial" w:eastAsia="Arial" w:hAnsi="Arial"/>
          <w:sz w:val="19"/>
          <w:szCs w:val="19"/>
          <w:color w:val="auto"/>
        </w:rPr>
        <w:t>) pursuant to the terms and conditions of the Original 787 Rights Letter;</w:t>
      </w:r>
    </w:p>
    <w:p>
      <w:pPr>
        <w:spacing w:after="0" w:line="164" w:lineRule="exact"/>
        <w:rPr>
          <w:sz w:val="20"/>
          <w:szCs w:val="20"/>
          <w:color w:val="auto"/>
        </w:rPr>
      </w:pPr>
    </w:p>
    <w:p>
      <w:pPr>
        <w:jc w:val="both"/>
        <w:ind w:left="6" w:right="20" w:firstLine="842"/>
        <w:spacing w:after="0" w:line="255" w:lineRule="auto"/>
        <w:rPr>
          <w:sz w:val="20"/>
          <w:szCs w:val="20"/>
          <w:color w:val="auto"/>
        </w:rPr>
      </w:pPr>
      <w:r>
        <w:rPr>
          <w:rFonts w:ascii="Arial" w:cs="Arial" w:eastAsia="Arial" w:hAnsi="Arial"/>
          <w:sz w:val="19"/>
          <w:szCs w:val="19"/>
          <w:color w:val="auto"/>
        </w:rPr>
        <w:t>WHEREAS, to commit Boeing to sell and Customer to purchase the 2018 [*CTR] Aircraft, Boeing and Customer hereby agree that such 2018 [*CTR] Aircraft are hereby now considered Firm Aircraft as defined in the Original Rights Letter and no further Purchase Agreement Supplements or supplemental agreements will be required to be executed in regard to the 2018 [*CTR] Aircraft;</w:t>
      </w:r>
    </w:p>
    <w:p>
      <w:pPr>
        <w:spacing w:after="0" w:line="158" w:lineRule="exact"/>
        <w:rPr>
          <w:sz w:val="20"/>
          <w:szCs w:val="20"/>
          <w:color w:val="auto"/>
        </w:rPr>
      </w:pPr>
    </w:p>
    <w:p>
      <w:pPr>
        <w:jc w:val="both"/>
        <w:ind w:left="6" w:firstLine="842"/>
        <w:spacing w:after="0" w:line="266" w:lineRule="auto"/>
        <w:rPr>
          <w:sz w:val="20"/>
          <w:szCs w:val="20"/>
          <w:color w:val="auto"/>
        </w:rPr>
      </w:pPr>
      <w:r>
        <w:rPr>
          <w:rFonts w:ascii="Arial" w:cs="Arial" w:eastAsia="Arial" w:hAnsi="Arial"/>
          <w:sz w:val="19"/>
          <w:szCs w:val="19"/>
          <w:color w:val="auto"/>
        </w:rPr>
        <w:t>WHEREAS, Customer and Boeing agree that as a result of the commitment to purchase the 2018 [*CTR] Aircraft there are [*CTR] available to Customer pursuant to the Original 787 Rights Letter;</w:t>
      </w:r>
    </w:p>
    <w:p>
      <w:pPr>
        <w:spacing w:after="0" w:line="147" w:lineRule="exact"/>
        <w:rPr>
          <w:sz w:val="20"/>
          <w:szCs w:val="20"/>
          <w:color w:val="auto"/>
        </w:rPr>
      </w:pPr>
    </w:p>
    <w:p>
      <w:pPr>
        <w:jc w:val="both"/>
        <w:ind w:left="6" w:firstLine="842"/>
        <w:spacing w:after="0" w:line="266" w:lineRule="auto"/>
        <w:rPr>
          <w:sz w:val="20"/>
          <w:szCs w:val="20"/>
          <w:color w:val="auto"/>
        </w:rPr>
      </w:pPr>
      <w:r>
        <w:rPr>
          <w:rFonts w:ascii="Arial" w:cs="Arial" w:eastAsia="Arial" w:hAnsi="Arial"/>
          <w:sz w:val="19"/>
          <w:szCs w:val="19"/>
          <w:color w:val="auto"/>
        </w:rPr>
        <w:t>WHEREAS, Customer and Boeing agree to the addition of [*CTR] for Customer to [*CTR] 787-9 Aircraft, the addition of [*CTR] for Customer to *CTR] 787-9 Aircraft and the related [*CTR] for Customer to [*CTR] such [*CTR] Aircraft to [*CTR] Aircraft; and</w:t>
      </w:r>
    </w:p>
    <w:p>
      <w:pPr>
        <w:spacing w:after="0" w:line="147" w:lineRule="exact"/>
        <w:rPr>
          <w:sz w:val="20"/>
          <w:szCs w:val="20"/>
          <w:color w:val="auto"/>
        </w:rPr>
      </w:pPr>
    </w:p>
    <w:p>
      <w:pPr>
        <w:jc w:val="both"/>
        <w:ind w:left="6" w:right="20" w:firstLine="842"/>
        <w:spacing w:after="0" w:line="266" w:lineRule="auto"/>
        <w:rPr>
          <w:sz w:val="20"/>
          <w:szCs w:val="20"/>
          <w:color w:val="auto"/>
        </w:rPr>
      </w:pPr>
      <w:r>
        <w:rPr>
          <w:rFonts w:ascii="Arial" w:cs="Arial" w:eastAsia="Arial" w:hAnsi="Arial"/>
          <w:sz w:val="19"/>
          <w:szCs w:val="19"/>
          <w:color w:val="auto"/>
        </w:rPr>
        <w:t xml:space="preserve">WHEREAS, on or about the date hereof Customer, Boeing, and Boeing Capital Corporation (BCC) entered into that certain Letter Agreement No. 5-1005-PS-3235 (the </w:t>
      </w:r>
      <w:r>
        <w:rPr>
          <w:rFonts w:ascii="Arial" w:cs="Arial" w:eastAsia="Arial" w:hAnsi="Arial"/>
          <w:sz w:val="19"/>
          <w:szCs w:val="19"/>
          <w:b w:val="1"/>
          <w:bCs w:val="1"/>
          <w:i w:val="1"/>
          <w:iCs w:val="1"/>
          <w:color w:val="auto"/>
        </w:rPr>
        <w:t>[*CTR] Letter</w:t>
      </w:r>
      <w:r>
        <w:rPr>
          <w:rFonts w:ascii="Arial" w:cs="Arial" w:eastAsia="Arial" w:hAnsi="Arial"/>
          <w:sz w:val="19"/>
          <w:szCs w:val="19"/>
          <w:color w:val="auto"/>
        </w:rPr>
        <w:t>) whereby [*CTR]; and</w:t>
      </w:r>
    </w:p>
    <w:p>
      <w:pPr>
        <w:spacing w:after="0" w:line="147" w:lineRule="exact"/>
        <w:rPr>
          <w:sz w:val="20"/>
          <w:szCs w:val="20"/>
          <w:color w:val="auto"/>
        </w:rPr>
      </w:pPr>
    </w:p>
    <w:p>
      <w:pPr>
        <w:jc w:val="both"/>
        <w:ind w:left="6" w:firstLine="842"/>
        <w:spacing w:after="0" w:line="250" w:lineRule="auto"/>
        <w:rPr>
          <w:sz w:val="20"/>
          <w:szCs w:val="20"/>
          <w:color w:val="auto"/>
        </w:rPr>
      </w:pPr>
      <w:r>
        <w:rPr>
          <w:rFonts w:ascii="Arial" w:cs="Arial" w:eastAsia="Arial" w:hAnsi="Arial"/>
          <w:sz w:val="19"/>
          <w:szCs w:val="19"/>
          <w:color w:val="auto"/>
        </w:rPr>
        <w:t>WHEREAS, on or about the date hereof Customer, Boeing, and [*CTR] entered into that certain “[</w:t>
      </w:r>
      <w:r>
        <w:rPr>
          <w:rFonts w:ascii="Arial" w:cs="Arial" w:eastAsia="Arial" w:hAnsi="Arial"/>
          <w:sz w:val="19"/>
          <w:szCs w:val="19"/>
          <w:u w:val="single" w:color="auto"/>
          <w:color w:val="auto"/>
        </w:rPr>
        <w:t>*CTR]</w:t>
      </w:r>
      <w:r>
        <w:rPr>
          <w:rFonts w:ascii="Arial" w:cs="Arial" w:eastAsia="Arial" w:hAnsi="Arial"/>
          <w:sz w:val="19"/>
          <w:szCs w:val="19"/>
          <w:color w:val="auto"/>
        </w:rPr>
        <w:t>” (the [</w:t>
      </w:r>
      <w:r>
        <w:rPr>
          <w:rFonts w:ascii="Arial" w:cs="Arial" w:eastAsia="Arial" w:hAnsi="Arial"/>
          <w:sz w:val="19"/>
          <w:szCs w:val="19"/>
          <w:b w:val="1"/>
          <w:bCs w:val="1"/>
          <w:i w:val="1"/>
          <w:iCs w:val="1"/>
          <w:color w:val="auto"/>
        </w:rPr>
        <w:t>*CTR</w:t>
      </w:r>
      <w:r>
        <w:rPr>
          <w:rFonts w:ascii="Arial" w:cs="Arial" w:eastAsia="Arial" w:hAnsi="Arial"/>
          <w:sz w:val="19"/>
          <w:szCs w:val="19"/>
          <w:color w:val="auto"/>
        </w:rPr>
        <w:t>]) whereby, subject to Customer’s option to [*CTR] certain 2018 787-8 [*CTR] Aircraft, [*CTR], each of the 2018 787-8 [*CTR] Aircraft, in which event [*CTR] each of the 2018 787-8 [*CTR] Aircraft back to Customer (each such [*CTR], a [</w:t>
      </w:r>
      <w:r>
        <w:rPr>
          <w:rFonts w:ascii="Arial" w:cs="Arial" w:eastAsia="Arial" w:hAnsi="Arial"/>
          <w:sz w:val="19"/>
          <w:szCs w:val="19"/>
          <w:b w:val="1"/>
          <w:bCs w:val="1"/>
          <w:i w:val="1"/>
          <w:iCs w:val="1"/>
          <w:color w:val="auto"/>
        </w:rPr>
        <w:t>*CTR</w:t>
      </w:r>
      <w:r>
        <w:rPr>
          <w:rFonts w:ascii="Arial" w:cs="Arial" w:eastAsia="Arial" w:hAnsi="Arial"/>
          <w:sz w:val="19"/>
          <w:szCs w:val="19"/>
          <w:color w:val="auto"/>
        </w:rPr>
        <w:t>]).</w:t>
      </w:r>
    </w:p>
    <w:p>
      <w:pPr>
        <w:spacing w:after="0" w:line="1" w:lineRule="exact"/>
        <w:rPr>
          <w:sz w:val="20"/>
          <w:szCs w:val="20"/>
          <w:color w:val="auto"/>
        </w:rPr>
      </w:pPr>
    </w:p>
    <w:p>
      <w:pPr>
        <w:ind w:left="566"/>
        <w:spacing w:after="0"/>
        <w:rPr>
          <w:sz w:val="20"/>
          <w:szCs w:val="20"/>
          <w:color w:val="auto"/>
        </w:rPr>
      </w:pPr>
      <w:r>
        <w:rPr>
          <w:rFonts w:ascii="Arial" w:cs="Arial" w:eastAsia="Arial" w:hAnsi="Arial"/>
          <w:sz w:val="18"/>
          <w:szCs w:val="18"/>
          <w:color w:val="auto"/>
        </w:rPr>
        <w:t>NOW, THEREFORE, the parties agree that the Purchase Agreement is amended as set forth below and otherwise agree as follows:</w:t>
      </w:r>
    </w:p>
    <w:p>
      <w:pPr>
        <w:spacing w:after="0" w:line="182" w:lineRule="exact"/>
        <w:rPr>
          <w:sz w:val="20"/>
          <w:szCs w:val="20"/>
          <w:color w:val="auto"/>
        </w:rPr>
      </w:pPr>
    </w:p>
    <w:p>
      <w:pPr>
        <w:ind w:left="986" w:hanging="986"/>
        <w:spacing w:after="0"/>
        <w:tabs>
          <w:tab w:leader="none" w:pos="986"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Table of Contents</w:t>
      </w:r>
      <w:r>
        <w:rPr>
          <w:rFonts w:ascii="Arial" w:cs="Arial" w:eastAsia="Arial" w:hAnsi="Arial"/>
          <w:sz w:val="19"/>
          <w:szCs w:val="19"/>
          <w:b w:val="1"/>
          <w:bCs w:val="1"/>
          <w:color w:val="auto"/>
        </w:rPr>
        <w:t>.</w:t>
      </w:r>
    </w:p>
    <w:p>
      <w:pPr>
        <w:spacing w:after="0" w:line="253" w:lineRule="exact"/>
        <w:rPr>
          <w:sz w:val="20"/>
          <w:szCs w:val="20"/>
          <w:color w:val="auto"/>
        </w:rPr>
      </w:pPr>
    </w:p>
    <w:p>
      <w:pPr>
        <w:ind w:left="6" w:right="160" w:firstLine="561"/>
        <w:spacing w:after="0" w:line="361" w:lineRule="auto"/>
        <w:rPr>
          <w:sz w:val="20"/>
          <w:szCs w:val="20"/>
          <w:color w:val="auto"/>
        </w:rPr>
      </w:pPr>
      <w:r>
        <w:rPr>
          <w:rFonts w:ascii="Arial" w:cs="Arial" w:eastAsia="Arial" w:hAnsi="Arial"/>
          <w:sz w:val="16"/>
          <w:szCs w:val="16"/>
          <w:color w:val="auto"/>
        </w:rPr>
        <w:t>The Table of Contents referencing SA-10 in the footer is deleted in its entirety and is replaced with the new Table of Contents (attached hereto) referencing SA-11 in the footer. Such new Table of Contents is hereby incorporated into the Purchase Agreement in replacement of its predecessor.</w:t>
      </w:r>
    </w:p>
    <w:p>
      <w:pPr>
        <w:spacing w:after="0" w:line="215" w:lineRule="exact"/>
        <w:rPr>
          <w:sz w:val="20"/>
          <w:szCs w:val="20"/>
          <w:color w:val="auto"/>
        </w:rPr>
      </w:pPr>
    </w:p>
    <w:p>
      <w:pPr>
        <w:ind w:left="286" w:hanging="286"/>
        <w:spacing w:after="0"/>
        <w:tabs>
          <w:tab w:leader="none" w:pos="28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Tables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346"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2</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787" w:right="219" w:bottom="1440" w:gutter="0" w:footer="0" w:header="0"/>
        </w:sectPr>
      </w:pPr>
    </w:p>
    <w:bookmarkStart w:id="99" w:name="page100"/>
    <w:bookmarkEnd w:id="99"/>
    <w:p>
      <w:pPr>
        <w:ind w:right="20" w:firstLine="561"/>
        <w:spacing w:after="0" w:line="304"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Table 5</w:t>
      </w:r>
      <w:r>
        <w:rPr>
          <w:rFonts w:ascii="Arial" w:cs="Arial" w:eastAsia="Arial" w:hAnsi="Arial"/>
          <w:sz w:val="19"/>
          <w:szCs w:val="19"/>
          <w:color w:val="auto"/>
        </w:rPr>
        <w:t>. Table 5 entitled “</w:t>
      </w:r>
      <w:r>
        <w:rPr>
          <w:rFonts w:ascii="Arial" w:cs="Arial" w:eastAsia="Arial" w:hAnsi="Arial"/>
          <w:sz w:val="19"/>
          <w:szCs w:val="19"/>
          <w:u w:val="single" w:color="auto"/>
          <w:color w:val="auto"/>
        </w:rPr>
        <w:t>787-9 [*CTR] Aircraft, Aircraft Delivery, Description, Price and Advance Payments</w:t>
      </w:r>
      <w:r>
        <w:rPr>
          <w:rFonts w:ascii="Arial" w:cs="Arial" w:eastAsia="Arial" w:hAnsi="Arial"/>
          <w:sz w:val="19"/>
          <w:szCs w:val="19"/>
          <w:color w:val="auto"/>
        </w:rPr>
        <w:t>” (</w:t>
      </w:r>
      <w:r>
        <w:rPr>
          <w:rFonts w:ascii="Arial" w:cs="Arial" w:eastAsia="Arial" w:hAnsi="Arial"/>
          <w:sz w:val="19"/>
          <w:szCs w:val="19"/>
          <w:b w:val="1"/>
          <w:bCs w:val="1"/>
          <w:i w:val="1"/>
          <w:iCs w:val="1"/>
          <w:color w:val="auto"/>
        </w:rPr>
        <w:t>Table 5</w:t>
      </w:r>
      <w:r>
        <w:rPr>
          <w:rFonts w:ascii="Arial" w:cs="Arial" w:eastAsia="Arial" w:hAnsi="Arial"/>
          <w:sz w:val="19"/>
          <w:szCs w:val="19"/>
          <w:color w:val="auto"/>
        </w:rPr>
        <w:t>) is hereby incorporated into the Purchase Agreement.</w:t>
      </w:r>
    </w:p>
    <w:p>
      <w:pPr>
        <w:spacing w:after="0" w:line="148" w:lineRule="exact"/>
        <w:rPr>
          <w:sz w:val="20"/>
          <w:szCs w:val="20"/>
          <w:color w:val="auto"/>
        </w:rPr>
      </w:pPr>
    </w:p>
    <w:p>
      <w:pPr>
        <w:jc w:val="both"/>
        <w:ind w:firstLine="1123"/>
        <w:spacing w:after="0" w:line="303" w:lineRule="auto"/>
        <w:rPr>
          <w:sz w:val="20"/>
          <w:szCs w:val="20"/>
          <w:color w:val="auto"/>
        </w:rPr>
      </w:pPr>
      <w:r>
        <w:rPr>
          <w:rFonts w:ascii="Arial" w:cs="Arial" w:eastAsia="Arial" w:hAnsi="Arial"/>
          <w:sz w:val="18"/>
          <w:szCs w:val="18"/>
          <w:color w:val="auto"/>
        </w:rPr>
        <w:t>2.1.1 For the avoidance of doubt, Boeing and Customer confirm that the [*CTR] set forth on Table 5 was [*CTR] by Customer that are listed on the attachment to Exhibit A(R3) and [*CTR]. Boeing and Customer further confirm that in the event that the [*CTR] listed on the attachment to Exhibit A(R3) (or its replacement document) are ever amended or revised, for any reason, the [*CTR] on Table 5 (or its replacement document) will be [*CTR] listed on Exhibit A(R3) (or its replacement document) and [*CTR]. Additionally, the parties agree that in the event the Customer [*CTR] as a 787-9 aircraft pursuant to Letter Agreement 6-1162-TRW-0664R2, or any of the 2018 [*CTR] Aircraft as defined in Letter Agreement AAL-PA-03219-LA1804779, the [*CTR] for such [*CTR] and 2018 [*CTR] Aircraft will be [*CTR] on Exhibit A(R3) (or its replacement document) and [*CTR]. The [*CTR] is expressed in [*CTR] and is to be [*CTR] in accordance with the provisions of Supplemental Exhibit AE1 entitled “[</w:t>
      </w:r>
      <w:r>
        <w:rPr>
          <w:rFonts w:ascii="Arial" w:cs="Arial" w:eastAsia="Arial" w:hAnsi="Arial"/>
          <w:sz w:val="18"/>
          <w:szCs w:val="18"/>
          <w:u w:val="single" w:color="auto"/>
          <w:color w:val="auto"/>
        </w:rPr>
        <w:t>*CTR</w:t>
      </w:r>
      <w:r>
        <w:rPr>
          <w:rFonts w:ascii="Arial" w:cs="Arial" w:eastAsia="Arial" w:hAnsi="Arial"/>
          <w:sz w:val="18"/>
          <w:szCs w:val="18"/>
          <w:color w:val="auto"/>
        </w:rPr>
        <w:t>]” as such provision have been applied to the Airframe Price.</w:t>
      </w:r>
    </w:p>
    <w:p>
      <w:pPr>
        <w:spacing w:after="0" w:line="50" w:lineRule="exact"/>
        <w:rPr>
          <w:sz w:val="20"/>
          <w:szCs w:val="20"/>
          <w:color w:val="auto"/>
        </w:rPr>
      </w:pPr>
    </w:p>
    <w:p>
      <w:pPr>
        <w:jc w:val="both"/>
        <w:ind w:firstLine="1123"/>
        <w:spacing w:after="0" w:line="283" w:lineRule="auto"/>
        <w:rPr>
          <w:sz w:val="20"/>
          <w:szCs w:val="20"/>
          <w:color w:val="auto"/>
        </w:rPr>
      </w:pPr>
      <w:r>
        <w:rPr>
          <w:rFonts w:ascii="Arial" w:cs="Arial" w:eastAsia="Arial" w:hAnsi="Arial"/>
          <w:sz w:val="17"/>
          <w:szCs w:val="17"/>
          <w:color w:val="auto"/>
        </w:rPr>
        <w:t>2.1.2 The scheduled nominal delivery month for each 2018 787-9 [*CTR] (</w:t>
      </w:r>
      <w:r>
        <w:rPr>
          <w:rFonts w:ascii="Arial" w:cs="Arial" w:eastAsia="Arial" w:hAnsi="Arial"/>
          <w:sz w:val="17"/>
          <w:szCs w:val="17"/>
          <w:b w:val="1"/>
          <w:bCs w:val="1"/>
          <w:i w:val="1"/>
          <w:iCs w:val="1"/>
          <w:color w:val="auto"/>
        </w:rPr>
        <w:t>Nominal Delivery Month</w:t>
      </w:r>
      <w:r>
        <w:rPr>
          <w:rFonts w:ascii="Arial" w:cs="Arial" w:eastAsia="Arial" w:hAnsi="Arial"/>
          <w:sz w:val="17"/>
          <w:szCs w:val="17"/>
          <w:color w:val="auto"/>
        </w:rPr>
        <w:t>), as of the execution of this SA-11, is listed in Table 5. Each of the 2018 787-9 [*CTR] may be delivered in a [*CTR] consisting of the Nominal Delivery Month [*CTR] for each 2018 787-9 [*CTR] Aircraft. No later than [*CTR] prior to the Nominal Delivery Month of the first 2018 787-9 [*CTR] Aircraft in each calendar year as set forth in Table 5, Boeing will provide written notice to Customer setting forth the calendar month in the [*CTR] which will be the Scheduled Delivery Month for each 2018 787-9 [*CTR] Aircraft with a Nominal Delivery Month in such calendar year. Such notice will constitute an amendment to Table 5 and Table 5 will be restated at the execution of the next supplemental agreement to the Purchase Agreement to reflect such amendment.</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2.1.3 Prior to providing such notice described in Article 2.1.2, [*CTR] of 2018 787-9 [*CTR] Aircraft scheduled for delivery in [*CTR].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Boeing agrees that, [*CTR] 2018 787-9 [*CTR] Aircraft be scheduled for delivery or delivered in any calendar month.</w:t>
      </w:r>
    </w:p>
    <w:p>
      <w:pPr>
        <w:spacing w:after="0" w:line="210" w:lineRule="exact"/>
        <w:rPr>
          <w:sz w:val="20"/>
          <w:szCs w:val="20"/>
          <w:color w:val="auto"/>
        </w:rPr>
      </w:pPr>
    </w:p>
    <w:p>
      <w:pPr>
        <w:jc w:val="both"/>
        <w:ind w:firstLine="1123"/>
        <w:spacing w:after="0" w:line="255" w:lineRule="auto"/>
        <w:rPr>
          <w:sz w:val="20"/>
          <w:szCs w:val="20"/>
          <w:color w:val="auto"/>
        </w:rPr>
      </w:pPr>
      <w:r>
        <w:rPr>
          <w:rFonts w:ascii="Arial" w:cs="Arial" w:eastAsia="Arial" w:hAnsi="Arial"/>
          <w:sz w:val="19"/>
          <w:szCs w:val="19"/>
          <w:color w:val="auto"/>
        </w:rPr>
        <w:t>2.1.4 The Scheduled Delivery Month for each 2018 787-9 [*CTR] Aircraft as determined in accordance with Section 2.1.2 in this Letter Agreement for each Aircraft shall be used for purposes of applying all provisions of the Purchase Agreement, including without limitation, the [*CTR], and the [*CTR].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00" w:val="left"/>
          <w:tab w:leader="none" w:pos="148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705" w:right="219" w:bottom="1440" w:gutter="0" w:footer="0" w:header="0"/>
        </w:sectPr>
      </w:pPr>
    </w:p>
    <w:bookmarkStart w:id="100" w:name="page101"/>
    <w:bookmarkEnd w:id="100"/>
    <w:p>
      <w:pPr>
        <w:jc w:val="both"/>
        <w:ind w:left="6" w:firstLine="561"/>
        <w:spacing w:after="0" w:line="266" w:lineRule="auto"/>
        <w:rPr>
          <w:sz w:val="20"/>
          <w:szCs w:val="20"/>
          <w:color w:val="auto"/>
        </w:rPr>
      </w:pPr>
      <w:r>
        <w:rPr>
          <w:rFonts w:ascii="Arial" w:cs="Arial" w:eastAsia="Arial" w:hAnsi="Arial"/>
          <w:sz w:val="19"/>
          <w:szCs w:val="19"/>
          <w:color w:val="auto"/>
        </w:rPr>
        <w:t>2.2 Table 6. Table 6 entitled “</w:t>
      </w:r>
      <w:r>
        <w:rPr>
          <w:rFonts w:ascii="Arial" w:cs="Arial" w:eastAsia="Arial" w:hAnsi="Arial"/>
          <w:sz w:val="19"/>
          <w:szCs w:val="19"/>
          <w:u w:val="single" w:color="auto"/>
          <w:color w:val="auto"/>
        </w:rPr>
        <w:t>787-8 [*CTR] Aircraft, Aircraft Delivery, Description, Price and Advance Payments</w:t>
      </w:r>
      <w:r>
        <w:rPr>
          <w:rFonts w:ascii="Arial" w:cs="Arial" w:eastAsia="Arial" w:hAnsi="Arial"/>
          <w:sz w:val="19"/>
          <w:szCs w:val="19"/>
          <w:color w:val="auto"/>
        </w:rPr>
        <w:t>” (</w:t>
      </w:r>
      <w:r>
        <w:rPr>
          <w:rFonts w:ascii="Arial" w:cs="Arial" w:eastAsia="Arial" w:hAnsi="Arial"/>
          <w:sz w:val="19"/>
          <w:szCs w:val="19"/>
          <w:b w:val="1"/>
          <w:bCs w:val="1"/>
          <w:i w:val="1"/>
          <w:iCs w:val="1"/>
          <w:color w:val="auto"/>
        </w:rPr>
        <w:t>Table 6</w:t>
      </w:r>
      <w:r>
        <w:rPr>
          <w:rFonts w:ascii="Arial" w:cs="Arial" w:eastAsia="Arial" w:hAnsi="Arial"/>
          <w:sz w:val="19"/>
          <w:szCs w:val="19"/>
          <w:color w:val="auto"/>
        </w:rPr>
        <w:t>) is hereby incorporated into the Purchase Agreement.</w:t>
      </w:r>
    </w:p>
    <w:p>
      <w:pPr>
        <w:spacing w:after="0" w:line="182" w:lineRule="exact"/>
        <w:rPr>
          <w:sz w:val="20"/>
          <w:szCs w:val="20"/>
          <w:color w:val="auto"/>
        </w:rPr>
      </w:pPr>
    </w:p>
    <w:p>
      <w:pPr>
        <w:jc w:val="both"/>
        <w:ind w:left="6" w:firstLine="1123"/>
        <w:spacing w:after="0" w:line="262" w:lineRule="auto"/>
        <w:rPr>
          <w:sz w:val="20"/>
          <w:szCs w:val="20"/>
          <w:color w:val="auto"/>
        </w:rPr>
      </w:pPr>
      <w:r>
        <w:rPr>
          <w:rFonts w:ascii="Arial" w:cs="Arial" w:eastAsia="Arial" w:hAnsi="Arial"/>
          <w:sz w:val="18"/>
          <w:szCs w:val="18"/>
          <w:color w:val="auto"/>
        </w:rPr>
        <w:t>2.2.2 For the avoidance of doubt, Boeing and Customer confirm that the [*CTR] set forth on Table 6 was [*CTR] by Customer that are listed on the attachment to Exhibit A2(R4) and [*CTR]. Boeing and Customer further confirm that in the event that the [*CTR] listed on the attachment to Exhibit A2(R4) (or its replacement document) are ever amended or revised, for any reason, the [*CTR] on Table 6 (or its replacement document) will be [*CTR] listed on Exhibit A2(R4) (or its replacement document) and [*CTR]. Additionally, the parties agree that in the event the Customer [*CTR] as a 787-8 aircraft pursuant to Letter Agreement 6-1162-TRW-0664R2, or any of the 2018 [*CTR] Aircraft as defined in Letter Agreement AAL-PA-03219-LA1804779, the [*CTR] for such [*CTR] or 2018 [*CTR] Aircraft will be [*CTR] listed on Exhibit A2(R4) (or its replacement document) and [*CTR]. The [*CTR] is expressed in [*CTR] and is to be [*CTR] in accordance with the provisions of Supplemental Exhibit AE1 entitled “[</w:t>
      </w:r>
      <w:r>
        <w:rPr>
          <w:rFonts w:ascii="Arial" w:cs="Arial" w:eastAsia="Arial" w:hAnsi="Arial"/>
          <w:sz w:val="18"/>
          <w:szCs w:val="18"/>
          <w:u w:val="single" w:color="auto"/>
          <w:color w:val="auto"/>
        </w:rPr>
        <w:t>*CTR</w:t>
      </w:r>
      <w:r>
        <w:rPr>
          <w:rFonts w:ascii="Arial" w:cs="Arial" w:eastAsia="Arial" w:hAnsi="Arial"/>
          <w:sz w:val="18"/>
          <w:szCs w:val="18"/>
          <w:color w:val="auto"/>
        </w:rPr>
        <w:t>]” as such provision have been applied to the Airframe Price.</w:t>
      </w:r>
    </w:p>
    <w:p>
      <w:pPr>
        <w:spacing w:after="0" w:line="236" w:lineRule="exact"/>
        <w:rPr>
          <w:sz w:val="20"/>
          <w:szCs w:val="20"/>
          <w:color w:val="auto"/>
        </w:rPr>
      </w:pPr>
    </w:p>
    <w:p>
      <w:pPr>
        <w:ind w:left="286" w:hanging="286"/>
        <w:spacing w:after="0"/>
        <w:tabs>
          <w:tab w:leader="none" w:pos="286"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Exhibits</w:t>
      </w:r>
      <w:r>
        <w:rPr>
          <w:rFonts w:ascii="Arial" w:cs="Arial" w:eastAsia="Arial" w:hAnsi="Arial"/>
          <w:sz w:val="19"/>
          <w:szCs w:val="19"/>
          <w:b w:val="1"/>
          <w:bCs w:val="1"/>
          <w:color w:val="auto"/>
        </w:rPr>
        <w:t>.</w:t>
      </w:r>
    </w:p>
    <w:p>
      <w:pPr>
        <w:spacing w:after="0" w:line="136" w:lineRule="exact"/>
        <w:rPr>
          <w:sz w:val="20"/>
          <w:szCs w:val="20"/>
          <w:color w:val="auto"/>
        </w:rPr>
      </w:pPr>
    </w:p>
    <w:p>
      <w:pPr>
        <w:jc w:val="both"/>
        <w:ind w:left="6" w:firstLine="561"/>
        <w:spacing w:after="0" w:line="299" w:lineRule="auto"/>
        <w:rPr>
          <w:sz w:val="20"/>
          <w:szCs w:val="20"/>
          <w:color w:val="auto"/>
        </w:rPr>
      </w:pPr>
      <w:r>
        <w:rPr>
          <w:rFonts w:ascii="Arial" w:cs="Arial" w:eastAsia="Arial" w:hAnsi="Arial"/>
          <w:sz w:val="17"/>
          <w:szCs w:val="17"/>
          <w:color w:val="auto"/>
        </w:rPr>
        <w:t>3.1 Exhibit A(R2) entitled “</w:t>
      </w:r>
      <w:r>
        <w:rPr>
          <w:rFonts w:ascii="Arial" w:cs="Arial" w:eastAsia="Arial" w:hAnsi="Arial"/>
          <w:sz w:val="17"/>
          <w:szCs w:val="17"/>
          <w:u w:val="single" w:color="auto"/>
          <w:color w:val="auto"/>
        </w:rPr>
        <w:t>Aircraft Configuration Dated as Effective Date of SA-7 relating to Boeing Model [*CTR] Aircraft</w:t>
      </w:r>
      <w:r>
        <w:rPr>
          <w:rFonts w:ascii="Arial" w:cs="Arial" w:eastAsia="Arial" w:hAnsi="Arial"/>
          <w:sz w:val="17"/>
          <w:szCs w:val="17"/>
          <w:color w:val="auto"/>
        </w:rPr>
        <w:t>” referencing SA-7 in the footer is deleted in its entirety and replaced with Exhibit A(R3) entitled “</w:t>
      </w:r>
      <w:r>
        <w:rPr>
          <w:rFonts w:ascii="Arial" w:cs="Arial" w:eastAsia="Arial" w:hAnsi="Arial"/>
          <w:sz w:val="17"/>
          <w:szCs w:val="17"/>
          <w:u w:val="single" w:color="auto"/>
          <w:color w:val="auto"/>
        </w:rPr>
        <w:t>Aircraft Configuration Dated as of the Effective Date of SA-11</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relating to Boeing Model [*CTR]</w:t>
      </w:r>
      <w:r>
        <w:rPr>
          <w:rFonts w:ascii="Arial" w:cs="Arial" w:eastAsia="Arial" w:hAnsi="Arial"/>
          <w:sz w:val="17"/>
          <w:szCs w:val="17"/>
          <w:color w:val="auto"/>
        </w:rPr>
        <w:t>” (attached hereto) referencing SA-11 in the footer. Exhibit A(R3) is hereby incorporated into the Purchase Agreement.</w:t>
      </w:r>
    </w:p>
    <w:p>
      <w:pPr>
        <w:spacing w:after="0" w:line="30" w:lineRule="exact"/>
        <w:rPr>
          <w:sz w:val="20"/>
          <w:szCs w:val="20"/>
          <w:color w:val="auto"/>
        </w:rPr>
      </w:pPr>
    </w:p>
    <w:p>
      <w:pPr>
        <w:jc w:val="both"/>
        <w:ind w:left="6" w:right="20" w:firstLine="561"/>
        <w:spacing w:after="0" w:line="251" w:lineRule="auto"/>
        <w:rPr>
          <w:sz w:val="20"/>
          <w:szCs w:val="20"/>
          <w:color w:val="auto"/>
        </w:rPr>
      </w:pPr>
      <w:r>
        <w:rPr>
          <w:rFonts w:ascii="Arial" w:cs="Arial" w:eastAsia="Arial" w:hAnsi="Arial"/>
          <w:sz w:val="19"/>
          <w:szCs w:val="19"/>
          <w:color w:val="auto"/>
        </w:rPr>
        <w:t>3.2 Exhibit A2(R3) entitled “</w:t>
      </w:r>
      <w:r>
        <w:rPr>
          <w:rFonts w:ascii="Arial" w:cs="Arial" w:eastAsia="Arial" w:hAnsi="Arial"/>
          <w:sz w:val="19"/>
          <w:szCs w:val="19"/>
          <w:u w:val="single" w:color="auto"/>
          <w:color w:val="auto"/>
        </w:rPr>
        <w:t>Aircraft Configuration Dated as Effective Date of SA-7 relating to Boeing Model [*CTR] Aircraft</w:t>
      </w:r>
      <w:r>
        <w:rPr>
          <w:rFonts w:ascii="Arial" w:cs="Arial" w:eastAsia="Arial" w:hAnsi="Arial"/>
          <w:sz w:val="19"/>
          <w:szCs w:val="19"/>
          <w:color w:val="auto"/>
        </w:rPr>
        <w:t>” referencing SA-6 in the footer is deleted in its entirety and replaced with the Exhibit A2(R4) entitled “</w:t>
      </w:r>
      <w:r>
        <w:rPr>
          <w:rFonts w:ascii="Arial" w:cs="Arial" w:eastAsia="Arial" w:hAnsi="Arial"/>
          <w:sz w:val="19"/>
          <w:szCs w:val="19"/>
          <w:u w:val="single" w:color="auto"/>
          <w:color w:val="auto"/>
        </w:rPr>
        <w:t>Aircraft Configuration Dated as Effective Date of SA-11</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relating to Boeing Model [*CTR] Aircraft</w:t>
      </w:r>
      <w:r>
        <w:rPr>
          <w:rFonts w:ascii="Arial" w:cs="Arial" w:eastAsia="Arial" w:hAnsi="Arial"/>
          <w:sz w:val="19"/>
          <w:szCs w:val="19"/>
          <w:color w:val="auto"/>
        </w:rPr>
        <w:t>” (attached hereto) referencing SA-11 in the footer. Exhibit A2(R4) is hereby incorporated into the Purchase Agreement.</w:t>
      </w:r>
    </w:p>
    <w:p>
      <w:pPr>
        <w:spacing w:after="0" w:line="345" w:lineRule="exact"/>
        <w:rPr>
          <w:sz w:val="20"/>
          <w:szCs w:val="20"/>
          <w:color w:val="auto"/>
        </w:rPr>
      </w:pPr>
    </w:p>
    <w:p>
      <w:pPr>
        <w:ind w:left="286" w:hanging="286"/>
        <w:spacing w:after="0"/>
        <w:tabs>
          <w:tab w:leader="none" w:pos="286"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Letter Agreements</w:t>
      </w:r>
      <w:r>
        <w:rPr>
          <w:rFonts w:ascii="Arial" w:cs="Arial" w:eastAsia="Arial" w:hAnsi="Arial"/>
          <w:sz w:val="19"/>
          <w:szCs w:val="19"/>
          <w:b w:val="1"/>
          <w:bCs w:val="1"/>
          <w:color w:val="auto"/>
        </w:rPr>
        <w:t>.</w:t>
      </w:r>
    </w:p>
    <w:p>
      <w:pPr>
        <w:spacing w:after="0" w:line="265" w:lineRule="exact"/>
        <w:rPr>
          <w:sz w:val="20"/>
          <w:szCs w:val="20"/>
          <w:color w:val="auto"/>
        </w:rPr>
      </w:pPr>
    </w:p>
    <w:p>
      <w:pPr>
        <w:jc w:val="both"/>
        <w:ind w:left="6" w:firstLine="561"/>
        <w:spacing w:after="0" w:line="255" w:lineRule="auto"/>
        <w:rPr>
          <w:sz w:val="20"/>
          <w:szCs w:val="20"/>
          <w:color w:val="auto"/>
        </w:rPr>
      </w:pPr>
      <w:r>
        <w:rPr>
          <w:rFonts w:ascii="Arial" w:cs="Arial" w:eastAsia="Arial" w:hAnsi="Arial"/>
          <w:sz w:val="19"/>
          <w:szCs w:val="19"/>
          <w:color w:val="auto"/>
        </w:rPr>
        <w:t>4.1 Letter Agreement 6-1162-CLO-1047R3 entitled “[</w:t>
      </w:r>
      <w:r>
        <w:rPr>
          <w:rFonts w:ascii="Arial" w:cs="Arial" w:eastAsia="Arial" w:hAnsi="Arial"/>
          <w:sz w:val="19"/>
          <w:szCs w:val="19"/>
          <w:u w:val="single" w:color="auto"/>
          <w:color w:val="auto"/>
        </w:rPr>
        <w:t>*CTR</w:t>
      </w:r>
      <w:r>
        <w:rPr>
          <w:rFonts w:ascii="Arial" w:cs="Arial" w:eastAsia="Arial" w:hAnsi="Arial"/>
          <w:sz w:val="19"/>
          <w:szCs w:val="19"/>
          <w:color w:val="auto"/>
        </w:rPr>
        <w:t>]” referencing SA-6 in the footer is deleted in its entirety and replaced with the similarly titled Letter Agreement 6-1162-CLO-1047R4 (attached hereto) referencing SA-11 in the footer. Letter Agreement 6-1162-CLO-1047R4 is hereby incorporated into the Purchase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4</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00" w:right="219" w:bottom="1440" w:gutter="0" w:footer="0" w:header="0"/>
        </w:sectPr>
      </w:pPr>
    </w:p>
    <w:bookmarkStart w:id="101" w:name="page102"/>
    <w:bookmarkEnd w:id="101"/>
    <w:p>
      <w:pPr>
        <w:jc w:val="both"/>
        <w:ind w:right="20" w:firstLine="561"/>
        <w:spacing w:after="0" w:line="294" w:lineRule="auto"/>
        <w:rPr>
          <w:sz w:val="20"/>
          <w:szCs w:val="20"/>
          <w:color w:val="auto"/>
        </w:rPr>
      </w:pPr>
      <w:r>
        <w:rPr>
          <w:rFonts w:ascii="Arial" w:cs="Arial" w:eastAsia="Arial" w:hAnsi="Arial"/>
          <w:sz w:val="18"/>
          <w:szCs w:val="18"/>
          <w:color w:val="auto"/>
        </w:rPr>
        <w:t>4.2 The Original 787 Rights Letter is deleted in its entirety and replaced with the similarly titled Letter Agreement 6-1162-TRW-0664R2 (attached hereto) referencing SA-11 in the footer. Letter Agreement 6-1162-TRW-0664R2 is hereby incorporated into the Purchase Agreement.</w:t>
      </w:r>
    </w:p>
    <w:p>
      <w:pPr>
        <w:spacing w:after="0" w:line="160"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9"/>
          <w:szCs w:val="19"/>
          <w:color w:val="auto"/>
        </w:rPr>
        <w:t>4.3 Letter Agreement 6-1162-TRW-0667R2 entitled “[</w:t>
      </w:r>
      <w:r>
        <w:rPr>
          <w:rFonts w:ascii="Arial" w:cs="Arial" w:eastAsia="Arial" w:hAnsi="Arial"/>
          <w:sz w:val="19"/>
          <w:szCs w:val="19"/>
          <w:u w:val="single" w:color="auto"/>
          <w:color w:val="auto"/>
        </w:rPr>
        <w:t>*CTR</w:t>
      </w:r>
      <w:r>
        <w:rPr>
          <w:rFonts w:ascii="Arial" w:cs="Arial" w:eastAsia="Arial" w:hAnsi="Arial"/>
          <w:sz w:val="19"/>
          <w:szCs w:val="19"/>
          <w:color w:val="auto"/>
        </w:rPr>
        <w:t>]” referencing SA – 6 in the footer is deleted in its entirety and replaced with the similarly titled Letter Agreement 6-1162-TRW-0667R3 (attached hereto) referencing SA-11 in the footer. Letter Agreement 6-1162-TRW-0667R3 is hereby incorporated into the Purchase Agreement.</w:t>
      </w:r>
    </w:p>
    <w:p>
      <w:pPr>
        <w:spacing w:after="0" w:line="193"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9"/>
          <w:szCs w:val="19"/>
          <w:color w:val="auto"/>
        </w:rPr>
        <w:t>4.4 Letter Agreement 6-1162-TRW-0674R3 entitled “</w:t>
      </w:r>
      <w:r>
        <w:rPr>
          <w:rFonts w:ascii="Arial" w:cs="Arial" w:eastAsia="Arial" w:hAnsi="Arial"/>
          <w:sz w:val="19"/>
          <w:szCs w:val="19"/>
          <w:u w:val="single" w:color="auto"/>
          <w:color w:val="auto"/>
        </w:rPr>
        <w:t>Business Considerations</w:t>
      </w:r>
      <w:r>
        <w:rPr>
          <w:rFonts w:ascii="Arial" w:cs="Arial" w:eastAsia="Arial" w:hAnsi="Arial"/>
          <w:sz w:val="19"/>
          <w:szCs w:val="19"/>
          <w:color w:val="auto"/>
        </w:rPr>
        <w:t>” referencing SA-6 in the footer is deleted in its entirety and replaced with the similarly titled Letter Agreement 6-1162-TRW-0674R4 (attached hereto) referencing SA-11 in the footer. Letter Agreement 6-1162-TRW-0674R4 is hereby incorporated into the Purchase Agreement.</w:t>
      </w:r>
    </w:p>
    <w:p>
      <w:pPr>
        <w:spacing w:after="0" w:line="193"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9"/>
          <w:szCs w:val="19"/>
          <w:color w:val="auto"/>
        </w:rPr>
        <w:t>4.5 Letter Agreement AAL-PA-3219-0883R1 entitled “[</w:t>
      </w:r>
      <w:r>
        <w:rPr>
          <w:rFonts w:ascii="Arial" w:cs="Arial" w:eastAsia="Arial" w:hAnsi="Arial"/>
          <w:sz w:val="19"/>
          <w:szCs w:val="19"/>
          <w:u w:val="single" w:color="auto"/>
          <w:color w:val="auto"/>
        </w:rPr>
        <w:t>*CTR</w:t>
      </w:r>
      <w:r>
        <w:rPr>
          <w:rFonts w:ascii="Arial" w:cs="Arial" w:eastAsia="Arial" w:hAnsi="Arial"/>
          <w:sz w:val="19"/>
          <w:szCs w:val="19"/>
          <w:color w:val="auto"/>
        </w:rPr>
        <w:t>]” referencing SA – 6 in the footer is deleted in its entirety and replaced with the similarly titled Letter Agreement AAL-PA-3219-0883R2 (attached hereto) referencing SA-11 in the footer. AAL-PA-3219-0883R2 is hereby incorporated into the Purchase Agreement.</w:t>
      </w:r>
    </w:p>
    <w:p>
      <w:pPr>
        <w:spacing w:after="0" w:line="193" w:lineRule="exact"/>
        <w:rPr>
          <w:sz w:val="20"/>
          <w:szCs w:val="20"/>
          <w:color w:val="auto"/>
        </w:rPr>
      </w:pPr>
    </w:p>
    <w:p>
      <w:pPr>
        <w:jc w:val="both"/>
        <w:ind w:firstLine="561"/>
        <w:spacing w:after="0" w:line="266" w:lineRule="auto"/>
        <w:rPr>
          <w:sz w:val="20"/>
          <w:szCs w:val="20"/>
          <w:color w:val="auto"/>
        </w:rPr>
      </w:pPr>
      <w:r>
        <w:rPr>
          <w:rFonts w:ascii="Arial" w:cs="Arial" w:eastAsia="Arial" w:hAnsi="Arial"/>
          <w:sz w:val="19"/>
          <w:szCs w:val="19"/>
          <w:color w:val="auto"/>
        </w:rPr>
        <w:t>4.6 Letter Agreement AAL-PA-3219-1804779, entitled “[</w:t>
      </w:r>
      <w:r>
        <w:rPr>
          <w:rFonts w:ascii="Arial" w:cs="Arial" w:eastAsia="Arial" w:hAnsi="Arial"/>
          <w:sz w:val="19"/>
          <w:szCs w:val="19"/>
          <w:u w:val="single" w:color="auto"/>
          <w:color w:val="auto"/>
        </w:rPr>
        <w:t>*CTR</w:t>
      </w:r>
      <w:r>
        <w:rPr>
          <w:rFonts w:ascii="Arial" w:cs="Arial" w:eastAsia="Arial" w:hAnsi="Arial"/>
          <w:sz w:val="19"/>
          <w:szCs w:val="19"/>
          <w:color w:val="auto"/>
        </w:rPr>
        <w:t>]”, including Attachments A and B thereto, is hereby incorporated into the Purchase Agreement.</w:t>
      </w:r>
    </w:p>
    <w:p>
      <w:pPr>
        <w:spacing w:after="0" w:line="182" w:lineRule="exact"/>
        <w:rPr>
          <w:sz w:val="20"/>
          <w:szCs w:val="20"/>
          <w:color w:val="auto"/>
        </w:rPr>
      </w:pPr>
    </w:p>
    <w:p>
      <w:pPr>
        <w:jc w:val="both"/>
        <w:ind w:firstLine="561"/>
        <w:spacing w:after="0" w:line="266" w:lineRule="auto"/>
        <w:rPr>
          <w:sz w:val="20"/>
          <w:szCs w:val="20"/>
          <w:color w:val="auto"/>
        </w:rPr>
      </w:pPr>
      <w:r>
        <w:rPr>
          <w:rFonts w:ascii="Arial" w:cs="Arial" w:eastAsia="Arial" w:hAnsi="Arial"/>
          <w:sz w:val="19"/>
          <w:szCs w:val="19"/>
          <w:color w:val="auto"/>
        </w:rPr>
        <w:t>4.7 Letter Agreement AAL-PA-3219-1802262, entitled “[</w:t>
      </w:r>
      <w:r>
        <w:rPr>
          <w:rFonts w:ascii="Arial" w:cs="Arial" w:eastAsia="Arial" w:hAnsi="Arial"/>
          <w:sz w:val="19"/>
          <w:szCs w:val="19"/>
          <w:u w:val="single" w:color="auto"/>
          <w:color w:val="auto"/>
        </w:rPr>
        <w:t>*CTR</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including Attachments A and B thereto, is hereby incorporated into the Purchase Agreement.</w:t>
      </w:r>
    </w:p>
    <w:p>
      <w:pPr>
        <w:spacing w:after="0" w:line="182"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7"/>
          <w:szCs w:val="17"/>
          <w:color w:val="auto"/>
        </w:rPr>
        <w:t>Letter Agreement AAL-PA-3219-1802492, entitled “</w:t>
      </w:r>
      <w:r>
        <w:rPr>
          <w:rFonts w:ascii="Arial" w:cs="Arial" w:eastAsia="Arial" w:hAnsi="Arial"/>
          <w:sz w:val="17"/>
          <w:szCs w:val="17"/>
          <w:u w:val="single" w:color="auto"/>
          <w:color w:val="auto"/>
        </w:rPr>
        <w:t>Open Configuration Matters</w:t>
      </w:r>
      <w:r>
        <w:rPr>
          <w:rFonts w:ascii="Arial" w:cs="Arial" w:eastAsia="Arial" w:hAnsi="Arial"/>
          <w:sz w:val="17"/>
          <w:szCs w:val="17"/>
          <w:color w:val="auto"/>
        </w:rPr>
        <w:t>,” is hereby incorporated into the Purchase Agreement.</w:t>
      </w:r>
    </w:p>
    <w:p>
      <w:pPr>
        <w:spacing w:after="0" w:line="327" w:lineRule="exact"/>
        <w:rPr>
          <w:sz w:val="20"/>
          <w:szCs w:val="20"/>
          <w:color w:val="auto"/>
        </w:rPr>
      </w:pPr>
    </w:p>
    <w:p>
      <w:pPr>
        <w:spacing w:after="0"/>
        <w:tabs>
          <w:tab w:leader="none" w:pos="260" w:val="left"/>
        </w:tabs>
        <w:rPr>
          <w:sz w:val="20"/>
          <w:szCs w:val="20"/>
          <w:color w:val="auto"/>
        </w:rPr>
      </w:pPr>
      <w:r>
        <w:rPr>
          <w:rFonts w:ascii="Arial" w:cs="Arial" w:eastAsia="Arial" w:hAnsi="Arial"/>
          <w:sz w:val="19"/>
          <w:szCs w:val="19"/>
          <w:b w:val="1"/>
          <w:bCs w:val="1"/>
          <w:color w:val="auto"/>
        </w:rPr>
        <w:t>5.</w:t>
      </w:r>
      <w:r>
        <w:rPr>
          <w:sz w:val="20"/>
          <w:szCs w:val="20"/>
          <w:color w:val="auto"/>
        </w:rPr>
        <w:tab/>
      </w:r>
      <w:r>
        <w:rPr>
          <w:rFonts w:ascii="Arial" w:cs="Arial" w:eastAsia="Arial" w:hAnsi="Arial"/>
          <w:sz w:val="16"/>
          <w:szCs w:val="16"/>
          <w:b w:val="1"/>
          <w:bCs w:val="1"/>
          <w:color w:val="auto"/>
        </w:rPr>
        <w:t>Miscellaneous</w:t>
      </w:r>
    </w:p>
    <w:p>
      <w:pPr>
        <w:spacing w:after="0" w:line="136" w:lineRule="exact"/>
        <w:rPr>
          <w:sz w:val="20"/>
          <w:szCs w:val="20"/>
          <w:color w:val="auto"/>
        </w:rPr>
      </w:pPr>
    </w:p>
    <w:p>
      <w:pPr>
        <w:jc w:val="both"/>
        <w:ind w:right="20" w:firstLine="561"/>
        <w:spacing w:after="0" w:line="255" w:lineRule="auto"/>
        <w:rPr>
          <w:sz w:val="20"/>
          <w:szCs w:val="20"/>
          <w:color w:val="auto"/>
        </w:rPr>
      </w:pPr>
      <w:r>
        <w:rPr>
          <w:rFonts w:ascii="Arial" w:cs="Arial" w:eastAsia="Arial" w:hAnsi="Arial"/>
          <w:sz w:val="19"/>
          <w:szCs w:val="19"/>
          <w:color w:val="auto"/>
        </w:rPr>
        <w:t>5.1 Attachment 1 is added to this SA-11 to show the Scheduled Delivery Month and distribution of the 2018 [*CTR] Aircraft for the [*CTR] aircraft. For the avoidance of doubt, Attachment 1 is for historical purposes only and imposes no rights or obligations as it relates to either Boeing or Customer.</w:t>
      </w:r>
    </w:p>
    <w:p>
      <w:pPr>
        <w:spacing w:after="0" w:line="193" w:lineRule="exact"/>
        <w:rPr>
          <w:sz w:val="20"/>
          <w:szCs w:val="20"/>
          <w:color w:val="auto"/>
        </w:rPr>
      </w:pPr>
    </w:p>
    <w:p>
      <w:pPr>
        <w:jc w:val="both"/>
        <w:ind w:right="20" w:firstLine="561"/>
        <w:spacing w:after="0" w:line="255" w:lineRule="auto"/>
        <w:rPr>
          <w:sz w:val="20"/>
          <w:szCs w:val="20"/>
          <w:color w:val="auto"/>
        </w:rPr>
      </w:pPr>
      <w:r>
        <w:rPr>
          <w:rFonts w:ascii="Arial" w:cs="Arial" w:eastAsia="Arial" w:hAnsi="Arial"/>
          <w:sz w:val="19"/>
          <w:szCs w:val="19"/>
          <w:color w:val="auto"/>
        </w:rPr>
        <w:t>5.2 Attachment 2 is added to this SA-11 to show the Scheduled Delivery Month and distribution of the 2018 [*CTR] Aircraft for the [*CTR] aircraft. For the avoidance of doubt, Attachment 2 is for historical purposes only and imposes no rights or obligations as it relates to either Boeing or Customer.</w:t>
      </w:r>
    </w:p>
    <w:p>
      <w:pPr>
        <w:spacing w:after="0" w:line="380" w:lineRule="exact"/>
        <w:rPr>
          <w:sz w:val="20"/>
          <w:szCs w:val="20"/>
          <w:color w:val="auto"/>
        </w:rPr>
      </w:pPr>
    </w:p>
    <w:p>
      <w:pPr>
        <w:spacing w:after="0"/>
        <w:tabs>
          <w:tab w:leader="none" w:pos="800" w:val="left"/>
          <w:tab w:leader="none" w:pos="148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600" w:right="219" w:bottom="1440" w:gutter="0" w:footer="0" w:header="0"/>
        </w:sectPr>
      </w:pPr>
    </w:p>
    <w:bookmarkStart w:id="102" w:name="page103"/>
    <w:bookmarkEnd w:id="102"/>
    <w:p>
      <w:pPr>
        <w:jc w:val="both"/>
        <w:ind w:left="6" w:right="20" w:firstLine="561"/>
        <w:spacing w:after="0" w:line="255" w:lineRule="auto"/>
        <w:rPr>
          <w:sz w:val="20"/>
          <w:szCs w:val="20"/>
          <w:color w:val="auto"/>
        </w:rPr>
      </w:pPr>
      <w:r>
        <w:rPr>
          <w:rFonts w:ascii="Arial" w:cs="Arial" w:eastAsia="Arial" w:hAnsi="Arial"/>
          <w:sz w:val="19"/>
          <w:szCs w:val="19"/>
          <w:color w:val="auto"/>
        </w:rPr>
        <w:t>5.3 It is noted that the Optional Feature, [*CTR]) with an [*CTR] in the amount [*CTR], as set forth on Exhibit A(R3) will be [*CTR] on the 2018 787-9 [*CTR] Aircraft. If the [*CTR] by Customer for the 2018 787-9 [*CTR] Aircraft are the same [*CTR] described in this Section 5.3, then (i) the [*CTR] apply to the 2018 787-9 [*CTR] Aircraft Price, and (ii) the [*CTR] to Customer.</w:t>
      </w:r>
    </w:p>
    <w:p>
      <w:pPr>
        <w:spacing w:after="0" w:line="193"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color w:val="auto"/>
        </w:rPr>
        <w:t>The definition of “Aircraft” in Exhibit C(R1) to the Purchase Agreement is hereby deleted in its entirety and replaced with the following:</w:t>
      </w:r>
    </w:p>
    <w:p>
      <w:pPr>
        <w:spacing w:after="0" w:line="226" w:lineRule="exact"/>
        <w:rPr>
          <w:sz w:val="20"/>
          <w:szCs w:val="20"/>
          <w:color w:val="auto"/>
        </w:rPr>
      </w:pPr>
    </w:p>
    <w:p>
      <w:pPr>
        <w:jc w:val="both"/>
        <w:ind w:left="6" w:firstLine="561"/>
        <w:spacing w:after="0" w:line="294" w:lineRule="auto"/>
        <w:rPr>
          <w:sz w:val="20"/>
          <w:szCs w:val="20"/>
          <w:color w:val="auto"/>
        </w:rPr>
      </w:pPr>
      <w:r>
        <w:rPr>
          <w:rFonts w:ascii="Arial" w:cs="Arial" w:eastAsia="Arial" w:hAnsi="Arial"/>
          <w:sz w:val="18"/>
          <w:szCs w:val="18"/>
          <w:b w:val="1"/>
          <w:bCs w:val="1"/>
          <w:i w:val="1"/>
          <w:iCs w:val="1"/>
          <w:color w:val="auto"/>
        </w:rPr>
        <w:t xml:space="preserve">Aircraft </w:t>
      </w:r>
      <w:r>
        <w:rPr>
          <w:rFonts w:ascii="Arial" w:cs="Arial" w:eastAsia="Arial" w:hAnsi="Arial"/>
          <w:sz w:val="18"/>
          <w:szCs w:val="18"/>
          <w:color w:val="auto"/>
        </w:rPr>
        <w:t>means any or all, as the context requires, of the Boeing Model 787 aircraft described in Tables 1(R7), 2(R1), 3(R1), 5 and 6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Agreement, together with the [*CTR], Engines and Parts that are incorporated or installed in or attached to such aircraft.</w:t>
      </w:r>
    </w:p>
    <w:p>
      <w:pPr>
        <w:spacing w:after="0" w:line="261" w:lineRule="exact"/>
        <w:rPr>
          <w:sz w:val="20"/>
          <w:szCs w:val="20"/>
          <w:color w:val="auto"/>
        </w:rPr>
      </w:pPr>
    </w:p>
    <w:p>
      <w:pPr>
        <w:ind w:left="286" w:hanging="286"/>
        <w:spacing w:after="0"/>
        <w:tabs>
          <w:tab w:leader="none" w:pos="28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787-9 Aircraft [*CTR]</w:t>
      </w:r>
      <w:r>
        <w:rPr>
          <w:rFonts w:ascii="Arial" w:cs="Arial" w:eastAsia="Arial" w:hAnsi="Arial"/>
          <w:sz w:val="19"/>
          <w:szCs w:val="19"/>
          <w:b w:val="1"/>
          <w:bCs w:val="1"/>
          <w:color w:val="auto"/>
        </w:rPr>
        <w:t>.</w:t>
      </w:r>
    </w:p>
    <w:p>
      <w:pPr>
        <w:spacing w:after="0" w:line="136"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 set forth on Attachment 3 hereto. Customer shall [*CTR]. For the avoidance of doubt, [*CTR].</w:t>
      </w:r>
    </w:p>
    <w:p>
      <w:pPr>
        <w:spacing w:after="0" w:line="226" w:lineRule="exact"/>
        <w:rPr>
          <w:sz w:val="20"/>
          <w:szCs w:val="20"/>
          <w:color w:val="auto"/>
        </w:rPr>
      </w:pPr>
    </w:p>
    <w:p>
      <w:pPr>
        <w:ind w:left="566"/>
        <w:spacing w:after="0"/>
        <w:rPr>
          <w:sz w:val="20"/>
          <w:szCs w:val="20"/>
          <w:color w:val="auto"/>
        </w:rPr>
      </w:pPr>
      <w:r>
        <w:rPr>
          <w:rFonts w:ascii="Arial" w:cs="Arial" w:eastAsia="Arial" w:hAnsi="Arial"/>
          <w:sz w:val="19"/>
          <w:szCs w:val="19"/>
          <w:color w:val="auto"/>
        </w:rPr>
        <w:t>Notwithstanding the foregoing, if (i) [*CTR].</w:t>
      </w:r>
    </w:p>
    <w:p>
      <w:pPr>
        <w:spacing w:after="0" w:line="226" w:lineRule="exact"/>
        <w:rPr>
          <w:sz w:val="20"/>
          <w:szCs w:val="20"/>
          <w:color w:val="auto"/>
        </w:rPr>
      </w:pPr>
    </w:p>
    <w:p>
      <w:pPr>
        <w:jc w:val="both"/>
        <w:ind w:left="6" w:firstLine="561"/>
        <w:spacing w:after="0" w:line="266" w:lineRule="auto"/>
        <w:rPr>
          <w:sz w:val="20"/>
          <w:szCs w:val="20"/>
          <w:color w:val="auto"/>
        </w:rPr>
      </w:pPr>
      <w:r>
        <w:rPr>
          <w:rFonts w:ascii="Arial" w:cs="Arial" w:eastAsia="Arial" w:hAnsi="Arial"/>
          <w:sz w:val="18"/>
          <w:szCs w:val="18"/>
          <w:color w:val="auto"/>
        </w:rPr>
        <w:t xml:space="preserve">For purposes of this Section 6, [*CTR] in the Aircraft General Terms Agreement entered into by and between Boeing and Customer dated October 31, 1997 (as amended by the Purchase Agreement, the </w:t>
      </w:r>
      <w:r>
        <w:rPr>
          <w:rFonts w:ascii="Arial" w:cs="Arial" w:eastAsia="Arial" w:hAnsi="Arial"/>
          <w:sz w:val="18"/>
          <w:szCs w:val="18"/>
          <w:b w:val="1"/>
          <w:bCs w:val="1"/>
          <w:i w:val="1"/>
          <w:iCs w:val="1"/>
          <w:color w:val="auto"/>
        </w:rPr>
        <w:t>AGTA</w:t>
      </w:r>
      <w:r>
        <w:rPr>
          <w:rFonts w:ascii="Arial" w:cs="Arial" w:eastAsia="Arial" w:hAnsi="Arial"/>
          <w:sz w:val="18"/>
          <w:szCs w:val="18"/>
          <w:color w:val="auto"/>
        </w:rPr>
        <w:t>), the Purchase Agreement or any Letter Agreement or Supplemental Agreement to the Purchase Agreement that [*CTR], including but not limited to, the following: Sections 7.4 or 7.5 of the AGTA, Section 1.13 of the Letter Agreement No. 6-1162-TRW-0670R1 entitled “</w:t>
      </w:r>
      <w:r>
        <w:rPr>
          <w:rFonts w:ascii="Arial" w:cs="Arial" w:eastAsia="Arial" w:hAnsi="Arial"/>
          <w:sz w:val="18"/>
          <w:szCs w:val="18"/>
          <w:u w:val="single" w:color="auto"/>
          <w:color w:val="auto"/>
        </w:rPr>
        <w:t>Miscellaneous Commitments for Model 787 Aircraft</w:t>
      </w:r>
      <w:r>
        <w:rPr>
          <w:rFonts w:ascii="Arial" w:cs="Arial" w:eastAsia="Arial" w:hAnsi="Arial"/>
          <w:sz w:val="18"/>
          <w:szCs w:val="18"/>
          <w:color w:val="auto"/>
        </w:rPr>
        <w:t>” (</w:t>
      </w:r>
      <w:r>
        <w:rPr>
          <w:rFonts w:ascii="Arial" w:cs="Arial" w:eastAsia="Arial" w:hAnsi="Arial"/>
          <w:sz w:val="18"/>
          <w:szCs w:val="18"/>
          <w:b w:val="1"/>
          <w:bCs w:val="1"/>
          <w:i w:val="1"/>
          <w:iCs w:val="1"/>
          <w:color w:val="auto"/>
        </w:rPr>
        <w:t>Misc Commitments LA</w:t>
      </w:r>
      <w:r>
        <w:rPr>
          <w:rFonts w:ascii="Arial" w:cs="Arial" w:eastAsia="Arial" w:hAnsi="Arial"/>
          <w:sz w:val="18"/>
          <w:szCs w:val="18"/>
          <w:color w:val="auto"/>
        </w:rPr>
        <w:t>), or Section 9.2 and 9.3 of this SA-11 entered into by and between Boeing and Customer dated as of the date hereof.</w:t>
      </w:r>
    </w:p>
    <w:p>
      <w:pPr>
        <w:spacing w:after="0" w:line="288" w:lineRule="exact"/>
        <w:rPr>
          <w:sz w:val="20"/>
          <w:szCs w:val="20"/>
          <w:color w:val="auto"/>
        </w:rPr>
      </w:pPr>
    </w:p>
    <w:p>
      <w:pPr>
        <w:ind w:left="286" w:hanging="286"/>
        <w:spacing w:after="0"/>
        <w:tabs>
          <w:tab w:leader="none" w:pos="286"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[*CTR] Pricing</w:t>
      </w:r>
      <w:r>
        <w:rPr>
          <w:rFonts w:ascii="Arial" w:cs="Arial" w:eastAsia="Arial" w:hAnsi="Arial"/>
          <w:sz w:val="19"/>
          <w:szCs w:val="19"/>
          <w:b w:val="1"/>
          <w:bCs w:val="1"/>
          <w:color w:val="auto"/>
        </w:rPr>
        <w:t>.</w:t>
      </w:r>
    </w:p>
    <w:p>
      <w:pPr>
        <w:spacing w:after="0" w:line="136" w:lineRule="exact"/>
        <w:rPr>
          <w:sz w:val="20"/>
          <w:szCs w:val="20"/>
          <w:color w:val="auto"/>
        </w:rPr>
      </w:pPr>
    </w:p>
    <w:p>
      <w:pPr>
        <w:ind w:left="6" w:firstLine="561"/>
        <w:spacing w:after="0" w:line="26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Table 5 787-9 Aircraft</w:t>
      </w:r>
      <w:r>
        <w:rPr>
          <w:rFonts w:ascii="Arial" w:cs="Arial" w:eastAsia="Arial" w:hAnsi="Arial"/>
          <w:sz w:val="19"/>
          <w:szCs w:val="19"/>
          <w:color w:val="auto"/>
        </w:rPr>
        <w:t>. The parties hereby confirm that in accordance with Supplemental Agreement No. 5, for the 787-9 Aircraft listed in Table 5 equipped with GEnx-1B74/75 engines, the [*CTR]. Such [*CTR] in accordance with the Purchase Agreement.</w:t>
      </w:r>
    </w:p>
    <w:p>
      <w:pPr>
        <w:spacing w:after="0" w:line="182" w:lineRule="exact"/>
        <w:rPr>
          <w:sz w:val="20"/>
          <w:szCs w:val="20"/>
          <w:color w:val="auto"/>
        </w:rPr>
      </w:pPr>
    </w:p>
    <w:p>
      <w:pPr>
        <w:ind w:left="6" w:firstLine="561"/>
        <w:spacing w:after="0" w:line="26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Table 6 787-8 Aircraft</w:t>
      </w:r>
      <w:r>
        <w:rPr>
          <w:rFonts w:ascii="Arial" w:cs="Arial" w:eastAsia="Arial" w:hAnsi="Arial"/>
          <w:sz w:val="19"/>
          <w:szCs w:val="19"/>
          <w:color w:val="auto"/>
        </w:rPr>
        <w:t>. The parties hereby confirm that in accordance with Supplemental Agreement No. 5, for the 787-8 Aircraft listed in Table 6 equipped</w:t>
      </w:r>
    </w:p>
    <w:p>
      <w:pPr>
        <w:spacing w:after="0" w:line="370"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6</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822" w:right="219" w:bottom="1440" w:gutter="0" w:footer="0" w:header="0"/>
        </w:sectPr>
      </w:pPr>
    </w:p>
    <w:bookmarkStart w:id="103" w:name="page104"/>
    <w:bookmarkEnd w:id="103"/>
    <w:p>
      <w:pPr>
        <w:ind w:left="6"/>
        <w:spacing w:after="0"/>
        <w:rPr>
          <w:sz w:val="20"/>
          <w:szCs w:val="20"/>
          <w:color w:val="auto"/>
        </w:rPr>
      </w:pPr>
      <w:r>
        <w:rPr>
          <w:rFonts w:ascii="Arial" w:cs="Arial" w:eastAsia="Arial" w:hAnsi="Arial"/>
          <w:sz w:val="19"/>
          <w:szCs w:val="19"/>
          <w:color w:val="auto"/>
        </w:rPr>
        <w:t>with GEnx-1B70 engines, the [*CTR]. Such [*CTR] in accordance with the Purchase Agreement.</w:t>
      </w:r>
    </w:p>
    <w:p>
      <w:pPr>
        <w:spacing w:after="0" w:line="105" w:lineRule="exact"/>
        <w:rPr>
          <w:sz w:val="20"/>
          <w:szCs w:val="20"/>
          <w:color w:val="auto"/>
        </w:rPr>
      </w:pPr>
    </w:p>
    <w:p>
      <w:pPr>
        <w:ind w:left="286" w:hanging="286"/>
        <w:spacing w:after="0"/>
        <w:tabs>
          <w:tab w:leader="none" w:pos="286"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Advance Payments</w:t>
      </w:r>
      <w:r>
        <w:rPr>
          <w:rFonts w:ascii="Arial" w:cs="Arial" w:eastAsia="Arial" w:hAnsi="Arial"/>
          <w:sz w:val="19"/>
          <w:szCs w:val="19"/>
          <w:b w:val="1"/>
          <w:bCs w:val="1"/>
          <w:color w:val="auto"/>
        </w:rPr>
        <w:t>.</w:t>
      </w:r>
    </w:p>
    <w:p>
      <w:pPr>
        <w:spacing w:after="0" w:line="136" w:lineRule="exact"/>
        <w:rPr>
          <w:sz w:val="20"/>
          <w:szCs w:val="20"/>
          <w:color w:val="auto"/>
        </w:rPr>
      </w:pPr>
    </w:p>
    <w:p>
      <w:pPr>
        <w:jc w:val="both"/>
        <w:ind w:left="6" w:firstLine="561"/>
        <w:spacing w:after="0" w:line="255" w:lineRule="auto"/>
        <w:rPr>
          <w:sz w:val="20"/>
          <w:szCs w:val="20"/>
          <w:color w:val="auto"/>
        </w:rPr>
      </w:pPr>
      <w:r>
        <w:rPr>
          <w:rFonts w:ascii="Arial" w:cs="Arial" w:eastAsia="Arial" w:hAnsi="Arial"/>
          <w:sz w:val="19"/>
          <w:szCs w:val="19"/>
          <w:color w:val="auto"/>
        </w:rPr>
        <w:t>At execution of this SA-11, Advance Payments by Customer are [*CTR] per Letter Agreement No. 6-1162-CLO-1047R4 [*CTR] in Table 5 and Table 6. For the avoidance of doubt, the [*CTR] for Table 5 is [*CTR] and for Table 6 is [*CTR]. The [*CTR]. The parties agree that such [*CTR] between Customer and Boeing as set forth in the table below. The [*CTR].</w:t>
      </w:r>
    </w:p>
    <w:p>
      <w:pPr>
        <w:spacing w:after="0" w:line="297" w:lineRule="exact"/>
        <w:rPr>
          <w:sz w:val="20"/>
          <w:szCs w:val="20"/>
          <w:color w:val="auto"/>
        </w:rPr>
      </w:pPr>
    </w:p>
    <w:tbl>
      <w:tblPr>
        <w:tblLayout w:type="fixed"/>
        <w:tblInd w:w="16" w:type="dxa"/>
        <w:tblCellMar>
          <w:top w:w="0" w:type="dxa"/>
          <w:left w:w="0" w:type="dxa"/>
          <w:bottom w:w="0" w:type="dxa"/>
          <w:right w:w="0" w:type="dxa"/>
        </w:tblCellMar>
      </w:tblPr>
      <w:tr>
        <w:trPr>
          <w:trHeight w:val="199"/>
        </w:trPr>
        <w:tc>
          <w:tcPr>
            <w:tcW w:w="5740" w:type="dxa"/>
            <w:vAlign w:val="bottom"/>
            <w:tcBorders>
              <w:top w:val="single" w:sz="8" w:color="00000A"/>
              <w:left w:val="single" w:sz="8" w:color="00000A"/>
              <w:right w:val="single" w:sz="8" w:color="00000A"/>
            </w:tcBorders>
            <w:gridSpan w:val="3"/>
          </w:tcPr>
          <w:p>
            <w:pPr>
              <w:jc w:val="center"/>
              <w:ind w:left="454"/>
              <w:spacing w:after="0"/>
              <w:rPr>
                <w:sz w:val="20"/>
                <w:szCs w:val="20"/>
                <w:color w:val="auto"/>
              </w:rPr>
            </w:pPr>
            <w:r>
              <w:rPr>
                <w:rFonts w:ascii="Arial" w:cs="Arial" w:eastAsia="Arial" w:hAnsi="Arial"/>
                <w:sz w:val="17"/>
                <w:szCs w:val="17"/>
                <w:b w:val="1"/>
                <w:bCs w:val="1"/>
                <w:color w:val="auto"/>
                <w:w w:val="89"/>
              </w:rPr>
              <w:t>Purchase Agreement</w:t>
            </w:r>
          </w:p>
        </w:tc>
        <w:tc>
          <w:tcPr>
            <w:tcW w:w="5720" w:type="dxa"/>
            <w:vAlign w:val="bottom"/>
            <w:tcBorders>
              <w:top w:val="single" w:sz="8" w:color="00000A"/>
              <w:right w:val="single" w:sz="8" w:color="00000A"/>
            </w:tcBorders>
            <w:gridSpan w:val="3"/>
          </w:tcPr>
          <w:p>
            <w:pPr>
              <w:jc w:val="center"/>
              <w:ind w:left="434"/>
              <w:spacing w:after="0"/>
              <w:rPr>
                <w:sz w:val="20"/>
                <w:szCs w:val="20"/>
                <w:color w:val="auto"/>
              </w:rPr>
            </w:pPr>
            <w:r>
              <w:rPr>
                <w:rFonts w:ascii="Arial" w:cs="Arial" w:eastAsia="Arial" w:hAnsi="Arial"/>
                <w:sz w:val="17"/>
                <w:szCs w:val="17"/>
                <w:b w:val="1"/>
                <w:bCs w:val="1"/>
                <w:color w:val="auto"/>
              </w:rPr>
              <w:t>[*CTR]</w:t>
            </w:r>
          </w:p>
        </w:tc>
      </w:tr>
      <w:tr>
        <w:trPr>
          <w:trHeight w:val="38"/>
        </w:trPr>
        <w:tc>
          <w:tcPr>
            <w:tcW w:w="2380" w:type="dxa"/>
            <w:vAlign w:val="bottom"/>
            <w:tcBorders>
              <w:left w:val="single" w:sz="8" w:color="00000A"/>
              <w:bottom w:val="single" w:sz="8" w:color="00000A"/>
            </w:tcBorders>
          </w:tcPr>
          <w:p>
            <w:pPr>
              <w:spacing w:after="0"/>
              <w:rPr>
                <w:sz w:val="3"/>
                <w:szCs w:val="3"/>
                <w:color w:val="auto"/>
              </w:rPr>
            </w:pPr>
          </w:p>
        </w:tc>
        <w:tc>
          <w:tcPr>
            <w:tcW w:w="1520" w:type="dxa"/>
            <w:vAlign w:val="bottom"/>
            <w:tcBorders>
              <w:top w:val="single" w:sz="8" w:color="auto"/>
              <w:bottom w:val="single" w:sz="8" w:color="00000A"/>
            </w:tcBorders>
          </w:tcPr>
          <w:p>
            <w:pPr>
              <w:spacing w:after="0"/>
              <w:rPr>
                <w:sz w:val="3"/>
                <w:szCs w:val="3"/>
                <w:color w:val="auto"/>
              </w:rPr>
            </w:pPr>
          </w:p>
        </w:tc>
        <w:tc>
          <w:tcPr>
            <w:tcW w:w="1840" w:type="dxa"/>
            <w:vAlign w:val="bottom"/>
            <w:tcBorders>
              <w:bottom w:val="single" w:sz="8" w:color="00000A"/>
              <w:right w:val="single" w:sz="8" w:color="00000A"/>
            </w:tcBorders>
          </w:tcPr>
          <w:p>
            <w:pPr>
              <w:spacing w:after="0"/>
              <w:rPr>
                <w:sz w:val="3"/>
                <w:szCs w:val="3"/>
                <w:color w:val="auto"/>
              </w:rPr>
            </w:pPr>
          </w:p>
        </w:tc>
        <w:tc>
          <w:tcPr>
            <w:tcW w:w="2840" w:type="dxa"/>
            <w:vAlign w:val="bottom"/>
            <w:tcBorders>
              <w:bottom w:val="single" w:sz="8" w:color="00000A"/>
            </w:tcBorders>
          </w:tcPr>
          <w:p>
            <w:pPr>
              <w:spacing w:after="0"/>
              <w:rPr>
                <w:sz w:val="3"/>
                <w:szCs w:val="3"/>
                <w:color w:val="auto"/>
              </w:rPr>
            </w:pPr>
          </w:p>
        </w:tc>
        <w:tc>
          <w:tcPr>
            <w:tcW w:w="560" w:type="dxa"/>
            <w:vAlign w:val="bottom"/>
            <w:tcBorders>
              <w:top w:val="single" w:sz="8" w:color="auto"/>
              <w:bottom w:val="single" w:sz="8" w:color="00000A"/>
            </w:tcBorders>
          </w:tcPr>
          <w:p>
            <w:pPr>
              <w:spacing w:after="0"/>
              <w:rPr>
                <w:sz w:val="3"/>
                <w:szCs w:val="3"/>
                <w:color w:val="auto"/>
              </w:rPr>
            </w:pPr>
          </w:p>
        </w:tc>
        <w:tc>
          <w:tcPr>
            <w:tcW w:w="2320" w:type="dxa"/>
            <w:vAlign w:val="bottom"/>
            <w:tcBorders>
              <w:bottom w:val="single" w:sz="8" w:color="00000A"/>
              <w:right w:val="single" w:sz="8" w:color="00000A"/>
            </w:tcBorders>
          </w:tcPr>
          <w:p>
            <w:pPr>
              <w:spacing w:after="0"/>
              <w:rPr>
                <w:sz w:val="3"/>
                <w:szCs w:val="3"/>
                <w:color w:val="auto"/>
              </w:rPr>
            </w:pPr>
          </w:p>
        </w:tc>
      </w:tr>
      <w:tr>
        <w:trPr>
          <w:trHeight w:val="199"/>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w w:val="93"/>
              </w:rPr>
              <w:t>Purchase Agreement No. 1977 dated October 31, 1997, relating to Boeing Model</w:t>
            </w:r>
          </w:p>
        </w:tc>
        <w:tc>
          <w:tcPr>
            <w:tcW w:w="2840" w:type="dxa"/>
            <w:vAlign w:val="bottom"/>
          </w:tcPr>
          <w:p>
            <w:pPr>
              <w:spacing w:after="0"/>
              <w:rPr>
                <w:sz w:val="17"/>
                <w:szCs w:val="17"/>
                <w:color w:val="auto"/>
              </w:rPr>
            </w:pPr>
          </w:p>
        </w:tc>
        <w:tc>
          <w:tcPr>
            <w:tcW w:w="2880" w:type="dxa"/>
            <w:vAlign w:val="bottom"/>
            <w:tcBorders>
              <w:right w:val="single" w:sz="8" w:color="00000A"/>
            </w:tcBorders>
            <w:gridSpan w:val="2"/>
          </w:tcPr>
          <w:p>
            <w:pPr>
              <w:jc w:val="center"/>
              <w:ind w:right="2320"/>
              <w:spacing w:after="0"/>
              <w:rPr>
                <w:sz w:val="20"/>
                <w:szCs w:val="20"/>
                <w:color w:val="auto"/>
              </w:rPr>
            </w:pPr>
            <w:r>
              <w:rPr>
                <w:rFonts w:ascii="Arial" w:cs="Arial" w:eastAsia="Arial" w:hAnsi="Arial"/>
                <w:sz w:val="17"/>
                <w:szCs w:val="17"/>
                <w:color w:val="auto"/>
              </w:rPr>
              <w:t>[*CTR]</w:t>
            </w:r>
          </w:p>
        </w:tc>
      </w:tr>
      <w:tr>
        <w:trPr>
          <w:trHeight w:val="217"/>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rPr>
              <w:t>737-823 aircraft</w:t>
            </w:r>
          </w:p>
        </w:tc>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Borders>
              <w:right w:val="single" w:sz="8" w:color="00000A"/>
            </w:tcBorders>
          </w:tcPr>
          <w:p>
            <w:pPr>
              <w:spacing w:after="0"/>
              <w:rPr>
                <w:sz w:val="18"/>
                <w:szCs w:val="18"/>
                <w:color w:val="auto"/>
              </w:rPr>
            </w:pPr>
          </w:p>
        </w:tc>
      </w:tr>
      <w:tr>
        <w:trPr>
          <w:trHeight w:val="20"/>
        </w:trPr>
        <w:tc>
          <w:tcPr>
            <w:tcW w:w="2380" w:type="dxa"/>
            <w:vAlign w:val="bottom"/>
            <w:tcBorders>
              <w:left w:val="single" w:sz="8" w:color="00000A"/>
              <w:bottom w:val="single" w:sz="8" w:color="00000A"/>
            </w:tcBorders>
          </w:tcPr>
          <w:p>
            <w:pPr>
              <w:spacing w:after="0" w:line="20" w:lineRule="exact"/>
              <w:rPr>
                <w:sz w:val="1"/>
                <w:szCs w:val="1"/>
                <w:color w:val="auto"/>
              </w:rPr>
            </w:pPr>
          </w:p>
        </w:tc>
        <w:tc>
          <w:tcPr>
            <w:tcW w:w="1520" w:type="dxa"/>
            <w:vAlign w:val="bottom"/>
            <w:tcBorders>
              <w:bottom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840" w:type="dxa"/>
            <w:vAlign w:val="bottom"/>
            <w:tcBorders>
              <w:bottom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2320" w:type="dxa"/>
            <w:vAlign w:val="bottom"/>
            <w:tcBorders>
              <w:bottom w:val="single" w:sz="8" w:color="00000A"/>
              <w:right w:val="single" w:sz="8" w:color="00000A"/>
            </w:tcBorders>
          </w:tcPr>
          <w:p>
            <w:pPr>
              <w:spacing w:after="0" w:line="20" w:lineRule="exact"/>
              <w:rPr>
                <w:sz w:val="1"/>
                <w:szCs w:val="1"/>
                <w:color w:val="auto"/>
              </w:rPr>
            </w:pPr>
          </w:p>
        </w:tc>
      </w:tr>
      <w:tr>
        <w:trPr>
          <w:trHeight w:val="199"/>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w w:val="93"/>
              </w:rPr>
              <w:t>Purchase Agreement No. 1979 dated October 31, 1997, relating to Boeing Model</w:t>
            </w:r>
          </w:p>
        </w:tc>
        <w:tc>
          <w:tcPr>
            <w:tcW w:w="2840" w:type="dxa"/>
            <w:vAlign w:val="bottom"/>
          </w:tcPr>
          <w:p>
            <w:pPr>
              <w:spacing w:after="0"/>
              <w:rPr>
                <w:sz w:val="17"/>
                <w:szCs w:val="17"/>
                <w:color w:val="auto"/>
              </w:rPr>
            </w:pPr>
          </w:p>
        </w:tc>
        <w:tc>
          <w:tcPr>
            <w:tcW w:w="2880" w:type="dxa"/>
            <w:vAlign w:val="bottom"/>
            <w:tcBorders>
              <w:right w:val="single" w:sz="8" w:color="00000A"/>
            </w:tcBorders>
            <w:gridSpan w:val="2"/>
          </w:tcPr>
          <w:p>
            <w:pPr>
              <w:jc w:val="center"/>
              <w:ind w:right="2320"/>
              <w:spacing w:after="0"/>
              <w:rPr>
                <w:sz w:val="20"/>
                <w:szCs w:val="20"/>
                <w:color w:val="auto"/>
              </w:rPr>
            </w:pPr>
            <w:r>
              <w:rPr>
                <w:rFonts w:ascii="Arial" w:cs="Arial" w:eastAsia="Arial" w:hAnsi="Arial"/>
                <w:sz w:val="17"/>
                <w:szCs w:val="17"/>
                <w:color w:val="auto"/>
              </w:rPr>
              <w:t>[*CTR]</w:t>
            </w:r>
          </w:p>
        </w:tc>
      </w:tr>
      <w:tr>
        <w:trPr>
          <w:trHeight w:val="217"/>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rPr>
              <w:t>767 aircraft</w:t>
            </w:r>
          </w:p>
        </w:tc>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Borders>
              <w:right w:val="single" w:sz="8" w:color="00000A"/>
            </w:tcBorders>
          </w:tcPr>
          <w:p>
            <w:pPr>
              <w:spacing w:after="0"/>
              <w:rPr>
                <w:sz w:val="18"/>
                <w:szCs w:val="18"/>
                <w:color w:val="auto"/>
              </w:rPr>
            </w:pPr>
          </w:p>
        </w:tc>
      </w:tr>
      <w:tr>
        <w:trPr>
          <w:trHeight w:val="20"/>
        </w:trPr>
        <w:tc>
          <w:tcPr>
            <w:tcW w:w="2380" w:type="dxa"/>
            <w:vAlign w:val="bottom"/>
            <w:tcBorders>
              <w:left w:val="single" w:sz="8" w:color="00000A"/>
              <w:bottom w:val="single" w:sz="8" w:color="00000A"/>
            </w:tcBorders>
          </w:tcPr>
          <w:p>
            <w:pPr>
              <w:spacing w:after="0" w:line="20" w:lineRule="exact"/>
              <w:rPr>
                <w:sz w:val="1"/>
                <w:szCs w:val="1"/>
                <w:color w:val="auto"/>
              </w:rPr>
            </w:pPr>
          </w:p>
        </w:tc>
        <w:tc>
          <w:tcPr>
            <w:tcW w:w="1520" w:type="dxa"/>
            <w:vAlign w:val="bottom"/>
            <w:tcBorders>
              <w:bottom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840" w:type="dxa"/>
            <w:vAlign w:val="bottom"/>
            <w:tcBorders>
              <w:bottom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2320" w:type="dxa"/>
            <w:vAlign w:val="bottom"/>
            <w:tcBorders>
              <w:bottom w:val="single" w:sz="8" w:color="00000A"/>
              <w:right w:val="single" w:sz="8" w:color="00000A"/>
            </w:tcBorders>
          </w:tcPr>
          <w:p>
            <w:pPr>
              <w:spacing w:after="0" w:line="20" w:lineRule="exact"/>
              <w:rPr>
                <w:sz w:val="1"/>
                <w:szCs w:val="1"/>
                <w:color w:val="auto"/>
              </w:rPr>
            </w:pPr>
          </w:p>
        </w:tc>
      </w:tr>
      <w:tr>
        <w:trPr>
          <w:trHeight w:val="199"/>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w w:val="93"/>
              </w:rPr>
              <w:t>Purchase Agreement No. 1980 dated October 31, 1980, relating to Boeing Model</w:t>
            </w:r>
          </w:p>
        </w:tc>
        <w:tc>
          <w:tcPr>
            <w:tcW w:w="2840" w:type="dxa"/>
            <w:vAlign w:val="bottom"/>
          </w:tcPr>
          <w:p>
            <w:pPr>
              <w:spacing w:after="0"/>
              <w:rPr>
                <w:sz w:val="17"/>
                <w:szCs w:val="17"/>
                <w:color w:val="auto"/>
              </w:rPr>
            </w:pPr>
          </w:p>
        </w:tc>
        <w:tc>
          <w:tcPr>
            <w:tcW w:w="2880" w:type="dxa"/>
            <w:vAlign w:val="bottom"/>
            <w:tcBorders>
              <w:right w:val="single" w:sz="8" w:color="00000A"/>
            </w:tcBorders>
            <w:gridSpan w:val="2"/>
          </w:tcPr>
          <w:p>
            <w:pPr>
              <w:jc w:val="center"/>
              <w:ind w:right="2320"/>
              <w:spacing w:after="0"/>
              <w:rPr>
                <w:sz w:val="20"/>
                <w:szCs w:val="20"/>
                <w:color w:val="auto"/>
              </w:rPr>
            </w:pPr>
            <w:r>
              <w:rPr>
                <w:rFonts w:ascii="Arial" w:cs="Arial" w:eastAsia="Arial" w:hAnsi="Arial"/>
                <w:sz w:val="17"/>
                <w:szCs w:val="17"/>
                <w:color w:val="auto"/>
              </w:rPr>
              <w:t>[*CTR]</w:t>
            </w:r>
          </w:p>
        </w:tc>
      </w:tr>
      <w:tr>
        <w:trPr>
          <w:trHeight w:val="217"/>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rPr>
              <w:t>777 aircraft</w:t>
            </w:r>
          </w:p>
        </w:tc>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Borders>
              <w:right w:val="single" w:sz="8" w:color="00000A"/>
            </w:tcBorders>
          </w:tcPr>
          <w:p>
            <w:pPr>
              <w:spacing w:after="0"/>
              <w:rPr>
                <w:sz w:val="18"/>
                <w:szCs w:val="18"/>
                <w:color w:val="auto"/>
              </w:rPr>
            </w:pPr>
          </w:p>
        </w:tc>
      </w:tr>
      <w:tr>
        <w:trPr>
          <w:trHeight w:val="20"/>
        </w:trPr>
        <w:tc>
          <w:tcPr>
            <w:tcW w:w="2380" w:type="dxa"/>
            <w:vAlign w:val="bottom"/>
            <w:tcBorders>
              <w:left w:val="single" w:sz="8" w:color="00000A"/>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00000A"/>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00000A"/>
            </w:tcBorders>
          </w:tcPr>
          <w:p>
            <w:pPr>
              <w:spacing w:after="0" w:line="20" w:lineRule="exact"/>
              <w:rPr>
                <w:sz w:val="1"/>
                <w:szCs w:val="1"/>
                <w:color w:val="auto"/>
              </w:rPr>
            </w:pPr>
          </w:p>
        </w:tc>
      </w:tr>
      <w:tr>
        <w:trPr>
          <w:trHeight w:val="199"/>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w w:val="93"/>
              </w:rPr>
              <w:t>Purchase Agreement No. 3219 dated October 15, 2008, relating to Boeing Model</w:t>
            </w:r>
          </w:p>
        </w:tc>
        <w:tc>
          <w:tcPr>
            <w:tcW w:w="2840" w:type="dxa"/>
            <w:vAlign w:val="bottom"/>
          </w:tcPr>
          <w:p>
            <w:pPr>
              <w:spacing w:after="0"/>
              <w:rPr>
                <w:sz w:val="17"/>
                <w:szCs w:val="17"/>
                <w:color w:val="auto"/>
              </w:rPr>
            </w:pPr>
          </w:p>
        </w:tc>
        <w:tc>
          <w:tcPr>
            <w:tcW w:w="2880" w:type="dxa"/>
            <w:vAlign w:val="bottom"/>
            <w:tcBorders>
              <w:right w:val="single" w:sz="8" w:color="00000A"/>
            </w:tcBorders>
            <w:gridSpan w:val="2"/>
          </w:tcPr>
          <w:p>
            <w:pPr>
              <w:jc w:val="center"/>
              <w:ind w:right="2320"/>
              <w:spacing w:after="0"/>
              <w:rPr>
                <w:sz w:val="20"/>
                <w:szCs w:val="20"/>
                <w:color w:val="auto"/>
              </w:rPr>
            </w:pPr>
            <w:r>
              <w:rPr>
                <w:rFonts w:ascii="Arial" w:cs="Arial" w:eastAsia="Arial" w:hAnsi="Arial"/>
                <w:sz w:val="17"/>
                <w:szCs w:val="17"/>
                <w:color w:val="auto"/>
              </w:rPr>
              <w:t>[*CTR</w:t>
            </w:r>
          </w:p>
        </w:tc>
      </w:tr>
      <w:tr>
        <w:trPr>
          <w:trHeight w:val="237"/>
        </w:trPr>
        <w:tc>
          <w:tcPr>
            <w:tcW w:w="5740" w:type="dxa"/>
            <w:vAlign w:val="bottom"/>
            <w:tcBorders>
              <w:left w:val="single" w:sz="8" w:color="00000A"/>
              <w:right w:val="single" w:sz="8" w:color="00000A"/>
            </w:tcBorders>
            <w:gridSpan w:val="3"/>
          </w:tcPr>
          <w:p>
            <w:pPr>
              <w:ind w:left="20"/>
              <w:spacing w:after="0"/>
              <w:rPr>
                <w:sz w:val="20"/>
                <w:szCs w:val="20"/>
                <w:color w:val="auto"/>
              </w:rPr>
            </w:pPr>
            <w:r>
              <w:rPr>
                <w:rFonts w:ascii="Arial" w:cs="Arial" w:eastAsia="Arial" w:hAnsi="Arial"/>
                <w:sz w:val="17"/>
                <w:szCs w:val="17"/>
                <w:color w:val="auto"/>
              </w:rPr>
              <w:t>787 aircraft</w:t>
            </w:r>
          </w:p>
        </w:tc>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20" w:type="dxa"/>
            <w:vAlign w:val="bottom"/>
            <w:tcBorders>
              <w:right w:val="single" w:sz="8" w:color="00000A"/>
            </w:tcBorders>
          </w:tcPr>
          <w:p>
            <w:pPr>
              <w:spacing w:after="0"/>
              <w:rPr>
                <w:sz w:val="20"/>
                <w:szCs w:val="20"/>
                <w:color w:val="auto"/>
              </w:rPr>
            </w:pPr>
          </w:p>
        </w:tc>
      </w:tr>
      <w:tr>
        <w:trPr>
          <w:trHeight w:val="20"/>
        </w:trPr>
        <w:tc>
          <w:tcPr>
            <w:tcW w:w="2380" w:type="dxa"/>
            <w:vAlign w:val="bottom"/>
            <w:tcBorders>
              <w:top w:val="single" w:sz="8" w:color="auto"/>
              <w:left w:val="single" w:sz="8" w:color="00000A"/>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right w:val="single" w:sz="8" w:color="00000A"/>
            </w:tcBorders>
          </w:tcPr>
          <w:p>
            <w:pPr>
              <w:spacing w:after="0" w:line="20" w:lineRule="exact"/>
              <w:rPr>
                <w:sz w:val="1"/>
                <w:szCs w:val="1"/>
                <w:color w:val="auto"/>
              </w:rPr>
            </w:pPr>
          </w:p>
        </w:tc>
      </w:tr>
      <w:tr>
        <w:trPr>
          <w:trHeight w:val="201"/>
        </w:trPr>
        <w:tc>
          <w:tcPr>
            <w:tcW w:w="2380" w:type="dxa"/>
            <w:vAlign w:val="bottom"/>
            <w:tcBorders>
              <w:left w:val="single" w:sz="8" w:color="00000A"/>
            </w:tcBorders>
          </w:tcPr>
          <w:p>
            <w:pPr>
              <w:spacing w:after="0"/>
              <w:rPr>
                <w:sz w:val="17"/>
                <w:szCs w:val="17"/>
                <w:color w:val="auto"/>
              </w:rPr>
            </w:pPr>
          </w:p>
        </w:tc>
        <w:tc>
          <w:tcPr>
            <w:tcW w:w="3360" w:type="dxa"/>
            <w:vAlign w:val="bottom"/>
            <w:tcBorders>
              <w:right w:val="single" w:sz="8" w:color="00000A"/>
            </w:tcBorders>
            <w:gridSpan w:val="2"/>
          </w:tcPr>
          <w:p>
            <w:pPr>
              <w:jc w:val="center"/>
              <w:ind w:right="1840"/>
              <w:spacing w:after="0"/>
              <w:rPr>
                <w:sz w:val="20"/>
                <w:szCs w:val="20"/>
                <w:color w:val="auto"/>
              </w:rPr>
            </w:pPr>
            <w:r>
              <w:rPr>
                <w:rFonts w:ascii="Arial" w:cs="Arial" w:eastAsia="Arial" w:hAnsi="Arial"/>
                <w:sz w:val="17"/>
                <w:szCs w:val="17"/>
                <w:b w:val="1"/>
                <w:bCs w:val="1"/>
                <w:color w:val="auto"/>
                <w:w w:val="88"/>
              </w:rPr>
              <w:t>Total</w:t>
            </w:r>
          </w:p>
        </w:tc>
        <w:tc>
          <w:tcPr>
            <w:tcW w:w="5720" w:type="dxa"/>
            <w:vAlign w:val="bottom"/>
            <w:tcBorders>
              <w:right w:val="single" w:sz="8" w:color="00000A"/>
            </w:tcBorders>
            <w:gridSpan w:val="3"/>
          </w:tcPr>
          <w:p>
            <w:pPr>
              <w:jc w:val="center"/>
              <w:ind w:left="434"/>
              <w:spacing w:after="0"/>
              <w:rPr>
                <w:sz w:val="20"/>
                <w:szCs w:val="20"/>
                <w:color w:val="auto"/>
              </w:rPr>
            </w:pPr>
            <w:r>
              <w:rPr>
                <w:rFonts w:ascii="Arial" w:cs="Arial" w:eastAsia="Arial" w:hAnsi="Arial"/>
                <w:sz w:val="17"/>
                <w:szCs w:val="17"/>
                <w:b w:val="1"/>
                <w:bCs w:val="1"/>
                <w:color w:val="auto"/>
              </w:rPr>
              <w:t>[*CTR]</w:t>
            </w:r>
          </w:p>
        </w:tc>
      </w:tr>
      <w:tr>
        <w:trPr>
          <w:trHeight w:val="20"/>
        </w:trPr>
        <w:tc>
          <w:tcPr>
            <w:tcW w:w="2380" w:type="dxa"/>
            <w:vAlign w:val="bottom"/>
            <w:tcBorders>
              <w:left w:val="single" w:sz="8" w:color="00000A"/>
              <w:bottom w:val="single" w:sz="8" w:color="00000A"/>
            </w:tcBorders>
          </w:tcPr>
          <w:p>
            <w:pPr>
              <w:spacing w:after="0" w:line="20" w:lineRule="exact"/>
              <w:rPr>
                <w:sz w:val="1"/>
                <w:szCs w:val="1"/>
                <w:color w:val="auto"/>
              </w:rPr>
            </w:pPr>
          </w:p>
        </w:tc>
        <w:tc>
          <w:tcPr>
            <w:tcW w:w="1520" w:type="dxa"/>
            <w:vAlign w:val="bottom"/>
            <w:tcBorders>
              <w:bottom w:val="single" w:sz="8" w:color="00000A"/>
            </w:tcBorders>
          </w:tcPr>
          <w:p>
            <w:pPr>
              <w:spacing w:after="0" w:line="20" w:lineRule="exact"/>
              <w:rPr>
                <w:sz w:val="1"/>
                <w:szCs w:val="1"/>
                <w:color w:val="auto"/>
              </w:rPr>
            </w:pPr>
          </w:p>
        </w:tc>
        <w:tc>
          <w:tcPr>
            <w:tcW w:w="1840" w:type="dxa"/>
            <w:vAlign w:val="bottom"/>
            <w:tcBorders>
              <w:bottom w:val="single" w:sz="8" w:color="00000A"/>
              <w:right w:val="single" w:sz="8" w:color="00000A"/>
            </w:tcBorders>
          </w:tcPr>
          <w:p>
            <w:pPr>
              <w:spacing w:after="0" w:line="20" w:lineRule="exact"/>
              <w:rPr>
                <w:sz w:val="1"/>
                <w:szCs w:val="1"/>
                <w:color w:val="auto"/>
              </w:rPr>
            </w:pPr>
          </w:p>
        </w:tc>
        <w:tc>
          <w:tcPr>
            <w:tcW w:w="2840" w:type="dxa"/>
            <w:vAlign w:val="bottom"/>
            <w:tcBorders>
              <w:bottom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232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6" w:hanging="336"/>
        <w:spacing w:after="0"/>
        <w:tabs>
          <w:tab w:leader="none" w:pos="406"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26" w:lineRule="exact"/>
        <w:rPr>
          <w:sz w:val="20"/>
          <w:szCs w:val="20"/>
          <w:color w:val="auto"/>
        </w:rPr>
      </w:pPr>
    </w:p>
    <w:p>
      <w:pPr>
        <w:jc w:val="both"/>
        <w:ind w:left="6" w:firstLine="561"/>
        <w:spacing w:after="0" w:line="249" w:lineRule="auto"/>
        <w:rPr>
          <w:sz w:val="20"/>
          <w:szCs w:val="20"/>
          <w:color w:val="auto"/>
        </w:rPr>
      </w:pPr>
      <w:r>
        <w:rPr>
          <w:rFonts w:ascii="Arial" w:cs="Arial" w:eastAsia="Arial" w:hAnsi="Arial"/>
          <w:sz w:val="19"/>
          <w:szCs w:val="19"/>
          <w:color w:val="auto"/>
        </w:rPr>
        <w:t>9.1 If a [*CTR] pursuant to the proviso in the section of the [*CTR], Boeing agrees to [*CTR] of the applicable 2018 787-9 [*CTR] Aircraft, for a [*CTR]. Customer shall [*CTR] the applicable 2018 787-9 [*CTR] Aircraft during such [*CTR] notwithstanding the fact that such 2018 787-9 [*CTR] Aircraft may otherwise be [*CTR] during such period. For the avoidance of doubt, the [*CTR] shall be deemed an [*CTR] as defined in the AGTA as amended by the Misc Commitments LA, in which case the [*CTR] subject to the terms and conditions of the AGTA and the Purchase Agreement.</w:t>
      </w:r>
    </w:p>
    <w:p>
      <w:pPr>
        <w:spacing w:after="0" w:line="200"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7"/>
          <w:szCs w:val="17"/>
          <w:color w:val="auto"/>
        </w:rPr>
        <w:t>Customer and Boeing will [*CTR]:</w:t>
      </w:r>
    </w:p>
    <w:p>
      <w:pPr>
        <w:spacing w:after="0" w:line="226" w:lineRule="exact"/>
        <w:rPr>
          <w:sz w:val="20"/>
          <w:szCs w:val="20"/>
          <w:color w:val="auto"/>
        </w:rPr>
      </w:pPr>
    </w:p>
    <w:p>
      <w:pPr>
        <w:ind w:left="1126"/>
        <w:spacing w:after="0"/>
        <w:tabs>
          <w:tab w:leader="none" w:pos="1706" w:val="left"/>
        </w:tabs>
        <w:rPr>
          <w:sz w:val="20"/>
          <w:szCs w:val="20"/>
          <w:color w:val="auto"/>
        </w:rPr>
      </w:pPr>
      <w:r>
        <w:rPr>
          <w:rFonts w:ascii="Arial" w:cs="Arial" w:eastAsia="Arial" w:hAnsi="Arial"/>
          <w:sz w:val="19"/>
          <w:szCs w:val="19"/>
          <w:color w:val="auto"/>
        </w:rPr>
        <w:t>9.2.1</w:t>
      </w:r>
      <w:r>
        <w:rPr>
          <w:sz w:val="20"/>
          <w:szCs w:val="20"/>
          <w:color w:val="auto"/>
        </w:rPr>
        <w:tab/>
      </w:r>
      <w:r>
        <w:rPr>
          <w:rFonts w:ascii="Arial" w:cs="Arial" w:eastAsia="Arial" w:hAnsi="Arial"/>
          <w:sz w:val="17"/>
          <w:szCs w:val="17"/>
          <w:color w:val="auto"/>
        </w:rPr>
        <w:t>the [*CTR] for any 2018 787-8 [*CTR] Aircraft following satisfaction by Customer of the applicable [*CTR]; or</w:t>
      </w:r>
    </w:p>
    <w:p>
      <w:pPr>
        <w:spacing w:after="0" w:line="226" w:lineRule="exact"/>
        <w:rPr>
          <w:sz w:val="20"/>
          <w:szCs w:val="20"/>
          <w:color w:val="auto"/>
        </w:rPr>
      </w:pPr>
    </w:p>
    <w:p>
      <w:pPr>
        <w:ind w:left="1126"/>
        <w:spacing w:after="0"/>
        <w:tabs>
          <w:tab w:leader="none" w:pos="1666" w:val="left"/>
        </w:tabs>
        <w:rPr>
          <w:sz w:val="20"/>
          <w:szCs w:val="20"/>
          <w:color w:val="auto"/>
        </w:rPr>
      </w:pPr>
      <w:r>
        <w:rPr>
          <w:rFonts w:ascii="Arial" w:cs="Arial" w:eastAsia="Arial" w:hAnsi="Arial"/>
          <w:sz w:val="19"/>
          <w:szCs w:val="19"/>
          <w:color w:val="auto"/>
        </w:rPr>
        <w:t>9.2.2</w:t>
      </w:r>
      <w:r>
        <w:rPr>
          <w:sz w:val="20"/>
          <w:szCs w:val="20"/>
          <w:color w:val="auto"/>
        </w:rPr>
        <w:tab/>
      </w:r>
      <w:r>
        <w:rPr>
          <w:rFonts w:ascii="Arial" w:cs="Arial" w:eastAsia="Arial" w:hAnsi="Arial"/>
          <w:sz w:val="17"/>
          <w:szCs w:val="17"/>
          <w:color w:val="auto"/>
        </w:rPr>
        <w:t>Boeing, [*CTR] for such 2018 787-8 [*CTR] Aircraft.</w:t>
      </w:r>
    </w:p>
    <w:p>
      <w:pPr>
        <w:spacing w:after="0" w:line="226" w:lineRule="exact"/>
        <w:rPr>
          <w:sz w:val="20"/>
          <w:szCs w:val="20"/>
          <w:color w:val="auto"/>
        </w:rPr>
      </w:pPr>
    </w:p>
    <w:p>
      <w:pPr>
        <w:jc w:val="both"/>
        <w:ind w:left="6"/>
        <w:spacing w:after="0" w:line="266" w:lineRule="auto"/>
        <w:rPr>
          <w:sz w:val="20"/>
          <w:szCs w:val="20"/>
          <w:color w:val="auto"/>
        </w:rPr>
      </w:pPr>
      <w:r>
        <w:rPr>
          <w:rFonts w:ascii="Arial" w:cs="Arial" w:eastAsia="Arial" w:hAnsi="Arial"/>
          <w:sz w:val="19"/>
          <w:szCs w:val="19"/>
          <w:color w:val="auto"/>
        </w:rPr>
        <w:t>In the event of a [*CTR], Boeing agrees to [*CTR] of the applicable 2018 787-8 [*CTR] Aircraft for the [*CTR]. Customer shall not be [*CTR] the applicable 2018 787-8 [*CTR] Aircraft during such [*CTR], as applicable, notwithstanding the fact that such</w:t>
      </w:r>
    </w:p>
    <w:p>
      <w:pPr>
        <w:spacing w:after="0" w:line="370"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7</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00" w:right="219" w:bottom="1440" w:gutter="0" w:footer="0" w:header="0"/>
        </w:sectPr>
      </w:pPr>
    </w:p>
    <w:bookmarkStart w:id="104" w:name="page105"/>
    <w:bookmarkEnd w:id="104"/>
    <w:p>
      <w:pPr>
        <w:jc w:val="both"/>
        <w:ind w:left="6" w:right="20"/>
        <w:spacing w:after="0" w:line="255" w:lineRule="auto"/>
        <w:rPr>
          <w:sz w:val="20"/>
          <w:szCs w:val="20"/>
          <w:color w:val="auto"/>
        </w:rPr>
      </w:pPr>
      <w:r>
        <w:rPr>
          <w:rFonts w:ascii="Arial" w:cs="Arial" w:eastAsia="Arial" w:hAnsi="Arial"/>
          <w:sz w:val="19"/>
          <w:szCs w:val="19"/>
          <w:color w:val="auto"/>
        </w:rPr>
        <w:t>2018 787-8 [*CTR] Aircraft may otherwise be [*CTR] during such [*CTR]. For the avoidance of doubt, the [*CTR] shall be deemed a [*CTR] as defined in Section 1.13 of the Misc Commitments LA, the [*CTR] is otherwise subject to the terms and conditions of the AGTA and the Purchase Agreement.</w:t>
      </w:r>
    </w:p>
    <w:p>
      <w:pPr>
        <w:spacing w:after="0" w:line="193" w:lineRule="exact"/>
        <w:rPr>
          <w:sz w:val="20"/>
          <w:szCs w:val="20"/>
          <w:color w:val="auto"/>
        </w:rPr>
      </w:pPr>
    </w:p>
    <w:p>
      <w:pPr>
        <w:jc w:val="both"/>
        <w:ind w:left="6"/>
        <w:spacing w:after="0" w:line="279" w:lineRule="auto"/>
        <w:rPr>
          <w:sz w:val="20"/>
          <w:szCs w:val="20"/>
          <w:color w:val="auto"/>
        </w:rPr>
      </w:pPr>
      <w:r>
        <w:rPr>
          <w:rFonts w:ascii="Arial" w:cs="Arial" w:eastAsia="Arial" w:hAnsi="Arial"/>
          <w:sz w:val="17"/>
          <w:szCs w:val="17"/>
          <w:color w:val="auto"/>
        </w:rPr>
        <w:t>If prior to the [*CTR], Boeing and Customer are [*CTR], Customer may, within [*CTR] following the [*CTR], and in its sole discretion, either (i) [*CTR] the applicable 2018 787-8 [*CTR] Aircraft for which the [*CTR] occurred, or (ii) [*CTR] the Purchase Agreement with respect to (A) the applicable 2018 787-8 [*CTR] Aircraft for which the [*CTR] occurred, or (B) any [*CTR] 2018 787-8 [*CTR] Aircraft, including the applicable 2018 787-8 [*CTR] Aircraft for which the [*CTR] occurred, without [*CTR] with respect to any such 2018 787-8 [*CTR] Aircraft [*CTR] by Customer in accordance with clause (ii) of this paragraph. If Customer [*CTR] the Purchase Agreement as to [*CTR] 2018 787-8 [*CTR] Aircraft under this Section 9.2, Boeing shall (x) [*CTR] by Customer for the [*CTR] 2018 787-8 [*CTR] Aircraft with [*CTR] from Customer to Boeing of the [*CTR] to Customer by Boeing pursuant to this Section 9.2, (y) [*CTR] from Customer all [*CTR] related to the [*CTR] 2018 787-8 [*CTR] Aircraft at the [*CTR], by Customer, and (z) [*CTR] Customer for all [*CTR] related to the anticipated [*CTR] of such [*CTR] 2018 787-8 [*CTR] Aircraft, including, but not limited to, all 2018 787-8 [*CTR] Aircraft that have been [*CTR] in accordance with this Section 9.2 but are not yet [*CTR].</w:t>
      </w:r>
    </w:p>
    <w:p>
      <w:pPr>
        <w:spacing w:after="0" w:line="178"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7"/>
          <w:szCs w:val="17"/>
          <w:color w:val="auto"/>
        </w:rPr>
        <w:t>Customer and Boeing will [*CTR]:</w:t>
      </w:r>
    </w:p>
    <w:p>
      <w:pPr>
        <w:spacing w:after="0" w:line="226" w:lineRule="exact"/>
        <w:rPr>
          <w:sz w:val="20"/>
          <w:szCs w:val="20"/>
          <w:color w:val="auto"/>
        </w:rPr>
      </w:pPr>
    </w:p>
    <w:p>
      <w:pPr>
        <w:ind w:left="1126"/>
        <w:spacing w:after="0"/>
        <w:tabs>
          <w:tab w:leader="none" w:pos="1706" w:val="left"/>
        </w:tabs>
        <w:rPr>
          <w:sz w:val="20"/>
          <w:szCs w:val="20"/>
          <w:color w:val="auto"/>
        </w:rPr>
      </w:pPr>
      <w:r>
        <w:rPr>
          <w:rFonts w:ascii="Arial" w:cs="Arial" w:eastAsia="Arial" w:hAnsi="Arial"/>
          <w:sz w:val="19"/>
          <w:szCs w:val="19"/>
          <w:color w:val="auto"/>
        </w:rPr>
        <w:t>9.3.1</w:t>
      </w:r>
      <w:r>
        <w:rPr>
          <w:sz w:val="20"/>
          <w:szCs w:val="20"/>
          <w:color w:val="auto"/>
        </w:rPr>
        <w:tab/>
      </w:r>
      <w:r>
        <w:rPr>
          <w:rFonts w:ascii="Arial" w:cs="Arial" w:eastAsia="Arial" w:hAnsi="Arial"/>
          <w:sz w:val="18"/>
          <w:szCs w:val="18"/>
          <w:color w:val="auto"/>
        </w:rPr>
        <w:t>the [*CTR] for any 2018 787-9 [*CTR] Aircraft (as defined in the [*CTR]) following [*CTR].</w:t>
      </w:r>
    </w:p>
    <w:p>
      <w:pPr>
        <w:spacing w:after="0" w:line="226" w:lineRule="exact"/>
        <w:rPr>
          <w:sz w:val="20"/>
          <w:szCs w:val="20"/>
          <w:color w:val="auto"/>
        </w:rPr>
      </w:pPr>
    </w:p>
    <w:p>
      <w:pPr>
        <w:jc w:val="both"/>
        <w:ind w:left="6"/>
        <w:spacing w:after="0" w:line="270" w:lineRule="auto"/>
        <w:rPr>
          <w:sz w:val="20"/>
          <w:szCs w:val="20"/>
          <w:color w:val="auto"/>
        </w:rPr>
      </w:pPr>
      <w:r>
        <w:rPr>
          <w:rFonts w:ascii="Arial" w:cs="Arial" w:eastAsia="Arial" w:hAnsi="Arial"/>
          <w:sz w:val="18"/>
          <w:szCs w:val="18"/>
          <w:color w:val="auto"/>
        </w:rPr>
        <w:t>In the event of a [*CTR], Boeing agrees to [*CTR] of the applicable 2018 787-9 [*CTR] Aircraft for the [*CTR]. Customer shall not be [*CTR] the applicable 2018 787-9 [*CTR] Aircraft during such [*CTR], as applicable, notwithstanding the fact that such 2018 787-9 [*CTR] Aircraft may otherwise be [*CTR] during such [*CTR]. For the avoidance of doubt, the [*CTR] shall be deemed a [*CTR] as defined in Section 1.13 of the Misc Commitments LA, the [*CTR] is otherwise subject to the terms and conditions of the AGTA and the Purchase Agreement.</w:t>
      </w:r>
    </w:p>
    <w:p>
      <w:pPr>
        <w:spacing w:after="0" w:line="180" w:lineRule="exact"/>
        <w:rPr>
          <w:sz w:val="20"/>
          <w:szCs w:val="20"/>
          <w:color w:val="auto"/>
        </w:rPr>
      </w:pPr>
    </w:p>
    <w:p>
      <w:pPr>
        <w:ind w:left="566"/>
        <w:spacing w:after="0"/>
        <w:rPr>
          <w:sz w:val="20"/>
          <w:szCs w:val="20"/>
          <w:color w:val="auto"/>
        </w:rPr>
      </w:pPr>
      <w:r>
        <w:rPr>
          <w:rFonts w:ascii="Arial" w:cs="Arial" w:eastAsia="Arial" w:hAnsi="Arial"/>
          <w:sz w:val="17"/>
          <w:szCs w:val="17"/>
          <w:color w:val="auto"/>
        </w:rPr>
        <w:t>If prior to the [*CTR], Boeing and Customer are [*CTR], Customer may, within [*CTR] following the [*CTR], and in its sole discretion, either</w:t>
      </w:r>
    </w:p>
    <w:p>
      <w:pPr>
        <w:spacing w:after="0" w:line="43" w:lineRule="exact"/>
        <w:rPr>
          <w:sz w:val="20"/>
          <w:szCs w:val="20"/>
          <w:color w:val="auto"/>
        </w:rPr>
      </w:pPr>
    </w:p>
    <w:p>
      <w:pPr>
        <w:jc w:val="both"/>
        <w:ind w:left="6" w:hanging="6"/>
        <w:spacing w:after="0" w:line="289" w:lineRule="auto"/>
        <w:tabs>
          <w:tab w:leader="none" w:pos="238"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proceed to [*CTR] the applicable 2018 787-9 [*CTR] Aircraft for which the [*CTR] occurred, or (ii) [*CTR] the Purchase Agreement with respect to the applicable 2018 787-9 [*CTR] Aircraft for which the [*CTR] occurred, without [*CTR] with respect to such 2018 787-9 [*CTR] Aircraft [*CTR] by Customer in accordance with clause (ii) of this paragraph. If Customer elects to [*CTR] the Purchase Agreement as to such 2018 787-9 [*CTR]</w:t>
      </w:r>
    </w:p>
    <w:p>
      <w:pPr>
        <w:spacing w:after="0" w:line="354"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8</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00" w:right="219" w:bottom="1440" w:gutter="0" w:footer="0" w:header="0"/>
        </w:sectPr>
      </w:pPr>
    </w:p>
    <w:bookmarkStart w:id="105" w:name="page106"/>
    <w:bookmarkEnd w:id="105"/>
    <w:p>
      <w:pPr>
        <w:jc w:val="both"/>
        <w:ind w:left="6"/>
        <w:spacing w:after="0" w:line="249" w:lineRule="auto"/>
        <w:rPr>
          <w:sz w:val="20"/>
          <w:szCs w:val="20"/>
          <w:color w:val="auto"/>
        </w:rPr>
      </w:pPr>
      <w:r>
        <w:rPr>
          <w:rFonts w:ascii="Arial" w:cs="Arial" w:eastAsia="Arial" w:hAnsi="Arial"/>
          <w:sz w:val="19"/>
          <w:szCs w:val="19"/>
          <w:color w:val="auto"/>
        </w:rPr>
        <w:t>Aircraft under this Section 9.3, Boeing shall (x) [*CTR] by Customer for the [*CTR] 2018 787-9 [*CTR] Aircraft with [*CTR] from Customer to Boeing of the [*CTR] pursuant to this Section 9.3, (y) [*CTR] from Customer all [*CTR] related to the [*CTR] 2018 787-9 [*CTR] Aircraft at the [*CTR], by Customer, and (z) [*CTR] Customer for all [*CTR] related to the anticipated [*CTR] of such [*CTR] 2018 787-9 [*CTR] Aircraft, including, but not limited to, all 2018 787-9 [*CTR] Aircraft that have been [*CTR] in accordance with this Section 9.3 but are not yet ready to be delivered.</w:t>
      </w:r>
    </w:p>
    <w:p>
      <w:pPr>
        <w:spacing w:after="0" w:line="301" w:lineRule="exact"/>
        <w:rPr>
          <w:sz w:val="20"/>
          <w:szCs w:val="20"/>
          <w:color w:val="auto"/>
        </w:rPr>
      </w:pPr>
    </w:p>
    <w:p>
      <w:pPr>
        <w:ind w:left="426" w:hanging="426"/>
        <w:spacing w:after="0"/>
        <w:tabs>
          <w:tab w:leader="none" w:pos="42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on Purchase Agreement</w:t>
      </w:r>
      <w:r>
        <w:rPr>
          <w:rFonts w:ascii="Arial" w:cs="Arial" w:eastAsia="Arial" w:hAnsi="Arial"/>
          <w:sz w:val="19"/>
          <w:szCs w:val="19"/>
          <w:color w:val="auto"/>
        </w:rPr>
        <w:t>.</w:t>
      </w:r>
    </w:p>
    <w:p>
      <w:pPr>
        <w:spacing w:after="0" w:line="125" w:lineRule="exact"/>
        <w:rPr>
          <w:sz w:val="20"/>
          <w:szCs w:val="20"/>
          <w:color w:val="auto"/>
        </w:rPr>
      </w:pPr>
    </w:p>
    <w:p>
      <w:pPr>
        <w:ind w:left="566"/>
        <w:spacing w:after="0"/>
        <w:tabs>
          <w:tab w:leader="none" w:pos="1046"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u w:val="single" w:color="auto"/>
          <w:color w:val="auto"/>
        </w:rPr>
        <w:t>Table 1 Reference Clarifications</w:t>
      </w:r>
      <w:r>
        <w:rPr>
          <w:rFonts w:ascii="Arial" w:cs="Arial" w:eastAsia="Arial" w:hAnsi="Arial"/>
          <w:sz w:val="17"/>
          <w:szCs w:val="17"/>
          <w:color w:val="auto"/>
        </w:rPr>
        <w:t>.</w:t>
      </w:r>
    </w:p>
    <w:p>
      <w:pPr>
        <w:spacing w:after="0" w:line="226" w:lineRule="exact"/>
        <w:rPr>
          <w:sz w:val="20"/>
          <w:szCs w:val="20"/>
          <w:color w:val="auto"/>
        </w:rPr>
      </w:pPr>
    </w:p>
    <w:p>
      <w:pPr>
        <w:jc w:val="both"/>
        <w:ind w:left="6" w:right="20" w:firstLine="1123"/>
        <w:spacing w:after="0" w:line="250" w:lineRule="auto"/>
        <w:rPr>
          <w:sz w:val="20"/>
          <w:szCs w:val="20"/>
          <w:color w:val="auto"/>
        </w:rPr>
      </w:pPr>
      <w:r>
        <w:rPr>
          <w:rFonts w:ascii="Arial" w:cs="Arial" w:eastAsia="Arial" w:hAnsi="Arial"/>
          <w:sz w:val="19"/>
          <w:szCs w:val="19"/>
          <w:color w:val="auto"/>
        </w:rPr>
        <w:t>10.1.1 References in the Purchase Agreement and the associated exhibits, supplemental exhibits, and letter agreements to the Purchase Agreement to “Table 1(R7), Table 2(R1) and Table 3(R1)” are now deemed to refer to “Table 1(R7), Table 2(R1), Table 3(R1), Table 5, and Table 6.” Specifically, the locations of such references are as follows:</w:t>
      </w:r>
    </w:p>
    <w:p>
      <w:pPr>
        <w:spacing w:after="0" w:line="1" w:lineRule="exact"/>
        <w:rPr>
          <w:sz w:val="20"/>
          <w:szCs w:val="20"/>
          <w:color w:val="auto"/>
        </w:rPr>
      </w:pPr>
    </w:p>
    <w:p>
      <w:pPr>
        <w:ind w:left="2246" w:hanging="562"/>
        <w:spacing w:after="0"/>
        <w:tabs>
          <w:tab w:leader="none" w:pos="2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Articles 1, 2, 3 (all sections), 4 (all sections), and Section 5.1 of the Basic Articles</w:t>
      </w:r>
    </w:p>
    <w:p>
      <w:pPr>
        <w:spacing w:after="0" w:line="34" w:lineRule="exact"/>
        <w:rPr>
          <w:rFonts w:ascii="Arial" w:cs="Arial" w:eastAsia="Arial" w:hAnsi="Arial"/>
          <w:sz w:val="19"/>
          <w:szCs w:val="19"/>
          <w:color w:val="auto"/>
        </w:rPr>
      </w:pPr>
    </w:p>
    <w:p>
      <w:pPr>
        <w:ind w:left="2246" w:hanging="562"/>
        <w:spacing w:after="0"/>
        <w:tabs>
          <w:tab w:leader="none" w:pos="2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Definitions of “Aircraft” and “Engine” in Exhibit C(R1)</w:t>
      </w:r>
    </w:p>
    <w:p>
      <w:pPr>
        <w:spacing w:after="0" w:line="38" w:lineRule="exact"/>
        <w:rPr>
          <w:rFonts w:ascii="Arial" w:cs="Arial" w:eastAsia="Arial" w:hAnsi="Arial"/>
          <w:sz w:val="19"/>
          <w:szCs w:val="19"/>
          <w:color w:val="auto"/>
        </w:rPr>
      </w:pPr>
    </w:p>
    <w:p>
      <w:pPr>
        <w:ind w:left="2246" w:hanging="562"/>
        <w:spacing w:after="0"/>
        <w:tabs>
          <w:tab w:leader="none" w:pos="2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Section 1 of Supplemental Exhibit AE1</w:t>
      </w:r>
    </w:p>
    <w:p>
      <w:pPr>
        <w:spacing w:after="0" w:line="38" w:lineRule="exact"/>
        <w:rPr>
          <w:rFonts w:ascii="Arial" w:cs="Arial" w:eastAsia="Arial" w:hAnsi="Arial"/>
          <w:sz w:val="19"/>
          <w:szCs w:val="19"/>
          <w:color w:val="auto"/>
        </w:rPr>
      </w:pPr>
    </w:p>
    <w:p>
      <w:pPr>
        <w:ind w:left="2246" w:hanging="562"/>
        <w:spacing w:after="0"/>
        <w:tabs>
          <w:tab w:leader="none" w:pos="2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Section 1.1 of Letter Agreement 6-1162-TRW-0672R1 entitled “</w:t>
      </w:r>
      <w:r>
        <w:rPr>
          <w:rFonts w:ascii="Arial" w:cs="Arial" w:eastAsia="Arial" w:hAnsi="Arial"/>
          <w:sz w:val="19"/>
          <w:szCs w:val="19"/>
          <w:u w:val="single" w:color="auto"/>
          <w:color w:val="auto"/>
        </w:rPr>
        <w:t>Promotional Support Agreement</w:t>
      </w:r>
      <w:r>
        <w:rPr>
          <w:rFonts w:ascii="Arial" w:cs="Arial" w:eastAsia="Arial" w:hAnsi="Arial"/>
          <w:sz w:val="19"/>
          <w:szCs w:val="19"/>
          <w:color w:val="auto"/>
        </w:rPr>
        <w:t>”</w:t>
      </w:r>
    </w:p>
    <w:p>
      <w:pPr>
        <w:spacing w:after="0" w:line="285" w:lineRule="exact"/>
        <w:rPr>
          <w:sz w:val="20"/>
          <w:szCs w:val="20"/>
          <w:color w:val="auto"/>
        </w:rPr>
      </w:pPr>
    </w:p>
    <w:p>
      <w:pPr>
        <w:ind w:left="6" w:right="20" w:firstLine="1123"/>
        <w:spacing w:after="0" w:line="266" w:lineRule="auto"/>
        <w:rPr>
          <w:sz w:val="20"/>
          <w:szCs w:val="20"/>
          <w:color w:val="auto"/>
        </w:rPr>
      </w:pPr>
      <w:r>
        <w:rPr>
          <w:rFonts w:ascii="Arial" w:cs="Arial" w:eastAsia="Arial" w:hAnsi="Arial"/>
          <w:sz w:val="19"/>
          <w:szCs w:val="19"/>
          <w:color w:val="auto"/>
        </w:rPr>
        <w:t>10.1.2 The reference to “Table 1(R4)” in Section 1.3.1.1 of the Letter Agreement AAL-PA-3219-LA-1604503 entitled “</w:t>
      </w:r>
      <w:r>
        <w:rPr>
          <w:rFonts w:ascii="Arial" w:cs="Arial" w:eastAsia="Arial" w:hAnsi="Arial"/>
          <w:sz w:val="19"/>
          <w:szCs w:val="19"/>
          <w:u w:val="single" w:color="auto"/>
          <w:color w:val="auto"/>
        </w:rPr>
        <w:t>787 Aircraft</w:t>
      </w:r>
      <w:r>
        <w:rPr>
          <w:rFonts w:ascii="Arial" w:cs="Arial" w:eastAsia="Arial" w:hAnsi="Arial"/>
          <w:sz w:val="19"/>
          <w:szCs w:val="19"/>
          <w:color w:val="auto"/>
        </w:rPr>
        <w:t xml:space="preserve"> </w:t>
      </w:r>
      <w:r>
        <w:rPr>
          <w:rFonts w:ascii="Arial" w:cs="Arial" w:eastAsia="Arial" w:hAnsi="Arial"/>
          <w:sz w:val="19"/>
          <w:szCs w:val="19"/>
          <w:u w:val="single" w:color="auto"/>
          <w:color w:val="auto"/>
        </w:rPr>
        <w:t>[*CTR] Matters</w:t>
      </w:r>
      <w:r>
        <w:rPr>
          <w:rFonts w:ascii="Arial" w:cs="Arial" w:eastAsia="Arial" w:hAnsi="Arial"/>
          <w:sz w:val="19"/>
          <w:szCs w:val="19"/>
          <w:color w:val="auto"/>
        </w:rPr>
        <w:t>” (</w:t>
      </w:r>
      <w:r>
        <w:rPr>
          <w:rFonts w:ascii="Arial" w:cs="Arial" w:eastAsia="Arial" w:hAnsi="Arial"/>
          <w:sz w:val="19"/>
          <w:szCs w:val="19"/>
          <w:b w:val="1"/>
          <w:bCs w:val="1"/>
          <w:i w:val="1"/>
          <w:iCs w:val="1"/>
          <w:color w:val="auto"/>
        </w:rPr>
        <w:t>787 [*CTR] Letter</w:t>
      </w:r>
      <w:r>
        <w:rPr>
          <w:rFonts w:ascii="Arial" w:cs="Arial" w:eastAsia="Arial" w:hAnsi="Arial"/>
          <w:sz w:val="19"/>
          <w:szCs w:val="19"/>
          <w:color w:val="auto"/>
        </w:rPr>
        <w:t>) is deemed to refer to “Table 1(R7) and Table 5.”</w:t>
      </w:r>
    </w:p>
    <w:p>
      <w:pPr>
        <w:spacing w:after="0" w:line="182" w:lineRule="exact"/>
        <w:rPr>
          <w:sz w:val="20"/>
          <w:szCs w:val="20"/>
          <w:color w:val="auto"/>
        </w:rPr>
      </w:pPr>
    </w:p>
    <w:p>
      <w:pPr>
        <w:ind w:left="1126"/>
        <w:spacing w:after="0"/>
        <w:tabs>
          <w:tab w:leader="none" w:pos="1806"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7"/>
          <w:szCs w:val="17"/>
          <w:color w:val="auto"/>
        </w:rPr>
        <w:t>The references to “Table 1(R5)” in Section 3.1 of the 787 [*CTR] Letter is deemed to refer to “Table 1(R7).”</w:t>
      </w:r>
    </w:p>
    <w:p>
      <w:pPr>
        <w:spacing w:after="0" w:line="226" w:lineRule="exact"/>
        <w:rPr>
          <w:sz w:val="20"/>
          <w:szCs w:val="20"/>
          <w:color w:val="auto"/>
        </w:rPr>
      </w:pPr>
    </w:p>
    <w:p>
      <w:pPr>
        <w:ind w:left="1126"/>
        <w:spacing w:after="0"/>
        <w:tabs>
          <w:tab w:leader="none" w:pos="1746"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7"/>
          <w:szCs w:val="17"/>
          <w:color w:val="auto"/>
        </w:rPr>
        <w:t>The reference to “Table 1(R7)” in Section 1 of Supplemental Exhibit EE1 is now deemed to refer “Table 1(R7) and Table 5”.</w:t>
      </w:r>
    </w:p>
    <w:p>
      <w:pPr>
        <w:spacing w:after="0" w:line="226" w:lineRule="exact"/>
        <w:rPr>
          <w:sz w:val="20"/>
          <w:szCs w:val="20"/>
          <w:color w:val="auto"/>
        </w:rPr>
      </w:pPr>
    </w:p>
    <w:p>
      <w:pPr>
        <w:ind w:left="1126"/>
        <w:spacing w:after="0"/>
        <w:tabs>
          <w:tab w:leader="none" w:pos="1826"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7"/>
          <w:szCs w:val="17"/>
          <w:color w:val="auto"/>
        </w:rPr>
        <w:t>The reference to “Table 2(R1) and Table 3(R1)” in Section 1 of Supplemental Exhibit EE2 is now deemed to refer to “Table</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2(R1), Table 3(R1), and Table 6”.</w:t>
      </w:r>
    </w:p>
    <w:p>
      <w:pPr>
        <w:spacing w:after="0" w:line="210" w:lineRule="exact"/>
        <w:rPr>
          <w:sz w:val="20"/>
          <w:szCs w:val="20"/>
          <w:color w:val="auto"/>
        </w:rPr>
      </w:pPr>
    </w:p>
    <w:p>
      <w:pPr>
        <w:ind w:left="566"/>
        <w:spacing w:after="0"/>
        <w:tabs>
          <w:tab w:leader="none" w:pos="1046"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Supplemental Exhibit EE1 and Supplemental Exhibit EE2 Clarifications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
        <w:spacing w:after="0"/>
        <w:tabs>
          <w:tab w:leader="none" w:pos="806" w:val="left"/>
          <w:tab w:leader="none" w:pos="1486"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9</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00" w:right="219" w:bottom="1440" w:gutter="0" w:footer="0" w:header="0"/>
        </w:sectPr>
      </w:pPr>
    </w:p>
    <w:bookmarkStart w:id="106" w:name="page107"/>
    <w:bookmarkEnd w:id="106"/>
    <w:p>
      <w:pPr>
        <w:jc w:val="both"/>
        <w:ind w:firstLine="1123"/>
        <w:spacing w:after="0" w:line="250" w:lineRule="auto"/>
        <w:rPr>
          <w:sz w:val="20"/>
          <w:szCs w:val="20"/>
          <w:color w:val="auto"/>
        </w:rPr>
      </w:pPr>
      <w:r>
        <w:rPr>
          <w:rFonts w:ascii="Arial" w:cs="Arial" w:eastAsia="Arial" w:hAnsi="Arial"/>
          <w:sz w:val="19"/>
          <w:szCs w:val="19"/>
          <w:color w:val="auto"/>
        </w:rPr>
        <w:t>10.2.1 For the avoidance of doubt, since the effective date of Supplemental Agreement No. 4 to the Purchase Agreement (</w:t>
      </w:r>
      <w:r>
        <w:rPr>
          <w:rFonts w:ascii="Arial" w:cs="Arial" w:eastAsia="Arial" w:hAnsi="Arial"/>
          <w:sz w:val="19"/>
          <w:szCs w:val="19"/>
          <w:b w:val="1"/>
          <w:bCs w:val="1"/>
          <w:i w:val="1"/>
          <w:iCs w:val="1"/>
          <w:color w:val="auto"/>
        </w:rPr>
        <w:t>SA-4</w:t>
      </w:r>
      <w:r>
        <w:rPr>
          <w:rFonts w:ascii="Arial" w:cs="Arial" w:eastAsia="Arial" w:hAnsi="Arial"/>
          <w:sz w:val="19"/>
          <w:szCs w:val="19"/>
          <w:color w:val="auto"/>
        </w:rPr>
        <w:t>) the following references to “Supplemental Exhibit EE1” have been deemed to refer to, and shall continue to be deemed to refer to, “Supplement Exhibit EE1 or Supplemental Exhibit EE2, as applicable.”</w:t>
      </w:r>
    </w:p>
    <w:p>
      <w:pPr>
        <w:spacing w:after="0" w:line="1" w:lineRule="exact"/>
        <w:rPr>
          <w:sz w:val="20"/>
          <w:szCs w:val="20"/>
          <w:color w:val="auto"/>
        </w:rPr>
      </w:pPr>
    </w:p>
    <w:p>
      <w:pPr>
        <w:ind w:left="2240" w:hanging="562"/>
        <w:spacing w:after="0"/>
        <w:tabs>
          <w:tab w:leader="none" w:pos="22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Section 2.15 of the Aircraft General Terms Agreement by and between Boeing and Customer dated October 31, 1997</w:t>
      </w:r>
    </w:p>
    <w:p>
      <w:pPr>
        <w:spacing w:after="0" w:line="57" w:lineRule="exact"/>
        <w:rPr>
          <w:rFonts w:ascii="Arial" w:cs="Arial" w:eastAsia="Arial" w:hAnsi="Arial"/>
          <w:sz w:val="17"/>
          <w:szCs w:val="17"/>
          <w:color w:val="auto"/>
        </w:rPr>
      </w:pPr>
    </w:p>
    <w:p>
      <w:pPr>
        <w:ind w:left="2240" w:hanging="562"/>
        <w:spacing w:after="0"/>
        <w:tabs>
          <w:tab w:leader="none" w:pos="22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Section 5.5 of the Basic Articles</w:t>
      </w:r>
    </w:p>
    <w:p>
      <w:pPr>
        <w:spacing w:after="0" w:line="38" w:lineRule="exact"/>
        <w:rPr>
          <w:rFonts w:ascii="Arial" w:cs="Arial" w:eastAsia="Arial" w:hAnsi="Arial"/>
          <w:sz w:val="19"/>
          <w:szCs w:val="19"/>
          <w:color w:val="auto"/>
        </w:rPr>
      </w:pPr>
    </w:p>
    <w:p>
      <w:pPr>
        <w:ind w:left="2240" w:hanging="562"/>
        <w:spacing w:after="0"/>
        <w:tabs>
          <w:tab w:leader="none" w:pos="22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Definition of “[*CTR]” in Exhibit C(R1)</w:t>
      </w:r>
    </w:p>
    <w:p>
      <w:pPr>
        <w:spacing w:after="0" w:line="285" w:lineRule="exact"/>
        <w:rPr>
          <w:sz w:val="20"/>
          <w:szCs w:val="20"/>
          <w:color w:val="auto"/>
        </w:rPr>
      </w:pPr>
    </w:p>
    <w:p>
      <w:pPr>
        <w:jc w:val="both"/>
        <w:ind w:right="20" w:firstLine="1123"/>
        <w:spacing w:after="0" w:line="266" w:lineRule="auto"/>
        <w:rPr>
          <w:sz w:val="20"/>
          <w:szCs w:val="20"/>
          <w:color w:val="auto"/>
        </w:rPr>
      </w:pPr>
      <w:r>
        <w:rPr>
          <w:rFonts w:ascii="Arial" w:cs="Arial" w:eastAsia="Arial" w:hAnsi="Arial"/>
          <w:sz w:val="19"/>
          <w:szCs w:val="19"/>
          <w:color w:val="auto"/>
        </w:rPr>
        <w:t>10.2.2 For the avoidance of doubt, since the effective date of SA-4, the reference to “Supplemental Exhibit EE1” in Section 2.3 of Supplemental Exhibit EE2 has been deemed to refer to, and shall continue to be deemed to refer to, “Supplemental Exhibit EE2.”</w:t>
      </w:r>
    </w:p>
    <w:p>
      <w:pPr>
        <w:spacing w:after="0" w:line="182" w:lineRule="exact"/>
        <w:rPr>
          <w:sz w:val="20"/>
          <w:szCs w:val="20"/>
          <w:color w:val="auto"/>
        </w:rPr>
      </w:pPr>
    </w:p>
    <w:p>
      <w:pPr>
        <w:jc w:val="both"/>
        <w:ind w:right="20" w:firstLine="1123"/>
        <w:spacing w:after="0" w:line="255" w:lineRule="auto"/>
        <w:rPr>
          <w:sz w:val="20"/>
          <w:szCs w:val="20"/>
          <w:color w:val="auto"/>
        </w:rPr>
      </w:pPr>
      <w:r>
        <w:rPr>
          <w:rFonts w:ascii="Arial" w:cs="Arial" w:eastAsia="Arial" w:hAnsi="Arial"/>
          <w:sz w:val="19"/>
          <w:szCs w:val="19"/>
          <w:color w:val="auto"/>
        </w:rPr>
        <w:t>10.2.3 For the avoidance of doubt, since the effective date of SA-4, the reference to “Supplemental Exhibit EE1” in Section 3.1 of Letter Agreement 6-1162-TRW-0670R1 entitled “</w:t>
      </w:r>
      <w:r>
        <w:rPr>
          <w:rFonts w:ascii="Arial" w:cs="Arial" w:eastAsia="Arial" w:hAnsi="Arial"/>
          <w:sz w:val="19"/>
          <w:szCs w:val="19"/>
          <w:u w:val="single" w:color="auto"/>
          <w:color w:val="auto"/>
        </w:rPr>
        <w:t>Miscellaneous Commitments for Model 787 Aircraft</w:t>
      </w:r>
      <w:r>
        <w:rPr>
          <w:rFonts w:ascii="Arial" w:cs="Arial" w:eastAsia="Arial" w:hAnsi="Arial"/>
          <w:sz w:val="19"/>
          <w:szCs w:val="19"/>
          <w:color w:val="auto"/>
        </w:rPr>
        <w:t>” has been deemed to refer to, and shall continue to be deemed to refer to, “Supplemental Exhibit EE1 or Supplemental Exhibit EE2.”</w:t>
      </w:r>
    </w:p>
    <w:p>
      <w:pPr>
        <w:spacing w:after="0" w:line="193"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9"/>
          <w:szCs w:val="19"/>
          <w:color w:val="auto"/>
        </w:rPr>
        <w:t>10.3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740" w:type="dxa"/>
            <w:vAlign w:val="bottom"/>
            <w:tcBorders>
              <w:top w:val="single" w:sz="8" w:color="00000A"/>
              <w:left w:val="single" w:sz="8" w:color="00000A"/>
              <w:right w:val="single" w:sz="8" w:color="00000A"/>
            </w:tcBorders>
          </w:tcPr>
          <w:p>
            <w:pPr>
              <w:ind w:left="600"/>
              <w:spacing w:after="0"/>
              <w:rPr>
                <w:sz w:val="20"/>
                <w:szCs w:val="20"/>
                <w:color w:val="auto"/>
              </w:rPr>
            </w:pPr>
            <w:r>
              <w:rPr>
                <w:rFonts w:ascii="Arial" w:cs="Arial" w:eastAsia="Arial" w:hAnsi="Arial"/>
                <w:sz w:val="19"/>
                <w:szCs w:val="19"/>
                <w:b w:val="1"/>
                <w:bCs w:val="1"/>
                <w:color w:val="auto"/>
              </w:rPr>
              <w:t>Reference</w:t>
            </w:r>
          </w:p>
        </w:tc>
        <w:tc>
          <w:tcPr>
            <w:tcW w:w="572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19"/>
                <w:szCs w:val="19"/>
                <w:b w:val="1"/>
                <w:bCs w:val="1"/>
                <w:color w:val="auto"/>
              </w:rPr>
              <w:t>Replacement Reference</w:t>
            </w:r>
          </w:p>
        </w:tc>
      </w:tr>
      <w:tr>
        <w:trPr>
          <w:trHeight w:val="26"/>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17"/>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Exhibit A(R2)</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Exhibit A(R3)</w:t>
            </w:r>
          </w:p>
        </w:tc>
      </w:tr>
      <w:tr>
        <w:trPr>
          <w:trHeight w:val="32"/>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17"/>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Exhibit A2(R3)</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Exhibit A2(R4)</w:t>
            </w:r>
          </w:p>
        </w:tc>
      </w:tr>
      <w:tr>
        <w:trPr>
          <w:trHeight w:val="32"/>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47"/>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Letter Agreement 6-1162-TRW-1047R3</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Letter Agreement 6-1162-TRW-1047R4</w:t>
            </w:r>
          </w:p>
        </w:tc>
      </w:tr>
      <w:tr>
        <w:trPr>
          <w:trHeight w:val="26"/>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35"/>
        </w:trPr>
        <w:tc>
          <w:tcPr>
            <w:tcW w:w="57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Letter Agreement 6-1162-TRW-0664R1</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Letter Agreement 6-1162-TRW-0664R2</w:t>
            </w:r>
          </w:p>
        </w:tc>
      </w:tr>
      <w:tr>
        <w:trPr>
          <w:trHeight w:val="26"/>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35"/>
        </w:trPr>
        <w:tc>
          <w:tcPr>
            <w:tcW w:w="57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Letter Agreement 6-1162-TRW-0667R2</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Letter Agreement 6-1162-TRW-0667R3</w:t>
            </w:r>
          </w:p>
        </w:tc>
      </w:tr>
      <w:tr>
        <w:trPr>
          <w:trHeight w:val="26"/>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35"/>
        </w:trPr>
        <w:tc>
          <w:tcPr>
            <w:tcW w:w="57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Letter Agreement 6-1162-TRW-0674R3</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Letter Agreement 6-1162-TRW-0674R4</w:t>
            </w:r>
          </w:p>
        </w:tc>
      </w:tr>
      <w:tr>
        <w:trPr>
          <w:trHeight w:val="26"/>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r>
        <w:trPr>
          <w:trHeight w:val="217"/>
        </w:trPr>
        <w:tc>
          <w:tcPr>
            <w:tcW w:w="574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Letter Agreement AAL-PA-3219-LA-08836R1</w:t>
            </w:r>
          </w:p>
        </w:tc>
        <w:tc>
          <w:tcPr>
            <w:tcW w:w="572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Letter Agreement AAL-PA-3219-LA-08836R2</w:t>
            </w:r>
          </w:p>
        </w:tc>
      </w:tr>
      <w:tr>
        <w:trPr>
          <w:trHeight w:val="32"/>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20" w:type="dxa"/>
            <w:vAlign w:val="bottom"/>
            <w:tcBorders>
              <w:bottom w:val="single" w:sz="8" w:color="00000A"/>
              <w:right w:val="single" w:sz="8" w:color="00000A"/>
            </w:tcBorders>
          </w:tcPr>
          <w:p>
            <w:pPr>
              <w:spacing w:after="0"/>
              <w:rPr>
                <w:sz w:val="2"/>
                <w:szCs w:val="2"/>
                <w:color w:val="auto"/>
              </w:rPr>
            </w:pPr>
          </w:p>
        </w:tc>
      </w:tr>
    </w:tbl>
    <w:p>
      <w:pPr>
        <w:spacing w:after="0" w:line="227" w:lineRule="exact"/>
        <w:rPr>
          <w:sz w:val="20"/>
          <w:szCs w:val="20"/>
          <w:color w:val="auto"/>
        </w:rPr>
      </w:pPr>
    </w:p>
    <w:p>
      <w:pPr>
        <w:jc w:val="both"/>
        <w:ind w:right="20" w:firstLine="632"/>
        <w:spacing w:after="0" w:line="304" w:lineRule="auto"/>
        <w:rPr>
          <w:sz w:val="20"/>
          <w:szCs w:val="20"/>
          <w:color w:val="auto"/>
        </w:rPr>
      </w:pPr>
      <w:r>
        <w:rPr>
          <w:rFonts w:ascii="Arial" w:cs="Arial" w:eastAsia="Arial" w:hAnsi="Arial"/>
          <w:sz w:val="19"/>
          <w:szCs w:val="19"/>
          <w:color w:val="auto"/>
        </w:rPr>
        <w:t>10.4 For the avoidance of doubt, for purposes of Section 1.2.2.3 of the 787 [*CTR] Letter, the 2018 787-8 [*CTR] Aircraft are Rights Aircraft that are both (i) being</w:t>
      </w:r>
    </w:p>
    <w:p>
      <w:pPr>
        <w:spacing w:after="0" w:line="359" w:lineRule="exact"/>
        <w:rPr>
          <w:sz w:val="20"/>
          <w:szCs w:val="20"/>
          <w:color w:val="auto"/>
        </w:rPr>
      </w:pPr>
    </w:p>
    <w:p>
      <w:pPr>
        <w:spacing w:after="0"/>
        <w:tabs>
          <w:tab w:leader="none" w:pos="800" w:val="left"/>
          <w:tab w:leader="none" w:pos="148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6"/>
          <w:szCs w:val="16"/>
          <w:color w:val="auto"/>
        </w:rPr>
        <w:t>Page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600" w:right="21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delivered pursuant to an [*CTR] (as both are defined in the Original 787 Rights Letter) and (ii) a 787-8 model type Aircraft.</w:t>
      </w:r>
    </w:p>
    <w:p>
      <w:pPr>
        <w:spacing w:after="0" w:line="296" w:lineRule="exact"/>
        <w:rPr>
          <w:sz w:val="20"/>
          <w:szCs w:val="20"/>
          <w:color w:val="auto"/>
        </w:rPr>
      </w:pPr>
    </w:p>
    <w:p>
      <w:pPr>
        <w:jc w:val="both"/>
        <w:ind w:firstLine="632"/>
        <w:spacing w:after="0" w:line="290" w:lineRule="auto"/>
        <w:rPr>
          <w:sz w:val="20"/>
          <w:szCs w:val="20"/>
          <w:color w:val="auto"/>
        </w:rPr>
      </w:pPr>
      <w:r>
        <w:rPr>
          <w:rFonts w:ascii="Arial" w:cs="Arial" w:eastAsia="Arial" w:hAnsi="Arial"/>
          <w:sz w:val="19"/>
          <w:szCs w:val="19"/>
          <w:color w:val="auto"/>
        </w:rPr>
        <w:t>10.5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 w:leader="none" w:pos="148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5"/>
          <w:szCs w:val="15"/>
          <w:color w:val="auto"/>
        </w:rPr>
        <w:t>Page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PROPRIETARY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612" w:right="219" w:bottom="1440" w:gutter="0" w:footer="0" w:header="0"/>
        </w:sectPr>
      </w:pPr>
    </w:p>
    <w:bookmarkStart w:id="108" w:name="page109"/>
    <w:bookmarkEnd w:id="108"/>
    <w:p>
      <w:pPr>
        <w:ind w:left="80"/>
        <w:spacing w:after="0"/>
        <w:rPr>
          <w:sz w:val="20"/>
          <w:szCs w:val="20"/>
          <w:color w:val="auto"/>
        </w:rPr>
      </w:pPr>
      <w:r>
        <w:rPr>
          <w:rFonts w:ascii="Arial" w:cs="Arial" w:eastAsia="Arial" w:hAnsi="Arial"/>
          <w:sz w:val="18"/>
          <w:szCs w:val="18"/>
          <w:color w:val="auto"/>
        </w:rPr>
        <w:t>AGREED AND ACCEPTED</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9"/>
          <w:szCs w:val="19"/>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21590</wp:posOffset>
            </wp:positionV>
            <wp:extent cx="332803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3328035" cy="7620"/>
                    </a:xfrm>
                    <a:prstGeom prst="rect">
                      <a:avLst/>
                    </a:prstGeom>
                    <a:noFill/>
                  </pic:spPr>
                </pic:pic>
              </a:graphicData>
            </a:graphic>
          </wp:anchor>
        </w:drawing>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Arial" w:cs="Arial" w:eastAsia="Arial" w:hAnsi="Arial"/>
          <w:sz w:val="19"/>
          <w:szCs w:val="19"/>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21590</wp:posOffset>
            </wp:positionV>
            <wp:extent cx="33280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328035" cy="7620"/>
                    </a:xfrm>
                    <a:prstGeom prst="rect">
                      <a:avLst/>
                    </a:prstGeom>
                    <a:noFill/>
                  </pic:spPr>
                </pic:pic>
              </a:graphicData>
            </a:graphic>
          </wp:anchor>
        </w:drawing>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Signature</w:t>
      </w:r>
    </w:p>
    <w:p>
      <w:pPr>
        <w:spacing w:after="0" w:line="296"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21590</wp:posOffset>
            </wp:positionV>
            <wp:extent cx="33280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328035" cy="7620"/>
                    </a:xfrm>
                    <a:prstGeom prst="rect">
                      <a:avLst/>
                    </a:prstGeom>
                    <a:noFill/>
                  </pic:spPr>
                </pic:pic>
              </a:graphicData>
            </a:graphic>
          </wp:anchor>
        </w:drawing>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Printed name</w:t>
      </w:r>
    </w:p>
    <w:p>
      <w:pPr>
        <w:spacing w:after="0" w:line="296" w:lineRule="exact"/>
        <w:rPr>
          <w:sz w:val="20"/>
          <w:szCs w:val="20"/>
          <w:color w:val="auto"/>
        </w:rPr>
      </w:pPr>
    </w:p>
    <w:p>
      <w:pPr>
        <w:ind w:left="80"/>
        <w:spacing w:after="0"/>
        <w:rPr>
          <w:sz w:val="20"/>
          <w:szCs w:val="20"/>
          <w:color w:val="auto"/>
        </w:rPr>
      </w:pPr>
      <w:r>
        <w:rPr>
          <w:rFonts w:ascii="Arial" w:cs="Arial" w:eastAsia="Arial" w:hAnsi="Arial"/>
          <w:sz w:val="19"/>
          <w:szCs w:val="19"/>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21590</wp:posOffset>
            </wp:positionV>
            <wp:extent cx="332803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328035" cy="7620"/>
                    </a:xfrm>
                    <a:prstGeom prst="rect">
                      <a:avLst/>
                    </a:prstGeom>
                    <a:noFill/>
                  </pic:spPr>
                </pic:pic>
              </a:graphicData>
            </a:graphic>
          </wp:anchor>
        </w:drawing>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21590</wp:posOffset>
            </wp:positionV>
            <wp:extent cx="360997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609975"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21590</wp:posOffset>
            </wp:positionV>
            <wp:extent cx="360997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609975"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Printed name</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21590</wp:posOffset>
            </wp:positionV>
            <wp:extent cx="360997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609975" cy="7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ectPr>
          <w:pgSz w:w="11900" w:h="16838" w:orient="portrait"/>
          <w:cols w:equalWidth="0" w:num="2">
            <w:col w:w="5060" w:space="720"/>
            <w:col w:w="4439"/>
          </w:cols>
          <w:pgMar w:left="240" w:top="12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00" w:val="left"/>
          <w:tab w:leader="none" w:pos="1660" w:val="left"/>
        </w:tabs>
        <w:rPr>
          <w:sz w:val="20"/>
          <w:szCs w:val="20"/>
          <w:color w:val="auto"/>
        </w:rPr>
      </w:pPr>
      <w:r>
        <w:rPr>
          <w:rFonts w:ascii="Arial" w:cs="Arial" w:eastAsia="Arial" w:hAnsi="Arial"/>
          <w:sz w:val="19"/>
          <w:szCs w:val="19"/>
          <w:color w:val="auto"/>
        </w:rPr>
        <w:t>PA 3219</w:t>
        <w:tab/>
        <w:t>SA-11</w:t>
      </w:r>
      <w:r>
        <w:rPr>
          <w:sz w:val="20"/>
          <w:szCs w:val="20"/>
          <w:color w:val="auto"/>
        </w:rPr>
        <w:tab/>
      </w:r>
      <w:r>
        <w:rPr>
          <w:rFonts w:ascii="Arial" w:cs="Arial" w:eastAsia="Arial" w:hAnsi="Arial"/>
          <w:sz w:val="16"/>
          <w:szCs w:val="16"/>
          <w:color w:val="auto"/>
        </w:rPr>
        <w:t>Page 12</w:t>
      </w:r>
    </w:p>
    <w:p>
      <w:pPr>
        <w:spacing w:after="0" w:line="23" w:lineRule="exact"/>
        <w:rPr>
          <w:sz w:val="20"/>
          <w:szCs w:val="20"/>
          <w:color w:val="auto"/>
        </w:rPr>
      </w:pPr>
    </w:p>
    <w:p>
      <w:pPr>
        <w:jc w:val="right"/>
        <w:ind w:right="3439"/>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0219"/>
          </w:cols>
          <w:pgMar w:left="240" w:top="1208" w:right="1440"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gridSpan w:val="2"/>
          </w:tcPr>
          <w:p>
            <w:pPr>
              <w:jc w:val="center"/>
              <w:ind w:right="106"/>
              <w:spacing w:after="0"/>
              <w:rPr>
                <w:sz w:val="20"/>
                <w:szCs w:val="20"/>
                <w:color w:val="auto"/>
              </w:rPr>
            </w:pPr>
            <w:r>
              <w:rPr>
                <w:rFonts w:ascii="Arial" w:cs="Arial" w:eastAsia="Arial" w:hAnsi="Arial"/>
                <w:sz w:val="19"/>
                <w:szCs w:val="19"/>
                <w:color w:val="auto"/>
                <w:w w:val="92"/>
              </w:rPr>
              <w:t>TABLE OF CONTENTS, continued</w:t>
            </w: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jc w:val="center"/>
              <w:ind w:right="106"/>
              <w:spacing w:after="0"/>
              <w:rPr>
                <w:sz w:val="20"/>
                <w:szCs w:val="20"/>
                <w:color w:val="auto"/>
              </w:rPr>
            </w:pPr>
            <w:r>
              <w:rPr>
                <w:rFonts w:ascii="Arial" w:cs="Arial" w:eastAsia="Arial" w:hAnsi="Arial"/>
                <w:sz w:val="19"/>
                <w:szCs w:val="19"/>
                <w:color w:val="auto"/>
                <w:w w:val="94"/>
              </w:rPr>
              <w:t>TABLE OF CONTENTS</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0" w:type="dxa"/>
            <w:vAlign w:val="bottom"/>
          </w:tcPr>
          <w:p>
            <w:pPr>
              <w:spacing w:after="0"/>
              <w:rPr>
                <w:sz w:val="24"/>
                <w:szCs w:val="24"/>
                <w:color w:val="auto"/>
              </w:rPr>
            </w:pPr>
          </w:p>
        </w:tc>
        <w:tc>
          <w:tcPr>
            <w:tcW w:w="2480" w:type="dxa"/>
            <w:vAlign w:val="bottom"/>
            <w:gridSpan w:val="11"/>
          </w:tcPr>
          <w:p>
            <w:pPr>
              <w:jc w:val="center"/>
              <w:spacing w:after="0"/>
              <w:rPr>
                <w:sz w:val="20"/>
                <w:szCs w:val="20"/>
                <w:color w:val="auto"/>
              </w:rPr>
            </w:pPr>
            <w:r>
              <w:rPr>
                <w:rFonts w:ascii="Arial" w:cs="Arial" w:eastAsia="Arial" w:hAnsi="Arial"/>
                <w:sz w:val="19"/>
                <w:szCs w:val="19"/>
                <w:color w:val="auto"/>
                <w:w w:val="94"/>
              </w:rPr>
              <w:t>ARTICLES</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20" w:type="dxa"/>
            <w:vAlign w:val="bottom"/>
            <w:gridSpan w:val="4"/>
          </w:tcPr>
          <w:p>
            <w:pPr>
              <w:jc w:val="center"/>
              <w:ind w:left="832"/>
              <w:spacing w:after="0" w:line="191" w:lineRule="exact"/>
              <w:rPr>
                <w:sz w:val="20"/>
                <w:szCs w:val="20"/>
                <w:color w:val="auto"/>
              </w:rPr>
            </w:pPr>
            <w:r>
              <w:rPr>
                <w:rFonts w:ascii="Arial" w:cs="Arial" w:eastAsia="Arial" w:hAnsi="Arial"/>
                <w:sz w:val="19"/>
                <w:szCs w:val="19"/>
                <w:color w:val="auto"/>
                <w:w w:val="97"/>
              </w:rPr>
              <w:t>NUMBER</w:t>
            </w:r>
          </w:p>
        </w:tc>
        <w:tc>
          <w:tcPr>
            <w:tcW w:w="0" w:type="dxa"/>
            <w:vAlign w:val="bottom"/>
          </w:tcPr>
          <w:p>
            <w:pPr>
              <w:spacing w:after="0"/>
              <w:rPr>
                <w:sz w:val="1"/>
                <w:szCs w:val="1"/>
                <w:color w:val="auto"/>
              </w:rPr>
            </w:pPr>
          </w:p>
        </w:tc>
      </w:tr>
      <w:tr>
        <w:trPr>
          <w:trHeight w:val="282"/>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Quantity, Model and Description</w:t>
            </w:r>
          </w:p>
        </w:tc>
        <w:tc>
          <w:tcPr>
            <w:tcW w:w="132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Delivery Schedule</w:t>
            </w:r>
          </w:p>
        </w:tc>
        <w:tc>
          <w:tcPr>
            <w:tcW w:w="13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Price</w:t>
            </w:r>
          </w:p>
        </w:tc>
        <w:tc>
          <w:tcPr>
            <w:tcW w:w="13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Payment</w:t>
            </w:r>
          </w:p>
        </w:tc>
        <w:tc>
          <w:tcPr>
            <w:tcW w:w="13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Miscellaneous</w:t>
            </w:r>
          </w:p>
        </w:tc>
        <w:tc>
          <w:tcPr>
            <w:tcW w:w="13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0" w:type="dxa"/>
            <w:vAlign w:val="bottom"/>
            <w:gridSpan w:val="5"/>
          </w:tcPr>
          <w:p>
            <w:pPr>
              <w:jc w:val="center"/>
              <w:ind w:left="1169"/>
              <w:spacing w:after="0"/>
              <w:rPr>
                <w:sz w:val="20"/>
                <w:szCs w:val="20"/>
                <w:color w:val="auto"/>
              </w:rPr>
            </w:pPr>
            <w:r>
              <w:rPr>
                <w:rFonts w:ascii="Arial" w:cs="Arial" w:eastAsia="Arial" w:hAnsi="Arial"/>
                <w:sz w:val="19"/>
                <w:szCs w:val="19"/>
                <w:color w:val="auto"/>
                <w:w w:val="88"/>
              </w:rPr>
              <w:t>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Confidential Treatment</w:t>
            </w:r>
          </w:p>
        </w:tc>
        <w:tc>
          <w:tcPr>
            <w:tcW w:w="1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9"/>
                <w:szCs w:val="19"/>
                <w:color w:val="auto"/>
                <w:w w:val="99"/>
              </w:rPr>
              <w:t>TABLE</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jc w:val="center"/>
              <w:ind w:left="128"/>
              <w:spacing w:after="0"/>
              <w:rPr>
                <w:sz w:val="20"/>
                <w:szCs w:val="20"/>
                <w:color w:val="auto"/>
              </w:rPr>
            </w:pPr>
            <w:r>
              <w:rPr>
                <w:rFonts w:ascii="Arial" w:cs="Arial" w:eastAsia="Arial" w:hAnsi="Arial"/>
                <w:sz w:val="19"/>
                <w:szCs w:val="19"/>
                <w:color w:val="auto"/>
                <w:strike w:val="1"/>
                <w:w w:val="88"/>
              </w:rPr>
              <w:t>1.</w:t>
            </w: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9"/>
                <w:szCs w:val="19"/>
                <w:color w:val="auto"/>
                <w:strike w:val="1"/>
                <w:w w:val="93"/>
              </w:rPr>
              <w:t>Aircraft Information Table – TRENT</w:t>
            </w:r>
          </w:p>
        </w:tc>
        <w:tc>
          <w:tcPr>
            <w:tcW w:w="3420" w:type="dxa"/>
            <w:vAlign w:val="bottom"/>
          </w:tcPr>
          <w:p>
            <w:pPr>
              <w:ind w:left="40"/>
              <w:spacing w:after="0"/>
              <w:rPr>
                <w:sz w:val="20"/>
                <w:szCs w:val="20"/>
                <w:color w:val="auto"/>
              </w:rPr>
            </w:pPr>
            <w:r>
              <w:rPr>
                <w:rFonts w:ascii="Arial" w:cs="Arial" w:eastAsia="Arial" w:hAnsi="Arial"/>
                <w:sz w:val="19"/>
                <w:szCs w:val="19"/>
                <w:color w:val="auto"/>
              </w:rPr>
              <w:t>WITHDRAWN</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7"/>
                <w:szCs w:val="17"/>
                <w:color w:val="auto"/>
                <w:w w:val="94"/>
              </w:rPr>
              <w:t>1(R7)</w:t>
            </w: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787-9 Aircraft Information Table – GENX</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9"/>
                <w:szCs w:val="19"/>
                <w:color w:val="auto"/>
                <w:w w:val="92"/>
              </w:rPr>
              <w:t>2(R1)</w:t>
            </w:r>
          </w:p>
        </w:tc>
        <w:tc>
          <w:tcPr>
            <w:tcW w:w="140" w:type="dxa"/>
            <w:vAlign w:val="bottom"/>
          </w:tcPr>
          <w:p>
            <w:pPr>
              <w:spacing w:after="0"/>
              <w:rPr>
                <w:sz w:val="24"/>
                <w:szCs w:val="24"/>
                <w:color w:val="auto"/>
              </w:rPr>
            </w:pPr>
          </w:p>
        </w:tc>
        <w:tc>
          <w:tcPr>
            <w:tcW w:w="6220" w:type="dxa"/>
            <w:vAlign w:val="bottom"/>
            <w:gridSpan w:val="2"/>
            <w:vMerge w:val="restart"/>
          </w:tcPr>
          <w:p>
            <w:pPr>
              <w:spacing w:after="0"/>
              <w:rPr>
                <w:sz w:val="20"/>
                <w:szCs w:val="20"/>
                <w:color w:val="auto"/>
              </w:rPr>
            </w:pPr>
            <w:r>
              <w:rPr>
                <w:rFonts w:ascii="Arial" w:cs="Arial" w:eastAsia="Arial" w:hAnsi="Arial"/>
                <w:sz w:val="19"/>
                <w:szCs w:val="19"/>
                <w:color w:val="auto"/>
              </w:rPr>
              <w:t>787-8 Aircraft Information Table – GENX</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2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gridSpan w:val="2"/>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 (12) 787-8 Aircraft)</w:t>
            </w: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9"/>
                <w:szCs w:val="19"/>
                <w:color w:val="auto"/>
                <w:w w:val="92"/>
              </w:rPr>
              <w:t>3(R1)</w:t>
            </w:r>
          </w:p>
        </w:tc>
        <w:tc>
          <w:tcPr>
            <w:tcW w:w="140" w:type="dxa"/>
            <w:vAlign w:val="bottom"/>
          </w:tcPr>
          <w:p>
            <w:pPr>
              <w:spacing w:after="0"/>
              <w:rPr>
                <w:sz w:val="24"/>
                <w:szCs w:val="24"/>
                <w:color w:val="auto"/>
              </w:rPr>
            </w:pPr>
          </w:p>
        </w:tc>
        <w:tc>
          <w:tcPr>
            <w:tcW w:w="6220" w:type="dxa"/>
            <w:vAlign w:val="bottom"/>
            <w:gridSpan w:val="2"/>
            <w:vMerge w:val="restart"/>
          </w:tcPr>
          <w:p>
            <w:pPr>
              <w:spacing w:after="0"/>
              <w:rPr>
                <w:sz w:val="20"/>
                <w:szCs w:val="20"/>
                <w:color w:val="auto"/>
              </w:rPr>
            </w:pPr>
            <w:r>
              <w:rPr>
                <w:rFonts w:ascii="Arial" w:cs="Arial" w:eastAsia="Arial" w:hAnsi="Arial"/>
                <w:sz w:val="19"/>
                <w:szCs w:val="19"/>
                <w:color w:val="auto"/>
              </w:rPr>
              <w:t>787-8 Aircraft Information Table – GENX</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2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gridSpan w:val="2"/>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 Eight (8) 787-8 Aircraft, yielding Twenty (20) 787-8 Aircraft)</w:t>
            </w: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1400" w:type="dxa"/>
            <w:vAlign w:val="bottom"/>
            <w:gridSpan w:val="5"/>
          </w:tcPr>
          <w:p>
            <w:pPr>
              <w:jc w:val="center"/>
              <w:ind w:left="1189"/>
              <w:spacing w:after="0"/>
              <w:rPr>
                <w:sz w:val="20"/>
                <w:szCs w:val="20"/>
                <w:color w:val="auto"/>
              </w:rPr>
            </w:pPr>
            <w:r>
              <w:rPr>
                <w:rFonts w:ascii="Arial" w:cs="Arial" w:eastAsia="Arial" w:hAnsi="Arial"/>
                <w:sz w:val="19"/>
                <w:szCs w:val="19"/>
                <w:color w:val="auto"/>
                <w:w w:val="75"/>
              </w:rPr>
              <w:t>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WITHDRAWN</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400" w:type="dxa"/>
            <w:vAlign w:val="bottom"/>
            <w:gridSpan w:val="5"/>
          </w:tcPr>
          <w:p>
            <w:pPr>
              <w:jc w:val="center"/>
              <w:ind w:left="1189"/>
              <w:spacing w:after="0"/>
              <w:rPr>
                <w:sz w:val="20"/>
                <w:szCs w:val="20"/>
                <w:color w:val="auto"/>
              </w:rPr>
            </w:pPr>
            <w:r>
              <w:rPr>
                <w:rFonts w:ascii="Arial" w:cs="Arial" w:eastAsia="Arial" w:hAnsi="Arial"/>
                <w:sz w:val="17"/>
                <w:szCs w:val="17"/>
                <w:b w:val="1"/>
                <w:bCs w:val="1"/>
                <w:color w:val="auto"/>
                <w:w w:val="84"/>
              </w:rPr>
              <w:t>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b w:val="1"/>
                <w:bCs w:val="1"/>
                <w:color w:val="auto"/>
              </w:rPr>
              <w:t>2018 787-9 [*CTR] Aircraft Information Table – GENX</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89"/>
              </w:rPr>
              <w:t>SA-11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400" w:type="dxa"/>
            <w:vAlign w:val="bottom"/>
            <w:gridSpan w:val="5"/>
          </w:tcPr>
          <w:p>
            <w:pPr>
              <w:jc w:val="center"/>
              <w:ind w:left="1189"/>
              <w:spacing w:after="0"/>
              <w:rPr>
                <w:sz w:val="20"/>
                <w:szCs w:val="20"/>
                <w:color w:val="auto"/>
              </w:rPr>
            </w:pPr>
            <w:r>
              <w:rPr>
                <w:rFonts w:ascii="Arial" w:cs="Arial" w:eastAsia="Arial" w:hAnsi="Arial"/>
                <w:sz w:val="17"/>
                <w:szCs w:val="17"/>
                <w:b w:val="1"/>
                <w:bCs w:val="1"/>
                <w:color w:val="auto"/>
                <w:w w:val="84"/>
              </w:rPr>
              <w:t>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b w:val="1"/>
                <w:bCs w:val="1"/>
                <w:color w:val="auto"/>
              </w:rPr>
              <w:t>2018 787-8 [*CTR] Aircraft Information Table-GENX</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89"/>
              </w:rPr>
              <w:t>SA-11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9"/>
                <w:szCs w:val="19"/>
                <w:color w:val="auto"/>
              </w:rPr>
              <w:t>EXHIBIT</w:t>
            </w:r>
          </w:p>
        </w:tc>
        <w:tc>
          <w:tcPr>
            <w:tcW w:w="8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7"/>
                <w:szCs w:val="17"/>
                <w:b w:val="1"/>
                <w:bCs w:val="1"/>
                <w:color w:val="auto"/>
                <w:w w:val="95"/>
              </w:rPr>
              <w:t>A(R3).</w:t>
            </w:r>
          </w:p>
        </w:tc>
        <w:tc>
          <w:tcPr>
            <w:tcW w:w="14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Arial" w:cs="Arial" w:eastAsia="Arial" w:hAnsi="Arial"/>
                <w:sz w:val="17"/>
                <w:szCs w:val="17"/>
                <w:b w:val="1"/>
                <w:bCs w:val="1"/>
                <w:color w:val="auto"/>
              </w:rPr>
              <w:t>Aircraft Configuration for [*CTR] Aircraft</w:t>
            </w:r>
          </w:p>
        </w:tc>
        <w:tc>
          <w:tcPr>
            <w:tcW w:w="13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1"/>
              </w:rPr>
              <w:t>SA-11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40"/>
              <w:spacing w:after="0"/>
              <w:rPr>
                <w:sz w:val="20"/>
                <w:szCs w:val="20"/>
                <w:color w:val="auto"/>
              </w:rPr>
            </w:pPr>
            <w:r>
              <w:rPr>
                <w:rFonts w:ascii="Arial" w:cs="Arial" w:eastAsia="Arial" w:hAnsi="Arial"/>
                <w:sz w:val="19"/>
                <w:szCs w:val="19"/>
                <w:b w:val="1"/>
                <w:bCs w:val="1"/>
                <w:color w:val="auto"/>
                <w:w w:val="94"/>
              </w:rPr>
              <w:t>A2(R4)</w:t>
            </w: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Aircraft Configuration for [</w:t>
            </w:r>
            <w:r>
              <w:rPr>
                <w:rFonts w:ascii="Arial" w:cs="Arial" w:eastAsia="Arial" w:hAnsi="Arial"/>
                <w:sz w:val="17"/>
                <w:szCs w:val="17"/>
                <w:b w:val="1"/>
                <w:bCs w:val="1"/>
                <w:color w:val="auto"/>
              </w:rPr>
              <w:t>*CTR</w:t>
            </w:r>
            <w:r>
              <w:rPr>
                <w:rFonts w:ascii="Arial" w:cs="Arial" w:eastAsia="Arial" w:hAnsi="Arial"/>
                <w:sz w:val="19"/>
                <w:szCs w:val="19"/>
                <w:b w:val="1"/>
                <w:bCs w:val="1"/>
                <w:color w:val="auto"/>
              </w:rPr>
              <w:t>] Aircraft</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89"/>
              </w:rPr>
              <w:t>SA-11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9"/>
                <w:szCs w:val="19"/>
                <w:color w:val="auto"/>
                <w:w w:val="94"/>
              </w:rPr>
              <w:t>B(R1).</w:t>
            </w: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Aircraft Delivery Requirements and Responsibilities</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center"/>
              <w:ind w:right="920"/>
              <w:spacing w:after="0"/>
              <w:rPr>
                <w:sz w:val="20"/>
                <w:szCs w:val="20"/>
                <w:color w:val="auto"/>
              </w:rPr>
            </w:pPr>
            <w:r>
              <w:rPr>
                <w:rFonts w:ascii="Arial" w:cs="Arial" w:eastAsia="Arial" w:hAnsi="Arial"/>
                <w:sz w:val="19"/>
                <w:szCs w:val="19"/>
                <w:color w:val="auto"/>
                <w:w w:val="92"/>
              </w:rPr>
              <w:t>C(R1).</w:t>
            </w:r>
          </w:p>
        </w:tc>
        <w:tc>
          <w:tcPr>
            <w:tcW w:w="14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9"/>
                <w:szCs w:val="19"/>
                <w:color w:val="auto"/>
              </w:rPr>
              <w:t>Defined Terms</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560" w:type="dxa"/>
            <w:vAlign w:val="bottom"/>
            <w:gridSpan w:val="12"/>
          </w:tcPr>
          <w:p>
            <w:pPr>
              <w:ind w:left="80"/>
              <w:spacing w:after="0"/>
              <w:rPr>
                <w:sz w:val="20"/>
                <w:szCs w:val="20"/>
                <w:color w:val="auto"/>
              </w:rPr>
            </w:pPr>
            <w:r>
              <w:rPr>
                <w:rFonts w:ascii="Arial" w:cs="Arial" w:eastAsia="Arial" w:hAnsi="Arial"/>
                <w:sz w:val="19"/>
                <w:szCs w:val="19"/>
                <w:color w:val="auto"/>
              </w:rPr>
              <w:t>SUPPLEMENTAL EXHIBITS</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9"/>
                <w:szCs w:val="19"/>
                <w:color w:val="auto"/>
                <w:w w:val="92"/>
              </w:rPr>
              <w:t>AE1.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7"/>
          </w:tcPr>
          <w:p>
            <w:pPr>
              <w:jc w:val="center"/>
              <w:ind w:right="140"/>
              <w:spacing w:after="0"/>
              <w:rPr>
                <w:sz w:val="20"/>
                <w:szCs w:val="20"/>
                <w:color w:val="auto"/>
              </w:rPr>
            </w:pPr>
            <w:r>
              <w:rPr>
                <w:rFonts w:ascii="Arial" w:cs="Arial" w:eastAsia="Arial" w:hAnsi="Arial"/>
                <w:sz w:val="19"/>
                <w:szCs w:val="19"/>
                <w:color w:val="auto"/>
                <w:w w:val="91"/>
              </w:rPr>
              <w:t>BFE1(R1).</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Buyer Furnished Equipment Variables 787-9</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6"/>
          </w:tcPr>
          <w:p>
            <w:pPr>
              <w:jc w:val="center"/>
              <w:ind w:right="360"/>
              <w:spacing w:after="0"/>
              <w:rPr>
                <w:sz w:val="20"/>
                <w:szCs w:val="20"/>
                <w:color w:val="auto"/>
              </w:rPr>
            </w:pPr>
            <w:r>
              <w:rPr>
                <w:rFonts w:ascii="Arial" w:cs="Arial" w:eastAsia="Arial" w:hAnsi="Arial"/>
                <w:sz w:val="19"/>
                <w:szCs w:val="19"/>
                <w:color w:val="auto"/>
                <w:w w:val="90"/>
              </w:rPr>
              <w:t>BFE2.</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Buyer Furnished Equipment Variables 787-8</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5"/>
          </w:tcPr>
          <w:p>
            <w:pPr>
              <w:jc w:val="center"/>
              <w:ind w:right="460"/>
              <w:spacing w:after="0"/>
              <w:rPr>
                <w:sz w:val="20"/>
                <w:szCs w:val="20"/>
                <w:color w:val="auto"/>
              </w:rPr>
            </w:pPr>
            <w:r>
              <w:rPr>
                <w:rFonts w:ascii="Arial" w:cs="Arial" w:eastAsia="Arial" w:hAnsi="Arial"/>
                <w:sz w:val="19"/>
                <w:szCs w:val="19"/>
                <w:color w:val="auto"/>
                <w:w w:val="89"/>
              </w:rPr>
              <w:t>CS1.</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787 Customer Support Document</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5"/>
          </w:tcPr>
          <w:p>
            <w:pPr>
              <w:jc w:val="center"/>
              <w:ind w:right="460"/>
              <w:spacing w:after="0"/>
              <w:rPr>
                <w:sz w:val="20"/>
                <w:szCs w:val="20"/>
                <w:color w:val="auto"/>
              </w:rPr>
            </w:pPr>
            <w:r>
              <w:rPr>
                <w:rFonts w:ascii="Arial" w:cs="Arial" w:eastAsia="Arial" w:hAnsi="Arial"/>
                <w:sz w:val="19"/>
                <w:szCs w:val="19"/>
                <w:color w:val="auto"/>
                <w:w w:val="92"/>
              </w:rPr>
              <w:t>EE1.</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9"/>
                <w:szCs w:val="19"/>
                <w:color w:val="auto"/>
                <w:strike w:val="1"/>
                <w:w w:val="83"/>
              </w:rPr>
              <w:t>EE1</w:t>
            </w:r>
          </w:p>
        </w:tc>
        <w:tc>
          <w:tcPr>
            <w:tcW w:w="520" w:type="dxa"/>
            <w:vAlign w:val="bottom"/>
            <w:gridSpan w:val="3"/>
          </w:tcPr>
          <w:p>
            <w:pPr>
              <w:jc w:val="right"/>
              <w:ind w:right="460"/>
              <w:spacing w:after="0"/>
              <w:rPr>
                <w:sz w:val="20"/>
                <w:szCs w:val="20"/>
                <w:color w:val="auto"/>
              </w:rPr>
            </w:pPr>
            <w:r>
              <w:rPr>
                <w:rFonts w:ascii="Arial" w:cs="Arial" w:eastAsia="Arial" w:hAnsi="Arial"/>
                <w:sz w:val="19"/>
                <w:szCs w:val="19"/>
                <w:color w:val="auto"/>
                <w:w w:val="74"/>
              </w:rPr>
              <w:t>.</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 WITHDRAWN</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5"/>
          </w:tcPr>
          <w:p>
            <w:pPr>
              <w:jc w:val="center"/>
              <w:ind w:right="460"/>
              <w:spacing w:after="0"/>
              <w:rPr>
                <w:sz w:val="20"/>
                <w:szCs w:val="20"/>
                <w:color w:val="auto"/>
              </w:rPr>
            </w:pPr>
            <w:r>
              <w:rPr>
                <w:rFonts w:ascii="Arial" w:cs="Arial" w:eastAsia="Arial" w:hAnsi="Arial"/>
                <w:sz w:val="19"/>
                <w:szCs w:val="19"/>
                <w:color w:val="auto"/>
                <w:w w:val="92"/>
              </w:rPr>
              <w:t>EE2.</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7"/>
                <w:szCs w:val="17"/>
                <w:color w:val="auto"/>
              </w:rPr>
              <w:t>[*CTR]</w:t>
            </w: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6"/>
          </w:tcPr>
          <w:p>
            <w:pPr>
              <w:jc w:val="center"/>
              <w:ind w:right="380"/>
              <w:spacing w:after="0"/>
              <w:rPr>
                <w:sz w:val="20"/>
                <w:szCs w:val="20"/>
                <w:color w:val="auto"/>
              </w:rPr>
            </w:pPr>
            <w:r>
              <w:rPr>
                <w:rFonts w:ascii="Arial" w:cs="Arial" w:eastAsia="Arial" w:hAnsi="Arial"/>
                <w:sz w:val="19"/>
                <w:szCs w:val="19"/>
                <w:color w:val="auto"/>
                <w:w w:val="88"/>
              </w:rPr>
              <w:t>SLP1.</w:t>
            </w: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Service Life Policy Components</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2560" w:type="dxa"/>
            <w:vAlign w:val="bottom"/>
            <w:gridSpan w:val="12"/>
          </w:tcPr>
          <w:p>
            <w:pPr>
              <w:ind w:left="80"/>
              <w:spacing w:after="0"/>
              <w:rPr>
                <w:sz w:val="20"/>
                <w:szCs w:val="20"/>
                <w:color w:val="auto"/>
              </w:rPr>
            </w:pPr>
            <w:r>
              <w:rPr>
                <w:rFonts w:ascii="Arial" w:cs="Arial" w:eastAsia="Arial" w:hAnsi="Arial"/>
                <w:sz w:val="19"/>
                <w:szCs w:val="19"/>
                <w:color w:val="auto"/>
              </w:rPr>
              <w:t>LETTER AGREEMENTS</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9"/>
                <w:szCs w:val="19"/>
                <w:color w:val="auto"/>
                <w:w w:val="94"/>
              </w:rPr>
              <w:t>SA</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20" w:type="dxa"/>
            <w:vAlign w:val="bottom"/>
            <w:gridSpan w:val="4"/>
          </w:tcPr>
          <w:p>
            <w:pPr>
              <w:jc w:val="center"/>
              <w:ind w:left="832"/>
              <w:spacing w:after="0" w:line="191" w:lineRule="exact"/>
              <w:rPr>
                <w:sz w:val="20"/>
                <w:szCs w:val="20"/>
                <w:color w:val="auto"/>
              </w:rPr>
            </w:pPr>
            <w:r>
              <w:rPr>
                <w:rFonts w:ascii="Arial" w:cs="Arial" w:eastAsia="Arial" w:hAnsi="Arial"/>
                <w:sz w:val="19"/>
                <w:szCs w:val="19"/>
                <w:color w:val="auto"/>
                <w:w w:val="97"/>
              </w:rPr>
              <w:t>NUMBER</w:t>
            </w:r>
          </w:p>
        </w:tc>
        <w:tc>
          <w:tcPr>
            <w:tcW w:w="0" w:type="dxa"/>
            <w:vAlign w:val="bottom"/>
          </w:tcPr>
          <w:p>
            <w:pPr>
              <w:spacing w:after="0"/>
              <w:rPr>
                <w:sz w:val="1"/>
                <w:szCs w:val="1"/>
                <w:color w:val="auto"/>
              </w:rPr>
            </w:pPr>
          </w:p>
        </w:tc>
      </w:tr>
      <w:tr>
        <w:trPr>
          <w:trHeight w:val="352"/>
        </w:trPr>
        <w:tc>
          <w:tcPr>
            <w:tcW w:w="900" w:type="dxa"/>
            <w:vAlign w:val="bottom"/>
            <w:gridSpan w:val="2"/>
          </w:tcPr>
          <w:p>
            <w:pPr>
              <w:ind w:left="80"/>
              <w:spacing w:after="0"/>
              <w:rPr>
                <w:sz w:val="20"/>
                <w:szCs w:val="20"/>
                <w:color w:val="auto"/>
              </w:rPr>
            </w:pPr>
            <w:r>
              <w:rPr>
                <w:rFonts w:ascii="Arial" w:cs="Arial" w:eastAsia="Arial" w:hAnsi="Arial"/>
                <w:sz w:val="19"/>
                <w:szCs w:val="19"/>
                <w:color w:val="auto"/>
              </w:rPr>
              <w:t>3219-01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tc>
        <w:tc>
          <w:tcPr>
            <w:tcW w:w="1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900" w:type="dxa"/>
            <w:vAlign w:val="bottom"/>
            <w:gridSpan w:val="2"/>
          </w:tcPr>
          <w:p>
            <w:pPr>
              <w:ind w:left="80"/>
              <w:spacing w:after="0"/>
              <w:rPr>
                <w:sz w:val="20"/>
                <w:szCs w:val="20"/>
                <w:color w:val="auto"/>
              </w:rPr>
            </w:pPr>
            <w:r>
              <w:rPr>
                <w:rFonts w:ascii="Arial" w:cs="Arial" w:eastAsia="Arial" w:hAnsi="Arial"/>
                <w:sz w:val="19"/>
                <w:szCs w:val="19"/>
                <w:color w:val="auto"/>
              </w:rPr>
              <w:t>3219-02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gridSpan w:val="2"/>
          </w:tcPr>
          <w:p>
            <w:pPr>
              <w:ind w:left="1160"/>
              <w:spacing w:after="0"/>
              <w:rPr>
                <w:sz w:val="20"/>
                <w:szCs w:val="20"/>
                <w:color w:val="auto"/>
              </w:rPr>
            </w:pPr>
            <w:r>
              <w:rPr>
                <w:rFonts w:ascii="Arial" w:cs="Arial" w:eastAsia="Arial" w:hAnsi="Arial"/>
                <w:sz w:val="19"/>
                <w:szCs w:val="19"/>
                <w:color w:val="auto"/>
              </w:rPr>
              <w:t>Special Terms – Seats and In-Flight Entertainment</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560" w:type="dxa"/>
            <w:vAlign w:val="bottom"/>
            <w:gridSpan w:val="12"/>
            <w:vMerge w:val="restart"/>
          </w:tcPr>
          <w:p>
            <w:pPr>
              <w:spacing w:after="0"/>
              <w:rPr>
                <w:sz w:val="20"/>
                <w:szCs w:val="20"/>
                <w:color w:val="auto"/>
              </w:rPr>
            </w:pPr>
            <w:r>
              <w:rPr>
                <w:rFonts w:ascii="Arial" w:cs="Arial" w:eastAsia="Arial" w:hAnsi="Arial"/>
                <w:sz w:val="16"/>
                <w:szCs w:val="16"/>
                <w:color w:val="auto"/>
              </w:rPr>
              <w:t>Table of Contents</w:t>
            </w:r>
          </w:p>
        </w:tc>
        <w:tc>
          <w:tcPr>
            <w:tcW w:w="6360" w:type="dxa"/>
            <w:vAlign w:val="bottom"/>
            <w:gridSpan w:val="3"/>
            <w:vMerge w:val="restart"/>
          </w:tcPr>
          <w:p>
            <w:pPr>
              <w:ind w:left="140"/>
              <w:spacing w:after="0"/>
              <w:rPr>
                <w:sz w:val="20"/>
                <w:szCs w:val="20"/>
                <w:color w:val="auto"/>
              </w:rPr>
            </w:pPr>
            <w:r>
              <w:rPr>
                <w:rFonts w:ascii="Arial" w:cs="Arial" w:eastAsia="Arial" w:hAnsi="Arial"/>
                <w:sz w:val="16"/>
                <w:szCs w:val="16"/>
                <w:color w:val="auto"/>
              </w:rPr>
              <w:t>Page 1</w:t>
            </w:r>
          </w:p>
        </w:tc>
        <w:tc>
          <w:tcPr>
            <w:tcW w:w="2040" w:type="dxa"/>
            <w:vAlign w:val="bottom"/>
            <w:gridSpan w:val="2"/>
          </w:tcPr>
          <w:p>
            <w:pPr>
              <w:ind w:left="620"/>
              <w:spacing w:after="0"/>
              <w:rPr>
                <w:sz w:val="20"/>
                <w:szCs w:val="20"/>
                <w:color w:val="auto"/>
              </w:rPr>
            </w:pPr>
            <w:r>
              <w:rPr>
                <w:rFonts w:ascii="Arial" w:cs="Arial" w:eastAsia="Arial" w:hAnsi="Arial"/>
                <w:sz w:val="16"/>
                <w:szCs w:val="16"/>
                <w:color w:val="auto"/>
              </w:rPr>
              <w:t>P.A. No. 3219</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w w:val="85"/>
              </w:rPr>
              <w:t>SA-11</w:t>
            </w:r>
          </w:p>
        </w:tc>
        <w:tc>
          <w:tcPr>
            <w:tcW w:w="0" w:type="dxa"/>
            <w:vAlign w:val="bottom"/>
          </w:tcPr>
          <w:p>
            <w:pPr>
              <w:spacing w:after="0"/>
              <w:rPr>
                <w:sz w:val="1"/>
                <w:szCs w:val="1"/>
                <w:color w:val="auto"/>
              </w:rPr>
            </w:pPr>
          </w:p>
        </w:tc>
      </w:tr>
      <w:tr>
        <w:trPr>
          <w:trHeight w:val="171"/>
        </w:trPr>
        <w:tc>
          <w:tcPr>
            <w:tcW w:w="2560" w:type="dxa"/>
            <w:vAlign w:val="bottom"/>
            <w:gridSpan w:val="12"/>
            <w:vMerge w:val="continue"/>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2"/>
          </w:tcPr>
          <w:p>
            <w:pPr>
              <w:jc w:val="center"/>
              <w:ind w:right="106"/>
              <w:spacing w:after="0"/>
              <w:rPr>
                <w:sz w:val="20"/>
                <w:szCs w:val="20"/>
                <w:color w:val="auto"/>
              </w:rPr>
            </w:pPr>
            <w:r>
              <w:rPr>
                <w:rFonts w:ascii="Arial" w:cs="Arial" w:eastAsia="Arial" w:hAnsi="Arial"/>
                <w:sz w:val="16"/>
                <w:szCs w:val="16"/>
                <w:b w:val="1"/>
                <w:bCs w:val="1"/>
                <w:color w:val="auto"/>
                <w:w w:val="97"/>
              </w:rPr>
              <w:t>BOEING PROPRIETARY</w:t>
            </w: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440"/>
          </w:cols>
          <w:pgMar w:left="240" w:top="319" w:right="219" w:bottom="1440" w:gutter="0" w:footer="0" w:header="0"/>
        </w:sectPr>
      </w:pP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319" w:right="219" w:bottom="144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9"/>
          <w:szCs w:val="19"/>
          <w:color w:val="auto"/>
        </w:rPr>
        <w:t>3219-04</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9"/>
          <w:szCs w:val="19"/>
          <w:color w:val="auto"/>
        </w:rPr>
        <w:t>3219-05R1</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9"/>
          <w:szCs w:val="19"/>
          <w:color w:val="auto"/>
        </w:rPr>
        <w:t>3219-06R1</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3219-08R2</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6-1162-AKP-071R1</w:t>
      </w:r>
    </w:p>
    <w:p>
      <w:pPr>
        <w:spacing w:after="0" w:line="343"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6-1162-AKP-072R2</w:t>
      </w:r>
    </w:p>
    <w:p>
      <w:pPr>
        <w:spacing w:after="0" w:line="343" w:lineRule="exact"/>
        <w:rPr>
          <w:sz w:val="20"/>
          <w:szCs w:val="20"/>
          <w:color w:val="auto"/>
        </w:rPr>
      </w:pPr>
    </w:p>
    <w:p>
      <w:pPr>
        <w:ind w:left="80"/>
        <w:spacing w:after="0"/>
        <w:rPr>
          <w:sz w:val="20"/>
          <w:szCs w:val="20"/>
          <w:color w:val="auto"/>
        </w:rPr>
      </w:pPr>
      <w:r>
        <w:rPr>
          <w:rFonts w:ascii="Arial" w:cs="Arial" w:eastAsia="Arial" w:hAnsi="Arial"/>
          <w:sz w:val="19"/>
          <w:szCs w:val="19"/>
          <w:color w:val="auto"/>
        </w:rPr>
        <w:t>6-1162-AKP-073R1</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7"/>
          <w:szCs w:val="17"/>
          <w:color w:val="auto"/>
          <w:strike w:val="1"/>
        </w:rPr>
        <w:t>6-1162-CLO-1031R1</w:t>
      </w: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7"/>
          <w:szCs w:val="17"/>
          <w:color w:val="auto"/>
          <w:strike w:val="1"/>
        </w:rPr>
        <w:t>6-1162-CLO-1032R1</w:t>
      </w:r>
    </w:p>
    <w:p>
      <w:pPr>
        <w:spacing w:after="0" w:line="2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6-1162-CLO-1039</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rPr>
        <w:t>6-1162-CLO-1042</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6-1162-CLO-1043R1</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7"/>
          <w:szCs w:val="17"/>
          <w:color w:val="auto"/>
        </w:rPr>
        <w:t>6-1162-CLO-1045R1</w:t>
      </w:r>
    </w:p>
    <w:p>
      <w:pPr>
        <w:spacing w:after="0" w:line="155"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6-1162-CLO-1046</w:t>
      </w:r>
    </w:p>
    <w:p>
      <w:pPr>
        <w:spacing w:after="0" w:line="38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6-1162-CLO-1047R4</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6-1162-CLO-1048</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6-1162-CLO-1049R2</w:t>
      </w:r>
    </w:p>
    <w:p>
      <w:pPr>
        <w:spacing w:after="0" w:line="5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6-1162-TRW-0664R2</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9"/>
          <w:szCs w:val="19"/>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9"/>
          <w:szCs w:val="19"/>
          <w:color w:val="auto"/>
        </w:rPr>
        <w:t>Spare Parts Commitments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9"/>
          <w:szCs w:val="19"/>
          <w:color w:val="auto"/>
        </w:rPr>
        <w:t>Spare Parts Initial Provisioning</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Open Configuration Matters</w:t>
      </w:r>
      <w:r>
        <w:rPr>
          <w:rFonts w:ascii="Arial" w:cs="Arial" w:eastAsia="Arial" w:hAnsi="Arial"/>
          <w:sz w:val="19"/>
          <w:szCs w:val="19"/>
          <w:color w:val="auto"/>
        </w:rPr>
        <w:t xml:space="preserve"> WITHDRAWN</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Terminated per AAL-PA-1977-LA-1105595</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Terminated per AAL-PA-1977-LA-1105595</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9"/>
          <w:szCs w:val="19"/>
          <w:color w:val="auto"/>
        </w:rPr>
        <w:t>Accident Claims and Litigation</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WITHDRAWN</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Terminated</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9"/>
          <w:szCs w:val="19"/>
          <w:color w:val="auto"/>
        </w:rPr>
        <w:t>787 Inspection Process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SA-eE, COTS Software and End User License Matters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WITHDRAWN</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7"/>
          <w:szCs w:val="17"/>
          <w:color w:val="auto"/>
        </w:rPr>
        <w:t>*CTR</w:t>
      </w:r>
      <w:r>
        <w:rPr>
          <w:rFonts w:ascii="Arial" w:cs="Arial" w:eastAsia="Arial" w:hAnsi="Arial"/>
          <w:sz w:val="19"/>
          <w:szCs w:val="19"/>
          <w:b w:val="1"/>
          <w:bCs w:val="1"/>
          <w:color w:val="auto"/>
        </w:rPr>
        <w:t>]</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Final Matters</w:t>
      </w:r>
      <w:r>
        <w:rPr>
          <w:rFonts w:ascii="Arial" w:cs="Arial" w:eastAsia="Arial" w:hAnsi="Arial"/>
          <w:sz w:val="19"/>
          <w:szCs w:val="19"/>
          <w:color w:val="auto"/>
        </w:rPr>
        <w:t xml:space="preserve">  WITHDRAWN</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9"/>
          <w:szCs w:val="19"/>
          <w:color w:val="auto"/>
        </w:rPr>
        <w:t>CS1 Matters</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Aircraft Purchase Rights and Substitution Rights</w:t>
      </w:r>
    </w:p>
    <w:p>
      <w:pPr>
        <w:spacing w:after="0" w:line="51" w:lineRule="exact"/>
        <w:rPr>
          <w:sz w:val="20"/>
          <w:szCs w:val="20"/>
          <w:color w:val="auto"/>
        </w:rPr>
      </w:pPr>
    </w:p>
    <w:p>
      <w:pPr>
        <w:jc w:val="both"/>
        <w:ind w:right="1320"/>
        <w:spacing w:after="0" w:line="319" w:lineRule="auto"/>
        <w:rPr>
          <w:sz w:val="20"/>
          <w:szCs w:val="20"/>
          <w:color w:val="auto"/>
        </w:rPr>
      </w:pPr>
      <w:r>
        <w:rPr>
          <w:rFonts w:ascii="Arial" w:cs="Arial" w:eastAsia="Arial" w:hAnsi="Arial"/>
          <w:sz w:val="17"/>
          <w:szCs w:val="17"/>
          <w:color w:val="auto"/>
          <w:strike w:val="1"/>
        </w:rPr>
        <w:t>Attachment A(R2) – MADP Exercise Dates</w:t>
      </w:r>
      <w:r>
        <w:rPr>
          <w:rFonts w:ascii="Arial" w:cs="Arial" w:eastAsia="Arial" w:hAnsi="Arial"/>
          <w:sz w:val="17"/>
          <w:szCs w:val="17"/>
          <w:color w:val="auto"/>
        </w:rPr>
        <w:t xml:space="preserve"> </w:t>
      </w:r>
      <w:r>
        <w:rPr>
          <w:rFonts w:ascii="Arial" w:cs="Arial" w:eastAsia="Arial" w:hAnsi="Arial"/>
          <w:sz w:val="17"/>
          <w:szCs w:val="17"/>
          <w:b w:val="1"/>
          <w:bCs w:val="1"/>
          <w:color w:val="auto"/>
        </w:rPr>
        <w:t>WITHDRAWN</w:t>
      </w:r>
      <w:r>
        <w:rPr>
          <w:rFonts w:ascii="Arial" w:cs="Arial" w:eastAsia="Arial" w:hAnsi="Arial"/>
          <w:sz w:val="17"/>
          <w:szCs w:val="17"/>
          <w:color w:val="auto"/>
        </w:rPr>
        <w:t xml:space="preserve"> </w:t>
      </w:r>
      <w:r>
        <w:rPr>
          <w:rFonts w:ascii="Arial" w:cs="Arial" w:eastAsia="Arial" w:hAnsi="Arial"/>
          <w:sz w:val="17"/>
          <w:szCs w:val="17"/>
          <w:color w:val="auto"/>
          <w:strike w:val="1"/>
        </w:rPr>
        <w:t>Attachment B(R2) – QADP Exercise Dates</w:t>
      </w:r>
      <w:r>
        <w:rPr>
          <w:rFonts w:ascii="Arial" w:cs="Arial" w:eastAsia="Arial" w:hAnsi="Arial"/>
          <w:sz w:val="17"/>
          <w:szCs w:val="17"/>
          <w:color w:val="auto"/>
        </w:rPr>
        <w:t xml:space="preserve"> </w:t>
      </w:r>
      <w:r>
        <w:rPr>
          <w:rFonts w:ascii="Arial" w:cs="Arial" w:eastAsia="Arial" w:hAnsi="Arial"/>
          <w:sz w:val="17"/>
          <w:szCs w:val="17"/>
          <w:b w:val="1"/>
          <w:bCs w:val="1"/>
          <w:color w:val="auto"/>
        </w:rPr>
        <w:t>WITHDRAWN</w:t>
      </w:r>
      <w:r>
        <w:rPr>
          <w:rFonts w:ascii="Arial" w:cs="Arial" w:eastAsia="Arial" w:hAnsi="Arial"/>
          <w:sz w:val="17"/>
          <w:szCs w:val="17"/>
          <w:color w:val="auto"/>
        </w:rPr>
        <w:t xml:space="preserve"> </w:t>
      </w:r>
      <w:r>
        <w:rPr>
          <w:rFonts w:ascii="Arial" w:cs="Arial" w:eastAsia="Arial" w:hAnsi="Arial"/>
          <w:sz w:val="17"/>
          <w:szCs w:val="17"/>
          <w:color w:val="auto"/>
          <w:strike w:val="1"/>
        </w:rPr>
        <w:t>Attachment C(R3) – MADP &amp; QADP Rights Aircraft: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strike w:val="1"/>
        </w:rPr>
        <w:t>Description/Price Data</w:t>
      </w:r>
      <w:r>
        <w:rPr>
          <w:rFonts w:ascii="Arial" w:cs="Arial" w:eastAsia="Arial" w:hAnsi="Arial"/>
          <w:sz w:val="19"/>
          <w:szCs w:val="19"/>
          <w:color w:val="auto"/>
        </w:rPr>
        <w:t xml:space="preserve">  Attachment C(R4)</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Attachment D – Form of Purchase Agreement Supplement</w:t>
      </w:r>
    </w:p>
    <w:p>
      <w:pPr>
        <w:spacing w:after="0" w:line="39" w:lineRule="exact"/>
        <w:rPr>
          <w:sz w:val="20"/>
          <w:szCs w:val="20"/>
          <w:color w:val="auto"/>
        </w:rPr>
      </w:pPr>
    </w:p>
    <w:p>
      <w:pPr>
        <w:ind w:left="220" w:right="280" w:hanging="210"/>
        <w:spacing w:after="0" w:line="253" w:lineRule="auto"/>
        <w:rPr>
          <w:sz w:val="20"/>
          <w:szCs w:val="20"/>
          <w:color w:val="auto"/>
        </w:rPr>
      </w:pPr>
      <w:r>
        <w:rPr>
          <w:rFonts w:ascii="Arial" w:cs="Arial" w:eastAsia="Arial" w:hAnsi="Arial"/>
          <w:sz w:val="19"/>
          <w:szCs w:val="19"/>
          <w:color w:val="auto"/>
        </w:rPr>
        <w:t>Attachment E – Letter Agreements To Be Included In Purchase Agreement Supplement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SA-11</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SA-11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SA-11</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SA-11</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SA-11</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SA-6</w:t>
      </w:r>
    </w:p>
    <w:p>
      <w:pPr>
        <w:spacing w:after="0" w:line="237" w:lineRule="exact"/>
        <w:rPr>
          <w:sz w:val="20"/>
          <w:szCs w:val="20"/>
          <w:color w:val="auto"/>
        </w:rPr>
      </w:pPr>
    </w:p>
    <w:p>
      <w:pPr>
        <w:sectPr>
          <w:pgSz w:w="11900" w:h="16838" w:orient="portrait"/>
          <w:cols w:equalWidth="0" w:num="3">
            <w:col w:w="3060" w:space="720"/>
            <w:col w:w="5900" w:space="720"/>
            <w:col w:w="1040"/>
          </w:cols>
          <w:pgMar w:left="240" w:top="319" w:right="219" w:bottom="1440" w:gutter="0" w:footer="0" w:header="0"/>
        </w:sectPr>
      </w:pPr>
    </w:p>
    <w:tbl>
      <w:tblPr>
        <w:tblLayout w:type="fixed"/>
        <w:tblInd w:w="80" w:type="dxa"/>
        <w:tblCellMar>
          <w:top w:w="0" w:type="dxa"/>
          <w:left w:w="0" w:type="dxa"/>
          <w:bottom w:w="0" w:type="dxa"/>
          <w:right w:w="0" w:type="dxa"/>
        </w:tblCellMar>
      </w:tblPr>
      <w:tr>
        <w:trPr>
          <w:trHeight w:val="218"/>
        </w:trPr>
        <w:tc>
          <w:tcPr>
            <w:tcW w:w="2880" w:type="dxa"/>
            <w:vAlign w:val="bottom"/>
            <w:gridSpan w:val="2"/>
          </w:tcPr>
          <w:p>
            <w:pPr>
              <w:spacing w:after="0"/>
              <w:rPr>
                <w:sz w:val="20"/>
                <w:szCs w:val="20"/>
                <w:color w:val="auto"/>
              </w:rPr>
            </w:pPr>
            <w:r>
              <w:rPr>
                <w:rFonts w:ascii="Arial" w:cs="Arial" w:eastAsia="Arial" w:hAnsi="Arial"/>
                <w:sz w:val="19"/>
                <w:szCs w:val="19"/>
                <w:color w:val="auto"/>
              </w:rPr>
              <w:t>LETTER AGREEMENTS</w:t>
            </w:r>
          </w:p>
        </w:tc>
        <w:tc>
          <w:tcPr>
            <w:tcW w:w="4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SA</w:t>
            </w:r>
          </w:p>
        </w:tc>
        <w:tc>
          <w:tcPr>
            <w:tcW w:w="0" w:type="dxa"/>
            <w:vAlign w:val="bottom"/>
          </w:tcPr>
          <w:p>
            <w:pPr>
              <w:spacing w:after="0"/>
              <w:rPr>
                <w:sz w:val="1"/>
                <w:szCs w:val="1"/>
                <w:color w:val="auto"/>
              </w:rPr>
            </w:pPr>
          </w:p>
        </w:tc>
      </w:tr>
      <w:tr>
        <w:trPr>
          <w:trHeight w:val="191"/>
        </w:trPr>
        <w:tc>
          <w:tcPr>
            <w:tcW w:w="200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100" w:type="dxa"/>
            <w:vAlign w:val="bottom"/>
            <w:gridSpan w:val="2"/>
          </w:tcPr>
          <w:p>
            <w:pPr>
              <w:jc w:val="center"/>
              <w:ind w:left="2206"/>
              <w:spacing w:after="0" w:line="191" w:lineRule="exact"/>
              <w:rPr>
                <w:sz w:val="20"/>
                <w:szCs w:val="20"/>
                <w:color w:val="auto"/>
              </w:rPr>
            </w:pPr>
            <w:r>
              <w:rPr>
                <w:rFonts w:ascii="Arial" w:cs="Arial" w:eastAsia="Arial" w:hAnsi="Arial"/>
                <w:sz w:val="19"/>
                <w:szCs w:val="19"/>
                <w:color w:val="auto"/>
                <w:w w:val="97"/>
              </w:rPr>
              <w:t>NUMBER</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9"/>
                <w:szCs w:val="19"/>
                <w:color w:val="auto"/>
                <w:strike w:val="1"/>
              </w:rPr>
              <w:t>6-1162-TRW-0665</w:t>
            </w:r>
          </w:p>
        </w:tc>
        <w:tc>
          <w:tcPr>
            <w:tcW w:w="880" w:type="dxa"/>
            <w:vAlign w:val="bottom"/>
          </w:tcPr>
          <w:p>
            <w:pPr>
              <w:spacing w:after="0"/>
              <w:rPr>
                <w:sz w:val="24"/>
                <w:szCs w:val="24"/>
                <w:color w:val="auto"/>
              </w:rPr>
            </w:pPr>
          </w:p>
        </w:tc>
        <w:tc>
          <w:tcPr>
            <w:tcW w:w="4980" w:type="dxa"/>
            <w:vAlign w:val="bottom"/>
            <w:vMerge w:val="restart"/>
          </w:tcPr>
          <w:p>
            <w:pPr>
              <w:ind w:left="90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 WITHDRAWN</w:t>
            </w:r>
          </w:p>
        </w:tc>
        <w:tc>
          <w:tcPr>
            <w:tcW w:w="23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4"/>
              </w:rPr>
              <w:t>SA-3</w:t>
            </w:r>
          </w:p>
        </w:tc>
        <w:tc>
          <w:tcPr>
            <w:tcW w:w="0" w:type="dxa"/>
            <w:vAlign w:val="bottom"/>
          </w:tcPr>
          <w:p>
            <w:pPr>
              <w:spacing w:after="0"/>
              <w:rPr>
                <w:sz w:val="1"/>
                <w:szCs w:val="1"/>
                <w:color w:val="auto"/>
              </w:rPr>
            </w:pPr>
          </w:p>
        </w:tc>
      </w:tr>
      <w:tr>
        <w:trPr>
          <w:trHeight w:val="94"/>
        </w:trPr>
        <w:tc>
          <w:tcPr>
            <w:tcW w:w="2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Arial" w:cs="Arial" w:eastAsia="Arial" w:hAnsi="Arial"/>
                <w:sz w:val="19"/>
                <w:szCs w:val="19"/>
                <w:color w:val="auto"/>
                <w:strike w:val="1"/>
              </w:rPr>
              <w:t>6-1162-TRW-0666</w:t>
            </w:r>
          </w:p>
        </w:tc>
        <w:tc>
          <w:tcPr>
            <w:tcW w:w="880" w:type="dxa"/>
            <w:vAlign w:val="bottom"/>
          </w:tcPr>
          <w:p>
            <w:pPr>
              <w:spacing w:after="0"/>
              <w:rPr>
                <w:sz w:val="22"/>
                <w:szCs w:val="22"/>
                <w:color w:val="auto"/>
              </w:rPr>
            </w:pPr>
          </w:p>
        </w:tc>
        <w:tc>
          <w:tcPr>
            <w:tcW w:w="4980" w:type="dxa"/>
            <w:vAlign w:val="bottom"/>
            <w:vMerge w:val="restart"/>
          </w:tcPr>
          <w:p>
            <w:pPr>
              <w:ind w:left="90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 WITHDRAWN</w:t>
            </w:r>
          </w:p>
        </w:tc>
        <w:tc>
          <w:tcPr>
            <w:tcW w:w="23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9"/>
                <w:szCs w:val="19"/>
                <w:color w:val="auto"/>
                <w:w w:val="94"/>
              </w:rPr>
              <w:t>SA-3</w:t>
            </w:r>
          </w:p>
        </w:tc>
        <w:tc>
          <w:tcPr>
            <w:tcW w:w="0" w:type="dxa"/>
            <w:vAlign w:val="bottom"/>
          </w:tcPr>
          <w:p>
            <w:pPr>
              <w:spacing w:after="0"/>
              <w:rPr>
                <w:sz w:val="1"/>
                <w:szCs w:val="1"/>
                <w:color w:val="auto"/>
              </w:rPr>
            </w:pPr>
          </w:p>
        </w:tc>
      </w:tr>
      <w:tr>
        <w:trPr>
          <w:trHeight w:val="94"/>
        </w:trPr>
        <w:tc>
          <w:tcPr>
            <w:tcW w:w="2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440"/>
          </w:cols>
          <w:pgMar w:left="240" w:top="319" w:right="219" w:bottom="1440" w:gutter="0" w:footer="0" w:header="0"/>
          <w:type w:val="continuous"/>
        </w:sectPr>
      </w:pPr>
    </w:p>
    <w:p>
      <w:pPr>
        <w:ind w:left="80"/>
        <w:spacing w:after="0"/>
        <w:rPr>
          <w:sz w:val="20"/>
          <w:szCs w:val="20"/>
          <w:color w:val="auto"/>
        </w:rPr>
      </w:pPr>
      <w:r>
        <w:rPr>
          <w:rFonts w:ascii="Arial" w:cs="Arial" w:eastAsia="Arial" w:hAnsi="Arial"/>
          <w:sz w:val="17"/>
          <w:szCs w:val="17"/>
          <w:b w:val="1"/>
          <w:bCs w:val="1"/>
          <w:color w:val="auto"/>
        </w:rPr>
        <w:t>6-1162-TRW-0667R3</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7"/>
          <w:szCs w:val="17"/>
          <w:color w:val="auto"/>
        </w:rPr>
        <w:t>6-1162-TRW-0668R1</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7"/>
          <w:szCs w:val="17"/>
          <w:color w:val="auto"/>
        </w:rPr>
        <w:t>6-1162-TRW-0670R1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7"/>
          <w:szCs w:val="17"/>
          <w:b w:val="1"/>
          <w:bCs w:val="1"/>
          <w:color w:val="auto"/>
        </w:rPr>
        <w:t>*CTR</w:t>
      </w:r>
      <w:r>
        <w:rPr>
          <w:rFonts w:ascii="Arial" w:cs="Arial" w:eastAsia="Arial" w:hAnsi="Arial"/>
          <w:sz w:val="19"/>
          <w:szCs w:val="19"/>
          <w:b w:val="1"/>
          <w:bCs w:val="1"/>
          <w:color w:val="auto"/>
        </w:rPr>
        <w:t>]</w:t>
      </w:r>
    </w:p>
    <w:p>
      <w:pPr>
        <w:spacing w:after="0" w:line="43"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Special Matters Relating to COTS Software and End User License Agreements Miscellaneous Commitments for Model 787 Aircraft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Arial" w:cs="Arial" w:eastAsia="Arial" w:hAnsi="Arial"/>
          <w:sz w:val="16"/>
          <w:szCs w:val="16"/>
          <w:b w:val="1"/>
          <w:bCs w:val="1"/>
          <w:color w:val="auto"/>
        </w:rPr>
        <w:t>SA-11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SA-3</w:t>
      </w:r>
    </w:p>
    <w:p>
      <w:pPr>
        <w:spacing w:after="0" w:line="277" w:lineRule="exact"/>
        <w:rPr>
          <w:sz w:val="20"/>
          <w:szCs w:val="20"/>
          <w:color w:val="auto"/>
        </w:rPr>
      </w:pPr>
    </w:p>
    <w:p>
      <w:pPr>
        <w:sectPr>
          <w:pgSz w:w="11900" w:h="16838" w:orient="portrait"/>
          <w:cols w:equalWidth="0" w:num="3">
            <w:col w:w="3140" w:space="720"/>
            <w:col w:w="5940" w:space="600"/>
            <w:col w:w="1040"/>
          </w:cols>
          <w:pgMar w:left="240" w:top="319" w:right="219" w:bottom="1440" w:gutter="0" w:footer="0" w:header="0"/>
          <w:type w:val="continuous"/>
        </w:sectPr>
      </w:pPr>
    </w:p>
    <w:p>
      <w:pPr>
        <w:spacing w:after="0" w:line="142" w:lineRule="exact"/>
        <w:rPr>
          <w:sz w:val="20"/>
          <w:szCs w:val="20"/>
          <w:color w:val="auto"/>
        </w:rPr>
      </w:pPr>
    </w:p>
    <w:tbl>
      <w:tblPr>
        <w:tblLayout w:type="fixed"/>
        <w:tblInd w:w="9540" w:type="dxa"/>
        <w:tblCellMar>
          <w:top w:w="0" w:type="dxa"/>
          <w:left w:w="0" w:type="dxa"/>
          <w:bottom w:w="0" w:type="dxa"/>
          <w:right w:w="0" w:type="dxa"/>
        </w:tblCellMar>
      </w:tblPr>
      <w:tr>
        <w:trPr>
          <w:trHeight w:val="199"/>
        </w:trPr>
        <w:tc>
          <w:tcPr>
            <w:tcW w:w="1180" w:type="dxa"/>
            <w:vAlign w:val="bottom"/>
          </w:tcPr>
          <w:p>
            <w:pPr>
              <w:spacing w:after="0"/>
              <w:rPr>
                <w:sz w:val="20"/>
                <w:szCs w:val="20"/>
                <w:color w:val="auto"/>
              </w:rPr>
            </w:pPr>
            <w:r>
              <w:rPr>
                <w:rFonts w:ascii="Arial" w:cs="Arial" w:eastAsia="Arial" w:hAnsi="Arial"/>
                <w:sz w:val="16"/>
                <w:szCs w:val="16"/>
                <w:color w:val="auto"/>
              </w:rPr>
              <w:t>P.A. No. 3219</w:t>
            </w:r>
          </w:p>
        </w:tc>
        <w:tc>
          <w:tcPr>
            <w:tcW w:w="720" w:type="dxa"/>
            <w:vAlign w:val="bottom"/>
          </w:tcPr>
          <w:p>
            <w:pPr>
              <w:ind w:left="320"/>
              <w:spacing w:after="0"/>
              <w:rPr>
                <w:sz w:val="20"/>
                <w:szCs w:val="20"/>
                <w:color w:val="auto"/>
              </w:rPr>
            </w:pPr>
            <w:r>
              <w:rPr>
                <w:rFonts w:ascii="Arial" w:cs="Arial" w:eastAsia="Arial" w:hAnsi="Arial"/>
                <w:sz w:val="16"/>
                <w:szCs w:val="16"/>
                <w:color w:val="auto"/>
                <w:w w:val="85"/>
              </w:rPr>
              <w:t>SA-11</w:t>
            </w:r>
          </w:p>
        </w:tc>
      </w:tr>
    </w:tbl>
    <w:p>
      <w:pPr>
        <w:spacing w:after="0"/>
        <w:tabs>
          <w:tab w:leader="none" w:pos="2680" w:val="left"/>
        </w:tabs>
        <w:rPr>
          <w:sz w:val="20"/>
          <w:szCs w:val="20"/>
          <w:color w:val="auto"/>
        </w:rPr>
      </w:pPr>
      <w:r>
        <w:rPr>
          <w:rFonts w:ascii="Arial" w:cs="Arial" w:eastAsia="Arial" w:hAnsi="Arial"/>
          <w:sz w:val="16"/>
          <w:szCs w:val="16"/>
          <w:color w:val="auto"/>
        </w:rPr>
        <w:t>Table of Contents</w:t>
      </w:r>
      <w:r>
        <w:rPr>
          <w:sz w:val="20"/>
          <w:szCs w:val="20"/>
          <w:color w:val="auto"/>
        </w:rPr>
        <w:tab/>
      </w:r>
      <w:r>
        <w:rPr>
          <w:rFonts w:ascii="Arial" w:cs="Arial" w:eastAsia="Arial" w:hAnsi="Arial"/>
          <w:sz w:val="13"/>
          <w:szCs w:val="13"/>
          <w:color w:val="auto"/>
        </w:rPr>
        <w:t>Page 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319" w:right="219" w:bottom="144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9"/>
          <w:szCs w:val="19"/>
          <w:color w:val="auto"/>
          <w:strike w:val="1"/>
        </w:rPr>
        <w:t>6-1162-TRW-0671</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19"/>
          <w:szCs w:val="19"/>
          <w:color w:val="auto"/>
        </w:rPr>
        <w:t>6-1162-TRW-0672R1</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9"/>
          <w:szCs w:val="19"/>
          <w:color w:val="auto"/>
        </w:rPr>
        <w:t>6-1162-TRW-0673R1</w:t>
      </w:r>
    </w:p>
    <w:p>
      <w:pPr>
        <w:spacing w:after="0" w:line="35" w:lineRule="exact"/>
        <w:rPr>
          <w:sz w:val="20"/>
          <w:szCs w:val="20"/>
          <w:color w:val="auto"/>
        </w:rPr>
      </w:pPr>
    </w:p>
    <w:p>
      <w:pPr>
        <w:ind w:left="80" w:right="860"/>
        <w:spacing w:after="0" w:line="374" w:lineRule="auto"/>
        <w:rPr>
          <w:sz w:val="20"/>
          <w:szCs w:val="20"/>
          <w:color w:val="auto"/>
        </w:rPr>
      </w:pPr>
      <w:r>
        <w:rPr>
          <w:rFonts w:ascii="Arial" w:cs="Arial" w:eastAsia="Arial" w:hAnsi="Arial"/>
          <w:sz w:val="17"/>
          <w:szCs w:val="17"/>
          <w:b w:val="1"/>
          <w:bCs w:val="1"/>
          <w:color w:val="auto"/>
        </w:rPr>
        <w:t>6-1162-TRW-0674R4 AAL-PA-3219-LA-08836R2</w:t>
      </w:r>
    </w:p>
    <w:p>
      <w:pPr>
        <w:spacing w:after="0" w:line="3" w:lineRule="exact"/>
        <w:rPr>
          <w:sz w:val="20"/>
          <w:szCs w:val="20"/>
          <w:color w:val="auto"/>
        </w:rPr>
      </w:pPr>
    </w:p>
    <w:p>
      <w:pPr>
        <w:ind w:left="80" w:right="900"/>
        <w:spacing w:after="0" w:line="430" w:lineRule="auto"/>
        <w:rPr>
          <w:sz w:val="20"/>
          <w:szCs w:val="20"/>
          <w:color w:val="auto"/>
        </w:rPr>
      </w:pPr>
      <w:r>
        <w:rPr>
          <w:rFonts w:ascii="Arial" w:cs="Arial" w:eastAsia="Arial" w:hAnsi="Arial"/>
          <w:sz w:val="17"/>
          <w:szCs w:val="17"/>
          <w:color w:val="auto"/>
        </w:rPr>
        <w:t>AAL-PA-3219-LA-08837R1 AAL-PA-3219-LA-08838</w:t>
      </w:r>
    </w:p>
    <w:p>
      <w:pPr>
        <w:spacing w:after="0" w:line="1" w:lineRule="exact"/>
        <w:rPr>
          <w:sz w:val="20"/>
          <w:szCs w:val="20"/>
          <w:color w:val="auto"/>
        </w:rPr>
      </w:pPr>
    </w:p>
    <w:p>
      <w:pPr>
        <w:ind w:left="80" w:right="720"/>
        <w:spacing w:after="0" w:line="304" w:lineRule="auto"/>
        <w:rPr>
          <w:sz w:val="20"/>
          <w:szCs w:val="20"/>
          <w:color w:val="auto"/>
        </w:rPr>
      </w:pPr>
      <w:r>
        <w:rPr>
          <w:rFonts w:ascii="Arial" w:cs="Arial" w:eastAsia="Arial" w:hAnsi="Arial"/>
          <w:sz w:val="19"/>
          <w:szCs w:val="19"/>
          <w:color w:val="auto"/>
        </w:rPr>
        <w:t>AAL-LA-1106678 AAL-PA-3219-LA-1302236R1</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7"/>
          <w:szCs w:val="17"/>
          <w:color w:val="auto"/>
        </w:rPr>
        <w:t>AAL-PA-3219-LA-1604503R1</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AAL-PA-03219-LA-1701988</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AAL-PA-03219_LA-1804779</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AAL-PA-03219-LA-1802262</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AAL-PA-03219-LA-1802492</w:t>
      </w:r>
    </w:p>
    <w:p>
      <w:pPr>
        <w:spacing w:after="0" w:line="20" w:lineRule="exact"/>
        <w:rPr>
          <w:sz w:val="20"/>
          <w:szCs w:val="20"/>
          <w:color w:val="auto"/>
        </w:rPr>
      </w:pPr>
      <w:r>
        <w:rPr>
          <w:sz w:val="20"/>
          <w:szCs w:val="20"/>
          <w:color w:val="auto"/>
        </w:rPr>
        <w:br w:type="column"/>
      </w:r>
    </w:p>
    <w:p>
      <w:pPr>
        <w:jc w:val="right"/>
        <w:ind w:right="2320"/>
        <w:spacing w:after="0"/>
        <w:rPr>
          <w:sz w:val="20"/>
          <w:szCs w:val="20"/>
          <w:color w:val="auto"/>
        </w:rPr>
      </w:pPr>
      <w:r>
        <w:rPr>
          <w:rFonts w:ascii="Arial" w:cs="Arial" w:eastAsia="Arial" w:hAnsi="Arial"/>
          <w:sz w:val="19"/>
          <w:szCs w:val="19"/>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WITHDRAWN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Promotional Support Agreement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Confidentiality</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Considerations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7"/>
          <w:szCs w:val="17"/>
          <w:b w:val="1"/>
          <w:bCs w:val="1"/>
          <w:color w:val="auto"/>
        </w:rPr>
        <w:t>*CTR</w:t>
      </w:r>
      <w:r>
        <w:rPr>
          <w:rFonts w:ascii="Arial" w:cs="Arial" w:eastAsia="Arial" w:hAnsi="Arial"/>
          <w:sz w:val="19"/>
          <w:szCs w:val="19"/>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Assignment Matters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787 [</w:t>
      </w:r>
      <w:r>
        <w:rPr>
          <w:rFonts w:ascii="Arial" w:cs="Arial" w:eastAsia="Arial" w:hAnsi="Arial"/>
          <w:sz w:val="17"/>
          <w:szCs w:val="17"/>
          <w:color w:val="auto"/>
        </w:rPr>
        <w:t>*CTR</w:t>
      </w:r>
      <w:r>
        <w:rPr>
          <w:rFonts w:ascii="Arial" w:cs="Arial" w:eastAsia="Arial" w:hAnsi="Arial"/>
          <w:sz w:val="19"/>
          <w:szCs w:val="19"/>
          <w:color w:val="auto"/>
        </w:rPr>
        <w:t>] Matters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*CTR</w:t>
      </w:r>
      <w:r>
        <w:rPr>
          <w:rFonts w:ascii="Arial" w:cs="Arial" w:eastAsia="Arial" w:hAnsi="Arial"/>
          <w:sz w:val="19"/>
          <w:szCs w:val="19"/>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[*CTR]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[*CTR]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Open Configuration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SA-3</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SA-3</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SA-3</w:t>
      </w:r>
    </w:p>
    <w:p>
      <w:pPr>
        <w:spacing w:after="0" w:line="35" w:lineRule="exact"/>
        <w:rPr>
          <w:sz w:val="20"/>
          <w:szCs w:val="20"/>
          <w:color w:val="auto"/>
        </w:rPr>
      </w:pPr>
    </w:p>
    <w:p>
      <w:pPr>
        <w:jc w:val="right"/>
        <w:ind w:right="560"/>
        <w:spacing w:after="0"/>
        <w:rPr>
          <w:sz w:val="20"/>
          <w:szCs w:val="20"/>
          <w:color w:val="auto"/>
        </w:rPr>
      </w:pPr>
      <w:r>
        <w:rPr>
          <w:rFonts w:ascii="Arial" w:cs="Arial" w:eastAsia="Arial" w:hAnsi="Arial"/>
          <w:sz w:val="19"/>
          <w:szCs w:val="19"/>
          <w:b w:val="1"/>
          <w:bCs w:val="1"/>
          <w:color w:val="auto"/>
        </w:rPr>
        <w:t>SA-11</w:t>
      </w:r>
    </w:p>
    <w:p>
      <w:pPr>
        <w:spacing w:after="0" w:line="39" w:lineRule="exact"/>
        <w:rPr>
          <w:sz w:val="20"/>
          <w:szCs w:val="20"/>
          <w:color w:val="auto"/>
        </w:rPr>
      </w:pPr>
    </w:p>
    <w:p>
      <w:pPr>
        <w:jc w:val="right"/>
        <w:ind w:right="560"/>
        <w:spacing w:after="0"/>
        <w:rPr>
          <w:sz w:val="20"/>
          <w:szCs w:val="20"/>
          <w:color w:val="auto"/>
        </w:rPr>
      </w:pPr>
      <w:r>
        <w:rPr>
          <w:rFonts w:ascii="Arial" w:cs="Arial" w:eastAsia="Arial" w:hAnsi="Arial"/>
          <w:sz w:val="19"/>
          <w:szCs w:val="19"/>
          <w:b w:val="1"/>
          <w:bCs w:val="1"/>
          <w:color w:val="auto"/>
        </w:rPr>
        <w:t>SA-11</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SA-6</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SA-3</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SA-3</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SA-6</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SA-8</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SA-10</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SA-11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SA-11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SA-11</w:t>
      </w:r>
    </w:p>
    <w:p>
      <w:pPr>
        <w:spacing w:after="0" w:line="200" w:lineRule="exact"/>
        <w:rPr>
          <w:sz w:val="20"/>
          <w:szCs w:val="20"/>
          <w:color w:val="auto"/>
        </w:rPr>
      </w:pPr>
    </w:p>
    <w:p>
      <w:pPr>
        <w:sectPr>
          <w:pgSz w:w="11900" w:h="16838" w:orient="portrait"/>
          <w:cols w:equalWidth="0" w:num="3">
            <w:col w:w="3140" w:space="720"/>
            <w:col w:w="5540" w:space="720"/>
            <w:col w:w="1320"/>
          </w:cols>
          <w:pgMar w:left="240" w:top="319" w:right="219" w:bottom="1440" w:gutter="0" w:footer="0" w:header="0"/>
        </w:sectPr>
      </w:pPr>
    </w:p>
    <w:p>
      <w:pPr>
        <w:spacing w:after="0" w:line="144" w:lineRule="exact"/>
        <w:rPr>
          <w:sz w:val="20"/>
          <w:szCs w:val="20"/>
          <w:color w:val="auto"/>
        </w:rPr>
      </w:pPr>
    </w:p>
    <w:p>
      <w:pPr>
        <w:ind w:left="80"/>
        <w:spacing w:after="0"/>
        <w:rPr>
          <w:sz w:val="20"/>
          <w:szCs w:val="20"/>
          <w:color w:val="auto"/>
        </w:rPr>
      </w:pPr>
      <w:r>
        <w:rPr>
          <w:rFonts w:ascii="Arial" w:cs="Arial" w:eastAsia="Arial" w:hAnsi="Arial"/>
          <w:sz w:val="19"/>
          <w:szCs w:val="19"/>
          <w:u w:val="single" w:color="auto"/>
          <w:color w:val="auto"/>
        </w:rPr>
        <w:t>ATTACHMENTS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00" w:type="dxa"/>
            <w:vAlign w:val="bottom"/>
          </w:tcPr>
          <w:p>
            <w:pPr>
              <w:jc w:val="center"/>
              <w:ind w:right="656"/>
              <w:spacing w:after="0"/>
              <w:rPr>
                <w:sz w:val="20"/>
                <w:szCs w:val="20"/>
                <w:color w:val="auto"/>
              </w:rPr>
            </w:pPr>
            <w:r>
              <w:rPr>
                <w:rFonts w:ascii="Arial" w:cs="Arial" w:eastAsia="Arial" w:hAnsi="Arial"/>
                <w:sz w:val="17"/>
                <w:szCs w:val="17"/>
                <w:b w:val="1"/>
                <w:bCs w:val="1"/>
                <w:color w:val="auto"/>
                <w:w w:val="92"/>
              </w:rPr>
              <w:t>Attachment 1</w:t>
            </w:r>
          </w:p>
        </w:tc>
        <w:tc>
          <w:tcPr>
            <w:tcW w:w="4120" w:type="dxa"/>
            <w:vAlign w:val="bottom"/>
          </w:tcPr>
          <w:p>
            <w:pPr>
              <w:ind w:left="1960"/>
              <w:spacing w:after="0"/>
              <w:rPr>
                <w:sz w:val="20"/>
                <w:szCs w:val="20"/>
                <w:color w:val="auto"/>
              </w:rPr>
            </w:pPr>
            <w:r>
              <w:rPr>
                <w:rFonts w:ascii="Arial" w:cs="Arial" w:eastAsia="Arial" w:hAnsi="Arial"/>
                <w:sz w:val="17"/>
                <w:szCs w:val="17"/>
                <w:b w:val="1"/>
                <w:bCs w:val="1"/>
                <w:color w:val="auto"/>
                <w:w w:val="93"/>
              </w:rPr>
              <w:t>Schedule for [*CTR] of 787-9</w:t>
            </w:r>
          </w:p>
        </w:tc>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[MADP Rights]</w:t>
            </w:r>
          </w:p>
        </w:tc>
        <w:tc>
          <w:tcPr>
            <w:tcW w:w="2240" w:type="dxa"/>
            <w:vAlign w:val="bottom"/>
          </w:tcPr>
          <w:p>
            <w:pPr>
              <w:ind w:left="1400"/>
              <w:spacing w:after="0"/>
              <w:rPr>
                <w:sz w:val="20"/>
                <w:szCs w:val="20"/>
                <w:color w:val="auto"/>
              </w:rPr>
            </w:pPr>
            <w:r>
              <w:rPr>
                <w:rFonts w:ascii="Arial" w:cs="Arial" w:eastAsia="Arial" w:hAnsi="Arial"/>
                <w:sz w:val="19"/>
                <w:szCs w:val="19"/>
                <w:b w:val="1"/>
                <w:bCs w:val="1"/>
                <w:color w:val="auto"/>
              </w:rPr>
              <w:t>SA-11</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jc w:val="center"/>
              <w:ind w:right="656"/>
              <w:spacing w:after="0"/>
              <w:rPr>
                <w:sz w:val="20"/>
                <w:szCs w:val="20"/>
                <w:color w:val="auto"/>
              </w:rPr>
            </w:pPr>
            <w:r>
              <w:rPr>
                <w:rFonts w:ascii="Arial" w:cs="Arial" w:eastAsia="Arial" w:hAnsi="Arial"/>
                <w:sz w:val="17"/>
                <w:szCs w:val="17"/>
                <w:b w:val="1"/>
                <w:bCs w:val="1"/>
                <w:color w:val="auto"/>
                <w:w w:val="92"/>
              </w:rPr>
              <w:t>Attachment 2</w:t>
            </w:r>
          </w:p>
        </w:tc>
        <w:tc>
          <w:tcPr>
            <w:tcW w:w="4120" w:type="dxa"/>
            <w:vAlign w:val="bottom"/>
          </w:tcPr>
          <w:p>
            <w:pPr>
              <w:ind w:left="1960"/>
              <w:spacing w:after="0"/>
              <w:rPr>
                <w:sz w:val="20"/>
                <w:szCs w:val="20"/>
                <w:color w:val="auto"/>
              </w:rPr>
            </w:pPr>
            <w:r>
              <w:rPr>
                <w:rFonts w:ascii="Arial" w:cs="Arial" w:eastAsia="Arial" w:hAnsi="Arial"/>
                <w:sz w:val="17"/>
                <w:szCs w:val="17"/>
                <w:b w:val="1"/>
                <w:bCs w:val="1"/>
                <w:color w:val="auto"/>
                <w:w w:val="93"/>
              </w:rPr>
              <w:t>Schedule for [*CTR] of 787-9</w:t>
            </w:r>
          </w:p>
        </w:tc>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[QADP Rights]</w:t>
            </w:r>
          </w:p>
        </w:tc>
        <w:tc>
          <w:tcPr>
            <w:tcW w:w="2240" w:type="dxa"/>
            <w:vAlign w:val="bottom"/>
          </w:tcPr>
          <w:p>
            <w:pPr>
              <w:ind w:left="1400"/>
              <w:spacing w:after="0"/>
              <w:rPr>
                <w:sz w:val="20"/>
                <w:szCs w:val="20"/>
                <w:color w:val="auto"/>
              </w:rPr>
            </w:pPr>
            <w:r>
              <w:rPr>
                <w:rFonts w:ascii="Arial" w:cs="Arial" w:eastAsia="Arial" w:hAnsi="Arial"/>
                <w:sz w:val="19"/>
                <w:szCs w:val="19"/>
                <w:b w:val="1"/>
                <w:bCs w:val="1"/>
                <w:color w:val="auto"/>
              </w:rPr>
              <w:t>SA-11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00" w:type="dxa"/>
            <w:vAlign w:val="bottom"/>
          </w:tcPr>
          <w:p>
            <w:pPr>
              <w:jc w:val="center"/>
              <w:ind w:right="656"/>
              <w:spacing w:after="0"/>
              <w:rPr>
                <w:sz w:val="20"/>
                <w:szCs w:val="20"/>
                <w:color w:val="auto"/>
              </w:rPr>
            </w:pPr>
            <w:r>
              <w:rPr>
                <w:rFonts w:ascii="Arial" w:cs="Arial" w:eastAsia="Arial" w:hAnsi="Arial"/>
                <w:sz w:val="17"/>
                <w:szCs w:val="17"/>
                <w:b w:val="1"/>
                <w:bCs w:val="1"/>
                <w:color w:val="auto"/>
                <w:w w:val="92"/>
              </w:rPr>
              <w:t>Attachment 3</w:t>
            </w:r>
          </w:p>
        </w:tc>
        <w:tc>
          <w:tcPr>
            <w:tcW w:w="6580" w:type="dxa"/>
            <w:vAlign w:val="bottom"/>
            <w:gridSpan w:val="2"/>
          </w:tcPr>
          <w:p>
            <w:pPr>
              <w:ind w:left="1960"/>
              <w:spacing w:after="0"/>
              <w:rPr>
                <w:sz w:val="20"/>
                <w:szCs w:val="20"/>
                <w:color w:val="auto"/>
              </w:rPr>
            </w:pPr>
            <w:r>
              <w:rPr>
                <w:rFonts w:ascii="Arial" w:cs="Arial" w:eastAsia="Arial" w:hAnsi="Arial"/>
                <w:sz w:val="17"/>
                <w:szCs w:val="17"/>
                <w:b w:val="1"/>
                <w:bCs w:val="1"/>
                <w:color w:val="auto"/>
              </w:rPr>
              <w:t>787-9 Purchase Rights Aircraft [*CTR] Schedule</w:t>
            </w:r>
          </w:p>
        </w:tc>
        <w:tc>
          <w:tcPr>
            <w:tcW w:w="2240" w:type="dxa"/>
            <w:vAlign w:val="bottom"/>
          </w:tcPr>
          <w:p>
            <w:pPr>
              <w:ind w:left="1400"/>
              <w:spacing w:after="0"/>
              <w:rPr>
                <w:sz w:val="20"/>
                <w:szCs w:val="20"/>
                <w:color w:val="auto"/>
              </w:rPr>
            </w:pPr>
            <w:r>
              <w:rPr>
                <w:rFonts w:ascii="Arial" w:cs="Arial" w:eastAsia="Arial" w:hAnsi="Arial"/>
                <w:sz w:val="19"/>
                <w:szCs w:val="19"/>
                <w:b w:val="1"/>
                <w:bCs w:val="1"/>
                <w:color w:val="auto"/>
              </w:rPr>
              <w:t>SA-11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1"/>
        </w:trPr>
        <w:tc>
          <w:tcPr>
            <w:tcW w:w="1900" w:type="dxa"/>
            <w:vAlign w:val="bottom"/>
            <w:vMerge w:val="restart"/>
          </w:tcPr>
          <w:p>
            <w:pPr>
              <w:jc w:val="center"/>
              <w:ind w:right="716"/>
              <w:spacing w:after="0"/>
              <w:rPr>
                <w:sz w:val="20"/>
                <w:szCs w:val="20"/>
                <w:color w:val="auto"/>
              </w:rPr>
            </w:pPr>
            <w:r>
              <w:rPr>
                <w:rFonts w:ascii="Arial" w:cs="Arial" w:eastAsia="Arial" w:hAnsi="Arial"/>
                <w:sz w:val="16"/>
                <w:szCs w:val="16"/>
                <w:color w:val="auto"/>
                <w:w w:val="87"/>
              </w:rPr>
              <w:t>Table of Contents</w:t>
            </w:r>
          </w:p>
        </w:tc>
        <w:tc>
          <w:tcPr>
            <w:tcW w:w="4120" w:type="dxa"/>
            <w:vAlign w:val="bottom"/>
            <w:vMerge w:val="restart"/>
          </w:tcPr>
          <w:p>
            <w:pPr>
              <w:ind w:left="800"/>
              <w:spacing w:after="0"/>
              <w:rPr>
                <w:sz w:val="20"/>
                <w:szCs w:val="20"/>
                <w:color w:val="auto"/>
              </w:rPr>
            </w:pPr>
            <w:r>
              <w:rPr>
                <w:rFonts w:ascii="Arial" w:cs="Arial" w:eastAsia="Arial" w:hAnsi="Arial"/>
                <w:sz w:val="16"/>
                <w:szCs w:val="16"/>
                <w:color w:val="auto"/>
              </w:rPr>
              <w:t>Page 3</w:t>
            </w:r>
          </w:p>
        </w:tc>
        <w:tc>
          <w:tcPr>
            <w:tcW w:w="2460" w:type="dxa"/>
            <w:vAlign w:val="bottom"/>
          </w:tcPr>
          <w:p>
            <w:pPr>
              <w:spacing w:after="0"/>
              <w:rPr>
                <w:sz w:val="24"/>
                <w:szCs w:val="24"/>
                <w:color w:val="auto"/>
              </w:rPr>
            </w:pPr>
          </w:p>
        </w:tc>
        <w:tc>
          <w:tcPr>
            <w:tcW w:w="2240" w:type="dxa"/>
            <w:vAlign w:val="bottom"/>
          </w:tcPr>
          <w:p>
            <w:pPr>
              <w:ind w:left="1060"/>
              <w:spacing w:after="0"/>
              <w:rPr>
                <w:sz w:val="20"/>
                <w:szCs w:val="20"/>
                <w:color w:val="auto"/>
              </w:rPr>
            </w:pPr>
            <w:r>
              <w:rPr>
                <w:rFonts w:ascii="Arial" w:cs="Arial" w:eastAsia="Arial" w:hAnsi="Arial"/>
                <w:sz w:val="16"/>
                <w:szCs w:val="16"/>
                <w:color w:val="auto"/>
              </w:rPr>
              <w:t>P.A. No. 3219</w:t>
            </w:r>
          </w:p>
        </w:tc>
        <w:tc>
          <w:tcPr>
            <w:tcW w:w="720" w:type="dxa"/>
            <w:vAlign w:val="bottom"/>
          </w:tcPr>
          <w:p>
            <w:pPr>
              <w:ind w:left="320"/>
              <w:spacing w:after="0"/>
              <w:rPr>
                <w:sz w:val="20"/>
                <w:szCs w:val="20"/>
                <w:color w:val="auto"/>
              </w:rPr>
            </w:pPr>
            <w:r>
              <w:rPr>
                <w:rFonts w:ascii="Arial" w:cs="Arial" w:eastAsia="Arial" w:hAnsi="Arial"/>
                <w:sz w:val="16"/>
                <w:szCs w:val="16"/>
                <w:color w:val="auto"/>
                <w:w w:val="85"/>
              </w:rPr>
              <w:t>SA-11</w:t>
            </w:r>
          </w:p>
        </w:tc>
        <w:tc>
          <w:tcPr>
            <w:tcW w:w="0" w:type="dxa"/>
            <w:vAlign w:val="bottom"/>
          </w:tcPr>
          <w:p>
            <w:pPr>
              <w:spacing w:after="0"/>
              <w:rPr>
                <w:sz w:val="1"/>
                <w:szCs w:val="1"/>
                <w:color w:val="auto"/>
              </w:rPr>
            </w:pPr>
          </w:p>
        </w:tc>
      </w:tr>
      <w:tr>
        <w:trPr>
          <w:trHeight w:val="187"/>
        </w:trPr>
        <w:tc>
          <w:tcPr>
            <w:tcW w:w="1900" w:type="dxa"/>
            <w:vAlign w:val="bottom"/>
            <w:vMerge w:val="continue"/>
          </w:tcPr>
          <w:p>
            <w:pPr>
              <w:spacing w:after="0"/>
              <w:rPr>
                <w:sz w:val="16"/>
                <w:szCs w:val="16"/>
                <w:color w:val="auto"/>
              </w:rPr>
            </w:pPr>
          </w:p>
        </w:tc>
        <w:tc>
          <w:tcPr>
            <w:tcW w:w="412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319" w:right="219" w:bottom="1440" w:gutter="0" w:footer="0" w:header="0"/>
          <w:type w:val="continuous"/>
        </w:sectPr>
      </w:pPr>
    </w:p>
    <w:bookmarkStart w:id="112" w:name="page113"/>
    <w:bookmarkEnd w:id="112"/>
    <w:p>
      <w:pPr>
        <w:ind w:left="3680"/>
        <w:spacing w:after="0"/>
        <w:rPr>
          <w:sz w:val="20"/>
          <w:szCs w:val="20"/>
          <w:color w:val="auto"/>
        </w:rPr>
      </w:pPr>
      <w:r>
        <w:rPr>
          <w:rFonts w:ascii="Arial" w:cs="Arial" w:eastAsia="Arial" w:hAnsi="Arial"/>
          <w:sz w:val="19"/>
          <w:szCs w:val="19"/>
          <w:b w:val="1"/>
          <w:bCs w:val="1"/>
          <w:color w:val="auto"/>
        </w:rPr>
        <w:t>Attachment 1: [*CTR] SA-11 Aircraft Distribution</w:t>
      </w:r>
    </w:p>
    <w:p>
      <w:pPr>
        <w:spacing w:after="0" w:line="346" w:lineRule="exact"/>
        <w:rPr>
          <w:sz w:val="20"/>
          <w:szCs w:val="20"/>
          <w:color w:val="auto"/>
        </w:rPr>
      </w:pPr>
    </w:p>
    <w:tbl>
      <w:tblPr>
        <w:tblLayout w:type="fixed"/>
        <w:tblInd w:w="650" w:type="dxa"/>
        <w:tblCellMar>
          <w:top w:w="0" w:type="dxa"/>
          <w:left w:w="0" w:type="dxa"/>
          <w:bottom w:w="0" w:type="dxa"/>
          <w:right w:w="0" w:type="dxa"/>
        </w:tblCellMar>
      </w:tblPr>
      <w:tr>
        <w:trPr>
          <w:trHeight w:val="297"/>
        </w:trPr>
        <w:tc>
          <w:tcPr>
            <w:tcW w:w="840" w:type="dxa"/>
            <w:vAlign w:val="bottom"/>
            <w:tcBorders>
              <w:top w:val="single" w:sz="8" w:color="auto"/>
              <w:left w:val="single" w:sz="8" w:color="auto"/>
              <w:bottom w:val="single" w:sz="8" w:color="F2F2F2"/>
              <w:right w:val="single" w:sz="8" w:color="auto"/>
            </w:tcBorders>
            <w:shd w:val="clear" w:color="auto" w:fill="F2F2F2"/>
          </w:tcPr>
          <w:p>
            <w:pPr>
              <w:spacing w:after="0"/>
              <w:rPr>
                <w:sz w:val="24"/>
                <w:szCs w:val="24"/>
                <w:color w:val="auto"/>
              </w:rPr>
            </w:pPr>
          </w:p>
        </w:tc>
        <w:tc>
          <w:tcPr>
            <w:tcW w:w="25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0"/>
              </w:rPr>
              <w:t>787-8</w:t>
            </w:r>
          </w:p>
        </w:tc>
        <w:tc>
          <w:tcPr>
            <w:tcW w:w="222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86"/>
              </w:rPr>
              <w:t>787-9</w:t>
            </w:r>
          </w:p>
        </w:tc>
        <w:tc>
          <w:tcPr>
            <w:tcW w:w="45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1"/>
              </w:rPr>
              <w:t>Delivery Month/Year</w:t>
            </w:r>
          </w:p>
        </w:tc>
      </w:tr>
      <w:tr>
        <w:trPr>
          <w:trHeight w:val="235"/>
        </w:trPr>
        <w:tc>
          <w:tcPr>
            <w:tcW w:w="840" w:type="dxa"/>
            <w:vAlign w:val="bottom"/>
            <w:tcBorders>
              <w:top w:val="single" w:sz="8" w:color="auto"/>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1.</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7.</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8.</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88"/>
              </w:rPr>
              <w:t>9.</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spacing w:after="0"/>
              <w:rPr>
                <w:sz w:val="20"/>
                <w:szCs w:val="20"/>
                <w:color w:val="auto"/>
              </w:rPr>
            </w:pP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15.</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16.</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17.</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18.</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19.</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20.</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21.</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22.</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23.</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24.</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25.</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26.</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27.</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28.</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w w:val="98"/>
              </w:rPr>
              <w:t>29.</w:t>
            </w:r>
          </w:p>
        </w:tc>
        <w:tc>
          <w:tcPr>
            <w:tcW w:w="25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5"/>
        </w:trPr>
        <w:tc>
          <w:tcPr>
            <w:tcW w:w="840" w:type="dxa"/>
            <w:vAlign w:val="bottom"/>
            <w:tcBorders>
              <w:left w:val="single" w:sz="8" w:color="auto"/>
              <w:right w:val="single" w:sz="8" w:color="auto"/>
            </w:tcBorders>
          </w:tcPr>
          <w:p>
            <w:pPr>
              <w:spacing w:after="0"/>
              <w:rPr>
                <w:sz w:val="20"/>
                <w:szCs w:val="20"/>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4580" w:type="dxa"/>
            <w:vAlign w:val="bottom"/>
            <w:tcBorders>
              <w:right w:val="single" w:sz="8" w:color="auto"/>
            </w:tcBorders>
          </w:tcPr>
          <w:p>
            <w:pPr>
              <w:spacing w:after="0"/>
              <w:rPr>
                <w:sz w:val="20"/>
                <w:szCs w:val="20"/>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02"/>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9"/>
        <w:spacing w:after="0"/>
        <w:rPr>
          <w:sz w:val="20"/>
          <w:szCs w:val="20"/>
          <w:color w:val="auto"/>
        </w:rPr>
      </w:pPr>
      <w:r>
        <w:rPr>
          <w:rFonts w:ascii="Arial" w:cs="Arial" w:eastAsia="Arial" w:hAnsi="Arial"/>
          <w:sz w:val="19"/>
          <w:szCs w:val="19"/>
          <w:color w:val="auto"/>
        </w:rPr>
        <w:t>SA-11</w:t>
      </w:r>
    </w:p>
    <w:p>
      <w:pPr>
        <w:spacing w:after="0" w:line="16" w:lineRule="exact"/>
        <w:rPr>
          <w:sz w:val="20"/>
          <w:szCs w:val="20"/>
          <w:color w:val="auto"/>
        </w:rPr>
      </w:pPr>
    </w:p>
    <w:p>
      <w:pPr>
        <w:jc w:val="center"/>
        <w:ind w:right="-599"/>
        <w:spacing w:after="0"/>
        <w:rPr>
          <w:sz w:val="20"/>
          <w:szCs w:val="20"/>
          <w:color w:val="auto"/>
        </w:rPr>
      </w:pPr>
      <w:r>
        <w:rPr>
          <w:rFonts w:ascii="Arial" w:cs="Arial" w:eastAsia="Arial" w:hAnsi="Arial"/>
          <w:sz w:val="19"/>
          <w:szCs w:val="19"/>
          <w:b w:val="1"/>
          <w:bCs w:val="1"/>
          <w:color w:val="auto"/>
        </w:rPr>
        <w:t>BOEING PROPRIETARY</w:t>
      </w: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820"/>
          </w:cols>
          <w:pgMar w:left="240" w:top="140" w:right="8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9"/>
          <w:szCs w:val="19"/>
          <w:b w:val="1"/>
          <w:bCs w:val="1"/>
          <w:color w:val="auto"/>
        </w:rPr>
        <w:t>Attachment 2: [*CTR] SA-11 Aircraft Distribution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02"/>
        </w:trPr>
        <w:tc>
          <w:tcPr>
            <w:tcW w:w="1060" w:type="dxa"/>
            <w:vAlign w:val="bottom"/>
            <w:tcBorders>
              <w:top w:val="single" w:sz="8" w:color="auto"/>
              <w:left w:val="single" w:sz="8" w:color="auto"/>
              <w:right w:val="single" w:sz="8" w:color="auto"/>
            </w:tcBorders>
            <w:shd w:val="clear" w:color="auto" w:fill="E6E6E6"/>
          </w:tcPr>
          <w:p>
            <w:pPr>
              <w:spacing w:after="0"/>
              <w:rPr>
                <w:sz w:val="24"/>
                <w:szCs w:val="24"/>
                <w:color w:val="auto"/>
              </w:rPr>
            </w:pPr>
          </w:p>
        </w:tc>
        <w:tc>
          <w:tcPr>
            <w:tcW w:w="376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787-8</w:t>
            </w:r>
          </w:p>
        </w:tc>
        <w:tc>
          <w:tcPr>
            <w:tcW w:w="37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9"/>
                <w:szCs w:val="19"/>
                <w:b w:val="1"/>
                <w:bCs w:val="1"/>
                <w:color w:val="auto"/>
                <w:w w:val="86"/>
              </w:rPr>
              <w:t>787-9</w:t>
            </w:r>
          </w:p>
        </w:tc>
        <w:tc>
          <w:tcPr>
            <w:tcW w:w="1200" w:type="dxa"/>
            <w:vAlign w:val="bottom"/>
            <w:tcBorders>
              <w:top w:val="single" w:sz="8" w:color="auto"/>
            </w:tcBorders>
            <w:shd w:val="clear" w:color="auto" w:fill="E6E6E6"/>
          </w:tcPr>
          <w:p>
            <w:pPr>
              <w:ind w:left="480"/>
              <w:spacing w:after="0"/>
              <w:rPr>
                <w:sz w:val="20"/>
                <w:szCs w:val="20"/>
                <w:color w:val="auto"/>
              </w:rPr>
            </w:pPr>
            <w:r>
              <w:rPr>
                <w:rFonts w:ascii="Arial" w:cs="Arial" w:eastAsia="Arial" w:hAnsi="Arial"/>
                <w:sz w:val="19"/>
                <w:szCs w:val="19"/>
                <w:b w:val="1"/>
                <w:bCs w:val="1"/>
                <w:color w:val="auto"/>
                <w:w w:val="94"/>
              </w:rPr>
              <w:t>Delivery</w:t>
            </w:r>
          </w:p>
        </w:tc>
        <w:tc>
          <w:tcPr>
            <w:tcW w:w="1660" w:type="dxa"/>
            <w:vAlign w:val="bottom"/>
            <w:tcBorders>
              <w:top w:val="single" w:sz="8" w:color="auto"/>
              <w:right w:val="single" w:sz="8" w:color="auto"/>
            </w:tcBorders>
            <w:shd w:val="clear" w:color="auto" w:fill="E6E6E6"/>
          </w:tcPr>
          <w:p>
            <w:pPr>
              <w:spacing w:after="0"/>
              <w:rPr>
                <w:sz w:val="20"/>
                <w:szCs w:val="20"/>
                <w:color w:val="auto"/>
              </w:rPr>
            </w:pPr>
            <w:r>
              <w:rPr>
                <w:rFonts w:ascii="Arial" w:cs="Arial" w:eastAsia="Arial" w:hAnsi="Arial"/>
                <w:sz w:val="19"/>
                <w:szCs w:val="19"/>
                <w:b w:val="1"/>
                <w:bCs w:val="1"/>
                <w:color w:val="auto"/>
                <w:strike w:val="1"/>
              </w:rPr>
              <w:t>Quarter/Year</w:t>
            </w:r>
          </w:p>
        </w:tc>
      </w:tr>
      <w:tr>
        <w:trPr>
          <w:trHeight w:val="61"/>
        </w:trPr>
        <w:tc>
          <w:tcPr>
            <w:tcW w:w="1060" w:type="dxa"/>
            <w:vAlign w:val="bottom"/>
            <w:tcBorders>
              <w:left w:val="single" w:sz="8" w:color="auto"/>
              <w:bottom w:val="single" w:sz="8" w:color="auto"/>
              <w:right w:val="single" w:sz="8" w:color="auto"/>
            </w:tcBorders>
            <w:shd w:val="clear" w:color="auto" w:fill="E6E6E6"/>
          </w:tcPr>
          <w:p>
            <w:pPr>
              <w:spacing w:after="0"/>
              <w:rPr>
                <w:sz w:val="5"/>
                <w:szCs w:val="5"/>
                <w:color w:val="auto"/>
              </w:rPr>
            </w:pPr>
          </w:p>
        </w:tc>
        <w:tc>
          <w:tcPr>
            <w:tcW w:w="3760" w:type="dxa"/>
            <w:vAlign w:val="bottom"/>
            <w:tcBorders>
              <w:bottom w:val="single" w:sz="8" w:color="auto"/>
              <w:right w:val="single" w:sz="8" w:color="auto"/>
            </w:tcBorders>
            <w:shd w:val="clear" w:color="auto" w:fill="E6E6E6"/>
          </w:tcPr>
          <w:p>
            <w:pPr>
              <w:spacing w:after="0"/>
              <w:rPr>
                <w:sz w:val="5"/>
                <w:szCs w:val="5"/>
                <w:color w:val="auto"/>
              </w:rPr>
            </w:pPr>
          </w:p>
        </w:tc>
        <w:tc>
          <w:tcPr>
            <w:tcW w:w="3740" w:type="dxa"/>
            <w:vAlign w:val="bottom"/>
            <w:tcBorders>
              <w:bottom w:val="single" w:sz="8" w:color="auto"/>
              <w:right w:val="single" w:sz="8" w:color="auto"/>
            </w:tcBorders>
            <w:shd w:val="clear" w:color="auto" w:fill="E6E6E6"/>
          </w:tcPr>
          <w:p>
            <w:pPr>
              <w:spacing w:after="0"/>
              <w:rPr>
                <w:sz w:val="5"/>
                <w:szCs w:val="5"/>
                <w:color w:val="auto"/>
              </w:rPr>
            </w:pPr>
          </w:p>
        </w:tc>
        <w:tc>
          <w:tcPr>
            <w:tcW w:w="1200" w:type="dxa"/>
            <w:vAlign w:val="bottom"/>
            <w:tcBorders>
              <w:bottom w:val="single" w:sz="8" w:color="auto"/>
            </w:tcBorders>
            <w:shd w:val="clear" w:color="auto" w:fill="E6E6E6"/>
          </w:tcPr>
          <w:p>
            <w:pPr>
              <w:spacing w:after="0"/>
              <w:rPr>
                <w:sz w:val="5"/>
                <w:szCs w:val="5"/>
                <w:color w:val="auto"/>
              </w:rPr>
            </w:pPr>
          </w:p>
        </w:tc>
        <w:tc>
          <w:tcPr>
            <w:tcW w:w="1660" w:type="dxa"/>
            <w:vAlign w:val="bottom"/>
            <w:tcBorders>
              <w:bottom w:val="single" w:sz="8" w:color="auto"/>
              <w:right w:val="single" w:sz="8" w:color="auto"/>
            </w:tcBorders>
            <w:shd w:val="clear" w:color="auto" w:fill="E6E6E6"/>
          </w:tcPr>
          <w:p>
            <w:pPr>
              <w:spacing w:after="0"/>
              <w:rPr>
                <w:sz w:val="5"/>
                <w:szCs w:val="5"/>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1.</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3.</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4.</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5.</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6.</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7.</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8.</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86"/>
              <w:spacing w:after="0"/>
              <w:rPr>
                <w:sz w:val="20"/>
                <w:szCs w:val="20"/>
                <w:color w:val="auto"/>
              </w:rPr>
            </w:pPr>
            <w:r>
              <w:rPr>
                <w:rFonts w:ascii="Arial" w:cs="Arial" w:eastAsia="Arial" w:hAnsi="Arial"/>
                <w:sz w:val="19"/>
                <w:szCs w:val="19"/>
                <w:color w:val="auto"/>
                <w:strike w:val="1"/>
              </w:rPr>
              <w:t>9.</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11.</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13.</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14.</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15.</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16.</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17.</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18.</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19.</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20.</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21.</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22.</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23.</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24.</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25.</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26.</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27.</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28.</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jc w:val="center"/>
              <w:ind w:right="66"/>
              <w:spacing w:after="0"/>
              <w:rPr>
                <w:sz w:val="20"/>
                <w:szCs w:val="20"/>
                <w:color w:val="auto"/>
              </w:rPr>
            </w:pPr>
            <w:r>
              <w:rPr>
                <w:rFonts w:ascii="Arial" w:cs="Arial" w:eastAsia="Arial" w:hAnsi="Arial"/>
                <w:sz w:val="19"/>
                <w:szCs w:val="19"/>
                <w:color w:val="auto"/>
                <w:strike w:val="1"/>
                <w:w w:val="98"/>
              </w:rPr>
              <w:t>29.</w:t>
            </w:r>
          </w:p>
        </w:tc>
        <w:tc>
          <w:tcPr>
            <w:tcW w:w="37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2860" w:type="dxa"/>
            <w:vAlign w:val="bottom"/>
            <w:tcBorders>
              <w:right w:val="single" w:sz="8" w:color="auto"/>
            </w:tcBorders>
            <w:gridSpan w:val="2"/>
          </w:tcPr>
          <w:p>
            <w:pPr>
              <w:ind w:left="1120"/>
              <w:spacing w:after="0"/>
              <w:rPr>
                <w:sz w:val="20"/>
                <w:szCs w:val="20"/>
                <w:color w:val="auto"/>
              </w:rPr>
            </w:pPr>
            <w:r>
              <w:rPr>
                <w:rFonts w:ascii="Arial" w:cs="Arial" w:eastAsia="Arial" w:hAnsi="Arial"/>
                <w:sz w:val="19"/>
                <w:szCs w:val="19"/>
                <w:color w:val="auto"/>
              </w:rPr>
              <w:t>[*CTR]</w:t>
            </w: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5"/>
        </w:trPr>
        <w:tc>
          <w:tcPr>
            <w:tcW w:w="106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120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38"/>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49"/>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SA-11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Boeing Proprietary</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20"/>
          </w:cols>
          <w:pgMar w:left="240" w:top="140" w:right="239" w:bottom="1440" w:gutter="0" w:footer="0" w:header="0"/>
        </w:sectPr>
      </w:pPr>
    </w:p>
    <w:bookmarkStart w:id="114" w:name="page115"/>
    <w:bookmarkEnd w:id="114"/>
    <w:p>
      <w:pPr>
        <w:ind w:left="4140"/>
        <w:spacing w:after="0"/>
        <w:rPr>
          <w:sz w:val="20"/>
          <w:szCs w:val="20"/>
          <w:color w:val="auto"/>
        </w:rPr>
      </w:pPr>
      <w:r>
        <w:rPr>
          <w:rFonts w:ascii="Arial" w:cs="Arial" w:eastAsia="Arial" w:hAnsi="Arial"/>
          <w:sz w:val="19"/>
          <w:szCs w:val="19"/>
          <w:b w:val="1"/>
          <w:bCs w:val="1"/>
          <w:color w:val="auto"/>
        </w:rPr>
        <w:t>Attachment 3: 787-9 Aircraft [*CTR]</w:t>
      </w:r>
    </w:p>
    <w:p>
      <w:pPr>
        <w:spacing w:after="0" w:line="347"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3660" w:type="dxa"/>
            <w:vAlign w:val="bottom"/>
            <w:shd w:val="clear" w:color="auto" w:fill="F2F2F2"/>
          </w:tcPr>
          <w:p>
            <w:pPr>
              <w:ind w:left="1360"/>
              <w:spacing w:after="0"/>
              <w:rPr>
                <w:sz w:val="20"/>
                <w:szCs w:val="20"/>
                <w:color w:val="auto"/>
              </w:rPr>
            </w:pPr>
            <w:r>
              <w:rPr>
                <w:rFonts w:ascii="Arial" w:cs="Arial" w:eastAsia="Arial" w:hAnsi="Arial"/>
                <w:sz w:val="19"/>
                <w:szCs w:val="19"/>
                <w:b w:val="1"/>
                <w:bCs w:val="1"/>
                <w:color w:val="auto"/>
              </w:rPr>
              <w:t>787-9 Aircraft</w:t>
            </w:r>
          </w:p>
        </w:tc>
        <w:tc>
          <w:tcPr>
            <w:tcW w:w="4000" w:type="dxa"/>
            <w:vAlign w:val="bottom"/>
            <w:shd w:val="clear" w:color="auto" w:fill="F2F2F2"/>
          </w:tcPr>
          <w:p>
            <w:pPr>
              <w:jc w:val="center"/>
              <w:ind w:left="66"/>
              <w:spacing w:after="0"/>
              <w:rPr>
                <w:sz w:val="20"/>
                <w:szCs w:val="20"/>
                <w:color w:val="auto"/>
              </w:rPr>
            </w:pPr>
            <w:r>
              <w:rPr>
                <w:rFonts w:ascii="Arial" w:cs="Arial" w:eastAsia="Arial" w:hAnsi="Arial"/>
                <w:sz w:val="19"/>
                <w:szCs w:val="19"/>
                <w:b w:val="1"/>
                <w:bCs w:val="1"/>
                <w:color w:val="auto"/>
                <w:w w:val="96"/>
              </w:rPr>
              <w:t>787-9 Aircraft [*CTR]</w:t>
            </w:r>
          </w:p>
        </w:tc>
      </w:tr>
      <w:tr>
        <w:trPr>
          <w:trHeight w:val="243"/>
        </w:trPr>
        <w:tc>
          <w:tcPr>
            <w:tcW w:w="3660" w:type="dxa"/>
            <w:vAlign w:val="bottom"/>
          </w:tcPr>
          <w:p>
            <w:pPr>
              <w:ind w:left="320"/>
              <w:spacing w:after="0"/>
              <w:rPr>
                <w:sz w:val="20"/>
                <w:szCs w:val="20"/>
                <w:color w:val="auto"/>
              </w:rPr>
            </w:pPr>
            <w:r>
              <w:rPr>
                <w:rFonts w:ascii="Arial" w:cs="Arial" w:eastAsia="Arial" w:hAnsi="Arial"/>
                <w:sz w:val="19"/>
                <w:szCs w:val="19"/>
                <w:color w:val="auto"/>
              </w:rPr>
              <w:t>[*CTR]</w:t>
            </w:r>
          </w:p>
        </w:tc>
        <w:tc>
          <w:tcPr>
            <w:tcW w:w="4000" w:type="dxa"/>
            <w:vAlign w:val="bottom"/>
          </w:tcPr>
          <w:p>
            <w:pPr>
              <w:jc w:val="center"/>
              <w:ind w:left="86"/>
              <w:spacing w:after="0"/>
              <w:rPr>
                <w:sz w:val="20"/>
                <w:szCs w:val="20"/>
                <w:color w:val="auto"/>
              </w:rPr>
            </w:pPr>
            <w:r>
              <w:rPr>
                <w:rFonts w:ascii="Arial" w:cs="Arial" w:eastAsia="Arial" w:hAnsi="Arial"/>
                <w:sz w:val="19"/>
                <w:szCs w:val="19"/>
                <w:color w:val="auto"/>
              </w:rPr>
              <w:t>[*CTR]</w:t>
            </w:r>
          </w:p>
        </w:tc>
      </w:tr>
      <w:tr>
        <w:trPr>
          <w:trHeight w:val="269"/>
        </w:trPr>
        <w:tc>
          <w:tcPr>
            <w:tcW w:w="3660" w:type="dxa"/>
            <w:vAlign w:val="bottom"/>
          </w:tcPr>
          <w:p>
            <w:pPr>
              <w:ind w:left="320"/>
              <w:spacing w:after="0"/>
              <w:rPr>
                <w:sz w:val="20"/>
                <w:szCs w:val="20"/>
                <w:color w:val="auto"/>
              </w:rPr>
            </w:pPr>
            <w:r>
              <w:rPr>
                <w:rFonts w:ascii="Arial" w:cs="Arial" w:eastAsia="Arial" w:hAnsi="Arial"/>
                <w:sz w:val="19"/>
                <w:szCs w:val="19"/>
                <w:color w:val="auto"/>
              </w:rPr>
              <w:t>[*CTR]</w:t>
            </w:r>
          </w:p>
        </w:tc>
        <w:tc>
          <w:tcPr>
            <w:tcW w:w="4000" w:type="dxa"/>
            <w:vAlign w:val="bottom"/>
          </w:tcPr>
          <w:p>
            <w:pPr>
              <w:jc w:val="center"/>
              <w:ind w:left="86"/>
              <w:spacing w:after="0"/>
              <w:rPr>
                <w:sz w:val="20"/>
                <w:szCs w:val="20"/>
                <w:color w:val="auto"/>
              </w:rPr>
            </w:pPr>
            <w:r>
              <w:rPr>
                <w:rFonts w:ascii="Arial" w:cs="Arial" w:eastAsia="Arial" w:hAnsi="Arial"/>
                <w:sz w:val="19"/>
                <w:szCs w:val="19"/>
                <w:color w:val="auto"/>
              </w:rPr>
              <w:t>[*CTR]</w:t>
            </w:r>
          </w:p>
        </w:tc>
      </w:tr>
      <w:tr>
        <w:trPr>
          <w:trHeight w:val="269"/>
        </w:trPr>
        <w:tc>
          <w:tcPr>
            <w:tcW w:w="3660" w:type="dxa"/>
            <w:vAlign w:val="bottom"/>
          </w:tcPr>
          <w:p>
            <w:pPr>
              <w:ind w:left="320"/>
              <w:spacing w:after="0"/>
              <w:rPr>
                <w:sz w:val="20"/>
                <w:szCs w:val="20"/>
                <w:color w:val="auto"/>
              </w:rPr>
            </w:pPr>
            <w:r>
              <w:rPr>
                <w:rFonts w:ascii="Arial" w:cs="Arial" w:eastAsia="Arial" w:hAnsi="Arial"/>
                <w:sz w:val="19"/>
                <w:szCs w:val="19"/>
                <w:color w:val="auto"/>
              </w:rPr>
              <w:t>[*CTR]</w:t>
            </w:r>
          </w:p>
        </w:tc>
        <w:tc>
          <w:tcPr>
            <w:tcW w:w="4000" w:type="dxa"/>
            <w:vAlign w:val="bottom"/>
          </w:tcPr>
          <w:p>
            <w:pPr>
              <w:jc w:val="center"/>
              <w:ind w:left="86"/>
              <w:spacing w:after="0"/>
              <w:rPr>
                <w:sz w:val="20"/>
                <w:szCs w:val="20"/>
                <w:color w:val="auto"/>
              </w:rPr>
            </w:pPr>
            <w:r>
              <w:rPr>
                <w:rFonts w:ascii="Arial" w:cs="Arial" w:eastAsia="Arial" w:hAnsi="Arial"/>
                <w:sz w:val="19"/>
                <w:szCs w:val="19"/>
                <w:color w:val="auto"/>
              </w:rPr>
              <w:t>[*CTR]</w:t>
            </w:r>
          </w:p>
        </w:tc>
      </w:tr>
      <w:tr>
        <w:trPr>
          <w:trHeight w:val="269"/>
        </w:trPr>
        <w:tc>
          <w:tcPr>
            <w:tcW w:w="3660" w:type="dxa"/>
            <w:vAlign w:val="bottom"/>
          </w:tcPr>
          <w:p>
            <w:pPr>
              <w:ind w:left="320"/>
              <w:spacing w:after="0"/>
              <w:rPr>
                <w:sz w:val="20"/>
                <w:szCs w:val="20"/>
                <w:color w:val="auto"/>
              </w:rPr>
            </w:pPr>
            <w:r>
              <w:rPr>
                <w:rFonts w:ascii="Arial" w:cs="Arial" w:eastAsia="Arial" w:hAnsi="Arial"/>
                <w:sz w:val="19"/>
                <w:szCs w:val="19"/>
                <w:color w:val="auto"/>
              </w:rPr>
              <w:t>[*CTR]</w:t>
            </w:r>
          </w:p>
        </w:tc>
        <w:tc>
          <w:tcPr>
            <w:tcW w:w="4000" w:type="dxa"/>
            <w:vAlign w:val="bottom"/>
          </w:tcPr>
          <w:p>
            <w:pPr>
              <w:jc w:val="center"/>
              <w:ind w:left="86"/>
              <w:spacing w:after="0"/>
              <w:rPr>
                <w:sz w:val="20"/>
                <w:szCs w:val="20"/>
                <w:color w:val="auto"/>
              </w:rPr>
            </w:pPr>
            <w:r>
              <w:rPr>
                <w:rFonts w:ascii="Arial" w:cs="Arial" w:eastAsia="Arial" w:hAnsi="Arial"/>
                <w:sz w:val="19"/>
                <w:szCs w:val="19"/>
                <w:color w:val="auto"/>
              </w:rPr>
              <w:t>[*CTR]</w:t>
            </w:r>
          </w:p>
        </w:tc>
      </w:tr>
      <w:tr>
        <w:trPr>
          <w:trHeight w:val="269"/>
        </w:trPr>
        <w:tc>
          <w:tcPr>
            <w:tcW w:w="3660" w:type="dxa"/>
            <w:vAlign w:val="bottom"/>
          </w:tcPr>
          <w:p>
            <w:pPr>
              <w:ind w:left="320"/>
              <w:spacing w:after="0"/>
              <w:rPr>
                <w:sz w:val="20"/>
                <w:szCs w:val="20"/>
                <w:color w:val="auto"/>
              </w:rPr>
            </w:pPr>
            <w:r>
              <w:rPr>
                <w:rFonts w:ascii="Arial" w:cs="Arial" w:eastAsia="Arial" w:hAnsi="Arial"/>
                <w:sz w:val="19"/>
                <w:szCs w:val="19"/>
                <w:color w:val="auto"/>
              </w:rPr>
              <w:t>[*CTR]</w:t>
            </w:r>
          </w:p>
        </w:tc>
        <w:tc>
          <w:tcPr>
            <w:tcW w:w="4000" w:type="dxa"/>
            <w:vAlign w:val="bottom"/>
          </w:tcPr>
          <w:p>
            <w:pPr>
              <w:jc w:val="center"/>
              <w:ind w:left="86"/>
              <w:spacing w:after="0"/>
              <w:rPr>
                <w:sz w:val="20"/>
                <w:szCs w:val="20"/>
                <w:color w:val="auto"/>
              </w:rPr>
            </w:pPr>
            <w:r>
              <w:rPr>
                <w:rFonts w:ascii="Arial" w:cs="Arial" w:eastAsia="Arial" w:hAnsi="Arial"/>
                <w:sz w:val="19"/>
                <w:szCs w:val="19"/>
                <w:color w:val="auto"/>
              </w:rPr>
              <w:t>[*CTR]</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19"/>
        <w:spacing w:after="0"/>
        <w:rPr>
          <w:sz w:val="20"/>
          <w:szCs w:val="20"/>
          <w:color w:val="auto"/>
        </w:rPr>
      </w:pPr>
      <w:r>
        <w:rPr>
          <w:rFonts w:ascii="Arial" w:cs="Arial" w:eastAsia="Arial" w:hAnsi="Arial"/>
          <w:sz w:val="19"/>
          <w:szCs w:val="19"/>
          <w:color w:val="auto"/>
        </w:rPr>
        <w:t>SA-11</w:t>
      </w:r>
    </w:p>
    <w:p>
      <w:pPr>
        <w:spacing w:after="0" w:line="39" w:lineRule="exact"/>
        <w:rPr>
          <w:sz w:val="20"/>
          <w:szCs w:val="20"/>
          <w:color w:val="auto"/>
        </w:rPr>
      </w:pPr>
    </w:p>
    <w:p>
      <w:pPr>
        <w:jc w:val="center"/>
        <w:ind w:right="-919"/>
        <w:spacing w:after="0"/>
        <w:rPr>
          <w:sz w:val="20"/>
          <w:szCs w:val="20"/>
          <w:color w:val="auto"/>
        </w:rPr>
      </w:pPr>
      <w:r>
        <w:rPr>
          <w:rFonts w:ascii="Arial" w:cs="Arial" w:eastAsia="Arial" w:hAnsi="Arial"/>
          <w:sz w:val="19"/>
          <w:szCs w:val="19"/>
          <w:color w:val="auto"/>
        </w:rPr>
        <w:t>Boeing Proprietary</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23" w:right="1139" w:bottom="1440" w:gutter="0" w:footer="0" w:header="0"/>
        </w:sectPr>
      </w:pPr>
    </w:p>
    <w:bookmarkStart w:id="115" w:name="page116"/>
    <w:bookmarkEnd w:id="115"/>
    <w:p>
      <w:pPr>
        <w:ind w:left="5240"/>
        <w:spacing w:after="0"/>
        <w:rPr>
          <w:sz w:val="20"/>
          <w:szCs w:val="20"/>
          <w:color w:val="auto"/>
        </w:rPr>
      </w:pPr>
      <w:r>
        <w:rPr>
          <w:rFonts w:ascii="Arial" w:cs="Arial" w:eastAsia="Arial" w:hAnsi="Arial"/>
          <w:sz w:val="22"/>
          <w:szCs w:val="22"/>
          <w:b w:val="1"/>
          <w:bCs w:val="1"/>
          <w:color w:val="auto"/>
        </w:rPr>
        <w:t>Table 5 To</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Purchase Agreement No. PA-03219</w:t>
      </w:r>
    </w:p>
    <w:p>
      <w:pPr>
        <w:spacing w:after="0" w:line="30"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787-9 [*CTR], Aircraft Delivery, Description, Price and Advance Payments</w:t>
      </w:r>
    </w:p>
    <w:p>
      <w:pPr>
        <w:sectPr>
          <w:pgSz w:w="11900" w:h="16838" w:orient="portrait"/>
          <w:cols w:equalWidth="0" w:num="1">
            <w:col w:w="11180"/>
          </w:cols>
          <w:pgMar w:left="240" w:top="1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1420" w:type="dxa"/>
            <w:vAlign w:val="bottom"/>
          </w:tcPr>
          <w:p>
            <w:pPr>
              <w:spacing w:after="0"/>
              <w:rPr>
                <w:sz w:val="20"/>
                <w:szCs w:val="20"/>
                <w:color w:val="auto"/>
              </w:rPr>
            </w:pPr>
            <w:r>
              <w:rPr>
                <w:rFonts w:ascii="Arial" w:cs="Arial" w:eastAsia="Arial" w:hAnsi="Arial"/>
                <w:sz w:val="16"/>
                <w:szCs w:val="16"/>
                <w:b w:val="1"/>
                <w:bCs w:val="1"/>
                <w:color w:val="auto"/>
              </w:rPr>
              <w:t>Airframe</w:t>
            </w:r>
          </w:p>
        </w:tc>
        <w:tc>
          <w:tcPr>
            <w:tcW w:w="1000" w:type="dxa"/>
            <w:vAlign w:val="bottom"/>
            <w:vMerge w:val="restart"/>
          </w:tcPr>
          <w:p>
            <w:pPr>
              <w:ind w:left="460"/>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109"/>
        </w:trPr>
        <w:tc>
          <w:tcPr>
            <w:tcW w:w="1420" w:type="dxa"/>
            <w:vAlign w:val="bottom"/>
            <w:vMerge w:val="restart"/>
          </w:tcPr>
          <w:p>
            <w:pPr>
              <w:spacing w:after="0"/>
              <w:rPr>
                <w:sz w:val="20"/>
                <w:szCs w:val="20"/>
                <w:color w:val="auto"/>
              </w:rPr>
            </w:pPr>
            <w:r>
              <w:rPr>
                <w:rFonts w:ascii="Arial" w:cs="Arial" w:eastAsia="Arial" w:hAnsi="Arial"/>
                <w:sz w:val="16"/>
                <w:szCs w:val="16"/>
                <w:b w:val="1"/>
                <w:bCs w:val="1"/>
                <w:color w:val="auto"/>
              </w:rPr>
              <w:t>Model/MTOW:</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Engine</w:t>
            </w:r>
          </w:p>
        </w:tc>
        <w:tc>
          <w:tcPr>
            <w:tcW w:w="1000" w:type="dxa"/>
            <w:vAlign w:val="bottom"/>
          </w:tcPr>
          <w:p>
            <w:pPr>
              <w:ind w:left="460"/>
              <w:spacing w:after="0"/>
              <w:rPr>
                <w:sz w:val="20"/>
                <w:szCs w:val="20"/>
                <w:color w:val="auto"/>
              </w:rPr>
            </w:pPr>
            <w:r>
              <w:rPr>
                <w:rFonts w:ascii="Arial" w:cs="Arial" w:eastAsia="Arial" w:hAnsi="Arial"/>
                <w:sz w:val="16"/>
                <w:szCs w:val="16"/>
                <w:color w:val="auto"/>
              </w:rPr>
              <w:t>GENX-</w:t>
            </w: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Model/Thrust:</w:t>
            </w:r>
          </w:p>
        </w:tc>
        <w:tc>
          <w:tcPr>
            <w:tcW w:w="1000" w:type="dxa"/>
            <w:vAlign w:val="bottom"/>
          </w:tcPr>
          <w:p>
            <w:pPr>
              <w:ind w:left="460"/>
              <w:spacing w:after="0"/>
              <w:rPr>
                <w:sz w:val="20"/>
                <w:szCs w:val="20"/>
                <w:color w:val="auto"/>
              </w:rPr>
            </w:pPr>
            <w:r>
              <w:rPr>
                <w:rFonts w:ascii="Arial" w:cs="Arial" w:eastAsia="Arial" w:hAnsi="Arial"/>
                <w:sz w:val="16"/>
                <w:szCs w:val="16"/>
                <w:color w:val="auto"/>
                <w:w w:val="87"/>
              </w:rPr>
              <w:t>1B74/75</w:t>
            </w:r>
          </w:p>
        </w:tc>
        <w:tc>
          <w:tcPr>
            <w:tcW w:w="0" w:type="dxa"/>
            <w:vAlign w:val="bottom"/>
          </w:tcPr>
          <w:p>
            <w:pPr>
              <w:spacing w:after="0"/>
              <w:rPr>
                <w:sz w:val="1"/>
                <w:szCs w:val="1"/>
                <w:color w:val="auto"/>
              </w:rPr>
            </w:pPr>
          </w:p>
        </w:tc>
      </w:tr>
      <w:tr>
        <w:trPr>
          <w:trHeight w:val="328"/>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Airframe Price: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w w:val="96"/>
              </w:rPr>
              <w:t>Optional Features: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Sub-Total of</w:t>
            </w:r>
          </w:p>
        </w:tc>
        <w:tc>
          <w:tcPr>
            <w:tcW w:w="10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Features:</w:t>
            </w:r>
          </w:p>
        </w:tc>
        <w:tc>
          <w:tcPr>
            <w:tcW w:w="0" w:type="dxa"/>
            <w:vAlign w:val="bottom"/>
          </w:tcPr>
          <w:p>
            <w:pPr>
              <w:spacing w:after="0"/>
              <w:rPr>
                <w:sz w:val="1"/>
                <w:szCs w:val="1"/>
                <w:color w:val="auto"/>
              </w:rPr>
            </w:pPr>
          </w:p>
        </w:tc>
      </w:tr>
      <w:tr>
        <w:trPr>
          <w:trHeight w:val="109"/>
        </w:trPr>
        <w:tc>
          <w:tcPr>
            <w:tcW w:w="1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Airframe and</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Engine Price (Per</w:t>
            </w:r>
          </w:p>
        </w:tc>
        <w:tc>
          <w:tcPr>
            <w:tcW w:w="10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9"/>
        </w:trPr>
        <w:tc>
          <w:tcPr>
            <w:tcW w:w="1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Aircraft)</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Aircraft Basic Price (Excluding</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BFE/SPE):</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Buyer Furnished Equipment (BFE)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Estimate:</w:t>
      </w:r>
    </w:p>
    <w:p>
      <w:pPr>
        <w:spacing w:after="0" w:line="34" w:lineRule="exact"/>
        <w:rPr>
          <w:sz w:val="20"/>
          <w:szCs w:val="20"/>
          <w:color w:val="auto"/>
        </w:rPr>
      </w:pPr>
    </w:p>
    <w:p>
      <w:pPr>
        <w:ind w:left="420"/>
        <w:spacing w:after="0" w:line="268" w:lineRule="auto"/>
        <w:rPr>
          <w:sz w:val="20"/>
          <w:szCs w:val="20"/>
          <w:color w:val="auto"/>
        </w:rPr>
      </w:pPr>
      <w:r>
        <w:rPr>
          <w:rFonts w:ascii="Arial" w:cs="Arial" w:eastAsia="Arial" w:hAnsi="Arial"/>
          <w:sz w:val="16"/>
          <w:szCs w:val="16"/>
          <w:b w:val="1"/>
          <w:bCs w:val="1"/>
          <w:color w:val="auto"/>
        </w:rPr>
        <w:t>//Seller Purchased Equipment (SPE)/In-Flight Ent</w:t>
      </w:r>
    </w:p>
    <w:p>
      <w:pPr>
        <w:spacing w:after="0" w:line="10" w:lineRule="exact"/>
        <w:rPr>
          <w:sz w:val="20"/>
          <w:szCs w:val="20"/>
          <w:color w:val="auto"/>
        </w:rPr>
      </w:pPr>
    </w:p>
    <w:p>
      <w:pPr>
        <w:ind w:left="440" w:right="540"/>
        <w:spacing w:after="0" w:line="268" w:lineRule="auto"/>
        <w:rPr>
          <w:sz w:val="20"/>
          <w:szCs w:val="20"/>
          <w:color w:val="auto"/>
        </w:rPr>
      </w:pPr>
      <w:r>
        <w:rPr>
          <w:rFonts w:ascii="Arial" w:cs="Arial" w:eastAsia="Arial" w:hAnsi="Arial"/>
          <w:sz w:val="16"/>
          <w:szCs w:val="16"/>
          <w:b w:val="1"/>
          <w:bCs w:val="1"/>
          <w:color w:val="auto"/>
        </w:rPr>
        <w:t>LIFT Seats Provided by Boeing (Estimate):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Deposit per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Detail Specification:</w:t>
            </w: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[*CTR]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pounds</w:t>
            </w:r>
          </w:p>
        </w:tc>
        <w:tc>
          <w:tcPr>
            <w:tcW w:w="39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w w:val="95"/>
              </w:rPr>
              <w:t>Airframe Price Base Year/Escalation</w:t>
            </w: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[*CTR]</w:t>
            </w:r>
          </w:p>
        </w:tc>
        <w:tc>
          <w:tcPr>
            <w:tcW w:w="1160" w:type="dxa"/>
            <w:vAlign w:val="bottom"/>
            <w:vMerge w:val="restart"/>
          </w:tcPr>
          <w:p>
            <w:pPr>
              <w:ind w:left="680"/>
              <w:spacing w:after="0"/>
              <w:rPr>
                <w:sz w:val="20"/>
                <w:szCs w:val="20"/>
                <w:color w:val="auto"/>
              </w:rPr>
            </w:pPr>
            <w:r>
              <w:rPr>
                <w:rFonts w:ascii="Arial" w:cs="Arial" w:eastAsia="Arial" w:hAnsi="Arial"/>
                <w:sz w:val="16"/>
                <w:szCs w:val="16"/>
                <w:color w:val="auto"/>
                <w:w w:val="95"/>
              </w:rPr>
              <w:t>[*CTR]</w:t>
            </w: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pounds</w:t>
            </w:r>
          </w:p>
        </w:tc>
        <w:tc>
          <w:tcPr>
            <w:tcW w:w="394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Formula:</w:t>
            </w:r>
          </w:p>
        </w:tc>
        <w:tc>
          <w:tcPr>
            <w:tcW w:w="7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39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w w:val="99"/>
              </w:rPr>
              <w:t>Engine Price Base Year/Escalation</w:t>
            </w: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[*CTR]</w:t>
            </w:r>
          </w:p>
        </w:tc>
        <w:tc>
          <w:tcPr>
            <w:tcW w:w="1160" w:type="dxa"/>
            <w:vAlign w:val="bottom"/>
            <w:vMerge w:val="restart"/>
          </w:tcPr>
          <w:p>
            <w:pPr>
              <w:ind w:left="6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94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Formula:</w:t>
            </w:r>
          </w:p>
        </w:tc>
        <w:tc>
          <w:tcPr>
            <w:tcW w:w="7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$[*CTR]</w:t>
            </w:r>
          </w:p>
        </w:tc>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rPr>
              <w:t>Airframe Escalation Data:</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rPr>
              <w:t>Base Year Index (ECI):</w:t>
            </w:r>
          </w:p>
        </w:tc>
        <w:tc>
          <w:tcPr>
            <w:tcW w:w="76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410"/>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rPr>
              <w:t>Base Year Index (CPI):</w:t>
            </w:r>
          </w:p>
        </w:tc>
        <w:tc>
          <w:tcPr>
            <w:tcW w:w="76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09"/>
        </w:trPr>
        <w:tc>
          <w:tcPr>
            <w:tcW w:w="200" w:type="dxa"/>
            <w:vAlign w:val="bottom"/>
            <w:tcBorders>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94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Engine Escalation Data:</w:t>
            </w: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rPr>
              <w:t>Base Year Index (ECI):</w:t>
            </w:r>
          </w:p>
        </w:tc>
        <w:tc>
          <w:tcPr>
            <w:tcW w:w="76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421"/>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ind w:left="1300"/>
              <w:spacing w:after="0"/>
              <w:rPr>
                <w:sz w:val="20"/>
                <w:szCs w:val="20"/>
                <w:color w:val="auto"/>
              </w:rPr>
            </w:pPr>
            <w:r>
              <w:rPr>
                <w:rFonts w:ascii="Arial" w:cs="Arial" w:eastAsia="Arial" w:hAnsi="Arial"/>
                <w:sz w:val="16"/>
                <w:szCs w:val="16"/>
                <w:b w:val="1"/>
                <w:bCs w:val="1"/>
                <w:color w:val="auto"/>
              </w:rPr>
              <w:t>Base Year Index (CPI):</w:t>
            </w:r>
          </w:p>
        </w:tc>
        <w:tc>
          <w:tcPr>
            <w:tcW w:w="76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28"/>
        </w:trPr>
        <w:tc>
          <w:tcPr>
            <w:tcW w:w="2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3080" w:space="100"/>
            <w:col w:w="8000"/>
          </w:cols>
          <w:pgMar w:left="240" w:top="155" w:right="47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280" w:type="dxa"/>
            <w:vAlign w:val="bottom"/>
            <w:tcBorders>
              <w:right w:val="single" w:sz="8" w:color="auto"/>
            </w:tcBorders>
          </w:tcPr>
          <w:p>
            <w:pPr>
              <w:spacing w:after="0"/>
              <w:rPr>
                <w:sz w:val="18"/>
                <w:szCs w:val="18"/>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9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tcBorders>
            <w:vMerge w:val="restart"/>
          </w:tcPr>
          <w:p>
            <w:pPr>
              <w:jc w:val="center"/>
              <w:ind w:left="42"/>
              <w:spacing w:after="0"/>
              <w:rPr>
                <w:sz w:val="20"/>
                <w:szCs w:val="20"/>
                <w:color w:val="auto"/>
              </w:rPr>
            </w:pPr>
            <w:r>
              <w:rPr>
                <w:rFonts w:ascii="Arial" w:cs="Arial" w:eastAsia="Arial" w:hAnsi="Arial"/>
                <w:sz w:val="16"/>
                <w:szCs w:val="16"/>
                <w:b w:val="1"/>
                <w:bCs w:val="1"/>
                <w:color w:val="auto"/>
                <w:w w:val="87"/>
              </w:rPr>
              <w:t>Escalation</w:t>
            </w:r>
          </w:p>
        </w:tc>
        <w:tc>
          <w:tcPr>
            <w:tcW w:w="16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4"/>
              </w:rPr>
              <w:t>Escalation</w:t>
            </w:r>
          </w:p>
        </w:tc>
        <w:tc>
          <w:tcPr>
            <w:tcW w:w="1080" w:type="dxa"/>
            <w:vAlign w:val="bottom"/>
            <w:tcBorders>
              <w:top w:val="single" w:sz="8" w:color="auto"/>
              <w:right w:val="single" w:sz="8" w:color="auto"/>
            </w:tcBorders>
            <w:shd w:val="clear" w:color="auto" w:fill="C1C1C1"/>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2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020" w:type="dxa"/>
            <w:vAlign w:val="bottom"/>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108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Estimate Adv</w:t>
            </w: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Delivery</w:t>
            </w:r>
          </w:p>
        </w:tc>
        <w:tc>
          <w:tcPr>
            <w:tcW w:w="960" w:type="dxa"/>
            <w:vAlign w:val="bottom"/>
            <w:tcBorders>
              <w:right w:val="single" w:sz="8" w:color="auto"/>
            </w:tcBorders>
            <w:vMerge w:val="continue"/>
          </w:tcPr>
          <w:p>
            <w:pPr>
              <w:spacing w:after="0"/>
              <w:rPr>
                <w:sz w:val="8"/>
                <w:szCs w:val="8"/>
                <w:color w:val="auto"/>
              </w:rPr>
            </w:pPr>
          </w:p>
        </w:tc>
        <w:tc>
          <w:tcPr>
            <w:tcW w:w="1020" w:type="dxa"/>
            <w:vAlign w:val="bottom"/>
            <w:vMerge w:val="restart"/>
          </w:tcPr>
          <w:p>
            <w:pPr>
              <w:jc w:val="center"/>
              <w:ind w:left="22"/>
              <w:spacing w:after="0"/>
              <w:rPr>
                <w:sz w:val="20"/>
                <w:szCs w:val="20"/>
                <w:color w:val="auto"/>
              </w:rPr>
            </w:pPr>
            <w:r>
              <w:rPr>
                <w:rFonts w:ascii="Arial" w:cs="Arial" w:eastAsia="Arial" w:hAnsi="Arial"/>
                <w:sz w:val="16"/>
                <w:szCs w:val="16"/>
                <w:b w:val="1"/>
                <w:bCs w:val="1"/>
                <w:color w:val="auto"/>
                <w:w w:val="89"/>
              </w:rPr>
              <w:t>Factor</w:t>
            </w:r>
          </w:p>
        </w:tc>
        <w:tc>
          <w:tcPr>
            <w:tcW w:w="1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108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At Signing</w:t>
            </w:r>
          </w:p>
        </w:tc>
        <w:tc>
          <w:tcPr>
            <w:tcW w:w="86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2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Aircraft</w:t>
            </w:r>
          </w:p>
        </w:tc>
        <w:tc>
          <w:tcPr>
            <w:tcW w:w="102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Month*</w:t>
            </w:r>
          </w:p>
        </w:tc>
        <w:tc>
          <w:tcPr>
            <w:tcW w:w="960" w:type="dxa"/>
            <w:vAlign w:val="bottom"/>
            <w:tcBorders>
              <w:right w:val="single" w:sz="8" w:color="auto"/>
            </w:tcBorders>
            <w:vMerge w:val="continue"/>
          </w:tcPr>
          <w:p>
            <w:pPr>
              <w:spacing w:after="0"/>
              <w:rPr>
                <w:sz w:val="9"/>
                <w:szCs w:val="9"/>
                <w:color w:val="auto"/>
              </w:rPr>
            </w:pPr>
          </w:p>
        </w:tc>
        <w:tc>
          <w:tcPr>
            <w:tcW w:w="1020" w:type="dxa"/>
            <w:vAlign w:val="bottom"/>
            <w:vMerge w:val="restart"/>
          </w:tcPr>
          <w:p>
            <w:pPr>
              <w:jc w:val="center"/>
              <w:ind w:left="22"/>
              <w:spacing w:after="0"/>
              <w:rPr>
                <w:sz w:val="20"/>
                <w:szCs w:val="20"/>
                <w:color w:val="auto"/>
              </w:rPr>
            </w:pPr>
            <w:r>
              <w:rPr>
                <w:rFonts w:ascii="Arial" w:cs="Arial" w:eastAsia="Arial" w:hAnsi="Arial"/>
                <w:sz w:val="16"/>
                <w:szCs w:val="16"/>
                <w:b w:val="1"/>
                <w:bCs w:val="1"/>
                <w:color w:val="auto"/>
                <w:w w:val="94"/>
              </w:rPr>
              <w:t>(Airframe)</w:t>
            </w:r>
          </w:p>
        </w:tc>
        <w:tc>
          <w:tcPr>
            <w:tcW w:w="1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(Engine)</w:t>
            </w:r>
          </w:p>
        </w:tc>
        <w:tc>
          <w:tcPr>
            <w:tcW w:w="1080" w:type="dxa"/>
            <w:vAlign w:val="bottom"/>
            <w:tcBorders>
              <w:right w:val="single" w:sz="8" w:color="auto"/>
            </w:tcBorders>
            <w:shd w:val="clear" w:color="auto" w:fill="C1C1C1"/>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80" w:type="dxa"/>
            <w:vAlign w:val="bottom"/>
            <w:tcBorders>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vMerge w:val="continue"/>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080" w:type="dxa"/>
            <w:vAlign w:val="bottom"/>
            <w:tcBorders>
              <w:bottom w:val="single" w:sz="8" w:color="auto"/>
              <w:right w:val="single" w:sz="8" w:color="auto"/>
            </w:tcBorders>
            <w:shd w:val="clear" w:color="auto" w:fill="C1C1C1"/>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2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bottom w:val="single" w:sz="8" w:color="C1C1C1"/>
              <w:right w:val="single" w:sz="8" w:color="auto"/>
            </w:tcBorders>
            <w:shd w:val="clear" w:color="auto" w:fill="C1C1C1"/>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6"/>
        </w:trPr>
        <w:tc>
          <w:tcPr>
            <w:tcW w:w="280" w:type="dxa"/>
            <w:vAlign w:val="bottom"/>
            <w:tcBorders>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20" w:type="dxa"/>
            <w:vAlign w:val="bottom"/>
            <w:tcBorders>
              <w:top w:val="single" w:sz="8" w:color="auto"/>
            </w:tcBorders>
          </w:tcPr>
          <w:p>
            <w:pPr>
              <w:jc w:val="center"/>
              <w:ind w:left="22"/>
              <w:spacing w:after="0"/>
              <w:rPr>
                <w:sz w:val="20"/>
                <w:szCs w:val="20"/>
                <w:color w:val="auto"/>
              </w:rPr>
            </w:pPr>
            <w:r>
              <w:rPr>
                <w:rFonts w:ascii="Arial" w:cs="Arial" w:eastAsia="Arial" w:hAnsi="Arial"/>
                <w:sz w:val="16"/>
                <w:szCs w:val="16"/>
                <w:color w:val="auto"/>
                <w:w w:val="99"/>
              </w:rPr>
              <w:t>[*CTR]</w:t>
            </w:r>
          </w:p>
        </w:tc>
        <w:tc>
          <w:tcPr>
            <w:tcW w:w="16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7"/>
                <w:szCs w:val="17"/>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2160" w:type="dxa"/>
            <w:vAlign w:val="bottom"/>
            <w:gridSpan w:val="3"/>
          </w:tcPr>
          <w:p>
            <w:pPr>
              <w:spacing w:after="0"/>
              <w:rPr>
                <w:sz w:val="20"/>
                <w:szCs w:val="20"/>
                <w:color w:val="auto"/>
              </w:rPr>
            </w:pPr>
            <w:r>
              <w:rPr>
                <w:rFonts w:ascii="Arial" w:cs="Arial" w:eastAsia="Arial" w:hAnsi="Arial"/>
                <w:sz w:val="16"/>
                <w:szCs w:val="16"/>
                <w:color w:val="auto"/>
              </w:rPr>
              <w:t>AL-PA-03219 108759-1F.txt</w:t>
            </w:r>
          </w:p>
        </w:tc>
        <w:tc>
          <w:tcPr>
            <w:tcW w:w="1020" w:type="dxa"/>
            <w:vAlign w:val="bottom"/>
          </w:tcPr>
          <w:p>
            <w:pPr>
              <w:spacing w:after="0"/>
              <w:rPr>
                <w:sz w:val="24"/>
                <w:szCs w:val="24"/>
                <w:color w:val="auto"/>
              </w:rPr>
            </w:pPr>
          </w:p>
        </w:tc>
        <w:tc>
          <w:tcPr>
            <w:tcW w:w="2200" w:type="dxa"/>
            <w:vAlign w:val="bottom"/>
            <w:gridSpan w:val="3"/>
          </w:tcPr>
          <w:p>
            <w:pPr>
              <w:jc w:val="center"/>
              <w:ind w:right="960"/>
              <w:spacing w:after="0"/>
              <w:rPr>
                <w:sz w:val="20"/>
                <w:szCs w:val="20"/>
                <w:color w:val="auto"/>
              </w:rPr>
            </w:pPr>
            <w:r>
              <w:rPr>
                <w:rFonts w:ascii="Arial" w:cs="Arial" w:eastAsia="Arial" w:hAnsi="Arial"/>
                <w:sz w:val="17"/>
                <w:szCs w:val="17"/>
                <w:color w:val="auto"/>
                <w:w w:val="91"/>
              </w:rPr>
              <w:t>SA-11, Table 5</w:t>
            </w:r>
          </w:p>
        </w:tc>
        <w:tc>
          <w:tcPr>
            <w:tcW w:w="2140" w:type="dxa"/>
            <w:vAlign w:val="bottom"/>
            <w:gridSpan w:val="2"/>
            <w:vMerge w:val="restart"/>
          </w:tcPr>
          <w:p>
            <w:pPr>
              <w:ind w:left="220"/>
              <w:spacing w:after="0"/>
              <w:rPr>
                <w:sz w:val="20"/>
                <w:szCs w:val="20"/>
                <w:color w:val="auto"/>
              </w:rPr>
            </w:pPr>
            <w:r>
              <w:rPr>
                <w:rFonts w:ascii="Arial" w:cs="Arial" w:eastAsia="Arial" w:hAnsi="Arial"/>
                <w:sz w:val="19"/>
                <w:szCs w:val="19"/>
                <w:b w:val="1"/>
                <w:bCs w:val="1"/>
                <w:color w:val="auto"/>
              </w:rPr>
              <w:t>Boeing Proprietary</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ind w:left="80"/>
              <w:spacing w:after="0"/>
              <w:rPr>
                <w:sz w:val="20"/>
                <w:szCs w:val="20"/>
                <w:color w:val="auto"/>
              </w:rPr>
            </w:pPr>
            <w:r>
              <w:rPr>
                <w:rFonts w:ascii="Arial" w:cs="Arial" w:eastAsia="Arial" w:hAnsi="Arial"/>
                <w:sz w:val="16"/>
                <w:szCs w:val="16"/>
                <w:color w:val="auto"/>
              </w:rPr>
              <w:t>Page 1</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80"/>
          </w:cols>
          <w:pgMar w:left="240" w:top="155" w:right="479" w:bottom="1440" w:gutter="0" w:footer="0" w:header="0"/>
          <w:type w:val="continuous"/>
        </w:sectPr>
      </w:pPr>
    </w:p>
    <w:bookmarkStart w:id="116" w:name="page117"/>
    <w:bookmarkEnd w:id="116"/>
    <w:p>
      <w:pPr>
        <w:ind w:left="5240"/>
        <w:spacing w:after="0"/>
        <w:rPr>
          <w:sz w:val="20"/>
          <w:szCs w:val="20"/>
          <w:color w:val="auto"/>
        </w:rPr>
      </w:pPr>
      <w:r>
        <w:rPr>
          <w:rFonts w:ascii="Arial" w:cs="Arial" w:eastAsia="Arial" w:hAnsi="Arial"/>
          <w:sz w:val="22"/>
          <w:szCs w:val="22"/>
          <w:b w:val="1"/>
          <w:bCs w:val="1"/>
          <w:color w:val="auto"/>
        </w:rPr>
        <w:t>Table 5 To</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Purchase Agreement No. PA-03219</w:t>
      </w:r>
    </w:p>
    <w:p>
      <w:pPr>
        <w:spacing w:after="0" w:line="30"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787-9 [*CTR],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70" w:type="dxa"/>
        <w:tblCellMar>
          <w:top w:w="0" w:type="dxa"/>
          <w:left w:w="0" w:type="dxa"/>
          <w:bottom w:w="0" w:type="dxa"/>
          <w:right w:w="0" w:type="dxa"/>
        </w:tblCellMar>
      </w:tblPr>
      <w:tr>
        <w:trPr>
          <w:trHeight w:val="217"/>
        </w:trPr>
        <w:tc>
          <w:tcPr>
            <w:tcW w:w="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1020" w:type="dxa"/>
            <w:vAlign w:val="bottom"/>
            <w:tcBorders>
              <w:top w:val="single" w:sz="8" w:color="auto"/>
              <w:right w:val="single" w:sz="8" w:color="auto"/>
            </w:tcBorders>
            <w:shd w:val="clear" w:color="auto" w:fill="C1C1C1"/>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Escalation</w:t>
            </w:r>
          </w:p>
        </w:tc>
        <w:tc>
          <w:tcPr>
            <w:tcW w:w="446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Advance Payment Per Aircraft (Amts. Due/Mos. Prior to</w:t>
            </w:r>
          </w:p>
        </w:tc>
        <w:tc>
          <w:tcPr>
            <w:tcW w:w="0" w:type="dxa"/>
            <w:vAlign w:val="bottom"/>
          </w:tcPr>
          <w:p>
            <w:pPr>
              <w:spacing w:after="0"/>
              <w:rPr>
                <w:sz w:val="1"/>
                <w:szCs w:val="1"/>
                <w:color w:val="auto"/>
              </w:rPr>
            </w:pPr>
          </w:p>
        </w:tc>
      </w:tr>
      <w:tr>
        <w:trPr>
          <w:trHeight w:val="117"/>
        </w:trPr>
        <w:tc>
          <w:tcPr>
            <w:tcW w:w="960" w:type="dxa"/>
            <w:vAlign w:val="bottom"/>
            <w:tcBorders>
              <w:left w:val="single" w:sz="8" w:color="auto"/>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vMerge w:val="restart"/>
          </w:tcPr>
          <w:p>
            <w:pPr>
              <w:jc w:val="center"/>
              <w:ind w:right="24"/>
              <w:spacing w:after="0"/>
              <w:rPr>
                <w:sz w:val="20"/>
                <w:szCs w:val="20"/>
                <w:color w:val="auto"/>
              </w:rPr>
            </w:pPr>
            <w:r>
              <w:rPr>
                <w:rFonts w:ascii="Arial" w:cs="Arial" w:eastAsia="Arial" w:hAnsi="Arial"/>
                <w:sz w:val="16"/>
                <w:szCs w:val="16"/>
                <w:b w:val="1"/>
                <w:bCs w:val="1"/>
                <w:color w:val="auto"/>
                <w:w w:val="89"/>
              </w:rPr>
              <w:t>Number of</w:t>
            </w:r>
          </w:p>
        </w:tc>
        <w:tc>
          <w:tcPr>
            <w:tcW w:w="11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shd w:val="clear" w:color="auto" w:fill="C1C1C1"/>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restart"/>
          </w:tcPr>
          <w:p>
            <w:pPr>
              <w:jc w:val="center"/>
              <w:ind w:right="202"/>
              <w:spacing w:after="0"/>
              <w:rPr>
                <w:sz w:val="20"/>
                <w:szCs w:val="20"/>
                <w:color w:val="auto"/>
              </w:rPr>
            </w:pPr>
            <w:r>
              <w:rPr>
                <w:rFonts w:ascii="Arial" w:cs="Arial" w:eastAsia="Arial" w:hAnsi="Arial"/>
                <w:sz w:val="16"/>
                <w:szCs w:val="16"/>
                <w:b w:val="1"/>
                <w:bCs w:val="1"/>
                <w:color w:val="auto"/>
                <w:w w:val="90"/>
              </w:rPr>
              <w:t>Delivery):</w:t>
            </w: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6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Delivery</w:t>
            </w:r>
          </w:p>
        </w:tc>
        <w:tc>
          <w:tcPr>
            <w:tcW w:w="60" w:type="dxa"/>
            <w:vAlign w:val="bottom"/>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3"/>
              </w:rPr>
              <w:t>Factor</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Factor</w:t>
            </w:r>
          </w:p>
        </w:tc>
        <w:tc>
          <w:tcPr>
            <w:tcW w:w="1020" w:type="dxa"/>
            <w:vAlign w:val="bottom"/>
            <w:tcBorders>
              <w:bottom w:val="single" w:sz="8" w:color="C1C1C1"/>
              <w:right w:val="single" w:sz="8" w:color="auto"/>
            </w:tcBorders>
            <w:shd w:val="clear" w:color="auto" w:fill="C1C1C1"/>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Month*</w:t>
            </w:r>
          </w:p>
        </w:tc>
        <w:tc>
          <w:tcPr>
            <w:tcW w:w="60" w:type="dxa"/>
            <w:vAlign w:val="bottom"/>
          </w:tcPr>
          <w:p>
            <w:pPr>
              <w:spacing w:after="0"/>
              <w:rPr>
                <w:sz w:val="8"/>
                <w:szCs w:val="8"/>
                <w:color w:val="auto"/>
              </w:rPr>
            </w:pPr>
          </w:p>
        </w:tc>
        <w:tc>
          <w:tcPr>
            <w:tcW w:w="860" w:type="dxa"/>
            <w:vAlign w:val="bottom"/>
            <w:tcBorders>
              <w:right w:val="single" w:sz="8" w:color="auto"/>
            </w:tcBorders>
          </w:tcPr>
          <w:p>
            <w:pPr>
              <w:jc w:val="center"/>
              <w:ind w:right="24"/>
              <w:spacing w:after="0" w:line="99" w:lineRule="exact"/>
              <w:rPr>
                <w:sz w:val="20"/>
                <w:szCs w:val="20"/>
                <w:color w:val="auto"/>
              </w:rPr>
            </w:pPr>
            <w:r>
              <w:rPr>
                <w:rFonts w:ascii="Arial" w:cs="Arial" w:eastAsia="Arial" w:hAnsi="Arial"/>
                <w:sz w:val="11"/>
                <w:szCs w:val="11"/>
                <w:b w:val="1"/>
                <w:bCs w:val="1"/>
                <w:color w:val="auto"/>
              </w:rPr>
              <w:t>Aircraft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(Airframe)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(Engine)</w:t>
            </w:r>
          </w:p>
        </w:tc>
        <w:tc>
          <w:tcPr>
            <w:tcW w:w="1020" w:type="dxa"/>
            <w:vAlign w:val="bottom"/>
            <w:tcBorders>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5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96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shd w:val="clear" w:color="auto" w:fill="C1C1C1"/>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8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118"/>
        </w:trPr>
        <w:tc>
          <w:tcPr>
            <w:tcW w:w="96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20" w:type="dxa"/>
            <w:vAlign w:val="bottom"/>
            <w:tcBorders>
              <w:bottom w:val="single" w:sz="8" w:color="C1C1C1"/>
              <w:right w:val="single" w:sz="8" w:color="auto"/>
            </w:tcBorders>
            <w:shd w:val="clear" w:color="auto" w:fill="C1C1C1"/>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[*CTR]-2026</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[*CTR]-2026</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[*CTR]-2026</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[*CTR]-2026</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[*CTR]-2026</w:t>
            </w: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72"/>
        </w:trPr>
        <w:tc>
          <w:tcPr>
            <w:tcW w:w="1020" w:type="dxa"/>
            <w:vAlign w:val="bottom"/>
            <w:tcBorders>
              <w:top w:val="single" w:sz="8" w:color="auto"/>
            </w:tcBorders>
            <w:gridSpan w:val="2"/>
          </w:tcPr>
          <w:p>
            <w:pPr>
              <w:ind w:left="320"/>
              <w:spacing w:after="0"/>
              <w:rPr>
                <w:sz w:val="20"/>
                <w:szCs w:val="20"/>
                <w:color w:val="auto"/>
              </w:rPr>
            </w:pPr>
            <w:r>
              <w:rPr>
                <w:rFonts w:ascii="Arial" w:cs="Arial" w:eastAsia="Arial" w:hAnsi="Arial"/>
                <w:sz w:val="16"/>
                <w:szCs w:val="16"/>
                <w:color w:val="auto"/>
              </w:rPr>
              <w:t>Total:  25</w:t>
            </w:r>
          </w:p>
        </w:tc>
        <w:tc>
          <w:tcPr>
            <w:tcW w:w="8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 The Advance Payment Base Price includes the [*CTR].</w:t>
      </w:r>
    </w:p>
    <w:p>
      <w:pPr>
        <w:spacing w:after="0" w:line="27"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Per Section 5.3 of SA-11, this will be [*CTR] for the 2018 787-9 [*CTR] Aircraft. Upon final configuration of the 2018 787-9 [*CTR] Aircraft, the Advance Payment Base Price will be [*CTR] for the Aircraft.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 Please see section 2.1.2, 2.1.3, and 2.1.4 of SA-11, Basic Articles for details on the "Nominal Delivery Month."</w:t>
      </w:r>
    </w:p>
    <w:p>
      <w:pPr>
        <w:spacing w:after="0" w:line="387" w:lineRule="exact"/>
        <w:rPr>
          <w:sz w:val="20"/>
          <w:szCs w:val="20"/>
          <w:color w:val="auto"/>
        </w:rPr>
      </w:pPr>
    </w:p>
    <w:p>
      <w:pPr>
        <w:spacing w:after="0"/>
        <w:tabs>
          <w:tab w:leader="none" w:pos="3260" w:val="left"/>
        </w:tabs>
        <w:rPr>
          <w:sz w:val="20"/>
          <w:szCs w:val="20"/>
          <w:color w:val="auto"/>
        </w:rPr>
      </w:pPr>
      <w:r>
        <w:rPr>
          <w:rFonts w:ascii="Arial" w:cs="Arial" w:eastAsia="Arial" w:hAnsi="Arial"/>
          <w:sz w:val="16"/>
          <w:szCs w:val="16"/>
          <w:color w:val="auto"/>
        </w:rPr>
        <w:t>AL-PA-03219 108759-1F.txt</w:t>
      </w:r>
      <w:r>
        <w:rPr>
          <w:sz w:val="20"/>
          <w:szCs w:val="20"/>
          <w:color w:val="auto"/>
        </w:rPr>
        <w:tab/>
      </w:r>
      <w:r>
        <w:rPr>
          <w:rFonts w:ascii="Arial" w:cs="Arial" w:eastAsia="Arial" w:hAnsi="Arial"/>
          <w:sz w:val="15"/>
          <w:szCs w:val="15"/>
          <w:color w:val="auto"/>
        </w:rPr>
        <w:t>SA-11, Table 5</w:t>
      </w:r>
    </w:p>
    <w:p>
      <w:pPr>
        <w:spacing w:after="0" w:line="33" w:lineRule="exact"/>
        <w:rPr>
          <w:sz w:val="20"/>
          <w:szCs w:val="20"/>
          <w:color w:val="auto"/>
        </w:rPr>
      </w:pPr>
    </w:p>
    <w:p>
      <w:pPr>
        <w:ind w:left="5600"/>
        <w:spacing w:after="0"/>
        <w:tabs>
          <w:tab w:leader="none" w:pos="8440" w:val="left"/>
        </w:tabs>
        <w:rPr>
          <w:sz w:val="20"/>
          <w:szCs w:val="20"/>
          <w:color w:val="auto"/>
        </w:rPr>
      </w:pPr>
      <w:r>
        <w:rPr>
          <w:rFonts w:ascii="Arial" w:cs="Arial" w:eastAsia="Arial" w:hAnsi="Arial"/>
          <w:sz w:val="19"/>
          <w:szCs w:val="19"/>
          <w:b w:val="1"/>
          <w:bCs w:val="1"/>
          <w:color w:val="auto"/>
        </w:rPr>
        <w:t>Boeing Proprietary</w:t>
      </w:r>
      <w:r>
        <w:rPr>
          <w:sz w:val="20"/>
          <w:szCs w:val="20"/>
          <w:color w:val="auto"/>
        </w:rPr>
        <w:tab/>
      </w:r>
      <w:r>
        <w:rPr>
          <w:rFonts w:ascii="Arial" w:cs="Arial" w:eastAsia="Arial" w:hAnsi="Arial"/>
          <w:sz w:val="14"/>
          <w:szCs w:val="14"/>
          <w:color w:val="auto"/>
        </w:rPr>
        <w:t>Page 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200"/>
          </w:cols>
          <w:pgMar w:left="240" w:top="155" w:right="459" w:bottom="1440" w:gutter="0" w:footer="0" w:header="0"/>
        </w:sectPr>
      </w:pPr>
    </w:p>
    <w:bookmarkStart w:id="117" w:name="page118"/>
    <w:bookmarkEnd w:id="117"/>
    <w:p>
      <w:pPr>
        <w:jc w:val="center"/>
        <w:ind w:right="-239"/>
        <w:spacing w:after="0"/>
        <w:rPr>
          <w:sz w:val="20"/>
          <w:szCs w:val="20"/>
          <w:color w:val="auto"/>
        </w:rPr>
      </w:pPr>
      <w:r>
        <w:rPr>
          <w:rFonts w:ascii="Arial" w:cs="Arial" w:eastAsia="Arial" w:hAnsi="Arial"/>
          <w:sz w:val="22"/>
          <w:szCs w:val="22"/>
          <w:b w:val="1"/>
          <w:bCs w:val="1"/>
          <w:color w:val="auto"/>
        </w:rPr>
        <w:t>Table 6 To</w:t>
      </w:r>
    </w:p>
    <w:p>
      <w:pPr>
        <w:spacing w:after="0" w:line="3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Purchase Agreement No. PA-03219</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787-8 [*CTR] Aircraft,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Airframe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522"/>
              <w:spacing w:after="0"/>
              <w:rPr>
                <w:sz w:val="20"/>
                <w:szCs w:val="20"/>
                <w:color w:val="auto"/>
              </w:rPr>
            </w:pPr>
            <w:r>
              <w:rPr>
                <w:rFonts w:ascii="Arial" w:cs="Arial" w:eastAsia="Arial" w:hAnsi="Arial"/>
                <w:sz w:val="16"/>
                <w:szCs w:val="16"/>
                <w:color w:val="auto"/>
              </w:rPr>
              <w:t>787-8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Detail Specification:</w:t>
            </w:r>
          </w:p>
        </w:tc>
        <w:tc>
          <w:tcPr>
            <w:tcW w:w="86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Arial" w:cs="Arial" w:eastAsia="Arial" w:hAnsi="Arial"/>
                <w:sz w:val="16"/>
                <w:szCs w:val="16"/>
                <w:color w:val="auto"/>
              </w:rPr>
              <w:t>[*CTR]</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rPr>
              <w:t>Model/MTOW:</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pounds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Engine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GENX-1B70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Airframe Price Base Year/Escalation</w:t>
            </w:r>
          </w:p>
        </w:tc>
        <w:tc>
          <w:tcPr>
            <w:tcW w:w="1200" w:type="dxa"/>
            <w:vAlign w:val="bottom"/>
          </w:tcPr>
          <w:p>
            <w:pPr>
              <w:ind w:left="60"/>
              <w:spacing w:after="0"/>
              <w:rPr>
                <w:sz w:val="20"/>
                <w:szCs w:val="20"/>
                <w:color w:val="auto"/>
              </w:rPr>
            </w:pPr>
            <w:r>
              <w:rPr>
                <w:rFonts w:ascii="Arial" w:cs="Arial" w:eastAsia="Arial" w:hAnsi="Arial"/>
                <w:sz w:val="16"/>
                <w:szCs w:val="16"/>
                <w:color w:val="auto"/>
              </w:rPr>
              <w:t>[*CTR]</w:t>
            </w:r>
          </w:p>
        </w:tc>
        <w:tc>
          <w:tcPr>
            <w:tcW w:w="1600" w:type="dxa"/>
            <w:vAlign w:val="bottom"/>
          </w:tcPr>
          <w:p>
            <w:pPr>
              <w:ind w:left="86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rPr>
              <w:t>Model/Thrust:</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pounds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Formula:</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rPr>
              <w:t>Airframe Price: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Engine Price Base Year/Escalation</w:t>
            </w:r>
          </w:p>
        </w:tc>
        <w:tc>
          <w:tcPr>
            <w:tcW w:w="1200" w:type="dxa"/>
            <w:vAlign w:val="bottom"/>
          </w:tcPr>
          <w:p>
            <w:pPr>
              <w:ind w:left="60"/>
              <w:spacing w:after="0"/>
              <w:rPr>
                <w:sz w:val="20"/>
                <w:szCs w:val="20"/>
                <w:color w:val="auto"/>
              </w:rPr>
            </w:pPr>
            <w:r>
              <w:rPr>
                <w:rFonts w:ascii="Arial" w:cs="Arial" w:eastAsia="Arial" w:hAnsi="Arial"/>
                <w:sz w:val="16"/>
                <w:szCs w:val="16"/>
                <w:color w:val="auto"/>
              </w:rPr>
              <w:t>[*CTR]</w:t>
            </w:r>
          </w:p>
        </w:tc>
        <w:tc>
          <w:tcPr>
            <w:tcW w:w="1600" w:type="dxa"/>
            <w:vAlign w:val="bottom"/>
          </w:tcPr>
          <w:p>
            <w:pPr>
              <w:ind w:left="86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Formula:</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w w:val="97"/>
              </w:rPr>
              <w:t>Optional Features: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Sub-Total of Airframe and Features: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89"/>
              </w:rPr>
              <w:t>Airframe Escalation Data:</w:t>
            </w:r>
          </w:p>
        </w:tc>
        <w:tc>
          <w:tcPr>
            <w:tcW w:w="26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0" w:type="dxa"/>
            <w:vAlign w:val="bottom"/>
          </w:tcPr>
          <w:p>
            <w:pPr>
              <w:spacing w:after="0"/>
              <w:rPr>
                <w:sz w:val="18"/>
                <w:szCs w:val="18"/>
                <w:color w:val="auto"/>
              </w:rPr>
            </w:pPr>
          </w:p>
        </w:tc>
        <w:tc>
          <w:tcPr>
            <w:tcW w:w="29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rPr>
              <w:t>Engine Price (Per</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Base Year Index (ECI):</w:t>
            </w:r>
          </w:p>
        </w:tc>
        <w:tc>
          <w:tcPr>
            <w:tcW w:w="860" w:type="dxa"/>
            <w:vAlign w:val="bottom"/>
          </w:tcPr>
          <w:p>
            <w:pPr>
              <w:spacing w:after="0"/>
              <w:rPr>
                <w:sz w:val="20"/>
                <w:szCs w:val="20"/>
                <w:color w:val="auto"/>
              </w:rPr>
            </w:pPr>
          </w:p>
        </w:tc>
        <w:tc>
          <w:tcPr>
            <w:tcW w:w="1200" w:type="dxa"/>
            <w:vAlign w:val="bottom"/>
          </w:tcPr>
          <w:p>
            <w:pPr>
              <w:ind w:left="580"/>
              <w:spacing w:after="0"/>
              <w:rPr>
                <w:sz w:val="20"/>
                <w:szCs w:val="20"/>
                <w:color w:val="auto"/>
              </w:rPr>
            </w:pPr>
            <w:r>
              <w:rPr>
                <w:rFonts w:ascii="Arial" w:cs="Arial" w:eastAsia="Arial" w:hAnsi="Arial"/>
                <w:sz w:val="16"/>
                <w:szCs w:val="16"/>
                <w:color w:val="auto"/>
              </w:rPr>
              <w:t>[*CTR]</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Aircraft):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Arial" w:cs="Arial" w:eastAsia="Arial" w:hAnsi="Arial"/>
                <w:sz w:val="16"/>
                <w:szCs w:val="16"/>
                <w:b w:val="1"/>
                <w:bCs w:val="1"/>
                <w:color w:val="auto"/>
                <w:w w:val="93"/>
              </w:rPr>
              <w:t>Aircraft Basic Price</w:t>
            </w:r>
          </w:p>
        </w:tc>
        <w:tc>
          <w:tcPr>
            <w:tcW w:w="140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w w:val="94"/>
              </w:rPr>
              <w:t>Excluding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Base Year Index (CPI):</w:t>
            </w:r>
          </w:p>
        </w:tc>
        <w:tc>
          <w:tcPr>
            <w:tcW w:w="860" w:type="dxa"/>
            <w:vAlign w:val="bottom"/>
          </w:tcPr>
          <w:p>
            <w:pPr>
              <w:spacing w:after="0"/>
              <w:rPr>
                <w:sz w:val="20"/>
                <w:szCs w:val="20"/>
                <w:color w:val="auto"/>
              </w:rPr>
            </w:pPr>
          </w:p>
        </w:tc>
        <w:tc>
          <w:tcPr>
            <w:tcW w:w="1200" w:type="dxa"/>
            <w:vAlign w:val="bottom"/>
          </w:tcPr>
          <w:p>
            <w:pPr>
              <w:ind w:left="580"/>
              <w:spacing w:after="0"/>
              <w:rPr>
                <w:sz w:val="20"/>
                <w:szCs w:val="20"/>
                <w:color w:val="auto"/>
              </w:rPr>
            </w:pPr>
            <w:r>
              <w:rPr>
                <w:rFonts w:ascii="Arial" w:cs="Arial" w:eastAsia="Arial" w:hAnsi="Arial"/>
                <w:sz w:val="16"/>
                <w:szCs w:val="16"/>
                <w:color w:val="auto"/>
              </w:rPr>
              <w:t>[*CTR]</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gridSpan w:val="2"/>
          </w:tcPr>
          <w:p>
            <w:pPr>
              <w:jc w:val="right"/>
              <w:ind w:right="522"/>
              <w:spacing w:after="0" w:line="180" w:lineRule="exact"/>
              <w:rPr>
                <w:sz w:val="20"/>
                <w:szCs w:val="20"/>
                <w:color w:val="auto"/>
              </w:rPr>
            </w:pPr>
            <w:r>
              <w:rPr>
                <w:rFonts w:ascii="Arial" w:cs="Arial" w:eastAsia="Arial" w:hAnsi="Arial"/>
                <w:sz w:val="16"/>
                <w:szCs w:val="16"/>
                <w:b w:val="1"/>
                <w:bCs w:val="1"/>
                <w:color w:val="auto"/>
                <w:w w:val="98"/>
              </w:rPr>
              <w:t>BFE/SPE):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960" w:type="dxa"/>
            <w:vAlign w:val="bottom"/>
            <w:gridSpan w:val="5"/>
          </w:tcPr>
          <w:p>
            <w:pPr>
              <w:ind w:left="160"/>
              <w:spacing w:after="0" w:line="143" w:lineRule="exact"/>
              <w:rPr>
                <w:sz w:val="20"/>
                <w:szCs w:val="20"/>
                <w:color w:val="auto"/>
              </w:rPr>
            </w:pPr>
            <w:r>
              <w:rPr>
                <w:rFonts w:ascii="Arial" w:cs="Arial" w:eastAsia="Arial" w:hAnsi="Arial"/>
                <w:sz w:val="16"/>
                <w:szCs w:val="16"/>
                <w:b w:val="1"/>
                <w:bCs w:val="1"/>
                <w:color w:val="auto"/>
              </w:rPr>
              <w:t>Buyer Furnished Equipment (BFE)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line="144" w:lineRule="exact"/>
              <w:rPr>
                <w:sz w:val="20"/>
                <w:szCs w:val="20"/>
                <w:color w:val="auto"/>
              </w:rPr>
            </w:pPr>
            <w:r>
              <w:rPr>
                <w:rFonts w:ascii="Arial" w:cs="Arial" w:eastAsia="Arial" w:hAnsi="Arial"/>
                <w:sz w:val="16"/>
                <w:szCs w:val="16"/>
                <w:color w:val="auto"/>
              </w:rPr>
              <w:t>$[*CTR]</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spacing w:after="0" w:line="143" w:lineRule="exact"/>
              <w:rPr>
                <w:sz w:val="20"/>
                <w:szCs w:val="20"/>
                <w:color w:val="auto"/>
              </w:rPr>
            </w:pPr>
            <w:r>
              <w:rPr>
                <w:rFonts w:ascii="Arial" w:cs="Arial" w:eastAsia="Arial" w:hAnsi="Arial"/>
                <w:sz w:val="16"/>
                <w:szCs w:val="16"/>
                <w:b w:val="1"/>
                <w:bCs w:val="1"/>
                <w:color w:val="auto"/>
              </w:rPr>
              <w:t>Engine Escalation Data:</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Estimate: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5"/>
                <w:szCs w:val="15"/>
                <w:b w:val="1"/>
                <w:bCs w:val="1"/>
                <w:color w:val="auto"/>
                <w:w w:val="99"/>
              </w:rPr>
              <w:t>//Seller Purchased Equipment (SPE)/In-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Base Year Index (ECI):</w:t>
            </w:r>
          </w:p>
        </w:tc>
        <w:tc>
          <w:tcPr>
            <w:tcW w:w="860" w:type="dxa"/>
            <w:vAlign w:val="bottom"/>
          </w:tcPr>
          <w:p>
            <w:pPr>
              <w:spacing w:after="0"/>
              <w:rPr>
                <w:sz w:val="17"/>
                <w:szCs w:val="17"/>
                <w:color w:val="auto"/>
              </w:rPr>
            </w:pPr>
          </w:p>
        </w:tc>
        <w:tc>
          <w:tcPr>
            <w:tcW w:w="1200" w:type="dxa"/>
            <w:vAlign w:val="bottom"/>
          </w:tcPr>
          <w:p>
            <w:pPr>
              <w:ind w:left="580"/>
              <w:spacing w:after="0"/>
              <w:rPr>
                <w:sz w:val="20"/>
                <w:szCs w:val="20"/>
                <w:color w:val="auto"/>
              </w:rPr>
            </w:pPr>
            <w:r>
              <w:rPr>
                <w:rFonts w:ascii="Arial" w:cs="Arial" w:eastAsia="Arial" w:hAnsi="Arial"/>
                <w:sz w:val="16"/>
                <w:szCs w:val="16"/>
                <w:color w:val="auto"/>
              </w:rPr>
              <w:t>[*CTR]</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Flight Ent</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2960" w:type="dxa"/>
            <w:vAlign w:val="bottom"/>
            <w:gridSpan w:val="5"/>
          </w:tcPr>
          <w:p>
            <w:pPr>
              <w:ind w:left="140"/>
              <w:spacing w:after="0"/>
              <w:rPr>
                <w:sz w:val="20"/>
                <w:szCs w:val="20"/>
                <w:color w:val="auto"/>
              </w:rPr>
            </w:pPr>
            <w:r>
              <w:rPr>
                <w:rFonts w:ascii="Arial" w:cs="Arial" w:eastAsia="Arial" w:hAnsi="Arial"/>
                <w:sz w:val="16"/>
                <w:szCs w:val="16"/>
                <w:b w:val="1"/>
                <w:bCs w:val="1"/>
                <w:color w:val="auto"/>
              </w:rPr>
              <w:t>LIFT Seats Provided by Boeing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Base Year Index (CPI):</w:t>
            </w:r>
          </w:p>
        </w:tc>
        <w:tc>
          <w:tcPr>
            <w:tcW w:w="86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Arial" w:cs="Arial" w:eastAsia="Arial" w:hAnsi="Arial"/>
                <w:sz w:val="16"/>
                <w:szCs w:val="16"/>
                <w:color w:val="auto"/>
              </w:rPr>
              <w:t>[*CTR]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(Estimate):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w w:val="90"/>
              </w:rPr>
              <w:t>Deposit per</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$[*CTR]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Aircraft: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4"/>
              </w:rPr>
              <w:t>Escalation</w:t>
            </w:r>
          </w:p>
        </w:tc>
        <w:tc>
          <w:tcPr>
            <w:tcW w:w="1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shd w:val="clear" w:color="auto" w:fill="C1C1C1"/>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right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4"/>
              </w:rPr>
              <w:t>Escalation</w:t>
            </w:r>
          </w:p>
        </w:tc>
        <w:tc>
          <w:tcPr>
            <w:tcW w:w="4620" w:type="dxa"/>
            <w:vAlign w:val="bottom"/>
            <w:tcBorders>
              <w:right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2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Delivery</w:t>
            </w:r>
          </w:p>
        </w:tc>
        <w:tc>
          <w:tcPr>
            <w:tcW w:w="60" w:type="dxa"/>
            <w:vAlign w:val="bottom"/>
          </w:tcPr>
          <w:p>
            <w:pPr>
              <w:spacing w:after="0"/>
              <w:rPr>
                <w:sz w:val="6"/>
                <w:szCs w:val="6"/>
                <w:color w:val="auto"/>
              </w:rPr>
            </w:pPr>
          </w:p>
        </w:tc>
        <w:tc>
          <w:tcPr>
            <w:tcW w:w="900" w:type="dxa"/>
            <w:vAlign w:val="bottom"/>
            <w:tcBorders>
              <w:right w:val="single" w:sz="8" w:color="auto"/>
            </w:tcBorders>
            <w:gridSpan w:val="2"/>
            <w:vMerge w:val="restart"/>
          </w:tcPr>
          <w:p>
            <w:pPr>
              <w:jc w:val="center"/>
              <w:ind w:right="22"/>
              <w:spacing w:after="0"/>
              <w:rPr>
                <w:sz w:val="20"/>
                <w:szCs w:val="20"/>
                <w:color w:val="auto"/>
              </w:rPr>
            </w:pPr>
            <w:r>
              <w:rPr>
                <w:rFonts w:ascii="Arial" w:cs="Arial" w:eastAsia="Arial" w:hAnsi="Arial"/>
                <w:sz w:val="16"/>
                <w:szCs w:val="16"/>
                <w:b w:val="1"/>
                <w:bCs w:val="1"/>
                <w:color w:val="auto"/>
                <w:w w:val="89"/>
              </w:rPr>
              <w:t>Number of</w:t>
            </w:r>
          </w:p>
        </w:tc>
        <w:tc>
          <w:tcPr>
            <w:tcW w:w="10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8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Estimate Adv</w:t>
            </w: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9"/>
              </w:rPr>
              <w:t>Factor</w:t>
            </w:r>
          </w:p>
        </w:tc>
        <w:tc>
          <w:tcPr>
            <w:tcW w:w="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gridSpan w:val="2"/>
            <w:vMerge w:val="continue"/>
          </w:tcPr>
          <w:p>
            <w:pPr>
              <w:spacing w:after="0"/>
              <w:rPr>
                <w:sz w:val="8"/>
                <w:szCs w:val="8"/>
                <w:color w:val="auto"/>
              </w:rPr>
            </w:pPr>
          </w:p>
        </w:tc>
        <w:tc>
          <w:tcPr>
            <w:tcW w:w="9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89"/>
              </w:rPr>
              <w:t>At Signing</w:t>
            </w:r>
          </w:p>
        </w:tc>
        <w:tc>
          <w:tcPr>
            <w:tcW w:w="86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2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Date</w:t>
            </w:r>
          </w:p>
        </w:tc>
        <w:tc>
          <w:tcPr>
            <w:tcW w:w="6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center"/>
              <w:ind w:right="22"/>
              <w:spacing w:after="0"/>
              <w:rPr>
                <w:sz w:val="20"/>
                <w:szCs w:val="20"/>
                <w:color w:val="auto"/>
              </w:rPr>
            </w:pPr>
            <w:r>
              <w:rPr>
                <w:rFonts w:ascii="Arial" w:cs="Arial" w:eastAsia="Arial" w:hAnsi="Arial"/>
                <w:sz w:val="16"/>
                <w:szCs w:val="16"/>
                <w:b w:val="1"/>
                <w:bCs w:val="1"/>
                <w:color w:val="auto"/>
                <w:w w:val="98"/>
              </w:rPr>
              <w:t>Aircraft</w:t>
            </w:r>
          </w:p>
        </w:tc>
        <w:tc>
          <w:tcPr>
            <w:tcW w:w="10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60" w:type="dxa"/>
            <w:vAlign w:val="bottom"/>
            <w:tcBorders>
              <w:right w:val="single" w:sz="8" w:color="auto"/>
            </w:tcBorders>
            <w:gridSpan w:val="3"/>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7"/>
              </w:rPr>
              <w:t>(Engine)</w:t>
            </w:r>
          </w:p>
        </w:tc>
        <w:tc>
          <w:tcPr>
            <w:tcW w:w="1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shd w:val="clear" w:color="auto" w:fill="C1C1C1"/>
          </w:tcPr>
          <w:p>
            <w:pPr>
              <w:spacing w:after="0"/>
              <w:rPr>
                <w:sz w:val="9"/>
                <w:szCs w:val="9"/>
                <w:color w:val="auto"/>
              </w:rPr>
            </w:pPr>
          </w:p>
        </w:tc>
        <w:tc>
          <w:tcPr>
            <w:tcW w:w="118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80" w:type="dxa"/>
            <w:vAlign w:val="bottom"/>
            <w:tcBorders>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shd w:val="clear" w:color="auto" w:fill="C1C1C1"/>
          </w:tcPr>
          <w:p>
            <w:pPr>
              <w:spacing w:after="0"/>
              <w:rPr>
                <w:sz w:val="17"/>
                <w:szCs w:val="17"/>
                <w:color w:val="auto"/>
              </w:rPr>
            </w:pP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2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Pr>
          <w:p>
            <w:pPr>
              <w:spacing w:after="0"/>
              <w:rPr>
                <w:sz w:val="19"/>
                <w:szCs w:val="19"/>
                <w:color w:val="auto"/>
              </w:rPr>
            </w:pPr>
          </w:p>
        </w:tc>
        <w:tc>
          <w:tcPr>
            <w:tcW w:w="580" w:type="dxa"/>
            <w:vAlign w:val="bottom"/>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right w:val="single" w:sz="8" w:color="auto"/>
            </w:tcBorders>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right w:val="single" w:sz="8" w:color="auto"/>
            </w:tcBorders>
          </w:tcPr>
          <w:p>
            <w:pPr>
              <w:spacing w:after="0"/>
              <w:rPr>
                <w:sz w:val="19"/>
                <w:szCs w:val="19"/>
                <w:color w:val="auto"/>
              </w:rPr>
            </w:pPr>
          </w:p>
        </w:tc>
        <w:tc>
          <w:tcPr>
            <w:tcW w:w="1080" w:type="dxa"/>
            <w:vAlign w:val="bottom"/>
            <w:tcBorders>
              <w:bottom w:val="single" w:sz="8" w:color="C1C1C1"/>
              <w:right w:val="single" w:sz="8" w:color="auto"/>
            </w:tcBorders>
            <w:shd w:val="clear" w:color="auto" w:fill="C1C1C1"/>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[*CTR]-2020</w:t>
            </w: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6"/>
        </w:trPr>
        <w:tc>
          <w:tcPr>
            <w:tcW w:w="280" w:type="dxa"/>
            <w:vAlign w:val="bottom"/>
            <w:tcBorders>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6"/>
              </w:rPr>
              <w:t>[*CTR]-2021</w:t>
            </w: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0000FF"/>
                <w:w w:val="89"/>
              </w:rPr>
              <w:t>1</w:t>
            </w:r>
          </w:p>
        </w:tc>
        <w:tc>
          <w:tcPr>
            <w:tcW w:w="32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9"/>
              </w:rPr>
              <w:t>[*CTR]</w:t>
            </w:r>
          </w:p>
        </w:tc>
        <w:tc>
          <w:tcPr>
            <w:tcW w:w="10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bottom w:val="single" w:sz="8" w:color="C1C1C1"/>
              <w:right w:val="single" w:sz="8" w:color="auto"/>
            </w:tcBorders>
            <w:shd w:val="clear" w:color="auto" w:fill="C1C1C1"/>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2160" w:type="dxa"/>
            <w:vAlign w:val="bottom"/>
            <w:gridSpan w:val="5"/>
          </w:tcPr>
          <w:p>
            <w:pPr>
              <w:spacing w:after="0"/>
              <w:rPr>
                <w:sz w:val="20"/>
                <w:szCs w:val="20"/>
                <w:color w:val="auto"/>
              </w:rPr>
            </w:pPr>
            <w:r>
              <w:rPr>
                <w:rFonts w:ascii="Arial" w:cs="Arial" w:eastAsia="Arial" w:hAnsi="Arial"/>
                <w:sz w:val="16"/>
                <w:szCs w:val="16"/>
                <w:color w:val="auto"/>
              </w:rPr>
              <w:t>AAL-PA-03219 108757-1F.txt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3"/>
          </w:tcPr>
          <w:p>
            <w:pPr>
              <w:ind w:left="500"/>
              <w:spacing w:after="0"/>
              <w:rPr>
                <w:sz w:val="20"/>
                <w:szCs w:val="20"/>
                <w:color w:val="auto"/>
              </w:rPr>
            </w:pPr>
            <w:r>
              <w:rPr>
                <w:rFonts w:ascii="Arial" w:cs="Arial" w:eastAsia="Arial" w:hAnsi="Arial"/>
                <w:sz w:val="16"/>
                <w:szCs w:val="16"/>
                <w:color w:val="auto"/>
              </w:rPr>
              <w:t>SA-11, Table 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gridSpan w:val="5"/>
          </w:tcPr>
          <w:p>
            <w:pPr>
              <w:ind w:left="640"/>
              <w:spacing w:after="0"/>
              <w:rPr>
                <w:sz w:val="20"/>
                <w:szCs w:val="20"/>
                <w:color w:val="auto"/>
              </w:rPr>
            </w:pPr>
            <w:r>
              <w:rPr>
                <w:rFonts w:ascii="Arial" w:cs="Arial" w:eastAsia="Arial" w:hAnsi="Arial"/>
                <w:sz w:val="19"/>
                <w:szCs w:val="19"/>
                <w:b w:val="1"/>
                <w:bCs w:val="1"/>
                <w:color w:val="auto"/>
              </w:rPr>
              <w:t>Boeing Proprietary</w:t>
            </w:r>
          </w:p>
        </w:tc>
        <w:tc>
          <w:tcPr>
            <w:tcW w:w="1200" w:type="dxa"/>
            <w:vAlign w:val="bottom"/>
          </w:tcPr>
          <w:p>
            <w:pPr>
              <w:ind w:left="520"/>
              <w:spacing w:after="0"/>
              <w:rPr>
                <w:sz w:val="20"/>
                <w:szCs w:val="20"/>
                <w:color w:val="auto"/>
              </w:rPr>
            </w:pPr>
            <w:r>
              <w:rPr>
                <w:rFonts w:ascii="Arial" w:cs="Arial" w:eastAsia="Arial" w:hAnsi="Arial"/>
                <w:sz w:val="16"/>
                <w:szCs w:val="16"/>
                <w:color w:val="auto"/>
              </w:rPr>
              <w:t>Page 1</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80"/>
          </w:cols>
          <w:pgMar w:left="240" w:top="120" w:right="479" w:bottom="1440" w:gutter="0" w:footer="0" w:header="0"/>
        </w:sectPr>
      </w:pPr>
    </w:p>
    <w:bookmarkStart w:id="118" w:name="page119"/>
    <w:bookmarkEnd w:id="118"/>
    <w:p>
      <w:pPr>
        <w:jc w:val="center"/>
        <w:ind w:right="-499"/>
        <w:spacing w:after="0"/>
        <w:rPr>
          <w:sz w:val="20"/>
          <w:szCs w:val="20"/>
          <w:color w:val="auto"/>
        </w:rPr>
      </w:pPr>
      <w:r>
        <w:rPr>
          <w:rFonts w:ascii="Arial" w:cs="Arial" w:eastAsia="Arial" w:hAnsi="Arial"/>
          <w:sz w:val="22"/>
          <w:szCs w:val="22"/>
          <w:b w:val="1"/>
          <w:bCs w:val="1"/>
          <w:color w:val="auto"/>
        </w:rPr>
        <w:t>Table 6 To</w:t>
      </w:r>
    </w:p>
    <w:p>
      <w:pPr>
        <w:spacing w:after="0" w:line="30"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Purchase Agreement No. PA-03219</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787-8 [*CTR] Aircraft,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370" w:type="dxa"/>
        <w:tblCellMar>
          <w:top w:w="0" w:type="dxa"/>
          <w:left w:w="0" w:type="dxa"/>
          <w:bottom w:w="0" w:type="dxa"/>
          <w:right w:w="0" w:type="dxa"/>
        </w:tblCellMar>
      </w:tblPr>
      <w:tr>
        <w:trPr>
          <w:trHeight w:val="217"/>
        </w:trPr>
        <w:tc>
          <w:tcPr>
            <w:tcW w:w="960" w:type="dxa"/>
            <w:vAlign w:val="bottom"/>
            <w:tcBorders>
              <w:top w:val="single" w:sz="8" w:color="auto"/>
              <w:left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1020" w:type="dxa"/>
            <w:vAlign w:val="bottom"/>
            <w:tcBorders>
              <w:top w:val="single" w:sz="8" w:color="auto"/>
              <w:right w:val="single" w:sz="8" w:color="auto"/>
            </w:tcBorders>
            <w:shd w:val="clear" w:color="auto" w:fill="C1C1C1"/>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46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17"/>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14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shd w:val="clear" w:color="auto" w:fill="C1C1C1"/>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restart"/>
          </w:tcPr>
          <w:p>
            <w:pPr>
              <w:jc w:val="center"/>
              <w:ind w:right="202"/>
              <w:spacing w:after="0"/>
              <w:rPr>
                <w:sz w:val="20"/>
                <w:szCs w:val="20"/>
                <w:color w:val="auto"/>
              </w:rPr>
            </w:pPr>
            <w:r>
              <w:rPr>
                <w:rFonts w:ascii="Arial" w:cs="Arial" w:eastAsia="Arial" w:hAnsi="Arial"/>
                <w:sz w:val="16"/>
                <w:szCs w:val="16"/>
                <w:b w:val="1"/>
                <w:bCs w:val="1"/>
                <w:color w:val="auto"/>
                <w:w w:val="90"/>
              </w:rPr>
              <w:t>Delivery):</w:t>
            </w: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60" w:type="dxa"/>
            <w:vAlign w:val="bottom"/>
            <w:tcBorders>
              <w:left w:val="single" w:sz="8" w:color="auto"/>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3"/>
              </w:rPr>
              <w:t>Factor</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Factor</w:t>
            </w:r>
          </w:p>
        </w:tc>
        <w:tc>
          <w:tcPr>
            <w:tcW w:w="1020" w:type="dxa"/>
            <w:vAlign w:val="bottom"/>
            <w:tcBorders>
              <w:bottom w:val="single" w:sz="8" w:color="C1C1C1"/>
              <w:right w:val="single" w:sz="8" w:color="auto"/>
            </w:tcBorders>
            <w:shd w:val="clear" w:color="auto" w:fill="C1C1C1"/>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960" w:type="dxa"/>
            <w:vAlign w:val="bottom"/>
            <w:tcBorders>
              <w:left w:val="single" w:sz="8" w:color="auto"/>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Date</w:t>
            </w:r>
          </w:p>
        </w:tc>
        <w:tc>
          <w:tcPr>
            <w:tcW w:w="9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Aircraft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(Airframe)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(Engine)</w:t>
            </w:r>
          </w:p>
        </w:tc>
        <w:tc>
          <w:tcPr>
            <w:tcW w:w="1020" w:type="dxa"/>
            <w:vAlign w:val="bottom"/>
            <w:tcBorders>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5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96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shd w:val="clear" w:color="auto" w:fill="C1C1C1"/>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8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118"/>
        </w:trPr>
        <w:tc>
          <w:tcPr>
            <w:tcW w:w="96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20" w:type="dxa"/>
            <w:vAlign w:val="bottom"/>
            <w:tcBorders>
              <w:bottom w:val="single" w:sz="8" w:color="C1C1C1"/>
              <w:right w:val="single" w:sz="8" w:color="auto"/>
            </w:tcBorders>
            <w:shd w:val="clear" w:color="auto" w:fill="C1C1C1"/>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2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6"/>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020" w:type="dxa"/>
            <w:vAlign w:val="bottom"/>
            <w:tcBorders>
              <w:top w:val="single" w:sz="8" w:color="auto"/>
              <w:bottom w:val="single" w:sz="8" w:color="C1C1C1"/>
              <w:right w:val="single" w:sz="8" w:color="auto"/>
            </w:tcBorders>
            <w:shd w:val="clear" w:color="auto" w:fill="C1C1C1"/>
          </w:tcPr>
          <w:p>
            <w:pPr>
              <w:spacing w:after="0"/>
              <w:rPr>
                <w:sz w:val="17"/>
                <w:szCs w:val="17"/>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0" w:type="dxa"/>
            <w:vAlign w:val="bottom"/>
          </w:tcPr>
          <w:p>
            <w:pPr>
              <w:spacing w:after="0"/>
              <w:rPr>
                <w:sz w:val="1"/>
                <w:szCs w:val="1"/>
                <w:color w:val="auto"/>
              </w:rPr>
            </w:pPr>
          </w:p>
        </w:tc>
      </w:tr>
      <w:tr>
        <w:trPr>
          <w:trHeight w:val="20"/>
        </w:trPr>
        <w:tc>
          <w:tcPr>
            <w:tcW w:w="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4"/>
          <w:szCs w:val="14"/>
          <w:color w:val="auto"/>
        </w:rPr>
        <w:t>22</w:t>
      </w:r>
    </w:p>
    <w:p>
      <w:pPr>
        <w:sectPr>
          <w:pgSz w:w="11900" w:h="16838" w:orient="portrait"/>
          <w:cols w:equalWidth="0" w:num="1">
            <w:col w:w="10920"/>
          </w:cols>
          <w:pgMar w:left="240" w:top="120" w:right="7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AAL-PA-03219 108757-1F.txt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SA-11, Table 6</w:t>
      </w:r>
    </w:p>
    <w:p>
      <w:pPr>
        <w:spacing w:after="0" w:line="27" w:lineRule="exact"/>
        <w:rPr>
          <w:sz w:val="20"/>
          <w:szCs w:val="20"/>
          <w:color w:val="auto"/>
        </w:rPr>
      </w:pPr>
    </w:p>
    <w:p>
      <w:pPr>
        <w:sectPr>
          <w:pgSz w:w="11900" w:h="16838" w:orient="portrait"/>
          <w:cols w:equalWidth="0" w:num="2">
            <w:col w:w="4080" w:space="720"/>
            <w:col w:w="6120"/>
          </w:cols>
          <w:pgMar w:left="240" w:top="120" w:right="739" w:bottom="1440" w:gutter="0" w:footer="0" w:header="0"/>
          <w:type w:val="continuous"/>
        </w:sectPr>
      </w:pPr>
    </w:p>
    <w:p>
      <w:pPr>
        <w:ind w:left="6140"/>
        <w:spacing w:after="0"/>
        <w:rPr>
          <w:sz w:val="20"/>
          <w:szCs w:val="20"/>
          <w:color w:val="auto"/>
        </w:rPr>
      </w:pPr>
      <w:r>
        <w:rPr>
          <w:rFonts w:ascii="Arial" w:cs="Arial" w:eastAsia="Arial" w:hAnsi="Arial"/>
          <w:sz w:val="17"/>
          <w:szCs w:val="17"/>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36" w:lineRule="exact"/>
        <w:rPr>
          <w:sz w:val="20"/>
          <w:szCs w:val="20"/>
          <w:color w:val="auto"/>
        </w:rPr>
      </w:pPr>
    </w:p>
    <w:p>
      <w:pPr>
        <w:sectPr>
          <w:pgSz w:w="11900" w:h="16838" w:orient="portrait"/>
          <w:cols w:equalWidth="0" w:num="2">
            <w:col w:w="8180" w:space="720"/>
            <w:col w:w="2020"/>
          </w:cols>
          <w:pgMar w:left="240" w:top="120" w:right="739" w:bottom="1440" w:gutter="0" w:footer="0" w:header="0"/>
          <w:type w:val="continuous"/>
        </w:sect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920"/>
          </w:cols>
          <w:pgMar w:left="240" w:top="120" w:right="739" w:bottom="1440" w:gutter="0" w:footer="0" w:header="0"/>
          <w:type w:val="continuous"/>
        </w:sectPr>
      </w:pPr>
    </w:p>
    <w:bookmarkStart w:id="119" w:name="page120"/>
    <w:bookmarkEnd w:id="119"/>
    <w:p>
      <w:pPr>
        <w:jc w:val="center"/>
        <w:ind w:right="-1200"/>
        <w:spacing w:after="0"/>
        <w:rPr>
          <w:sz w:val="20"/>
          <w:szCs w:val="20"/>
          <w:color w:val="auto"/>
        </w:rPr>
      </w:pPr>
      <w:r>
        <w:rPr>
          <w:rFonts w:ascii="Arial" w:cs="Arial" w:eastAsia="Arial" w:hAnsi="Arial"/>
          <w:sz w:val="19"/>
          <w:szCs w:val="19"/>
          <w:color w:val="auto"/>
        </w:rPr>
        <w:t>AIRCRAFT CONFIGURATION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between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THE BOEING COMPANY</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and</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AMERICAN AIRLINES, INC.</w:t>
      </w:r>
    </w:p>
    <w:p>
      <w:pPr>
        <w:spacing w:after="0" w:line="200" w:lineRule="exact"/>
        <w:rPr>
          <w:sz w:val="20"/>
          <w:szCs w:val="20"/>
          <w:color w:val="auto"/>
        </w:rPr>
      </w:pPr>
    </w:p>
    <w:p>
      <w:pPr>
        <w:spacing w:after="0" w:line="248" w:lineRule="exact"/>
        <w:rPr>
          <w:sz w:val="20"/>
          <w:szCs w:val="20"/>
          <w:color w:val="auto"/>
        </w:rPr>
      </w:pPr>
    </w:p>
    <w:p>
      <w:pPr>
        <w:jc w:val="right"/>
        <w:ind w:right="2539"/>
        <w:spacing w:after="0"/>
        <w:rPr>
          <w:sz w:val="20"/>
          <w:szCs w:val="20"/>
          <w:color w:val="auto"/>
        </w:rPr>
      </w:pPr>
      <w:r>
        <w:rPr>
          <w:rFonts w:ascii="Arial" w:cs="Arial" w:eastAsia="Arial" w:hAnsi="Arial"/>
          <w:sz w:val="19"/>
          <w:szCs w:val="19"/>
          <w:color w:val="auto"/>
        </w:rPr>
        <w:t>Exhibit A(R3) to Purchase Agreement Number 3219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720" w:val="left"/>
          <w:tab w:leader="none" w:pos="3140" w:val="left"/>
        </w:tabs>
        <w:rPr>
          <w:sz w:val="20"/>
          <w:szCs w:val="20"/>
          <w:color w:val="auto"/>
        </w:rPr>
      </w:pPr>
      <w:r>
        <w:rPr>
          <w:rFonts w:ascii="Arial" w:cs="Arial" w:eastAsia="Arial" w:hAnsi="Arial"/>
          <w:sz w:val="19"/>
          <w:szCs w:val="19"/>
          <w:color w:val="auto"/>
        </w:rPr>
        <w:t>PA No.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Exhibit A(R3)</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0219"/>
          </w:cols>
          <w:pgMar w:left="240" w:top="343"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9"/>
          <w:szCs w:val="19"/>
          <w:color w:val="auto"/>
        </w:rPr>
        <w:t>Exhibit A(R3)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AIRCRAFT CONFIGURATION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the effective Date of SA-11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relating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BOEING MODEL [*CTR] AIRCRAFT</w:t>
      </w:r>
    </w:p>
    <w:p>
      <w:pPr>
        <w:spacing w:after="0" w:line="200" w:lineRule="exact"/>
        <w:rPr>
          <w:sz w:val="20"/>
          <w:szCs w:val="20"/>
          <w:color w:val="auto"/>
        </w:rPr>
      </w:pPr>
    </w:p>
    <w:p>
      <w:pPr>
        <w:spacing w:after="0" w:line="248" w:lineRule="exact"/>
        <w:rPr>
          <w:sz w:val="20"/>
          <w:szCs w:val="20"/>
          <w:color w:val="auto"/>
        </w:rPr>
      </w:pPr>
    </w:p>
    <w:p>
      <w:pPr>
        <w:jc w:val="both"/>
        <w:ind w:firstLine="561"/>
        <w:spacing w:after="0" w:line="251" w:lineRule="auto"/>
        <w:rPr>
          <w:sz w:val="20"/>
          <w:szCs w:val="20"/>
          <w:color w:val="auto"/>
        </w:rPr>
      </w:pPr>
      <w:r>
        <w:rPr>
          <w:rFonts w:ascii="Arial" w:cs="Arial" w:eastAsia="Arial" w:hAnsi="Arial"/>
          <w:sz w:val="19"/>
          <w:szCs w:val="19"/>
          <w:color w:val="auto"/>
        </w:rPr>
        <w:t>The Detail Specification is Boeing Detail Specification [*CTR] (the [*CTR] due to the Detail Specification being [*CTR], e.g., for the [*CTR], the Detail Specification is [*CTR]). The Detail Specification provides [*CTR] set forth in this Exhibit A. Such Detail Specification will be comprised of Boeing 787 Airplane [*CTR] by Customer, including the effects on [*CTR], that are specified herein. [*CTR], Boeing will furnish to Customer copies of the Detail Specification, which copies will [*CTR]. The [*CTR], except such [*CTR].</w:t>
      </w:r>
    </w:p>
    <w:p>
      <w:pPr>
        <w:spacing w:after="0" w:line="200" w:lineRule="exact"/>
        <w:rPr>
          <w:sz w:val="20"/>
          <w:szCs w:val="20"/>
          <w:color w:val="auto"/>
        </w:rPr>
      </w:pPr>
    </w:p>
    <w:p>
      <w:pPr>
        <w:spacing w:after="0" w:line="395"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1</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343" w:right="21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right w:val="single" w:sz="8" w:color="auto"/>
            </w:tcBorders>
          </w:tcPr>
          <w:p>
            <w:pPr>
              <w:spacing w:after="0"/>
              <w:rPr>
                <w:sz w:val="18"/>
                <w:szCs w:val="18"/>
                <w:color w:val="auto"/>
              </w:rPr>
            </w:pPr>
          </w:p>
        </w:tc>
        <w:tc>
          <w:tcPr>
            <w:tcW w:w="662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187"/>
        </w:trPr>
        <w:tc>
          <w:tcPr>
            <w:tcW w:w="20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Option Number</w:t>
            </w:r>
          </w:p>
        </w:tc>
        <w:tc>
          <w:tcPr>
            <w:tcW w:w="66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 A/P Price</w:t>
            </w: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[*CTR] Per A/C</w:t>
            </w:r>
          </w:p>
        </w:tc>
      </w:tr>
      <w:tr>
        <w:trPr>
          <w:trHeight w:val="199"/>
        </w:trPr>
        <w:tc>
          <w:tcPr>
            <w:tcW w:w="2080" w:type="dxa"/>
            <w:vAlign w:val="bottom"/>
            <w:tcBorders>
              <w:left w:val="single" w:sz="8" w:color="auto"/>
              <w:right w:val="single" w:sz="8" w:color="auto"/>
            </w:tcBorders>
          </w:tcPr>
          <w:p>
            <w:pPr>
              <w:spacing w:after="0"/>
              <w:rPr>
                <w:sz w:val="17"/>
                <w:szCs w:val="17"/>
                <w:color w:val="auto"/>
              </w:rPr>
            </w:pP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Description</w:t>
            </w:r>
          </w:p>
        </w:tc>
        <w:tc>
          <w:tcPr>
            <w:tcW w:w="138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Per A/C</w:t>
            </w:r>
          </w:p>
        </w:tc>
        <w:tc>
          <w:tcPr>
            <w:tcW w:w="1360" w:type="dxa"/>
            <w:vAlign w:val="bottom"/>
            <w:tcBorders>
              <w:right w:val="single" w:sz="8" w:color="auto"/>
            </w:tcBorders>
          </w:tcPr>
          <w:p>
            <w:pPr>
              <w:spacing w:after="0"/>
              <w:rPr>
                <w:sz w:val="17"/>
                <w:szCs w:val="17"/>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390"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1</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right w:val="single" w:sz="8" w:color="auto"/>
            </w:tcBorders>
          </w:tcPr>
          <w:p>
            <w:pPr>
              <w:spacing w:after="0"/>
              <w:rPr>
                <w:sz w:val="18"/>
                <w:szCs w:val="18"/>
                <w:color w:val="auto"/>
              </w:rPr>
            </w:pPr>
          </w:p>
        </w:tc>
        <w:tc>
          <w:tcPr>
            <w:tcW w:w="662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187"/>
        </w:trPr>
        <w:tc>
          <w:tcPr>
            <w:tcW w:w="20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Option Number</w:t>
            </w:r>
          </w:p>
        </w:tc>
        <w:tc>
          <w:tcPr>
            <w:tcW w:w="66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 A/P Price</w:t>
            </w: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[*CTR] Per A/C</w:t>
            </w:r>
          </w:p>
        </w:tc>
      </w:tr>
      <w:tr>
        <w:trPr>
          <w:trHeight w:val="199"/>
        </w:trPr>
        <w:tc>
          <w:tcPr>
            <w:tcW w:w="2080" w:type="dxa"/>
            <w:vAlign w:val="bottom"/>
            <w:tcBorders>
              <w:left w:val="single" w:sz="8" w:color="auto"/>
              <w:right w:val="single" w:sz="8" w:color="auto"/>
            </w:tcBorders>
          </w:tcPr>
          <w:p>
            <w:pPr>
              <w:spacing w:after="0"/>
              <w:rPr>
                <w:sz w:val="17"/>
                <w:szCs w:val="17"/>
                <w:color w:val="auto"/>
              </w:rPr>
            </w:pP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Description</w:t>
            </w:r>
          </w:p>
        </w:tc>
        <w:tc>
          <w:tcPr>
            <w:tcW w:w="138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Per A/C</w:t>
            </w:r>
          </w:p>
        </w:tc>
        <w:tc>
          <w:tcPr>
            <w:tcW w:w="1360" w:type="dxa"/>
            <w:vAlign w:val="bottom"/>
            <w:tcBorders>
              <w:right w:val="single" w:sz="8" w:color="auto"/>
            </w:tcBorders>
          </w:tcPr>
          <w:p>
            <w:pPr>
              <w:spacing w:after="0"/>
              <w:rPr>
                <w:sz w:val="17"/>
                <w:szCs w:val="17"/>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8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[*CTR]</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[*CTR]</w:t>
            </w: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390"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2</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23" w:name="page124"/>
    <w:bookmarkEnd w:id="123"/>
    <w:tbl>
      <w:tblPr>
        <w:tblLayout w:type="fixed"/>
        <w:tblInd w:w="30" w:type="dxa"/>
        <w:tblCellMar>
          <w:top w:w="0" w:type="dxa"/>
          <w:left w:w="0" w:type="dxa"/>
          <w:bottom w:w="0" w:type="dxa"/>
          <w:right w:w="0" w:type="dxa"/>
        </w:tblCellMar>
      </w:tblPr>
      <w:tr>
        <w:trPr>
          <w:trHeight w:val="221"/>
        </w:trPr>
        <w:tc>
          <w:tcPr>
            <w:tcW w:w="208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6"/>
                <w:szCs w:val="16"/>
                <w:color w:val="auto"/>
              </w:rPr>
              <w:t>Option Number</w:t>
            </w:r>
          </w:p>
        </w:tc>
        <w:tc>
          <w:tcPr>
            <w:tcW w:w="660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vMerge w:val="continue"/>
          </w:tcPr>
          <w:p>
            <w:pPr>
              <w:spacing w:after="0"/>
              <w:rPr>
                <w:sz w:val="17"/>
                <w:szCs w:val="17"/>
                <w:color w:val="auto"/>
              </w:rPr>
            </w:pPr>
          </w:p>
        </w:tc>
        <w:tc>
          <w:tcPr>
            <w:tcW w:w="6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Description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[*CTR] A/P Price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[*CTR] Per A/C</w:t>
            </w: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tcPr>
          <w:p>
            <w:pPr>
              <w:spacing w:after="0"/>
              <w:rPr>
                <w:sz w:val="17"/>
                <w:szCs w:val="17"/>
                <w:color w:val="auto"/>
              </w:rPr>
            </w:pPr>
          </w:p>
        </w:tc>
        <w:tc>
          <w:tcPr>
            <w:tcW w:w="6600" w:type="dxa"/>
            <w:vAlign w:val="bottom"/>
            <w:tcBorders>
              <w:right w:val="single" w:sz="8" w:color="auto"/>
            </w:tcBorders>
            <w:vMerge w:val="continue"/>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Per A/C</w:t>
            </w: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[*CTR]</w:t>
            </w:r>
          </w:p>
        </w:tc>
        <w:tc>
          <w:tcPr>
            <w:tcW w:w="6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3</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20"/>
          </w:cols>
          <w:pgMar w:left="240" w:top="447" w:right="2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21"/>
        </w:trPr>
        <w:tc>
          <w:tcPr>
            <w:tcW w:w="18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Option Number</w:t>
            </w:r>
          </w:p>
        </w:tc>
        <w:tc>
          <w:tcPr>
            <w:tcW w:w="662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right w:val="single" w:sz="8" w:color="auto"/>
            </w:tcBorders>
            <w:vMerge w:val="continue"/>
          </w:tcPr>
          <w:p>
            <w:pPr>
              <w:spacing w:after="0"/>
              <w:rPr>
                <w:sz w:val="17"/>
                <w:szCs w:val="17"/>
                <w:color w:val="auto"/>
              </w:rPr>
            </w:pPr>
          </w:p>
        </w:tc>
        <w:tc>
          <w:tcPr>
            <w:tcW w:w="6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Description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[*CTR] A/P Price Per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[*CTR] Per A/C</w:t>
            </w:r>
          </w:p>
        </w:tc>
        <w:tc>
          <w:tcPr>
            <w:tcW w:w="0" w:type="dxa"/>
            <w:vAlign w:val="bottom"/>
          </w:tcPr>
          <w:p>
            <w:pPr>
              <w:spacing w:after="0"/>
              <w:rPr>
                <w:sz w:val="1"/>
                <w:szCs w:val="1"/>
                <w:color w:val="auto"/>
              </w:rPr>
            </w:pPr>
          </w:p>
        </w:tc>
      </w:tr>
      <w:tr>
        <w:trPr>
          <w:trHeight w:val="199"/>
        </w:trPr>
        <w:tc>
          <w:tcPr>
            <w:tcW w:w="1860" w:type="dxa"/>
            <w:vAlign w:val="bottom"/>
            <w:tcBorders>
              <w:left w:val="single" w:sz="8" w:color="auto"/>
              <w:right w:val="single" w:sz="8" w:color="auto"/>
            </w:tcBorders>
          </w:tcPr>
          <w:p>
            <w:pPr>
              <w:spacing w:after="0"/>
              <w:rPr>
                <w:sz w:val="17"/>
                <w:szCs w:val="17"/>
                <w:color w:val="auto"/>
              </w:rPr>
            </w:pPr>
          </w:p>
        </w:tc>
        <w:tc>
          <w:tcPr>
            <w:tcW w:w="662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A/C</w:t>
            </w: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6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4</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25" w:name="page126"/>
    <w:bookmarkEnd w:id="125"/>
    <w:tbl>
      <w:tblPr>
        <w:tblLayout w:type="fixed"/>
        <w:tblInd w:w="70" w:type="dxa"/>
        <w:tblCellMar>
          <w:top w:w="0" w:type="dxa"/>
          <w:left w:w="0" w:type="dxa"/>
          <w:bottom w:w="0" w:type="dxa"/>
          <w:right w:w="0" w:type="dxa"/>
        </w:tblCellMar>
      </w:tblPr>
      <w:tr>
        <w:trPr>
          <w:trHeight w:val="221"/>
        </w:trPr>
        <w:tc>
          <w:tcPr>
            <w:tcW w:w="1840" w:type="dxa"/>
            <w:vAlign w:val="bottom"/>
            <w:tcBorders>
              <w:top w:val="single" w:sz="8" w:color="auto"/>
              <w:left w:val="single" w:sz="8" w:color="auto"/>
              <w:right w:val="single" w:sz="8" w:color="auto"/>
            </w:tcBorders>
            <w:vMerge w:val="restart"/>
          </w:tcPr>
          <w:p>
            <w:pPr>
              <w:ind w:left="440"/>
              <w:spacing w:after="0"/>
              <w:rPr>
                <w:sz w:val="20"/>
                <w:szCs w:val="20"/>
                <w:color w:val="auto"/>
              </w:rPr>
            </w:pPr>
            <w:r>
              <w:rPr>
                <w:rFonts w:ascii="Arial" w:cs="Arial" w:eastAsia="Arial" w:hAnsi="Arial"/>
                <w:sz w:val="16"/>
                <w:szCs w:val="16"/>
                <w:color w:val="auto"/>
              </w:rPr>
              <w:t>Option Number</w:t>
            </w:r>
          </w:p>
        </w:tc>
        <w:tc>
          <w:tcPr>
            <w:tcW w:w="652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199"/>
        </w:trPr>
        <w:tc>
          <w:tcPr>
            <w:tcW w:w="1840" w:type="dxa"/>
            <w:vAlign w:val="bottom"/>
            <w:tcBorders>
              <w:left w:val="single" w:sz="8" w:color="auto"/>
              <w:right w:val="single" w:sz="8" w:color="auto"/>
            </w:tcBorders>
            <w:vMerge w:val="continue"/>
          </w:tcPr>
          <w:p>
            <w:pPr>
              <w:spacing w:after="0"/>
              <w:rPr>
                <w:sz w:val="17"/>
                <w:szCs w:val="17"/>
                <w:color w:val="auto"/>
              </w:rPr>
            </w:pPr>
          </w:p>
        </w:tc>
        <w:tc>
          <w:tcPr>
            <w:tcW w:w="6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Description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[*CTR] A/P Price Per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[*CTR] Per A/C</w:t>
            </w:r>
          </w:p>
        </w:tc>
        <w:tc>
          <w:tcPr>
            <w:tcW w:w="0" w:type="dxa"/>
            <w:vAlign w:val="bottom"/>
          </w:tcPr>
          <w:p>
            <w:pPr>
              <w:spacing w:after="0"/>
              <w:rPr>
                <w:sz w:val="1"/>
                <w:szCs w:val="1"/>
                <w:color w:val="auto"/>
              </w:rPr>
            </w:pPr>
          </w:p>
        </w:tc>
      </w:tr>
      <w:tr>
        <w:trPr>
          <w:trHeight w:val="199"/>
        </w:trPr>
        <w:tc>
          <w:tcPr>
            <w:tcW w:w="1840" w:type="dxa"/>
            <w:vAlign w:val="bottom"/>
            <w:tcBorders>
              <w:left w:val="single" w:sz="8" w:color="auto"/>
              <w:right w:val="single" w:sz="8" w:color="auto"/>
            </w:tcBorders>
          </w:tcPr>
          <w:p>
            <w:pPr>
              <w:spacing w:after="0"/>
              <w:rPr>
                <w:sz w:val="17"/>
                <w:szCs w:val="17"/>
                <w:color w:val="auto"/>
              </w:rPr>
            </w:pPr>
          </w:p>
        </w:tc>
        <w:tc>
          <w:tcPr>
            <w:tcW w:w="6520" w:type="dxa"/>
            <w:vAlign w:val="bottom"/>
            <w:tcBorders>
              <w:right w:val="single" w:sz="8" w:color="auto"/>
            </w:tcBorders>
            <w:vMerge w:val="continue"/>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A/C</w:t>
            </w: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6"/>
                <w:szCs w:val="16"/>
                <w:color w:val="auto"/>
              </w:rPr>
              <w:t>[*CTR]</w:t>
            </w:r>
          </w:p>
        </w:tc>
        <w:tc>
          <w:tcPr>
            <w:tcW w:w="6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24"/>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65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[*CTR]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Borders>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[*CTR]</w:t>
            </w:r>
          </w:p>
        </w:tc>
        <w:tc>
          <w:tcPr>
            <w:tcW w:w="44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[*CTR]</w:t>
            </w:r>
          </w:p>
        </w:tc>
        <w:tc>
          <w:tcPr>
            <w:tcW w:w="542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[*CTR]</w:t>
            </w:r>
          </w:p>
        </w:tc>
        <w:tc>
          <w:tcPr>
            <w:tcW w:w="1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[*CTR]</w:t>
            </w:r>
          </w:p>
        </w:tc>
      </w:tr>
      <w:tr>
        <w:trPr>
          <w:trHeight w:val="24"/>
        </w:trPr>
        <w:tc>
          <w:tcPr>
            <w:tcW w:w="8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7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  [*CTR]</w:t>
            </w: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[*CTR]</w:t>
            </w:r>
          </w:p>
        </w:tc>
        <w:tc>
          <w:tcPr>
            <w:tcW w:w="780" w:type="dxa"/>
            <w:vAlign w:val="bottom"/>
          </w:tcPr>
          <w:p>
            <w:pPr>
              <w:ind w:left="200"/>
              <w:spacing w:after="0"/>
              <w:rPr>
                <w:sz w:val="20"/>
                <w:szCs w:val="20"/>
                <w:color w:val="auto"/>
              </w:rPr>
            </w:pPr>
            <w:r>
              <w:rPr>
                <w:rFonts w:ascii="Arial" w:cs="Arial" w:eastAsia="Arial" w:hAnsi="Arial"/>
                <w:sz w:val="16"/>
                <w:szCs w:val="16"/>
                <w:color w:val="auto"/>
              </w:rPr>
              <w:t>[*CTR]</w:t>
            </w:r>
          </w:p>
        </w:tc>
        <w:tc>
          <w:tcPr>
            <w:tcW w:w="5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56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[*CTR]</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780" w:type="dxa"/>
            <w:vAlign w:val="bottom"/>
          </w:tcPr>
          <w:p>
            <w:pPr>
              <w:ind w:left="100"/>
              <w:spacing w:after="0"/>
              <w:rPr>
                <w:sz w:val="20"/>
                <w:szCs w:val="20"/>
                <w:color w:val="auto"/>
              </w:rPr>
            </w:pPr>
            <w:r>
              <w:rPr>
                <w:rFonts w:ascii="Arial" w:cs="Arial" w:eastAsia="Arial" w:hAnsi="Arial"/>
                <w:sz w:val="16"/>
                <w:szCs w:val="16"/>
                <w:color w:val="auto"/>
              </w:rPr>
              <w:t>[*CTR]</w:t>
            </w: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[*CTR]</w:t>
            </w:r>
          </w:p>
        </w:tc>
        <w:tc>
          <w:tcPr>
            <w:tcW w:w="1440" w:type="dxa"/>
            <w:vAlign w:val="bottom"/>
          </w:tcPr>
          <w:p>
            <w:pPr>
              <w:spacing w:after="0"/>
              <w:rPr>
                <w:sz w:val="24"/>
                <w:szCs w:val="24"/>
                <w:color w:val="auto"/>
              </w:rPr>
            </w:pPr>
          </w:p>
        </w:tc>
      </w:tr>
      <w:tr>
        <w:trPr>
          <w:trHeight w:val="808"/>
        </w:trPr>
        <w:tc>
          <w:tcPr>
            <w:tcW w:w="1320" w:type="dxa"/>
            <w:vAlign w:val="bottom"/>
            <w:gridSpan w:val="4"/>
          </w:tcPr>
          <w:p>
            <w:pPr>
              <w:spacing w:after="0"/>
              <w:rPr>
                <w:sz w:val="20"/>
                <w:szCs w:val="20"/>
                <w:color w:val="auto"/>
              </w:rPr>
            </w:pPr>
            <w:r>
              <w:rPr>
                <w:rFonts w:ascii="Arial" w:cs="Arial" w:eastAsia="Arial" w:hAnsi="Arial"/>
                <w:sz w:val="19"/>
                <w:szCs w:val="19"/>
                <w:color w:val="auto"/>
              </w:rPr>
              <w:t>PA 3219</w:t>
            </w:r>
          </w:p>
        </w:tc>
        <w:tc>
          <w:tcPr>
            <w:tcW w:w="820" w:type="dxa"/>
            <w:vAlign w:val="bottom"/>
            <w:gridSpan w:val="2"/>
          </w:tcPr>
          <w:p>
            <w:pPr>
              <w:ind w:left="100"/>
              <w:spacing w:after="0"/>
              <w:rPr>
                <w:sz w:val="20"/>
                <w:szCs w:val="20"/>
                <w:color w:val="auto"/>
              </w:rPr>
            </w:pPr>
            <w:r>
              <w:rPr>
                <w:rFonts w:ascii="Arial" w:cs="Arial" w:eastAsia="Arial" w:hAnsi="Arial"/>
                <w:sz w:val="19"/>
                <w:szCs w:val="19"/>
                <w:color w:val="auto"/>
              </w:rPr>
              <w:t>SA-11</w:t>
            </w:r>
          </w:p>
        </w:tc>
        <w:tc>
          <w:tcPr>
            <w:tcW w:w="7660" w:type="dxa"/>
            <w:vAlign w:val="bottom"/>
            <w:gridSpan w:val="3"/>
          </w:tcPr>
          <w:p>
            <w:pPr>
              <w:ind w:left="540"/>
              <w:spacing w:after="0"/>
              <w:rPr>
                <w:sz w:val="20"/>
                <w:szCs w:val="20"/>
                <w:color w:val="auto"/>
              </w:rPr>
            </w:pPr>
            <w:r>
              <w:rPr>
                <w:rFonts w:ascii="Arial" w:cs="Arial" w:eastAsia="Arial" w:hAnsi="Arial"/>
                <w:sz w:val="16"/>
                <w:szCs w:val="16"/>
                <w:color w:val="auto"/>
              </w:rPr>
              <w:t xml:space="preserve">Exhibit A(R3), </w:t>
            </w:r>
            <w:r>
              <w:rPr>
                <w:rFonts w:ascii="Arial" w:cs="Arial" w:eastAsia="Arial" w:hAnsi="Arial"/>
                <w:sz w:val="18"/>
                <w:szCs w:val="18"/>
                <w:color w:val="auto"/>
              </w:rPr>
              <w:t>Page 5</w:t>
            </w:r>
          </w:p>
        </w:tc>
        <w:tc>
          <w:tcPr>
            <w:tcW w:w="1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60" w:type="dxa"/>
            <w:vAlign w:val="bottom"/>
            <w:gridSpan w:val="3"/>
          </w:tcPr>
          <w:p>
            <w:pPr>
              <w:ind w:left="100"/>
              <w:spacing w:after="0"/>
              <w:rPr>
                <w:sz w:val="20"/>
                <w:szCs w:val="20"/>
                <w:color w:val="auto"/>
              </w:rPr>
            </w:pPr>
            <w:r>
              <w:rPr>
                <w:rFonts w:ascii="Arial" w:cs="Arial" w:eastAsia="Arial" w:hAnsi="Arial"/>
                <w:sz w:val="19"/>
                <w:szCs w:val="19"/>
                <w:b w:val="1"/>
                <w:bCs w:val="1"/>
                <w:color w:val="auto"/>
              </w:rPr>
              <w:t>BOEING PROPRIETARY</w:t>
            </w:r>
          </w:p>
        </w:tc>
        <w:tc>
          <w:tcPr>
            <w:tcW w:w="144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340"/>
          </w:cols>
          <w:pgMar w:left="240" w:top="447" w:right="319" w:bottom="1440" w:gutter="0" w:footer="0" w:header="0"/>
        </w:sectPr>
      </w:pPr>
    </w:p>
    <w:bookmarkStart w:id="126" w:name="page127"/>
    <w:bookmarkEnd w:id="126"/>
    <w:tbl>
      <w:tblPr>
        <w:tblLayout w:type="fixed"/>
        <w:tblInd w:w="100" w:type="dxa"/>
        <w:tblCellMar>
          <w:top w:w="0" w:type="dxa"/>
          <w:left w:w="0" w:type="dxa"/>
          <w:bottom w:w="0" w:type="dxa"/>
          <w:right w:w="0" w:type="dxa"/>
        </w:tblCellMar>
      </w:tblPr>
      <w:tr>
        <w:trPr>
          <w:trHeight w:val="221"/>
        </w:trPr>
        <w:tc>
          <w:tcPr>
            <w:tcW w:w="80" w:type="dxa"/>
            <w:vAlign w:val="bottom"/>
            <w:tcBorders>
              <w:right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color w:val="auto"/>
              </w:rPr>
              <w:t>Option Number</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8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0" w:type="dxa"/>
            <w:vAlign w:val="bottom"/>
          </w:tcPr>
          <w:p>
            <w:pPr>
              <w:spacing w:after="0"/>
              <w:rPr>
                <w:sz w:val="1"/>
                <w:szCs w:val="1"/>
                <w:color w:val="auto"/>
              </w:rPr>
            </w:pPr>
          </w:p>
        </w:tc>
      </w:tr>
      <w:tr>
        <w:trPr>
          <w:trHeight w:val="199"/>
        </w:trPr>
        <w:tc>
          <w:tcPr>
            <w:tcW w:w="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right w:val="single" w:sz="8" w:color="auto"/>
            </w:tcBorders>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tcBorders>
              <w:right w:val="single" w:sz="8" w:color="auto"/>
            </w:tcBorders>
            <w:vMerge w:val="restart"/>
          </w:tcPr>
          <w:p>
            <w:pPr>
              <w:ind w:left="2040"/>
              <w:spacing w:after="0"/>
              <w:rPr>
                <w:sz w:val="20"/>
                <w:szCs w:val="20"/>
                <w:color w:val="auto"/>
              </w:rPr>
            </w:pPr>
            <w:r>
              <w:rPr>
                <w:rFonts w:ascii="Arial" w:cs="Arial" w:eastAsia="Arial" w:hAnsi="Arial"/>
                <w:sz w:val="16"/>
                <w:szCs w:val="16"/>
                <w:color w:val="auto"/>
              </w:rPr>
              <w:t>Description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[*CTR] A/P Price Per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[*CTR] Per A/C</w:t>
            </w:r>
          </w:p>
        </w:tc>
        <w:tc>
          <w:tcPr>
            <w:tcW w:w="0" w:type="dxa"/>
            <w:vAlign w:val="bottom"/>
          </w:tcPr>
          <w:p>
            <w:pPr>
              <w:spacing w:after="0"/>
              <w:rPr>
                <w:sz w:val="1"/>
                <w:szCs w:val="1"/>
                <w:color w:val="auto"/>
              </w:rPr>
            </w:pPr>
          </w:p>
        </w:tc>
      </w:tr>
      <w:tr>
        <w:trPr>
          <w:trHeight w:val="199"/>
        </w:trPr>
        <w:tc>
          <w:tcPr>
            <w:tcW w:w="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tcBorders>
              <w:right w:val="single" w:sz="8" w:color="auto"/>
            </w:tcBorders>
            <w:vMerge w:val="continue"/>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A/C</w:t>
            </w: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0" w:type="dxa"/>
            <w:vAlign w:val="bottom"/>
            <w:tcBorders>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spacing w:after="0" w:line="166" w:lineRule="exact"/>
              <w:rPr>
                <w:sz w:val="20"/>
                <w:szCs w:val="20"/>
                <w:color w:val="auto"/>
              </w:rPr>
            </w:pPr>
            <w:r>
              <w:rPr>
                <w:rFonts w:ascii="Arial" w:cs="Arial" w:eastAsia="Arial" w:hAnsi="Arial"/>
                <w:sz w:val="16"/>
                <w:szCs w:val="16"/>
                <w:color w:val="auto"/>
              </w:rPr>
              <w:t>[*CTR]</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gridSpan w:val="2"/>
          </w:tcPr>
          <w:p>
            <w:pPr>
              <w:spacing w:after="0"/>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[*CTR]</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6"/>
                <w:szCs w:val="16"/>
                <w:color w:val="auto"/>
              </w:rPr>
              <w:t>[*CTR]</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00" w:type="dxa"/>
            <w:vAlign w:val="bottom"/>
            <w:gridSpan w:val="2"/>
          </w:tcPr>
          <w:p>
            <w:pPr>
              <w:spacing w:after="0" w:line="165" w:lineRule="exact"/>
              <w:rPr>
                <w:sz w:val="20"/>
                <w:szCs w:val="20"/>
                <w:color w:val="auto"/>
              </w:rPr>
            </w:pPr>
            <w:r>
              <w:rPr>
                <w:rFonts w:ascii="Arial" w:cs="Arial" w:eastAsia="Arial" w:hAnsi="Arial"/>
                <w:sz w:val="16"/>
                <w:szCs w:val="16"/>
                <w:color w:val="auto"/>
                <w:w w:val="99"/>
              </w:rPr>
              <w:t>[*CTR]</w:t>
            </w:r>
          </w:p>
        </w:tc>
        <w:tc>
          <w:tcPr>
            <w:tcW w:w="940" w:type="dxa"/>
            <w:vAlign w:val="bottom"/>
          </w:tcPr>
          <w:p>
            <w:pPr>
              <w:ind w:left="140"/>
              <w:spacing w:after="0" w:line="165" w:lineRule="exact"/>
              <w:rPr>
                <w:sz w:val="20"/>
                <w:szCs w:val="20"/>
                <w:color w:val="auto"/>
              </w:rPr>
            </w:pPr>
            <w:r>
              <w:rPr>
                <w:rFonts w:ascii="Arial" w:cs="Arial" w:eastAsia="Arial" w:hAnsi="Arial"/>
                <w:sz w:val="16"/>
                <w:szCs w:val="16"/>
                <w:color w:val="auto"/>
              </w:rPr>
              <w:t>[*CTR]</w:t>
            </w:r>
          </w:p>
        </w:tc>
        <w:tc>
          <w:tcPr>
            <w:tcW w:w="640" w:type="dxa"/>
            <w:vAlign w:val="bottom"/>
            <w:gridSpan w:val="2"/>
          </w:tcPr>
          <w:p>
            <w:pPr>
              <w:spacing w:after="0" w:line="165" w:lineRule="exact"/>
              <w:rPr>
                <w:sz w:val="20"/>
                <w:szCs w:val="20"/>
                <w:color w:val="auto"/>
              </w:rPr>
            </w:pPr>
            <w:r>
              <w:rPr>
                <w:rFonts w:ascii="Arial" w:cs="Arial" w:eastAsia="Arial" w:hAnsi="Arial"/>
                <w:sz w:val="16"/>
                <w:szCs w:val="16"/>
                <w:color w:val="auto"/>
              </w:rPr>
              <w:t>[*CTR]</w:t>
            </w:r>
          </w:p>
        </w:tc>
        <w:tc>
          <w:tcPr>
            <w:tcW w:w="6320" w:type="dxa"/>
            <w:vAlign w:val="bottom"/>
            <w:gridSpan w:val="3"/>
          </w:tcPr>
          <w:p>
            <w:pPr>
              <w:ind w:left="160"/>
              <w:spacing w:after="0" w:line="165" w:lineRule="exact"/>
              <w:rPr>
                <w:sz w:val="20"/>
                <w:szCs w:val="20"/>
                <w:color w:val="auto"/>
              </w:rPr>
            </w:pPr>
            <w:r>
              <w:rPr>
                <w:rFonts w:ascii="Arial" w:cs="Arial" w:eastAsia="Arial" w:hAnsi="Arial"/>
                <w:sz w:val="16"/>
                <w:szCs w:val="16"/>
                <w:color w:val="auto"/>
              </w:rPr>
              <w:t>[*CTR]</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327025</wp:posOffset>
            </wp:positionV>
            <wp:extent cx="3937000" cy="401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937000"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[*CTR]</w:t>
      </w:r>
    </w:p>
    <w:p>
      <w:pPr>
        <w:spacing w:after="0" w:line="38"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u w:val="single" w:color="auto"/>
          <w:color w:val="auto"/>
        </w:rPr>
        <w:t>[*CTR]</w:t>
        <w:tab/>
        <w:t>[*CTR]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400" w:val="left"/>
          <w:tab w:leader="none" w:pos="2660" w:val="left"/>
        </w:tabs>
        <w:rPr>
          <w:sz w:val="20"/>
          <w:szCs w:val="20"/>
          <w:color w:val="auto"/>
        </w:rPr>
      </w:pPr>
      <w:r>
        <w:rPr>
          <w:rFonts w:ascii="Arial" w:cs="Arial" w:eastAsia="Arial" w:hAnsi="Arial"/>
          <w:sz w:val="19"/>
          <w:szCs w:val="19"/>
          <w:color w:val="auto"/>
        </w:rPr>
        <w:t>PA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 xml:space="preserve">Exhibit A(R3), </w:t>
      </w:r>
      <w:r>
        <w:rPr>
          <w:rFonts w:ascii="Arial" w:cs="Arial" w:eastAsia="Arial" w:hAnsi="Arial"/>
          <w:sz w:val="16"/>
          <w:szCs w:val="16"/>
          <w:color w:val="auto"/>
        </w:rPr>
        <w:t>Page 6</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00"/>
          </w:cols>
          <w:pgMar w:left="240" w:top="447" w:right="25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9"/>
          <w:szCs w:val="19"/>
          <w:color w:val="auto"/>
        </w:rPr>
        <w:t>AIRCRAFT CONFIGURATION</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between</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THE BOEING COMPANY</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and</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AMERICAN AIRLINES, INC.</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A2(R4) to Purchase Agreement Number 3219</w:t>
      </w:r>
    </w:p>
    <w:p>
      <w:pPr>
        <w:sectPr>
          <w:pgSz w:w="11900" w:h="16838" w:orient="portrait"/>
          <w:cols w:equalWidth="0" w:num="1">
            <w:col w:w="9019"/>
          </w:cols>
          <w:pgMar w:left="1440" w:top="343"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9"/>
          <w:szCs w:val="19"/>
          <w:color w:val="auto"/>
        </w:rPr>
        <w:t>Exhibit A2(R4)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AIRCRAFT CONFIGURATION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the effective Date of SA-11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relating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BOEING MODEL [*CTR] AIRCRAFT</w:t>
      </w:r>
    </w:p>
    <w:p>
      <w:pPr>
        <w:spacing w:after="0" w:line="226" w:lineRule="exact"/>
        <w:rPr>
          <w:sz w:val="20"/>
          <w:szCs w:val="20"/>
          <w:color w:val="auto"/>
        </w:rPr>
      </w:pPr>
    </w:p>
    <w:p>
      <w:pPr>
        <w:jc w:val="both"/>
        <w:ind w:firstLine="561"/>
        <w:spacing w:after="0" w:line="251" w:lineRule="auto"/>
        <w:rPr>
          <w:sz w:val="20"/>
          <w:szCs w:val="20"/>
          <w:color w:val="auto"/>
        </w:rPr>
      </w:pPr>
      <w:r>
        <w:rPr>
          <w:rFonts w:ascii="Arial" w:cs="Arial" w:eastAsia="Arial" w:hAnsi="Arial"/>
          <w:sz w:val="19"/>
          <w:szCs w:val="19"/>
          <w:color w:val="auto"/>
        </w:rPr>
        <w:t>The Detail Specification is Boeing document number [*CTR] (the [*CTR] due to the Detail Specification being [*CTR]). The Detail Specification provides [*CTR] set forth in this Exhibit A. Such Detail Specification is comprised of Boeing 787 Airplane [*CTR] by Customer, including the effects on [*CTR], that are specified herein. [*CTR], Boeing will furnish to Customer copies of the Detail Specification, which copies will [*CTR]. The [*CTR], except such [*CTR].</w:t>
      </w: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19"/>
          <w:szCs w:val="19"/>
          <w:color w:val="auto"/>
        </w:rPr>
        <w:t>PA No. 3219SA-11</w:t>
      </w:r>
      <w:r>
        <w:rPr>
          <w:sz w:val="20"/>
          <w:szCs w:val="20"/>
          <w:color w:val="auto"/>
        </w:rPr>
        <w:tab/>
      </w:r>
      <w:r>
        <w:rPr>
          <w:rFonts w:ascii="Arial" w:cs="Arial" w:eastAsia="Arial" w:hAnsi="Arial"/>
          <w:sz w:val="17"/>
          <w:szCs w:val="17"/>
          <w:color w:val="auto"/>
        </w:rPr>
        <w:t>Exhibit A2(R4), Page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565" w:right="21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27"/>
        </w:trPr>
        <w:tc>
          <w:tcPr>
            <w:tcW w:w="2260" w:type="dxa"/>
            <w:vAlign w:val="bottom"/>
            <w:tcBorders>
              <w:top w:val="single" w:sz="8" w:color="auto"/>
              <w:lef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640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94"/>
              </w:rPr>
              <w:t>[*CTR] A/P Price Per</w:t>
            </w:r>
          </w:p>
        </w:tc>
        <w:tc>
          <w:tcPr>
            <w:tcW w:w="0" w:type="dxa"/>
            <w:vAlign w:val="bottom"/>
          </w:tcPr>
          <w:p>
            <w:pPr>
              <w:spacing w:after="0"/>
              <w:rPr>
                <w:sz w:val="1"/>
                <w:szCs w:val="1"/>
                <w:color w:val="auto"/>
              </w:rPr>
            </w:pPr>
          </w:p>
        </w:tc>
      </w:tr>
      <w:tr>
        <w:trPr>
          <w:trHeight w:val="246"/>
        </w:trPr>
        <w:tc>
          <w:tcPr>
            <w:tcW w:w="2260" w:type="dxa"/>
            <w:vAlign w:val="bottom"/>
            <w:tcBorders>
              <w:left w:val="single" w:sz="8" w:color="auto"/>
              <w:bottom w:val="single" w:sz="8" w:color="auto"/>
            </w:tcBorders>
          </w:tcPr>
          <w:p>
            <w:pPr>
              <w:ind w:left="1000"/>
              <w:spacing w:after="0"/>
              <w:rPr>
                <w:sz w:val="20"/>
                <w:szCs w:val="20"/>
                <w:color w:val="auto"/>
              </w:rPr>
            </w:pPr>
            <w:r>
              <w:rPr>
                <w:rFonts w:ascii="Arial" w:cs="Arial" w:eastAsia="Arial" w:hAnsi="Arial"/>
                <w:sz w:val="19"/>
                <w:szCs w:val="19"/>
                <w:color w:val="auto"/>
                <w:w w:val="96"/>
              </w:rPr>
              <w:t>Option Number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ind w:left="2740"/>
              <w:spacing w:after="0"/>
              <w:rPr>
                <w:sz w:val="20"/>
                <w:szCs w:val="20"/>
                <w:color w:val="auto"/>
              </w:rPr>
            </w:pPr>
            <w:r>
              <w:rPr>
                <w:rFonts w:ascii="Arial" w:cs="Arial" w:eastAsia="Arial" w:hAnsi="Arial"/>
                <w:sz w:val="19"/>
                <w:szCs w:val="19"/>
                <w:color w:val="auto"/>
              </w:rPr>
              <w:t>Description</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A/C</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60" w:type="dxa"/>
            <w:vAlign w:val="bottom"/>
            <w:tcBorders>
              <w:bottom w:val="single" w:sz="8" w:color="auto"/>
              <w:right w:val="single" w:sz="8" w:color="auto"/>
            </w:tcBorders>
          </w:tcPr>
          <w:p>
            <w:pPr>
              <w:spacing w:after="0"/>
              <w:rPr>
                <w:sz w:val="21"/>
                <w:szCs w:val="21"/>
                <w:color w:val="auto"/>
              </w:rPr>
            </w:pP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628"/>
        </w:trPr>
        <w:tc>
          <w:tcPr>
            <w:tcW w:w="2260" w:type="dxa"/>
            <w:vAlign w:val="bottom"/>
            <w:vMerge w:val="restart"/>
          </w:tcPr>
          <w:p>
            <w:pPr>
              <w:ind w:left="60"/>
              <w:spacing w:after="0"/>
              <w:rPr>
                <w:sz w:val="20"/>
                <w:szCs w:val="20"/>
                <w:color w:val="auto"/>
              </w:rPr>
            </w:pPr>
            <w:r>
              <w:rPr>
                <w:rFonts w:ascii="Arial" w:cs="Arial" w:eastAsia="Arial" w:hAnsi="Arial"/>
                <w:sz w:val="19"/>
                <w:szCs w:val="19"/>
                <w:color w:val="auto"/>
              </w:rPr>
              <w:t>PA 3219SA-11</w:t>
            </w:r>
          </w:p>
        </w:tc>
        <w:tc>
          <w:tcPr>
            <w:tcW w:w="7260" w:type="dxa"/>
            <w:vAlign w:val="bottom"/>
            <w:gridSpan w:val="2"/>
            <w:vMerge w:val="restart"/>
          </w:tcPr>
          <w:p>
            <w:pPr>
              <w:ind w:left="100"/>
              <w:spacing w:after="0"/>
              <w:rPr>
                <w:sz w:val="20"/>
                <w:szCs w:val="20"/>
                <w:color w:val="auto"/>
              </w:rPr>
            </w:pPr>
            <w:r>
              <w:rPr>
                <w:rFonts w:ascii="Arial" w:cs="Arial" w:eastAsia="Arial" w:hAnsi="Arial"/>
                <w:sz w:val="19"/>
                <w:szCs w:val="19"/>
                <w:color w:val="auto"/>
              </w:rPr>
              <w:t>Page: 1 of 5</w:t>
            </w:r>
          </w:p>
        </w:tc>
        <w:tc>
          <w:tcPr>
            <w:tcW w:w="1940" w:type="dxa"/>
            <w:vAlign w:val="bottom"/>
          </w:tcPr>
          <w:p>
            <w:pPr>
              <w:ind w:left="740"/>
              <w:spacing w:after="0"/>
              <w:rPr>
                <w:sz w:val="20"/>
                <w:szCs w:val="20"/>
                <w:color w:val="auto"/>
              </w:rPr>
            </w:pPr>
            <w:r>
              <w:rPr>
                <w:rFonts w:ascii="Arial" w:cs="Arial" w:eastAsia="Arial" w:hAnsi="Arial"/>
                <w:sz w:val="19"/>
                <w:szCs w:val="19"/>
                <w:color w:val="auto"/>
                <w:w w:val="94"/>
              </w:rPr>
              <w:t>Exhibit A2(R4)</w:t>
            </w:r>
          </w:p>
        </w:tc>
        <w:tc>
          <w:tcPr>
            <w:tcW w:w="0" w:type="dxa"/>
            <w:vAlign w:val="bottom"/>
          </w:tcPr>
          <w:p>
            <w:pPr>
              <w:spacing w:after="0"/>
              <w:rPr>
                <w:sz w:val="1"/>
                <w:szCs w:val="1"/>
                <w:color w:val="auto"/>
              </w:rPr>
            </w:pPr>
          </w:p>
        </w:tc>
      </w:tr>
      <w:tr>
        <w:trPr>
          <w:trHeight w:val="212"/>
        </w:trPr>
        <w:tc>
          <w:tcPr>
            <w:tcW w:w="2260" w:type="dxa"/>
            <w:vAlign w:val="bottom"/>
            <w:vMerge w:val="continue"/>
          </w:tcPr>
          <w:p>
            <w:pPr>
              <w:spacing w:after="0"/>
              <w:rPr>
                <w:sz w:val="18"/>
                <w:szCs w:val="18"/>
                <w:color w:val="auto"/>
              </w:rPr>
            </w:pPr>
          </w:p>
        </w:tc>
        <w:tc>
          <w:tcPr>
            <w:tcW w:w="726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262"/>
        </w:trPr>
        <w:tc>
          <w:tcPr>
            <w:tcW w:w="2020" w:type="dxa"/>
            <w:vAlign w:val="bottom"/>
            <w:tcBorders>
              <w:top w:val="single" w:sz="8" w:color="auto"/>
              <w:left w:val="single" w:sz="8" w:color="auto"/>
              <w:bottom w:val="single" w:sz="8" w:color="auto"/>
            </w:tcBorders>
          </w:tcPr>
          <w:p>
            <w:pPr>
              <w:ind w:left="1060"/>
              <w:spacing w:after="0"/>
              <w:rPr>
                <w:sz w:val="20"/>
                <w:szCs w:val="20"/>
                <w:color w:val="auto"/>
              </w:rPr>
            </w:pPr>
            <w:r>
              <w:rPr>
                <w:rFonts w:ascii="Arial" w:cs="Arial" w:eastAsia="Arial" w:hAnsi="Arial"/>
                <w:sz w:val="19"/>
                <w:szCs w:val="19"/>
                <w:color w:val="auto"/>
              </w:rPr>
              <w:t>Number</w:t>
            </w:r>
          </w:p>
        </w:tc>
        <w:tc>
          <w:tcPr>
            <w:tcW w:w="1100" w:type="dxa"/>
            <w:vAlign w:val="bottom"/>
            <w:tcBorders>
              <w:top w:val="single" w:sz="8" w:color="auto"/>
              <w:bottom w:val="single" w:sz="8" w:color="auto"/>
              <w:right w:val="single" w:sz="8" w:color="auto"/>
            </w:tcBorders>
          </w:tcPr>
          <w:p>
            <w:pPr>
              <w:spacing w:after="0"/>
              <w:rPr>
                <w:sz w:val="22"/>
                <w:szCs w:val="22"/>
                <w:color w:val="auto"/>
              </w:rPr>
            </w:pPr>
          </w:p>
        </w:tc>
        <w:tc>
          <w:tcPr>
            <w:tcW w:w="6740" w:type="dxa"/>
            <w:vAlign w:val="bottom"/>
            <w:tcBorders>
              <w:top w:val="single" w:sz="8" w:color="auto"/>
              <w:bottom w:val="single" w:sz="8" w:color="auto"/>
              <w:right w:val="single" w:sz="8" w:color="auto"/>
            </w:tcBorders>
          </w:tcPr>
          <w:p>
            <w:pPr>
              <w:ind w:left="2920"/>
              <w:spacing w:after="0"/>
              <w:rPr>
                <w:sz w:val="20"/>
                <w:szCs w:val="20"/>
                <w:color w:val="auto"/>
              </w:rPr>
            </w:pPr>
            <w:r>
              <w:rPr>
                <w:rFonts w:ascii="Arial" w:cs="Arial" w:eastAsia="Arial" w:hAnsi="Arial"/>
                <w:sz w:val="19"/>
                <w:szCs w:val="19"/>
                <w:color w:val="auto"/>
              </w:rPr>
              <w:t>Description</w:t>
            </w:r>
          </w:p>
        </w:tc>
        <w:tc>
          <w:tcPr>
            <w:tcW w:w="16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9"/>
                <w:szCs w:val="19"/>
                <w:color w:val="auto"/>
              </w:rPr>
              <w:t>Per A/C</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2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110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628"/>
        </w:trPr>
        <w:tc>
          <w:tcPr>
            <w:tcW w:w="2020" w:type="dxa"/>
            <w:vAlign w:val="bottom"/>
            <w:vMerge w:val="restart"/>
          </w:tcPr>
          <w:p>
            <w:pPr>
              <w:ind w:left="60"/>
              <w:spacing w:after="0"/>
              <w:rPr>
                <w:sz w:val="20"/>
                <w:szCs w:val="20"/>
                <w:color w:val="auto"/>
              </w:rPr>
            </w:pPr>
            <w:r>
              <w:rPr>
                <w:rFonts w:ascii="Arial" w:cs="Arial" w:eastAsia="Arial" w:hAnsi="Arial"/>
                <w:sz w:val="19"/>
                <w:szCs w:val="19"/>
                <w:color w:val="auto"/>
              </w:rPr>
              <w:t>PA 3219SA-11</w:t>
            </w:r>
          </w:p>
        </w:tc>
        <w:tc>
          <w:tcPr>
            <w:tcW w:w="7840" w:type="dxa"/>
            <w:vAlign w:val="bottom"/>
            <w:gridSpan w:val="2"/>
            <w:vMerge w:val="restart"/>
          </w:tcPr>
          <w:p>
            <w:pPr>
              <w:ind w:left="340"/>
              <w:spacing w:after="0"/>
              <w:rPr>
                <w:sz w:val="20"/>
                <w:szCs w:val="20"/>
                <w:color w:val="auto"/>
              </w:rPr>
            </w:pPr>
            <w:r>
              <w:rPr>
                <w:rFonts w:ascii="Arial" w:cs="Arial" w:eastAsia="Arial" w:hAnsi="Arial"/>
                <w:sz w:val="19"/>
                <w:szCs w:val="19"/>
                <w:color w:val="auto"/>
              </w:rPr>
              <w:t>Page: 2 of 5</w:t>
            </w:r>
          </w:p>
        </w:tc>
        <w:tc>
          <w:tcPr>
            <w:tcW w:w="1600" w:type="dxa"/>
            <w:vAlign w:val="bottom"/>
          </w:tcPr>
          <w:p>
            <w:pPr>
              <w:ind w:left="400"/>
              <w:spacing w:after="0"/>
              <w:rPr>
                <w:sz w:val="20"/>
                <w:szCs w:val="20"/>
                <w:color w:val="auto"/>
              </w:rPr>
            </w:pPr>
            <w:r>
              <w:rPr>
                <w:rFonts w:ascii="Arial" w:cs="Arial" w:eastAsia="Arial" w:hAnsi="Arial"/>
                <w:sz w:val="19"/>
                <w:szCs w:val="19"/>
                <w:color w:val="auto"/>
                <w:w w:val="94"/>
              </w:rPr>
              <w:t>Exhibit A2(R4)</w:t>
            </w:r>
          </w:p>
        </w:tc>
        <w:tc>
          <w:tcPr>
            <w:tcW w:w="0" w:type="dxa"/>
            <w:vAlign w:val="bottom"/>
          </w:tcPr>
          <w:p>
            <w:pPr>
              <w:spacing w:after="0"/>
              <w:rPr>
                <w:sz w:val="1"/>
                <w:szCs w:val="1"/>
                <w:color w:val="auto"/>
              </w:rPr>
            </w:pPr>
          </w:p>
        </w:tc>
      </w:tr>
      <w:tr>
        <w:trPr>
          <w:trHeight w:val="212"/>
        </w:trPr>
        <w:tc>
          <w:tcPr>
            <w:tcW w:w="2020" w:type="dxa"/>
            <w:vAlign w:val="bottom"/>
            <w:vMerge w:val="continue"/>
          </w:tcPr>
          <w:p>
            <w:pPr>
              <w:spacing w:after="0"/>
              <w:rPr>
                <w:sz w:val="18"/>
                <w:szCs w:val="18"/>
                <w:color w:val="auto"/>
              </w:rPr>
            </w:pPr>
          </w:p>
        </w:tc>
        <w:tc>
          <w:tcPr>
            <w:tcW w:w="784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62"/>
        </w:trPr>
        <w:tc>
          <w:tcPr>
            <w:tcW w:w="186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9"/>
                <w:szCs w:val="19"/>
                <w:color w:val="auto"/>
              </w:rPr>
              <w:t>Number</w:t>
            </w:r>
          </w:p>
        </w:tc>
        <w:tc>
          <w:tcPr>
            <w:tcW w:w="8100" w:type="dxa"/>
            <w:vAlign w:val="bottom"/>
            <w:tcBorders>
              <w:top w:val="single" w:sz="8" w:color="auto"/>
              <w:bottom w:val="single" w:sz="8" w:color="auto"/>
              <w:right w:val="single" w:sz="8" w:color="auto"/>
            </w:tcBorders>
          </w:tcPr>
          <w:p>
            <w:pPr>
              <w:ind w:left="3600"/>
              <w:spacing w:after="0"/>
              <w:rPr>
                <w:sz w:val="20"/>
                <w:szCs w:val="20"/>
                <w:color w:val="auto"/>
              </w:rPr>
            </w:pPr>
            <w:r>
              <w:rPr>
                <w:rFonts w:ascii="Arial" w:cs="Arial" w:eastAsia="Arial" w:hAnsi="Arial"/>
                <w:sz w:val="19"/>
                <w:szCs w:val="19"/>
                <w:color w:val="auto"/>
              </w:rPr>
              <w:t>Description</w:t>
            </w:r>
          </w:p>
        </w:tc>
        <w:tc>
          <w:tcPr>
            <w:tcW w:w="15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9"/>
                <w:szCs w:val="19"/>
                <w:color w:val="auto"/>
              </w:rPr>
              <w:t>Per A/C</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628"/>
        </w:trPr>
        <w:tc>
          <w:tcPr>
            <w:tcW w:w="1860" w:type="dxa"/>
            <w:vAlign w:val="bottom"/>
            <w:vMerge w:val="restart"/>
          </w:tcPr>
          <w:p>
            <w:pPr>
              <w:ind w:left="60"/>
              <w:spacing w:after="0"/>
              <w:rPr>
                <w:sz w:val="20"/>
                <w:szCs w:val="20"/>
                <w:color w:val="auto"/>
              </w:rPr>
            </w:pPr>
            <w:r>
              <w:rPr>
                <w:rFonts w:ascii="Arial" w:cs="Arial" w:eastAsia="Arial" w:hAnsi="Arial"/>
                <w:sz w:val="19"/>
                <w:szCs w:val="19"/>
                <w:color w:val="auto"/>
              </w:rPr>
              <w:t>PA 3219SA-11</w:t>
            </w:r>
          </w:p>
        </w:tc>
        <w:tc>
          <w:tcPr>
            <w:tcW w:w="8100" w:type="dxa"/>
            <w:vAlign w:val="bottom"/>
            <w:vMerge w:val="restart"/>
          </w:tcPr>
          <w:p>
            <w:pPr>
              <w:ind w:left="500"/>
              <w:spacing w:after="0"/>
              <w:rPr>
                <w:sz w:val="20"/>
                <w:szCs w:val="20"/>
                <w:color w:val="auto"/>
              </w:rPr>
            </w:pPr>
            <w:r>
              <w:rPr>
                <w:rFonts w:ascii="Arial" w:cs="Arial" w:eastAsia="Arial" w:hAnsi="Arial"/>
                <w:sz w:val="19"/>
                <w:szCs w:val="19"/>
                <w:color w:val="auto"/>
              </w:rPr>
              <w:t>Page: 3 of 5</w:t>
            </w:r>
          </w:p>
        </w:tc>
        <w:tc>
          <w:tcPr>
            <w:tcW w:w="1500" w:type="dxa"/>
            <w:vAlign w:val="bottom"/>
          </w:tcPr>
          <w:p>
            <w:pPr>
              <w:ind w:left="300"/>
              <w:spacing w:after="0"/>
              <w:rPr>
                <w:sz w:val="20"/>
                <w:szCs w:val="20"/>
                <w:color w:val="auto"/>
              </w:rPr>
            </w:pPr>
            <w:r>
              <w:rPr>
                <w:rFonts w:ascii="Arial" w:cs="Arial" w:eastAsia="Arial" w:hAnsi="Arial"/>
                <w:sz w:val="19"/>
                <w:szCs w:val="19"/>
                <w:color w:val="auto"/>
                <w:w w:val="94"/>
              </w:rPr>
              <w:t>Exhibit A2(R4)</w:t>
            </w:r>
          </w:p>
        </w:tc>
        <w:tc>
          <w:tcPr>
            <w:tcW w:w="0" w:type="dxa"/>
            <w:vAlign w:val="bottom"/>
          </w:tcPr>
          <w:p>
            <w:pPr>
              <w:spacing w:after="0"/>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62"/>
        </w:trPr>
        <w:tc>
          <w:tcPr>
            <w:tcW w:w="186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Number</w:t>
            </w:r>
          </w:p>
        </w:tc>
        <w:tc>
          <w:tcPr>
            <w:tcW w:w="8100" w:type="dxa"/>
            <w:vAlign w:val="bottom"/>
            <w:tcBorders>
              <w:top w:val="single" w:sz="8" w:color="auto"/>
              <w:bottom w:val="single" w:sz="8" w:color="auto"/>
              <w:right w:val="single" w:sz="8" w:color="auto"/>
            </w:tcBorders>
          </w:tcPr>
          <w:p>
            <w:pPr>
              <w:ind w:left="3600"/>
              <w:spacing w:after="0"/>
              <w:rPr>
                <w:sz w:val="20"/>
                <w:szCs w:val="20"/>
                <w:color w:val="auto"/>
              </w:rPr>
            </w:pPr>
            <w:r>
              <w:rPr>
                <w:rFonts w:ascii="Arial" w:cs="Arial" w:eastAsia="Arial" w:hAnsi="Arial"/>
                <w:sz w:val="19"/>
                <w:szCs w:val="19"/>
                <w:color w:val="auto"/>
              </w:rPr>
              <w:t>Description</w:t>
            </w:r>
          </w:p>
        </w:tc>
        <w:tc>
          <w:tcPr>
            <w:tcW w:w="15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9"/>
                <w:szCs w:val="19"/>
                <w:color w:val="auto"/>
              </w:rPr>
              <w:t>Per A/C</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628"/>
        </w:trPr>
        <w:tc>
          <w:tcPr>
            <w:tcW w:w="1860" w:type="dxa"/>
            <w:vAlign w:val="bottom"/>
            <w:vMerge w:val="restart"/>
          </w:tcPr>
          <w:p>
            <w:pPr>
              <w:ind w:left="60"/>
              <w:spacing w:after="0"/>
              <w:rPr>
                <w:sz w:val="20"/>
                <w:szCs w:val="20"/>
                <w:color w:val="auto"/>
              </w:rPr>
            </w:pPr>
            <w:r>
              <w:rPr>
                <w:rFonts w:ascii="Arial" w:cs="Arial" w:eastAsia="Arial" w:hAnsi="Arial"/>
                <w:sz w:val="19"/>
                <w:szCs w:val="19"/>
                <w:color w:val="auto"/>
              </w:rPr>
              <w:t>PA 3219SA-11</w:t>
            </w:r>
          </w:p>
        </w:tc>
        <w:tc>
          <w:tcPr>
            <w:tcW w:w="8100" w:type="dxa"/>
            <w:vAlign w:val="bottom"/>
            <w:vMerge w:val="restart"/>
          </w:tcPr>
          <w:p>
            <w:pPr>
              <w:ind w:left="500"/>
              <w:spacing w:after="0"/>
              <w:rPr>
                <w:sz w:val="20"/>
                <w:szCs w:val="20"/>
                <w:color w:val="auto"/>
              </w:rPr>
            </w:pPr>
            <w:r>
              <w:rPr>
                <w:rFonts w:ascii="Arial" w:cs="Arial" w:eastAsia="Arial" w:hAnsi="Arial"/>
                <w:sz w:val="19"/>
                <w:szCs w:val="19"/>
                <w:color w:val="auto"/>
              </w:rPr>
              <w:t>Page: 4 of 5</w:t>
            </w:r>
          </w:p>
        </w:tc>
        <w:tc>
          <w:tcPr>
            <w:tcW w:w="1500" w:type="dxa"/>
            <w:vAlign w:val="bottom"/>
          </w:tcPr>
          <w:p>
            <w:pPr>
              <w:ind w:left="300"/>
              <w:spacing w:after="0"/>
              <w:rPr>
                <w:sz w:val="20"/>
                <w:szCs w:val="20"/>
                <w:color w:val="auto"/>
              </w:rPr>
            </w:pPr>
            <w:r>
              <w:rPr>
                <w:rFonts w:ascii="Arial" w:cs="Arial" w:eastAsia="Arial" w:hAnsi="Arial"/>
                <w:sz w:val="19"/>
                <w:szCs w:val="19"/>
                <w:color w:val="auto"/>
                <w:w w:val="94"/>
              </w:rPr>
              <w:t>Exhibit A2(R4)</w:t>
            </w:r>
          </w:p>
        </w:tc>
        <w:tc>
          <w:tcPr>
            <w:tcW w:w="0" w:type="dxa"/>
            <w:vAlign w:val="bottom"/>
          </w:tcPr>
          <w:p>
            <w:pPr>
              <w:spacing w:after="0"/>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62"/>
        </w:trPr>
        <w:tc>
          <w:tcPr>
            <w:tcW w:w="186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9"/>
                <w:szCs w:val="19"/>
                <w:color w:val="auto"/>
              </w:rPr>
              <w:t>Number</w:t>
            </w:r>
          </w:p>
        </w:tc>
        <w:tc>
          <w:tcPr>
            <w:tcW w:w="8100" w:type="dxa"/>
            <w:vAlign w:val="bottom"/>
            <w:tcBorders>
              <w:top w:val="single" w:sz="8" w:color="auto"/>
              <w:bottom w:val="single" w:sz="8" w:color="auto"/>
              <w:right w:val="single" w:sz="8" w:color="auto"/>
            </w:tcBorders>
          </w:tcPr>
          <w:p>
            <w:pPr>
              <w:ind w:left="3600"/>
              <w:spacing w:after="0"/>
              <w:rPr>
                <w:sz w:val="20"/>
                <w:szCs w:val="20"/>
                <w:color w:val="auto"/>
              </w:rPr>
            </w:pPr>
            <w:r>
              <w:rPr>
                <w:rFonts w:ascii="Arial" w:cs="Arial" w:eastAsia="Arial" w:hAnsi="Arial"/>
                <w:sz w:val="19"/>
                <w:szCs w:val="19"/>
                <w:color w:val="auto"/>
              </w:rPr>
              <w:t>Description</w:t>
            </w:r>
          </w:p>
        </w:tc>
        <w:tc>
          <w:tcPr>
            <w:tcW w:w="1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Per A/C</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280"/>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8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Options: [*CTR]</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[*CTR]</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[*CTR]</w:t>
            </w:r>
          </w:p>
        </w:tc>
        <w:tc>
          <w:tcPr>
            <w:tcW w:w="0" w:type="dxa"/>
            <w:vAlign w:val="bottom"/>
          </w:tcPr>
          <w:p>
            <w:pPr>
              <w:spacing w:after="0"/>
              <w:rPr>
                <w:sz w:val="1"/>
                <w:szCs w:val="1"/>
                <w:color w:val="auto"/>
              </w:rPr>
            </w:pPr>
          </w:p>
        </w:tc>
      </w:tr>
      <w:tr>
        <w:trPr>
          <w:trHeight w:val="628"/>
        </w:trPr>
        <w:tc>
          <w:tcPr>
            <w:tcW w:w="1860" w:type="dxa"/>
            <w:vAlign w:val="bottom"/>
            <w:vMerge w:val="restart"/>
          </w:tcPr>
          <w:p>
            <w:pPr>
              <w:ind w:left="60"/>
              <w:spacing w:after="0"/>
              <w:rPr>
                <w:sz w:val="20"/>
                <w:szCs w:val="20"/>
                <w:color w:val="auto"/>
              </w:rPr>
            </w:pPr>
            <w:r>
              <w:rPr>
                <w:rFonts w:ascii="Arial" w:cs="Arial" w:eastAsia="Arial" w:hAnsi="Arial"/>
                <w:sz w:val="19"/>
                <w:szCs w:val="19"/>
                <w:color w:val="auto"/>
              </w:rPr>
              <w:t>PA 3219SA-11</w:t>
            </w:r>
          </w:p>
        </w:tc>
        <w:tc>
          <w:tcPr>
            <w:tcW w:w="8100" w:type="dxa"/>
            <w:vAlign w:val="bottom"/>
            <w:vMerge w:val="restart"/>
          </w:tcPr>
          <w:p>
            <w:pPr>
              <w:ind w:left="500"/>
              <w:spacing w:after="0"/>
              <w:rPr>
                <w:sz w:val="20"/>
                <w:szCs w:val="20"/>
                <w:color w:val="auto"/>
              </w:rPr>
            </w:pPr>
            <w:r>
              <w:rPr>
                <w:rFonts w:ascii="Arial" w:cs="Arial" w:eastAsia="Arial" w:hAnsi="Arial"/>
                <w:sz w:val="19"/>
                <w:szCs w:val="19"/>
                <w:color w:val="auto"/>
              </w:rPr>
              <w:t>Page: 5 of 5</w:t>
            </w:r>
          </w:p>
        </w:tc>
        <w:tc>
          <w:tcPr>
            <w:tcW w:w="1500" w:type="dxa"/>
            <w:vAlign w:val="bottom"/>
          </w:tcPr>
          <w:p>
            <w:pPr>
              <w:ind w:left="300"/>
              <w:spacing w:after="0"/>
              <w:rPr>
                <w:sz w:val="20"/>
                <w:szCs w:val="20"/>
                <w:color w:val="auto"/>
              </w:rPr>
            </w:pPr>
            <w:r>
              <w:rPr>
                <w:rFonts w:ascii="Arial" w:cs="Arial" w:eastAsia="Arial" w:hAnsi="Arial"/>
                <w:sz w:val="19"/>
                <w:szCs w:val="19"/>
                <w:color w:val="auto"/>
                <w:w w:val="94"/>
              </w:rPr>
              <w:t>Exhibit A2(R4)</w:t>
            </w:r>
          </w:p>
        </w:tc>
        <w:tc>
          <w:tcPr>
            <w:tcW w:w="0" w:type="dxa"/>
            <w:vAlign w:val="bottom"/>
          </w:tcPr>
          <w:p>
            <w:pPr>
              <w:spacing w:after="0"/>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8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447" w:right="219" w:bottom="1440" w:gutter="0" w:footer="0" w:header="0"/>
        </w:sectPr>
      </w:pPr>
    </w:p>
    <w:bookmarkStart w:id="134" w:name="page135"/>
    <w:bookmarkEnd w:id="134"/>
    <w:p>
      <w:pPr>
        <w:ind w:left="5046"/>
        <w:spacing w:after="0"/>
        <w:rPr>
          <w:sz w:val="20"/>
          <w:szCs w:val="20"/>
          <w:color w:val="auto"/>
        </w:rPr>
      </w:pPr>
      <w:r>
        <w:rPr>
          <w:sz w:val="1"/>
          <w:szCs w:val="1"/>
          <w:color w:val="auto"/>
        </w:rPr>
        <w:drawing>
          <wp:inline distT="0" distB="0" distL="0" distR="0">
            <wp:extent cx="1396365" cy="31178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Arial" w:cs="Arial" w:eastAsia="Arial" w:hAnsi="Arial"/>
          <w:sz w:val="19"/>
          <w:szCs w:val="19"/>
          <w:color w:val="auto"/>
        </w:rPr>
        <w:t>6-1162-CLO-1047R4</w:t>
      </w:r>
    </w:p>
    <w:p>
      <w:pPr>
        <w:spacing w:after="0" w:line="285"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Texas 75261-9616</w:t>
      </w:r>
    </w:p>
    <w:p>
      <w:pPr>
        <w:spacing w:after="0" w:line="269" w:lineRule="exact"/>
        <w:rPr>
          <w:sz w:val="20"/>
          <w:szCs w:val="20"/>
          <w:color w:val="auto"/>
        </w:rPr>
      </w:pPr>
    </w:p>
    <w:p>
      <w:pPr>
        <w:ind w:left="6"/>
        <w:spacing w:after="0"/>
        <w:tabs>
          <w:tab w:leader="none" w:pos="786" w:val="left"/>
        </w:tabs>
        <w:rPr>
          <w:sz w:val="20"/>
          <w:szCs w:val="20"/>
          <w:color w:val="auto"/>
        </w:rPr>
      </w:pPr>
      <w:r>
        <w:rPr>
          <w:rFonts w:ascii="Arial" w:cs="Arial" w:eastAsia="Arial" w:hAnsi="Arial"/>
          <w:sz w:val="19"/>
          <w:szCs w:val="19"/>
          <w:color w:val="auto"/>
        </w:rPr>
        <w:t>Subject:</w:t>
        <w:tab/>
        <w:t>[*CTR]</w:t>
      </w:r>
    </w:p>
    <w:p>
      <w:pPr>
        <w:sectPr>
          <w:pgSz w:w="11900" w:h="16838" w:orient="portrait"/>
          <w:cols w:equalWidth="0" w:num="1">
            <w:col w:w="11446"/>
          </w:cols>
          <w:pgMar w:left="234" w:top="139" w:right="219" w:bottom="1440" w:gutter="0" w:footer="0" w:header="0"/>
        </w:sectPr>
      </w:pP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3219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06" w:space="320"/>
            <w:col w:w="10320"/>
          </w:cols>
          <w:pgMar w:left="234" w:top="139" w:right="219" w:bottom="1440" w:gutter="0" w:footer="0" w:header="0"/>
          <w:type w:val="continuous"/>
        </w:sectPr>
      </w:pPr>
    </w:p>
    <w:p>
      <w:pPr>
        <w:spacing w:after="0" w:line="69"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have the same meaning as in the Purchase Agreement.</w:t>
      </w:r>
    </w:p>
    <w:p>
      <w:pPr>
        <w:spacing w:after="0" w:line="143" w:lineRule="exact"/>
        <w:rPr>
          <w:sz w:val="20"/>
          <w:szCs w:val="20"/>
          <w:color w:val="auto"/>
        </w:rPr>
      </w:pPr>
    </w:p>
    <w:p>
      <w:pPr>
        <w:ind w:left="1126" w:hanging="1126"/>
        <w:spacing w:after="0"/>
        <w:tabs>
          <w:tab w:leader="none" w:pos="1126" w:val="left"/>
        </w:tabs>
        <w:numPr>
          <w:ilvl w:val="0"/>
          <w:numId w:val="74"/>
        </w:numPr>
        <w:rPr>
          <w:rFonts w:ascii="Arial" w:cs="Arial" w:eastAsia="Arial" w:hAnsi="Arial"/>
          <w:sz w:val="16"/>
          <w:szCs w:val="16"/>
          <w:b w:val="1"/>
          <w:bCs w:val="1"/>
          <w:color w:val="auto"/>
        </w:rPr>
      </w:pPr>
      <w:r>
        <w:rPr>
          <w:rFonts w:ascii="Arial" w:cs="Arial" w:eastAsia="Arial" w:hAnsi="Arial"/>
          <w:sz w:val="19"/>
          <w:szCs w:val="19"/>
          <w:b w:val="1"/>
          <w:bCs w:val="1"/>
          <w:u w:val="single" w:color="auto"/>
          <w:color w:val="auto"/>
        </w:rPr>
        <w:t>[*CTR]</w:t>
      </w:r>
      <w:r>
        <w:rPr>
          <w:rFonts w:ascii="Arial" w:cs="Arial" w:eastAsia="Arial" w:hAnsi="Arial"/>
          <w:sz w:val="19"/>
          <w:szCs w:val="19"/>
          <w:b w:val="1"/>
          <w:bCs w:val="1"/>
          <w:color w:val="auto"/>
        </w:rPr>
        <w:t>.</w:t>
      </w:r>
    </w:p>
    <w:p>
      <w:pPr>
        <w:spacing w:after="0" w:line="195"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8"/>
          <w:szCs w:val="18"/>
          <w:color w:val="auto"/>
        </w:rPr>
        <w:t>[*CTR].</w:t>
      </w:r>
    </w:p>
    <w:p>
      <w:pPr>
        <w:spacing w:after="0" w:line="308"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8"/>
          <w:szCs w:val="18"/>
          <w:color w:val="auto"/>
        </w:rPr>
        <w:t>[*CTR].</w:t>
      </w:r>
    </w:p>
    <w:p>
      <w:pPr>
        <w:spacing w:after="0" w:line="308"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8"/>
          <w:szCs w:val="18"/>
          <w:color w:val="auto"/>
        </w:rPr>
        <w:t>[*CTR].</w:t>
      </w:r>
    </w:p>
    <w:p>
      <w:pPr>
        <w:spacing w:after="0" w:line="308"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8"/>
          <w:szCs w:val="18"/>
          <w:color w:val="auto"/>
        </w:rPr>
        <w:t>[*CTR].</w:t>
      </w:r>
    </w:p>
    <w:p>
      <w:pPr>
        <w:spacing w:after="0" w:line="121" w:lineRule="exact"/>
        <w:rPr>
          <w:sz w:val="20"/>
          <w:szCs w:val="20"/>
          <w:color w:val="auto"/>
        </w:rPr>
      </w:pPr>
    </w:p>
    <w:p>
      <w:pPr>
        <w:ind w:left="1126"/>
        <w:spacing w:after="0"/>
        <w:tabs>
          <w:tab w:leader="none" w:pos="1666"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1126"/>
        <w:spacing w:after="0"/>
        <w:tabs>
          <w:tab w:leader="none" w:pos="1666" w:val="left"/>
        </w:tabs>
        <w:rPr>
          <w:sz w:val="20"/>
          <w:szCs w:val="20"/>
          <w:color w:val="auto"/>
        </w:rPr>
      </w:pPr>
      <w:r>
        <w:rPr>
          <w:rFonts w:ascii="Arial" w:cs="Arial" w:eastAsia="Arial" w:hAnsi="Arial"/>
          <w:sz w:val="19"/>
          <w:szCs w:val="19"/>
          <w:color w:val="auto"/>
        </w:rPr>
        <w:t>1.4.2</w:t>
      </w:r>
      <w:r>
        <w:rPr>
          <w:sz w:val="20"/>
          <w:szCs w:val="20"/>
          <w:color w:val="auto"/>
        </w:rPr>
        <w:tab/>
      </w:r>
      <w:r>
        <w:rPr>
          <w:rFonts w:ascii="Arial" w:cs="Arial" w:eastAsia="Arial" w:hAnsi="Arial"/>
          <w:sz w:val="18"/>
          <w:szCs w:val="18"/>
          <w:color w:val="auto"/>
        </w:rPr>
        <w:t>[*CTR].</w:t>
      </w:r>
    </w:p>
    <w:p>
      <w:pPr>
        <w:spacing w:after="0" w:line="187"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8"/>
          <w:szCs w:val="18"/>
          <w:color w:val="auto"/>
        </w:rPr>
        <w:t>[*CTR]</w:t>
      </w:r>
      <w:r>
        <w:rPr>
          <w:rFonts w:ascii="Arial" w:cs="Arial" w:eastAsia="Arial" w:hAnsi="Arial"/>
          <w:sz w:val="18"/>
          <w:szCs w:val="18"/>
          <w:b w:val="1"/>
          <w:bCs w:val="1"/>
          <w:color w:val="auto"/>
        </w:rPr>
        <w:t>.</w:t>
      </w:r>
    </w:p>
    <w:p>
      <w:pPr>
        <w:spacing w:after="0" w:line="312" w:lineRule="exact"/>
        <w:rPr>
          <w:sz w:val="20"/>
          <w:szCs w:val="20"/>
          <w:color w:val="auto"/>
        </w:rPr>
      </w:pPr>
    </w:p>
    <w:p>
      <w:pPr>
        <w:ind w:left="346"/>
        <w:spacing w:after="0"/>
        <w:tabs>
          <w:tab w:leader="none" w:pos="686"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8"/>
          <w:szCs w:val="18"/>
          <w:color w:val="auto"/>
        </w:rPr>
        <w:t>[*CTR].</w:t>
      </w:r>
    </w:p>
    <w:p>
      <w:pPr>
        <w:spacing w:after="0" w:line="304" w:lineRule="exact"/>
        <w:rPr>
          <w:sz w:val="20"/>
          <w:szCs w:val="20"/>
          <w:color w:val="auto"/>
        </w:rPr>
      </w:pPr>
    </w:p>
    <w:p>
      <w:pPr>
        <w:ind w:left="1086" w:hanging="1086"/>
        <w:spacing w:after="0"/>
        <w:tabs>
          <w:tab w:leader="none" w:pos="1086" w:val="left"/>
        </w:tabs>
        <w:numPr>
          <w:ilvl w:val="0"/>
          <w:numId w:val="75"/>
        </w:numPr>
        <w:rPr>
          <w:rFonts w:ascii="Arial" w:cs="Arial" w:eastAsia="Arial" w:hAnsi="Arial"/>
          <w:sz w:val="16"/>
          <w:szCs w:val="16"/>
          <w:b w:val="1"/>
          <w:bCs w:val="1"/>
          <w:color w:val="auto"/>
        </w:rPr>
      </w:pPr>
      <w:r>
        <w:rPr>
          <w:rFonts w:ascii="Arial" w:cs="Arial" w:eastAsia="Arial" w:hAnsi="Arial"/>
          <w:sz w:val="19"/>
          <w:szCs w:val="19"/>
          <w:b w:val="1"/>
          <w:bCs w:val="1"/>
          <w:u w:val="single" w:color="auto"/>
          <w:color w:val="auto"/>
        </w:rPr>
        <w:t>Assignment.</w:t>
      </w:r>
    </w:p>
    <w:p>
      <w:pPr>
        <w:spacing w:after="0" w:line="195" w:lineRule="exact"/>
        <w:rPr>
          <w:sz w:val="20"/>
          <w:szCs w:val="20"/>
          <w:color w:val="auto"/>
        </w:rPr>
      </w:pPr>
    </w:p>
    <w:p>
      <w:pPr>
        <w:jc w:val="both"/>
        <w:ind w:left="6"/>
        <w:spacing w:after="0" w:line="255"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368" w:lineRule="exact"/>
        <w:rPr>
          <w:sz w:val="20"/>
          <w:szCs w:val="20"/>
          <w:color w:val="auto"/>
        </w:rPr>
      </w:pPr>
    </w:p>
    <w:tbl>
      <w:tblPr>
        <w:tblLayout w:type="fixed"/>
        <w:tblInd w:w="6" w:type="dxa"/>
        <w:tblCellMar>
          <w:top w:w="0" w:type="dxa"/>
          <w:left w:w="0" w:type="dxa"/>
          <w:bottom w:w="0" w:type="dxa"/>
          <w:right w:w="0" w:type="dxa"/>
        </w:tblCellMar>
      </w:tblPr>
      <w:tr>
        <w:trPr>
          <w:trHeight w:val="229"/>
        </w:trPr>
        <w:tc>
          <w:tcPr>
            <w:tcW w:w="1700" w:type="dxa"/>
            <w:vAlign w:val="bottom"/>
          </w:tcPr>
          <w:p>
            <w:pPr>
              <w:spacing w:after="0"/>
              <w:rPr>
                <w:sz w:val="20"/>
                <w:szCs w:val="20"/>
                <w:color w:val="auto"/>
              </w:rPr>
            </w:pPr>
            <w:r>
              <w:rPr>
                <w:rFonts w:ascii="Arial" w:cs="Arial" w:eastAsia="Arial" w:hAnsi="Arial"/>
                <w:sz w:val="19"/>
                <w:szCs w:val="19"/>
                <w:color w:val="auto"/>
              </w:rPr>
              <w:t>PA No. 3219</w:t>
            </w:r>
          </w:p>
        </w:tc>
        <w:tc>
          <w:tcPr>
            <w:tcW w:w="2680" w:type="dxa"/>
            <w:vAlign w:val="bottom"/>
          </w:tcPr>
          <w:p>
            <w:pPr>
              <w:ind w:left="40"/>
              <w:spacing w:after="0"/>
              <w:rPr>
                <w:sz w:val="20"/>
                <w:szCs w:val="20"/>
                <w:color w:val="auto"/>
              </w:rPr>
            </w:pPr>
            <w:r>
              <w:rPr>
                <w:rFonts w:ascii="Arial" w:cs="Arial" w:eastAsia="Arial" w:hAnsi="Arial"/>
                <w:sz w:val="19"/>
                <w:szCs w:val="19"/>
                <w:color w:val="auto"/>
              </w:rPr>
              <w:t>SA-11</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20"/>
                <w:szCs w:val="20"/>
                <w:color w:val="auto"/>
              </w:rPr>
            </w:pPr>
            <w:r>
              <w:rPr>
                <w:rFonts w:ascii="Arial" w:cs="Arial" w:eastAsia="Arial" w:hAnsi="Arial"/>
                <w:sz w:val="16"/>
                <w:szCs w:val="16"/>
                <w:color w:val="auto"/>
                <w:w w:val="92"/>
              </w:rPr>
              <w:t>L.A. 6-1162-CLO-1047R4</w:t>
            </w:r>
          </w:p>
        </w:tc>
        <w:tc>
          <w:tcPr>
            <w:tcW w:w="2680" w:type="dxa"/>
            <w:vAlign w:val="bottom"/>
            <w:vMerge w:val="restart"/>
          </w:tcPr>
          <w:p>
            <w:pPr>
              <w:ind w:left="680"/>
              <w:spacing w:after="0"/>
              <w:rPr>
                <w:sz w:val="20"/>
                <w:szCs w:val="20"/>
                <w:color w:val="auto"/>
              </w:rPr>
            </w:pPr>
            <w:r>
              <w:rPr>
                <w:rFonts w:ascii="Arial" w:cs="Arial" w:eastAsia="Arial" w:hAnsi="Arial"/>
                <w:sz w:val="19"/>
                <w:szCs w:val="19"/>
                <w:color w:val="auto"/>
              </w:rPr>
              <w:t>Page 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20"/>
                <w:szCs w:val="20"/>
                <w:color w:val="auto"/>
              </w:rPr>
            </w:pPr>
            <w:r>
              <w:rPr>
                <w:rFonts w:ascii="Arial" w:cs="Arial" w:eastAsia="Arial" w:hAnsi="Arial"/>
                <w:sz w:val="16"/>
                <w:szCs w:val="16"/>
                <w:color w:val="auto"/>
              </w:rPr>
              <w:t>[*CTR]</w:t>
            </w: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680" w:type="dxa"/>
            <w:vAlign w:val="bottom"/>
          </w:tcPr>
          <w:p>
            <w:pPr>
              <w:ind w:left="540"/>
              <w:spacing w:after="0"/>
              <w:rPr>
                <w:sz w:val="20"/>
                <w:szCs w:val="20"/>
                <w:color w:val="auto"/>
              </w:rPr>
            </w:pPr>
            <w:r>
              <w:rPr>
                <w:rFonts w:ascii="Arial" w:cs="Arial" w:eastAsia="Arial" w:hAnsi="Arial"/>
                <w:sz w:val="19"/>
                <w:szCs w:val="19"/>
                <w:b w:val="1"/>
                <w:bCs w:val="1"/>
                <w:color w:val="auto"/>
                <w:w w:val="97"/>
              </w:rPr>
              <w:t>BOEING PROPRIETARY</w:t>
            </w:r>
          </w:p>
        </w:tc>
        <w:tc>
          <w:tcPr>
            <w:tcW w:w="0" w:type="dxa"/>
            <w:vAlign w:val="bottom"/>
          </w:tcPr>
          <w:p>
            <w:pPr>
              <w:spacing w:after="0"/>
              <w:rPr>
                <w:sz w:val="1"/>
                <w:szCs w:val="1"/>
                <w:color w:val="auto"/>
              </w:rPr>
            </w:pPr>
          </w:p>
        </w:tc>
      </w:tr>
    </w:tbl>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type w:val="continuous"/>
        </w:sectPr>
      </w:pPr>
    </w:p>
    <w:bookmarkStart w:id="135" w:name="page136"/>
    <w:bookmarkEnd w:id="135"/>
    <w:p>
      <w:pPr>
        <w:ind w:left="326" w:hanging="326"/>
        <w:spacing w:after="0"/>
        <w:tabs>
          <w:tab w:leader="none" w:pos="326"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Confidential Treatment</w:t>
      </w:r>
      <w:r>
        <w:rPr>
          <w:rFonts w:ascii="Arial" w:cs="Arial" w:eastAsia="Arial" w:hAnsi="Arial"/>
          <w:sz w:val="19"/>
          <w:szCs w:val="19"/>
          <w:b w:val="1"/>
          <w:bCs w:val="1"/>
          <w:color w:val="auto"/>
        </w:rPr>
        <w:t>.</w:t>
      </w:r>
    </w:p>
    <w:p>
      <w:pPr>
        <w:spacing w:after="0" w:line="195" w:lineRule="exact"/>
        <w:rPr>
          <w:sz w:val="20"/>
          <w:szCs w:val="20"/>
          <w:color w:val="auto"/>
        </w:rPr>
      </w:pPr>
    </w:p>
    <w:p>
      <w:pPr>
        <w:jc w:val="both"/>
        <w:ind w:left="6"/>
        <w:spacing w:after="0" w:line="248"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 either party may disclose the information contained herein without the consent of the other party when and to the extent required by any law applicable to such party or by a Governmental Authority.</w:t>
      </w:r>
    </w:p>
    <w:p>
      <w:pPr>
        <w:spacing w:after="0" w:line="260" w:lineRule="exact"/>
        <w:rPr>
          <w:sz w:val="20"/>
          <w:szCs w:val="20"/>
          <w:color w:val="auto"/>
        </w:rPr>
      </w:pPr>
    </w:p>
    <w:p>
      <w:pPr>
        <w:ind w:left="6"/>
        <w:spacing w:after="0"/>
        <w:rPr>
          <w:sz w:val="20"/>
          <w:szCs w:val="20"/>
          <w:color w:val="auto"/>
        </w:rPr>
      </w:pPr>
      <w:r>
        <w:rPr>
          <w:rFonts w:ascii="Arial" w:cs="Arial" w:eastAsia="Arial" w:hAnsi="Arial"/>
          <w:sz w:val="19"/>
          <w:szCs w:val="19"/>
          <w:color w:val="auto"/>
        </w:rPr>
        <w:t>Very truly yours,</w:t>
      </w:r>
    </w:p>
    <w:p>
      <w:pPr>
        <w:spacing w:after="0" w:line="22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THE BOEING COMPANY</w:t>
      </w:r>
    </w:p>
    <w:p>
      <w:pPr>
        <w:spacing w:after="0" w:line="200" w:lineRule="exact"/>
        <w:rPr>
          <w:sz w:val="20"/>
          <w:szCs w:val="20"/>
          <w:color w:val="auto"/>
        </w:rPr>
      </w:pPr>
    </w:p>
    <w:p>
      <w:pPr>
        <w:spacing w:after="0" w:line="252" w:lineRule="exact"/>
        <w:rPr>
          <w:sz w:val="20"/>
          <w:szCs w:val="20"/>
          <w:color w:val="auto"/>
        </w:rPr>
      </w:pPr>
    </w:p>
    <w:p>
      <w:pPr>
        <w:ind w:left="6"/>
        <w:spacing w:after="0"/>
        <w:tabs>
          <w:tab w:leader="none" w:pos="446"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-14605</wp:posOffset>
            </wp:positionV>
            <wp:extent cx="157797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206" w:lineRule="exact"/>
        <w:rPr>
          <w:sz w:val="20"/>
          <w:szCs w:val="20"/>
          <w:color w:val="auto"/>
        </w:rPr>
      </w:pPr>
    </w:p>
    <w:p>
      <w:pPr>
        <w:ind w:left="6"/>
        <w:spacing w:after="0" w:line="219" w:lineRule="exact"/>
        <w:tabs>
          <w:tab w:leader="none" w:pos="766"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145224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
        <w:spacing w:after="0"/>
        <w:rPr>
          <w:sz w:val="20"/>
          <w:szCs w:val="20"/>
          <w:color w:val="auto"/>
        </w:rPr>
      </w:pPr>
      <w:r>
        <w:rPr>
          <w:rFonts w:ascii="Arial" w:cs="Arial" w:eastAsia="Arial" w:hAnsi="Arial"/>
          <w:sz w:val="19"/>
          <w:szCs w:val="19"/>
          <w:color w:val="auto"/>
        </w:rPr>
        <w:t>ACCEPTED AND AGREED TO this</w:t>
      </w:r>
    </w:p>
    <w:p>
      <w:pPr>
        <w:spacing w:after="0" w:line="226" w:lineRule="exact"/>
        <w:rPr>
          <w:sz w:val="20"/>
          <w:szCs w:val="20"/>
          <w:color w:val="auto"/>
        </w:rPr>
      </w:pPr>
    </w:p>
    <w:p>
      <w:pPr>
        <w:ind w:left="6"/>
        <w:spacing w:after="0"/>
        <w:tabs>
          <w:tab w:leader="none" w:pos="566"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-14605</wp:posOffset>
            </wp:positionV>
            <wp:extent cx="12547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252" w:lineRule="exact"/>
        <w:rPr>
          <w:sz w:val="20"/>
          <w:szCs w:val="20"/>
          <w:color w:val="auto"/>
        </w:rPr>
      </w:pPr>
    </w:p>
    <w:p>
      <w:pPr>
        <w:ind w:left="6"/>
        <w:spacing w:after="0"/>
        <w:tabs>
          <w:tab w:leader="none" w:pos="486" w:val="left"/>
        </w:tabs>
        <w:rPr>
          <w:sz w:val="20"/>
          <w:szCs w:val="20"/>
          <w:color w:val="auto"/>
        </w:rPr>
      </w:pPr>
      <w:r>
        <w:rPr>
          <w:rFonts w:ascii="Arial" w:cs="Arial" w:eastAsia="Arial" w:hAnsi="Arial"/>
          <w:sz w:val="19"/>
          <w:szCs w:val="19"/>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-14605</wp:posOffset>
            </wp:positionV>
            <wp:extent cx="13830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1383030" cy="7620"/>
                    </a:xfrm>
                    <a:prstGeom prst="rect">
                      <a:avLst/>
                    </a:prstGeom>
                    <a:noFill/>
                  </pic:spPr>
                </pic:pic>
              </a:graphicData>
            </a:graphic>
          </wp:anchor>
        </w:drawing>
      </w:r>
    </w:p>
    <w:p>
      <w:pPr>
        <w:spacing w:after="0" w:line="206" w:lineRule="exact"/>
        <w:rPr>
          <w:sz w:val="20"/>
          <w:szCs w:val="20"/>
          <w:color w:val="auto"/>
        </w:rPr>
      </w:pPr>
    </w:p>
    <w:p>
      <w:pPr>
        <w:ind w:left="6"/>
        <w:spacing w:after="0"/>
        <w:rPr>
          <w:sz w:val="20"/>
          <w:szCs w:val="20"/>
          <w:color w:val="auto"/>
        </w:rPr>
      </w:pPr>
      <w:r>
        <w:rPr>
          <w:rFonts w:ascii="Arial" w:cs="Arial" w:eastAsia="Arial" w:hAnsi="Arial"/>
          <w:sz w:val="19"/>
          <w:szCs w:val="19"/>
          <w:color w:val="auto"/>
        </w:rPr>
        <w:t xml:space="preserve">Its: </w:t>
      </w:r>
      <w:r>
        <w:rPr>
          <w:rFonts w:ascii="Arial" w:cs="Arial" w:eastAsia="Arial" w:hAnsi="Arial"/>
          <w:sz w:val="19"/>
          <w:szCs w:val="19"/>
          <w:u w:val="single" w:color="auto"/>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 w:type="dxa"/>
        <w:tblCellMar>
          <w:top w:w="0" w:type="dxa"/>
          <w:left w:w="0" w:type="dxa"/>
          <w:bottom w:w="0" w:type="dxa"/>
          <w:right w:w="0" w:type="dxa"/>
        </w:tblCellMar>
      </w:tblPr>
      <w:tr>
        <w:trPr>
          <w:trHeight w:val="229"/>
        </w:trPr>
        <w:tc>
          <w:tcPr>
            <w:tcW w:w="1700" w:type="dxa"/>
            <w:vAlign w:val="bottom"/>
          </w:tcPr>
          <w:p>
            <w:pPr>
              <w:spacing w:after="0"/>
              <w:rPr>
                <w:sz w:val="20"/>
                <w:szCs w:val="20"/>
                <w:color w:val="auto"/>
              </w:rPr>
            </w:pPr>
            <w:r>
              <w:rPr>
                <w:rFonts w:ascii="Arial" w:cs="Arial" w:eastAsia="Arial" w:hAnsi="Arial"/>
                <w:sz w:val="19"/>
                <w:szCs w:val="19"/>
                <w:color w:val="auto"/>
              </w:rPr>
              <w:t>PA No. 3219</w:t>
            </w:r>
          </w:p>
        </w:tc>
        <w:tc>
          <w:tcPr>
            <w:tcW w:w="2680" w:type="dxa"/>
            <w:vAlign w:val="bottom"/>
          </w:tcPr>
          <w:p>
            <w:pPr>
              <w:ind w:left="40"/>
              <w:spacing w:after="0"/>
              <w:rPr>
                <w:sz w:val="20"/>
                <w:szCs w:val="20"/>
                <w:color w:val="auto"/>
              </w:rPr>
            </w:pPr>
            <w:r>
              <w:rPr>
                <w:rFonts w:ascii="Arial" w:cs="Arial" w:eastAsia="Arial" w:hAnsi="Arial"/>
                <w:sz w:val="19"/>
                <w:szCs w:val="19"/>
                <w:color w:val="auto"/>
              </w:rPr>
              <w:t>SA-11</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20"/>
                <w:szCs w:val="20"/>
                <w:color w:val="auto"/>
              </w:rPr>
            </w:pPr>
            <w:r>
              <w:rPr>
                <w:rFonts w:ascii="Arial" w:cs="Arial" w:eastAsia="Arial" w:hAnsi="Arial"/>
                <w:sz w:val="16"/>
                <w:szCs w:val="16"/>
                <w:color w:val="auto"/>
                <w:w w:val="92"/>
              </w:rPr>
              <w:t>L.A. 6-1162-CLO-1047R4</w:t>
            </w:r>
          </w:p>
        </w:tc>
        <w:tc>
          <w:tcPr>
            <w:tcW w:w="2680" w:type="dxa"/>
            <w:vAlign w:val="bottom"/>
            <w:vMerge w:val="restart"/>
          </w:tcPr>
          <w:p>
            <w:pPr>
              <w:ind w:left="680"/>
              <w:spacing w:after="0"/>
              <w:rPr>
                <w:sz w:val="20"/>
                <w:szCs w:val="20"/>
                <w:color w:val="auto"/>
              </w:rPr>
            </w:pPr>
            <w:r>
              <w:rPr>
                <w:rFonts w:ascii="Arial" w:cs="Arial" w:eastAsia="Arial" w:hAnsi="Arial"/>
                <w:sz w:val="19"/>
                <w:szCs w:val="19"/>
                <w:color w:val="auto"/>
              </w:rPr>
              <w:t>Page 2</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20"/>
                <w:szCs w:val="20"/>
                <w:color w:val="auto"/>
              </w:rPr>
            </w:pPr>
            <w:r>
              <w:rPr>
                <w:rFonts w:ascii="Arial" w:cs="Arial" w:eastAsia="Arial" w:hAnsi="Arial"/>
                <w:sz w:val="16"/>
                <w:szCs w:val="16"/>
                <w:color w:val="auto"/>
              </w:rPr>
              <w:t>[*CTR]</w:t>
            </w: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680" w:type="dxa"/>
            <w:vAlign w:val="bottom"/>
          </w:tcPr>
          <w:p>
            <w:pPr>
              <w:ind w:left="540"/>
              <w:spacing w:after="0"/>
              <w:rPr>
                <w:sz w:val="20"/>
                <w:szCs w:val="20"/>
                <w:color w:val="auto"/>
              </w:rPr>
            </w:pPr>
            <w:r>
              <w:rPr>
                <w:rFonts w:ascii="Arial" w:cs="Arial" w:eastAsia="Arial" w:hAnsi="Arial"/>
                <w:sz w:val="19"/>
                <w:szCs w:val="19"/>
                <w:b w:val="1"/>
                <w:bCs w:val="1"/>
                <w:color w:val="auto"/>
                <w:w w:val="97"/>
              </w:rPr>
              <w:t>BOEING PROPRIETARY</w:t>
            </w:r>
          </w:p>
        </w:tc>
        <w:tc>
          <w:tcPr>
            <w:tcW w:w="0" w:type="dxa"/>
            <w:vAlign w:val="bottom"/>
          </w:tcPr>
          <w:p>
            <w:pPr>
              <w:spacing w:after="0"/>
              <w:rPr>
                <w:sz w:val="1"/>
                <w:szCs w:val="1"/>
                <w:color w:val="auto"/>
              </w:rPr>
            </w:pPr>
          </w:p>
        </w:tc>
      </w:tr>
    </w:tbl>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017" w:right="219" w:bottom="1440" w:gutter="0" w:footer="0" w:header="0"/>
        </w:sectPr>
      </w:pPr>
    </w:p>
    <w:bookmarkStart w:id="136" w:name="page137"/>
    <w:bookmarkEnd w:id="136"/>
    <w:p>
      <w:pPr>
        <w:ind w:left="5046"/>
        <w:spacing w:after="0"/>
        <w:rPr>
          <w:sz w:val="20"/>
          <w:szCs w:val="20"/>
          <w:color w:val="auto"/>
        </w:rPr>
      </w:pPr>
      <w:r>
        <w:rPr>
          <w:sz w:val="1"/>
          <w:szCs w:val="1"/>
          <w:color w:val="auto"/>
        </w:rPr>
        <w:drawing>
          <wp:inline distT="0" distB="0" distL="0" distR="0">
            <wp:extent cx="1396365" cy="31178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Arial" w:cs="Arial" w:eastAsia="Arial" w:hAnsi="Arial"/>
          <w:sz w:val="19"/>
          <w:szCs w:val="19"/>
          <w:color w:val="auto"/>
        </w:rPr>
        <w:t>6-1162-TRW-0664R2</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Dallas/Ft. Worth Airport, Texas 75261-9616</w:t>
      </w:r>
    </w:p>
    <w:p>
      <w:pPr>
        <w:spacing w:after="0" w:line="200" w:lineRule="exact"/>
        <w:rPr>
          <w:sz w:val="20"/>
          <w:szCs w:val="20"/>
          <w:color w:val="auto"/>
        </w:rPr>
      </w:pPr>
    </w:p>
    <w:p>
      <w:pPr>
        <w:spacing w:after="0" w:line="232" w:lineRule="exact"/>
        <w:rPr>
          <w:sz w:val="20"/>
          <w:szCs w:val="20"/>
          <w:color w:val="auto"/>
        </w:rPr>
      </w:pPr>
    </w:p>
    <w:p>
      <w:pPr>
        <w:ind w:left="6"/>
        <w:spacing w:after="0"/>
        <w:tabs>
          <w:tab w:leader="none" w:pos="766" w:val="left"/>
        </w:tabs>
        <w:rPr>
          <w:sz w:val="20"/>
          <w:szCs w:val="20"/>
          <w:color w:val="auto"/>
        </w:rPr>
      </w:pPr>
      <w:r>
        <w:rPr>
          <w:rFonts w:ascii="Arial" w:cs="Arial" w:eastAsia="Arial" w:hAnsi="Arial"/>
          <w:sz w:val="19"/>
          <w:szCs w:val="19"/>
          <w:color w:val="auto"/>
        </w:rPr>
        <w:t>Subject:</w:t>
      </w:r>
      <w:r>
        <w:rPr>
          <w:sz w:val="20"/>
          <w:szCs w:val="20"/>
          <w:color w:val="auto"/>
        </w:rPr>
        <w:tab/>
      </w:r>
      <w:r>
        <w:rPr>
          <w:rFonts w:ascii="Arial" w:cs="Arial" w:eastAsia="Arial" w:hAnsi="Arial"/>
          <w:sz w:val="17"/>
          <w:szCs w:val="17"/>
          <w:color w:val="auto"/>
        </w:rPr>
        <w:t>Aircraft Purchase Rights and Substitution Rights</w:t>
      </w:r>
    </w:p>
    <w:p>
      <w:pPr>
        <w:sectPr>
          <w:pgSz w:w="11900" w:h="16838" w:orient="portrait"/>
          <w:cols w:equalWidth="0" w:num="1">
            <w:col w:w="11446"/>
          </w:cols>
          <w:pgMar w:left="234" w:top="139" w:right="219" w:bottom="1440" w:gutter="0" w:footer="0" w:header="0"/>
        </w:sectPr>
      </w:pPr>
    </w:p>
    <w:p>
      <w:pPr>
        <w:spacing w:after="0" w:line="226" w:lineRule="exact"/>
        <w:rPr>
          <w:sz w:val="20"/>
          <w:szCs w:val="20"/>
          <w:color w:val="auto"/>
        </w:rPr>
      </w:pPr>
    </w:p>
    <w:p>
      <w:pPr>
        <w:ind w:left="6"/>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3219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06" w:space="320"/>
            <w:col w:w="10320"/>
          </w:cols>
          <w:pgMar w:left="234" w:top="139" w:right="219" w:bottom="1440" w:gutter="0" w:footer="0" w:header="0"/>
          <w:type w:val="continuous"/>
        </w:sectPr>
      </w:pPr>
    </w:p>
    <w:p>
      <w:pPr>
        <w:spacing w:after="0" w:line="232" w:lineRule="exact"/>
        <w:rPr>
          <w:sz w:val="20"/>
          <w:szCs w:val="20"/>
          <w:color w:val="auto"/>
        </w:rPr>
      </w:pPr>
    </w:p>
    <w:p>
      <w:pPr>
        <w:jc w:val="both"/>
        <w:ind w:left="6" w:firstLine="561"/>
        <w:spacing w:after="0" w:line="25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is entered into on the date below, and constitutes a part of the Purchase Agreement, as the same may hereafter be amended, modified or supplemented and including, without limitation, as part thereof the exhibits, appendices, schedules, attachments and letter agreements thereto.</w:t>
      </w:r>
    </w:p>
    <w:p>
      <w:pPr>
        <w:spacing w:after="0" w:line="193"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226"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44" w:lineRule="exact"/>
        <w:rPr>
          <w:sz w:val="20"/>
          <w:szCs w:val="20"/>
          <w:color w:val="auto"/>
        </w:rPr>
      </w:pPr>
    </w:p>
    <w:p>
      <w:pPr>
        <w:ind w:left="6" w:right="20" w:hanging="6"/>
        <w:spacing w:after="0" w:line="270" w:lineRule="auto"/>
        <w:tabs>
          <w:tab w:leader="none" w:pos="428"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Capitalized terms used herein and not defined pursuant to this Letter Agreement have the meanings set forth in the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following terms, when used in capitalized form, have the following meanings:</w:t>
      </w:r>
    </w:p>
    <w:p>
      <w:pPr>
        <w:spacing w:after="0" w:line="179" w:lineRule="exact"/>
        <w:rPr>
          <w:sz w:val="20"/>
          <w:szCs w:val="20"/>
          <w:color w:val="auto"/>
        </w:rPr>
      </w:pPr>
    </w:p>
    <w:p>
      <w:pPr>
        <w:jc w:val="both"/>
        <w:ind w:left="6" w:firstLine="561"/>
        <w:spacing w:after="0" w:line="255" w:lineRule="auto"/>
        <w:rPr>
          <w:sz w:val="20"/>
          <w:szCs w:val="20"/>
          <w:color w:val="auto"/>
        </w:rPr>
      </w:pPr>
      <w:r>
        <w:rPr>
          <w:rFonts w:ascii="Arial" w:cs="Arial" w:eastAsia="Arial" w:hAnsi="Arial"/>
          <w:sz w:val="19"/>
          <w:szCs w:val="19"/>
          <w:b w:val="1"/>
          <w:bCs w:val="1"/>
          <w:i w:val="1"/>
          <w:iCs w:val="1"/>
          <w:color w:val="auto"/>
        </w:rPr>
        <w:t xml:space="preserve">Applicable Delivery Month </w:t>
      </w:r>
      <w:r>
        <w:rPr>
          <w:rFonts w:ascii="Arial" w:cs="Arial" w:eastAsia="Arial" w:hAnsi="Arial"/>
          <w:sz w:val="19"/>
          <w:szCs w:val="19"/>
          <w:color w:val="auto"/>
        </w:rPr>
        <w:t>means: (a) with respect to each Firm Aircraft, the Scheduled Delivery Month for such aircraft and (b) with respect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each [*CTR] specified therefore (or such other month in which a Delivery Position has been reserved for such aircraft in accordance with the procedures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93" w:lineRule="exact"/>
        <w:rPr>
          <w:sz w:val="20"/>
          <w:szCs w:val="20"/>
          <w:color w:val="auto"/>
        </w:rPr>
      </w:pPr>
    </w:p>
    <w:p>
      <w:pPr>
        <w:jc w:val="both"/>
        <w:ind w:left="6" w:firstLine="561"/>
        <w:spacing w:after="0" w:line="251" w:lineRule="auto"/>
        <w:rPr>
          <w:sz w:val="20"/>
          <w:szCs w:val="20"/>
          <w:color w:val="auto"/>
        </w:rPr>
      </w:pPr>
      <w:r>
        <w:rPr>
          <w:rFonts w:ascii="Arial" w:cs="Arial" w:eastAsia="Arial" w:hAnsi="Arial"/>
          <w:sz w:val="19"/>
          <w:szCs w:val="19"/>
          <w:b w:val="1"/>
          <w:bCs w:val="1"/>
          <w:i w:val="1"/>
          <w:iCs w:val="1"/>
          <w:color w:val="auto"/>
        </w:rPr>
        <w:t xml:space="preserve">Applicable Purchase Agreement </w:t>
      </w:r>
      <w:r>
        <w:rPr>
          <w:rFonts w:ascii="Arial" w:cs="Arial" w:eastAsia="Arial" w:hAnsi="Arial"/>
          <w:sz w:val="19"/>
          <w:szCs w:val="19"/>
          <w:color w:val="auto"/>
        </w:rPr>
        <w:t>means: (a) when used with respect to any Rights Aircraft or Substitute Aircraft that is a model 787-923 or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787-8, the Purchase Agreement, as may be supplemented, amended or modified, or (b) when used with respect to any Derivative made available for purchase by Customer, the purchase agreement executed and delivered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hereof in connection with Customer's first purchase (if any) of such Derivative, as may be supplemented, amended or modified.</w:t>
      </w:r>
    </w:p>
    <w:p>
      <w:pPr>
        <w:sectPr>
          <w:pgSz w:w="11900" w:h="16838" w:orient="portrait"/>
          <w:cols w:equalWidth="0" w:num="1">
            <w:col w:w="11446"/>
          </w:cols>
          <w:pgMar w:left="234" w:top="139" w:right="219" w:bottom="1440" w:gutter="0" w:footer="0" w:header="0"/>
          <w:type w:val="continuous"/>
        </w:sect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L.A. 6-1162-TRW-0664R2</w:t>
      </w:r>
    </w:p>
    <w:p>
      <w:pPr>
        <w:spacing w:after="0" w:line="47" w:lineRule="exact"/>
        <w:rPr>
          <w:sz w:val="20"/>
          <w:szCs w:val="20"/>
          <w:color w:val="auto"/>
        </w:rPr>
      </w:pPr>
    </w:p>
    <w:p>
      <w:pPr>
        <w:sectPr>
          <w:pgSz w:w="11900" w:h="16838" w:orient="portrait"/>
          <w:cols w:equalWidth="0" w:num="3">
            <w:col w:w="1026" w:space="720"/>
            <w:col w:w="480" w:space="620"/>
            <w:col w:w="8600"/>
          </w:cols>
          <w:pgMar w:left="234" w:top="139" w:right="219" w:bottom="1440" w:gutter="0" w:footer="0" w:header="0"/>
          <w:type w:val="continuous"/>
        </w:sectPr>
      </w:pPr>
    </w:p>
    <w:p>
      <w:pPr>
        <w:ind w:left="6"/>
        <w:spacing w:after="0"/>
        <w:tabs>
          <w:tab w:leader="none" w:pos="4146"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1</w:t>
      </w:r>
    </w:p>
    <w:p>
      <w:pPr>
        <w:spacing w:after="0" w:line="50" w:lineRule="exact"/>
        <w:rPr>
          <w:sz w:val="20"/>
          <w:szCs w:val="20"/>
          <w:color w:val="auto"/>
        </w:rPr>
      </w:pPr>
    </w:p>
    <w:p>
      <w:pPr>
        <w:ind w:left="2246"/>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1446"/>
          </w:cols>
          <w:pgMar w:left="234" w:top="139" w:right="219" w:bottom="1440" w:gutter="0" w:footer="0" w:header="0"/>
          <w:type w:val="continuous"/>
        </w:sectPr>
      </w:pPr>
    </w:p>
    <w:p>
      <w:pPr>
        <w:spacing w:after="0" w:line="15"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type w:val="continuous"/>
        </w:sectPr>
      </w:pPr>
    </w:p>
    <w:bookmarkStart w:id="137" w:name="page138"/>
    <w:bookmarkEnd w:id="137"/>
    <w:p>
      <w:pPr>
        <w:jc w:val="both"/>
        <w:ind w:right="20" w:firstLine="187"/>
        <w:spacing w:after="0" w:line="266" w:lineRule="auto"/>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 xml:space="preserve">Available Position </w:t>
      </w:r>
      <w:r>
        <w:rPr>
          <w:rFonts w:ascii="Arial" w:cs="Arial" w:eastAsia="Arial" w:hAnsi="Arial"/>
          <w:sz w:val="19"/>
          <w:szCs w:val="19"/>
          <w:color w:val="auto"/>
        </w:rPr>
        <w:t>means any Delivery Position that is available in Boeing's judgment for the delivery of a Rights Aircraft to Customer in connection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the exercise of a [*CTR].</w:t>
      </w:r>
    </w:p>
    <w:p>
      <w:pPr>
        <w:spacing w:after="0" w:line="182" w:lineRule="exact"/>
        <w:rPr>
          <w:sz w:val="20"/>
          <w:szCs w:val="20"/>
          <w:color w:val="auto"/>
        </w:rPr>
      </w:pPr>
    </w:p>
    <w:p>
      <w:pPr>
        <w:jc w:val="both"/>
        <w:ind w:firstLine="561"/>
        <w:spacing w:after="0" w:line="266" w:lineRule="auto"/>
        <w:rPr>
          <w:sz w:val="20"/>
          <w:szCs w:val="20"/>
          <w:color w:val="auto"/>
        </w:rPr>
      </w:pPr>
      <w:r>
        <w:rPr>
          <w:rFonts w:ascii="Arial" w:cs="Arial" w:eastAsia="Arial" w:hAnsi="Arial"/>
          <w:sz w:val="19"/>
          <w:szCs w:val="19"/>
          <w:b w:val="1"/>
          <w:bCs w:val="1"/>
          <w:i w:val="1"/>
          <w:iCs w:val="1"/>
          <w:color w:val="auto"/>
        </w:rPr>
        <w:t xml:space="preserve">Available Introduction Position </w:t>
      </w:r>
      <w:r>
        <w:rPr>
          <w:rFonts w:ascii="Arial" w:cs="Arial" w:eastAsia="Arial" w:hAnsi="Arial"/>
          <w:sz w:val="19"/>
          <w:szCs w:val="19"/>
          <w:color w:val="auto"/>
        </w:rPr>
        <w:t>means an Introduction Position that is available in Boeing's judgment for the delivery of a Rights Aircraft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Substitute Aircraft (as the case may be) with an interior configuration not previously certified by the FAA.</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 xml:space="preserve">Business Day </w:t>
      </w:r>
      <w:r>
        <w:rPr>
          <w:rFonts w:ascii="Arial" w:cs="Arial" w:eastAsia="Arial" w:hAnsi="Arial"/>
          <w:sz w:val="19"/>
          <w:szCs w:val="19"/>
          <w:color w:val="auto"/>
        </w:rPr>
        <w:t>means Monday through Friday, except for U.S. federal or state holidays.</w:t>
      </w:r>
    </w:p>
    <w:p>
      <w:pPr>
        <w:spacing w:after="0" w:line="226" w:lineRule="exact"/>
        <w:rPr>
          <w:sz w:val="20"/>
          <w:szCs w:val="20"/>
          <w:color w:val="auto"/>
        </w:rPr>
      </w:pPr>
    </w:p>
    <w:p>
      <w:pPr>
        <w:jc w:val="both"/>
        <w:ind w:right="20" w:firstLine="561"/>
        <w:spacing w:after="0" w:line="266" w:lineRule="auto"/>
        <w:rPr>
          <w:sz w:val="20"/>
          <w:szCs w:val="20"/>
          <w:color w:val="auto"/>
        </w:rPr>
      </w:pPr>
      <w:r>
        <w:rPr>
          <w:rFonts w:ascii="Arial" w:cs="Arial" w:eastAsia="Arial" w:hAnsi="Arial"/>
          <w:sz w:val="19"/>
          <w:szCs w:val="19"/>
          <w:b w:val="1"/>
          <w:bCs w:val="1"/>
          <w:i w:val="1"/>
          <w:iCs w:val="1"/>
          <w:color w:val="auto"/>
        </w:rPr>
        <w:t xml:space="preserve">Delivery Position </w:t>
      </w:r>
      <w:r>
        <w:rPr>
          <w:rFonts w:ascii="Arial" w:cs="Arial" w:eastAsia="Arial" w:hAnsi="Arial"/>
          <w:sz w:val="19"/>
          <w:szCs w:val="19"/>
          <w:color w:val="auto"/>
        </w:rPr>
        <w:t>means that portion of the production rate that is or may from time to time be allocated by Boeing or its Affiliate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manufacture of a model 787 aircraft (or any Derivative or Successor) and delivery of such aircraft in a specified month.</w:t>
      </w:r>
    </w:p>
    <w:p>
      <w:pPr>
        <w:spacing w:after="0" w:line="182" w:lineRule="exact"/>
        <w:rPr>
          <w:sz w:val="20"/>
          <w:szCs w:val="20"/>
          <w:color w:val="auto"/>
        </w:rPr>
      </w:pPr>
    </w:p>
    <w:p>
      <w:pPr>
        <w:jc w:val="both"/>
        <w:ind w:firstLine="561"/>
        <w:spacing w:after="0" w:line="266" w:lineRule="auto"/>
        <w:rPr>
          <w:sz w:val="20"/>
          <w:szCs w:val="20"/>
          <w:color w:val="auto"/>
        </w:rPr>
      </w:pPr>
      <w:r>
        <w:rPr>
          <w:rFonts w:ascii="Arial" w:cs="Arial" w:eastAsia="Arial" w:hAnsi="Arial"/>
          <w:sz w:val="19"/>
          <w:szCs w:val="19"/>
          <w:b w:val="1"/>
          <w:bCs w:val="1"/>
          <w:i w:val="1"/>
          <w:iCs w:val="1"/>
          <w:color w:val="auto"/>
        </w:rPr>
        <w:t xml:space="preserve">Derivative </w:t>
      </w:r>
      <w:r>
        <w:rPr>
          <w:rFonts w:ascii="Arial" w:cs="Arial" w:eastAsia="Arial" w:hAnsi="Arial"/>
          <w:sz w:val="19"/>
          <w:szCs w:val="19"/>
          <w:color w:val="auto"/>
        </w:rPr>
        <w:t>means any airframe model that is a derivative of the model 787 (other than a model 787-8 or model 787-3) that is developed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Boeing or an Affiliate of Boeing subsequent to the date hereof.</w:t>
      </w:r>
    </w:p>
    <w:p>
      <w:pPr>
        <w:spacing w:after="0" w:line="182" w:lineRule="exact"/>
        <w:rPr>
          <w:sz w:val="20"/>
          <w:szCs w:val="20"/>
          <w:color w:val="auto"/>
        </w:rPr>
      </w:pPr>
    </w:p>
    <w:p>
      <w:pPr>
        <w:jc w:val="both"/>
        <w:ind w:firstLine="561"/>
        <w:spacing w:after="0" w:line="251" w:lineRule="auto"/>
        <w:rPr>
          <w:sz w:val="20"/>
          <w:szCs w:val="20"/>
          <w:color w:val="auto"/>
        </w:rPr>
      </w:pPr>
      <w:r>
        <w:rPr>
          <w:rFonts w:ascii="Arial" w:cs="Arial" w:eastAsia="Arial" w:hAnsi="Arial"/>
          <w:sz w:val="19"/>
          <w:szCs w:val="19"/>
          <w:b w:val="1"/>
          <w:bCs w:val="1"/>
          <w:i w:val="1"/>
          <w:iCs w:val="1"/>
          <w:color w:val="auto"/>
        </w:rPr>
        <w:t xml:space="preserve">Eligible Model </w:t>
      </w:r>
      <w:r>
        <w:rPr>
          <w:rFonts w:ascii="Arial" w:cs="Arial" w:eastAsia="Arial" w:hAnsi="Arial"/>
          <w:sz w:val="19"/>
          <w:szCs w:val="19"/>
          <w:color w:val="auto"/>
        </w:rPr>
        <w:t>means all or any combination thereof, as the context requires, of the following listed airframe model types, in each case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manufactured in accordance with the applicable Detail Specification identified on </w:t>
      </w:r>
      <w:r>
        <w:rPr>
          <w:rFonts w:ascii="Arial" w:cs="Arial" w:eastAsia="Arial" w:hAnsi="Arial"/>
          <w:sz w:val="19"/>
          <w:szCs w:val="19"/>
          <w:u w:val="single" w:color="auto"/>
          <w:color w:val="auto"/>
        </w:rPr>
        <w:t>Attachment C(R4)</w:t>
      </w:r>
      <w:r>
        <w:rPr>
          <w:rFonts w:ascii="Arial" w:cs="Arial" w:eastAsia="Arial" w:hAnsi="Arial"/>
          <w:sz w:val="19"/>
          <w:szCs w:val="19"/>
          <w:color w:val="auto"/>
        </w:rPr>
        <w:t xml:space="preserve"> (as may be subsequently revised) hereto, as such Detail Specification may be modified from time to time in accordance with Article 4 of the AGTA or as otherwise mutually agreed to by Boeing and Customer:</w:t>
      </w:r>
    </w:p>
    <w:p>
      <w:pPr>
        <w:spacing w:after="0" w:line="197" w:lineRule="exact"/>
        <w:rPr>
          <w:sz w:val="20"/>
          <w:szCs w:val="20"/>
          <w:color w:val="auto"/>
        </w:rPr>
      </w:pPr>
    </w:p>
    <w:p>
      <w:pPr>
        <w:ind w:left="960" w:hanging="405"/>
        <w:spacing w:after="0"/>
        <w:tabs>
          <w:tab w:leader="none" w:pos="9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at any time, the Boeing model 787-923;</w:t>
      </w:r>
    </w:p>
    <w:p>
      <w:pPr>
        <w:spacing w:after="0" w:line="226" w:lineRule="exact"/>
        <w:rPr>
          <w:rFonts w:ascii="Arial" w:cs="Arial" w:eastAsia="Arial" w:hAnsi="Arial"/>
          <w:sz w:val="19"/>
          <w:szCs w:val="19"/>
          <w:color w:val="auto"/>
        </w:rPr>
      </w:pPr>
    </w:p>
    <w:p>
      <w:pPr>
        <w:ind w:left="1120" w:hanging="565"/>
        <w:spacing w:after="0"/>
        <w:tabs>
          <w:tab w:leader="none" w:pos="11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the case of the Boeing model 787-8, such model will be an Eligible Model:</w:t>
      </w:r>
    </w:p>
    <w:p>
      <w:pPr>
        <w:spacing w:after="0" w:line="226" w:lineRule="exact"/>
        <w:rPr>
          <w:rFonts w:ascii="Arial" w:cs="Arial" w:eastAsia="Arial" w:hAnsi="Arial"/>
          <w:sz w:val="19"/>
          <w:szCs w:val="19"/>
          <w:color w:val="auto"/>
        </w:rPr>
      </w:pPr>
    </w:p>
    <w:p>
      <w:pPr>
        <w:ind w:left="3160" w:hanging="359"/>
        <w:spacing w:after="0"/>
        <w:tabs>
          <w:tab w:leader="none" w:pos="31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[*CTR]; or</w:t>
      </w:r>
    </w:p>
    <w:p>
      <w:pPr>
        <w:spacing w:after="0" w:line="226" w:lineRule="exact"/>
        <w:rPr>
          <w:rFonts w:ascii="Arial" w:cs="Arial" w:eastAsia="Arial" w:hAnsi="Arial"/>
          <w:sz w:val="19"/>
          <w:szCs w:val="19"/>
          <w:color w:val="auto"/>
        </w:rPr>
      </w:pPr>
    </w:p>
    <w:p>
      <w:pPr>
        <w:ind w:left="3220" w:hanging="419"/>
        <w:spacing w:after="0"/>
        <w:tabs>
          <w:tab w:leader="none" w:pos="32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1120" w:firstLine="558"/>
        <w:spacing w:after="0" w:line="266" w:lineRule="auto"/>
        <w:tabs>
          <w:tab w:leader="none" w:pos="20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any Derivative or Successor Model from and after such time as it is deemed to be an Eligible Model in accordance with the provisions of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 xml:space="preserve">Expiration Date </w:t>
      </w:r>
      <w:r>
        <w:rPr>
          <w:rFonts w:ascii="Arial" w:cs="Arial" w:eastAsia="Arial" w:hAnsi="Arial"/>
          <w:sz w:val="19"/>
          <w:szCs w:val="19"/>
          <w:color w:val="auto"/>
        </w:rPr>
        <w:t>means [*CTR].</w:t>
      </w:r>
    </w:p>
    <w:p>
      <w:pPr>
        <w:sectPr>
          <w:pgSz w:w="11900" w:h="16838" w:orient="portrait"/>
          <w:cols w:equalWidth="0" w:num="1">
            <w:col w:w="11440"/>
          </w:cols>
          <w:pgMar w:left="240" w:top="1056" w:right="21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L.A. 6-1162-TRW-0664R2</w:t>
      </w:r>
    </w:p>
    <w:p>
      <w:pPr>
        <w:spacing w:after="0" w:line="47" w:lineRule="exact"/>
        <w:rPr>
          <w:sz w:val="20"/>
          <w:szCs w:val="20"/>
          <w:color w:val="auto"/>
        </w:rPr>
      </w:pPr>
    </w:p>
    <w:p>
      <w:pPr>
        <w:sectPr>
          <w:pgSz w:w="11900" w:h="16838" w:orient="portrait"/>
          <w:cols w:equalWidth="0" w:num="3">
            <w:col w:w="1020" w:space="720"/>
            <w:col w:w="480" w:space="620"/>
            <w:col w:w="8600"/>
          </w:cols>
          <w:pgMar w:left="240" w:top="1056" w:right="219" w:bottom="1440" w:gutter="0" w:footer="0" w:header="0"/>
          <w:type w:val="continuous"/>
        </w:sectPr>
      </w:pPr>
    </w:p>
    <w:p>
      <w:pPr>
        <w:spacing w:after="0"/>
        <w:tabs>
          <w:tab w:leader="none" w:pos="4140"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2</w:t>
      </w:r>
    </w:p>
    <w:p>
      <w:pPr>
        <w:spacing w:after="0" w:line="5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1440"/>
          </w:cols>
          <w:pgMar w:left="240" w:top="1056" w:right="2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0"/>
          </w:cols>
          <w:pgMar w:left="240" w:top="1056" w:right="219" w:bottom="1440" w:gutter="0" w:footer="0" w:header="0"/>
          <w:type w:val="continuous"/>
        </w:sectPr>
      </w:pPr>
    </w:p>
    <w:bookmarkStart w:id="138" w:name="page139"/>
    <w:bookmarkEnd w:id="138"/>
    <w:p>
      <w:pPr>
        <w:ind w:left="560"/>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 xml:space="preserve">Firm Advance Payments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5.3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hereof.</w:t>
      </w:r>
    </w:p>
    <w:p>
      <w:pPr>
        <w:spacing w:after="0" w:line="226" w:lineRule="exact"/>
        <w:rPr>
          <w:sz w:val="20"/>
          <w:szCs w:val="20"/>
          <w:color w:val="auto"/>
        </w:rPr>
      </w:pPr>
    </w:p>
    <w:p>
      <w:pPr>
        <w:jc w:val="both"/>
        <w:ind w:right="20" w:firstLine="561"/>
        <w:spacing w:after="0" w:line="255" w:lineRule="auto"/>
        <w:rPr>
          <w:sz w:val="20"/>
          <w:szCs w:val="20"/>
          <w:color w:val="auto"/>
        </w:rPr>
      </w:pPr>
      <w:r>
        <w:rPr>
          <w:rFonts w:ascii="Arial" w:cs="Arial" w:eastAsia="Arial" w:hAnsi="Arial"/>
          <w:sz w:val="19"/>
          <w:szCs w:val="19"/>
          <w:b w:val="1"/>
          <w:bCs w:val="1"/>
          <w:i w:val="1"/>
          <w:iCs w:val="1"/>
          <w:color w:val="auto"/>
        </w:rPr>
        <w:t xml:space="preserve">Firm Aircraft </w:t>
      </w:r>
      <w:r>
        <w:rPr>
          <w:rFonts w:ascii="Arial" w:cs="Arial" w:eastAsia="Arial" w:hAnsi="Arial"/>
          <w:sz w:val="19"/>
          <w:szCs w:val="19"/>
          <w:color w:val="auto"/>
        </w:rPr>
        <w:t>means: (a) the eighty-nine (89) Boeing model 787 aircraft identified as of the date hereof on Tables 1(R7), Table 2(R1), Table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3(R1), Table 5, and Table 6 to the Purchase Agreement; and (b) any aircraft incorporated after the date hereof in an Applicable Purchase Agreement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w:t>
      </w:r>
    </w:p>
    <w:p>
      <w:pPr>
        <w:spacing w:after="0" w:line="193" w:lineRule="exact"/>
        <w:rPr>
          <w:sz w:val="20"/>
          <w:szCs w:val="20"/>
          <w:color w:val="auto"/>
        </w:rPr>
      </w:pPr>
    </w:p>
    <w:p>
      <w:pPr>
        <w:jc w:val="both"/>
        <w:ind w:firstLine="561"/>
        <w:spacing w:after="0" w:line="266" w:lineRule="auto"/>
        <w:rPr>
          <w:sz w:val="20"/>
          <w:szCs w:val="20"/>
          <w:color w:val="auto"/>
        </w:rPr>
      </w:pPr>
      <w:r>
        <w:rPr>
          <w:rFonts w:ascii="Arial" w:cs="Arial" w:eastAsia="Arial" w:hAnsi="Arial"/>
          <w:sz w:val="19"/>
          <w:szCs w:val="19"/>
          <w:b w:val="1"/>
          <w:bCs w:val="1"/>
          <w:i w:val="1"/>
          <w:iCs w:val="1"/>
          <w:color w:val="auto"/>
        </w:rPr>
        <w:t xml:space="preserve">Introduction Position </w:t>
      </w:r>
      <w:r>
        <w:rPr>
          <w:rFonts w:ascii="Arial" w:cs="Arial" w:eastAsia="Arial" w:hAnsi="Arial"/>
          <w:sz w:val="19"/>
          <w:szCs w:val="19"/>
          <w:color w:val="auto"/>
        </w:rPr>
        <w:t>means each Delivery Position for an Aircraft with an interior configuration not previously certified by the FAA that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by Boeing in the ordinary course of business as a customer introduction production position.</w:t>
      </w:r>
    </w:p>
    <w:p>
      <w:pPr>
        <w:spacing w:after="0" w:line="182"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9"/>
          <w:szCs w:val="19"/>
          <w:b w:val="1"/>
          <w:bCs w:val="1"/>
          <w:i w:val="1"/>
          <w:iCs w:val="1"/>
          <w:color w:val="auto"/>
        </w:rPr>
        <w:t xml:space="preserve">Launch Program </w:t>
      </w:r>
      <w:r>
        <w:rPr>
          <w:rFonts w:ascii="Arial" w:cs="Arial" w:eastAsia="Arial" w:hAnsi="Arial"/>
          <w:sz w:val="19"/>
          <w:szCs w:val="19"/>
          <w:color w:val="auto"/>
        </w:rPr>
        <w:t>means a program initiated by Boeing to design, manufacture and obtain FAA type certification for a new model type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aircraft (e.g., Model B797), or a new sub-model type of aircraft (e.g., Model 787-10). A Launch Program may require that certain conditions be met by customers ordering aircraft subject to the Launch Program, which may include but not be limited to: (i) minimum number of customers; (ii) engine availability; (iii) use of customers’ aircraft for certification and development purposes; (iv) additional restrictions on optional features available; and (v) restrictions on the availability of Delivery Positions for aircraft purchased pursuant to the exercise of certain purchase rights. Such conditions will no longer be applicable upon completion of the Launch Program.</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 xml:space="preserve">Modified Exercise Notice </w:t>
      </w:r>
      <w:r>
        <w:rPr>
          <w:rFonts w:ascii="Arial" w:cs="Arial" w:eastAsia="Arial" w:hAnsi="Arial"/>
          <w:sz w:val="19"/>
          <w:szCs w:val="19"/>
          <w:color w:val="auto"/>
        </w:rPr>
        <w:t>means a notice delivered by Customer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4.3(b)</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hereof.</w:t>
      </w:r>
    </w:p>
    <w:p>
      <w:pPr>
        <w:spacing w:after="0" w:line="226" w:lineRule="exact"/>
        <w:rPr>
          <w:sz w:val="20"/>
          <w:szCs w:val="20"/>
          <w:color w:val="auto"/>
        </w:rPr>
      </w:pPr>
    </w:p>
    <w:p>
      <w:pPr>
        <w:jc w:val="both"/>
        <w:ind w:right="20" w:firstLine="561"/>
        <w:spacing w:after="0" w:line="266" w:lineRule="auto"/>
        <w:rPr>
          <w:sz w:val="20"/>
          <w:szCs w:val="20"/>
          <w:color w:val="auto"/>
        </w:rPr>
      </w:pPr>
      <w:r>
        <w:rPr>
          <w:rFonts w:ascii="Arial" w:cs="Arial" w:eastAsia="Arial" w:hAnsi="Arial"/>
          <w:sz w:val="19"/>
          <w:szCs w:val="19"/>
          <w:b w:val="1"/>
          <w:bCs w:val="1"/>
          <w:i w:val="1"/>
          <w:iCs w:val="1"/>
          <w:color w:val="auto"/>
        </w:rPr>
        <w:t xml:space="preserve">Proposal Deposit </w:t>
      </w:r>
      <w:r>
        <w:rPr>
          <w:rFonts w:ascii="Arial" w:cs="Arial" w:eastAsia="Arial" w:hAnsi="Arial"/>
          <w:sz w:val="19"/>
          <w:szCs w:val="19"/>
          <w:color w:val="auto"/>
        </w:rPr>
        <w:t>means, with respect to each Eligible Model, that amount designated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Attachment C(R4)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may be subsequently revised)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hereto as the “[*CTR]” for such model.</w:t>
      </w:r>
    </w:p>
    <w:p>
      <w:pPr>
        <w:spacing w:after="0" w:line="182" w:lineRule="exact"/>
        <w:rPr>
          <w:sz w:val="20"/>
          <w:szCs w:val="20"/>
          <w:color w:val="auto"/>
        </w:rPr>
      </w:pPr>
    </w:p>
    <w:p>
      <w:pPr>
        <w:jc w:val="both"/>
        <w:ind w:right="20" w:firstLine="561"/>
        <w:spacing w:after="0" w:line="255" w:lineRule="auto"/>
        <w:rPr>
          <w:sz w:val="20"/>
          <w:szCs w:val="20"/>
          <w:color w:val="auto"/>
        </w:rPr>
      </w:pPr>
      <w:r>
        <w:rPr>
          <w:rFonts w:ascii="Arial" w:cs="Arial" w:eastAsia="Arial" w:hAnsi="Arial"/>
          <w:sz w:val="19"/>
          <w:szCs w:val="19"/>
          <w:b w:val="1"/>
          <w:bCs w:val="1"/>
          <w:i w:val="1"/>
          <w:iCs w:val="1"/>
          <w:color w:val="auto"/>
        </w:rPr>
        <w:t xml:space="preserve">Purchase Agreement Supplement </w:t>
      </w:r>
      <w:r>
        <w:rPr>
          <w:rFonts w:ascii="Arial" w:cs="Arial" w:eastAsia="Arial" w:hAnsi="Arial"/>
          <w:sz w:val="19"/>
          <w:szCs w:val="19"/>
          <w:color w:val="auto"/>
        </w:rPr>
        <w:t>means any supplement to an Applicable Purchase Agreement, substantially in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Attachment 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hereto or otherwise in form and substance reasonably satisfactory to Boeing and Customer, from time to time executed and delivered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 xml:space="preserve">Purchase Rights </w:t>
      </w:r>
      <w:r>
        <w:rPr>
          <w:rFonts w:ascii="Arial" w:cs="Arial" w:eastAsia="Arial" w:hAnsi="Arial"/>
          <w:sz w:val="19"/>
          <w:szCs w:val="19"/>
          <w:color w:val="auto"/>
        </w:rPr>
        <w:t>means the [*CTR] granted pursuant hereto.</w:t>
      </w:r>
    </w:p>
    <w:p>
      <w:pPr>
        <w:spacing w:after="0" w:line="226" w:lineRule="exact"/>
        <w:rPr>
          <w:sz w:val="20"/>
          <w:szCs w:val="20"/>
          <w:color w:val="auto"/>
        </w:rPr>
      </w:pPr>
    </w:p>
    <w:p>
      <w:pPr>
        <w:jc w:val="both"/>
        <w:ind w:right="20" w:firstLine="561"/>
        <w:spacing w:after="0" w:line="266" w:lineRule="auto"/>
        <w:rPr>
          <w:sz w:val="20"/>
          <w:szCs w:val="20"/>
          <w:color w:val="auto"/>
        </w:rPr>
      </w:pPr>
      <w:r>
        <w:rPr>
          <w:rFonts w:ascii="Arial" w:cs="Arial" w:eastAsia="Arial" w:hAnsi="Arial"/>
          <w:sz w:val="19"/>
          <w:szCs w:val="19"/>
          <w:b w:val="1"/>
          <w:bCs w:val="1"/>
          <w:i w:val="1"/>
          <w:iCs w:val="1"/>
          <w:color w:val="auto"/>
        </w:rPr>
        <w:t xml:space="preserve">Requested Delivery Month </w:t>
      </w:r>
      <w:r>
        <w:rPr>
          <w:rFonts w:ascii="Arial" w:cs="Arial" w:eastAsia="Arial" w:hAnsi="Arial"/>
          <w:sz w:val="19"/>
          <w:szCs w:val="19"/>
          <w:color w:val="auto"/>
        </w:rPr>
        <w:t>means such month(s) in which Customer desires delivery of a Rights Aircraft subject to a [*CTR], as specified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 in a [*CTR].</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 xml:space="preserve">Rights Aircraft </w:t>
      </w:r>
      <w:r>
        <w:rPr>
          <w:rFonts w:ascii="Arial" w:cs="Arial" w:eastAsia="Arial" w:hAnsi="Arial"/>
          <w:sz w:val="19"/>
          <w:szCs w:val="19"/>
          <w:color w:val="auto"/>
        </w:rPr>
        <w:t>[*CTR].</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[*CTR]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hereof.</w:t>
      </w:r>
    </w:p>
    <w:p>
      <w:pPr>
        <w:sectPr>
          <w:pgSz w:w="11900" w:h="16838" w:orient="portrait"/>
          <w:cols w:equalWidth="0" w:num="1">
            <w:col w:w="11440"/>
          </w:cols>
          <w:pgMar w:left="240" w:top="1056" w:right="21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L.A. 6-1162-TRW-0664R2</w:t>
      </w:r>
    </w:p>
    <w:p>
      <w:pPr>
        <w:spacing w:after="0" w:line="47" w:lineRule="exact"/>
        <w:rPr>
          <w:sz w:val="20"/>
          <w:szCs w:val="20"/>
          <w:color w:val="auto"/>
        </w:rPr>
      </w:pPr>
    </w:p>
    <w:p>
      <w:pPr>
        <w:sectPr>
          <w:pgSz w:w="11900" w:h="16838" w:orient="portrait"/>
          <w:cols w:equalWidth="0" w:num="3">
            <w:col w:w="1020" w:space="720"/>
            <w:col w:w="480" w:space="620"/>
            <w:col w:w="8600"/>
          </w:cols>
          <w:pgMar w:left="240" w:top="1056" w:right="219" w:bottom="1440" w:gutter="0" w:footer="0" w:header="0"/>
          <w:type w:val="continuous"/>
        </w:sectPr>
      </w:pPr>
    </w:p>
    <w:p>
      <w:pPr>
        <w:spacing w:after="0"/>
        <w:tabs>
          <w:tab w:leader="none" w:pos="4140"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3</w:t>
      </w:r>
    </w:p>
    <w:p>
      <w:pPr>
        <w:spacing w:after="0" w:line="5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1440"/>
          </w:cols>
          <w:pgMar w:left="240" w:top="1056" w:right="2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0"/>
          </w:cols>
          <w:pgMar w:left="240" w:top="1056" w:right="219" w:bottom="1440" w:gutter="0" w:footer="0" w:header="0"/>
          <w:type w:val="continuous"/>
        </w:sectPr>
      </w:pPr>
    </w:p>
    <w:bookmarkStart w:id="139" w:name="page140"/>
    <w:bookmarkEnd w:id="139"/>
    <w:p>
      <w:pPr>
        <w:ind w:left="56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 xml:space="preserve">[*CTR] has the meaning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w:t>
      </w:r>
    </w:p>
    <w:p>
      <w:pPr>
        <w:spacing w:after="0" w:line="226" w:lineRule="exact"/>
        <w:rPr>
          <w:sz w:val="20"/>
          <w:szCs w:val="20"/>
          <w:color w:val="auto"/>
        </w:rPr>
      </w:pPr>
    </w:p>
    <w:p>
      <w:pPr>
        <w:ind w:left="566"/>
        <w:spacing w:after="0"/>
        <w:rPr>
          <w:sz w:val="20"/>
          <w:szCs w:val="20"/>
          <w:color w:val="auto"/>
        </w:rPr>
      </w:pPr>
      <w:r>
        <w:rPr>
          <w:rFonts w:ascii="Arial" w:cs="Arial" w:eastAsia="Arial" w:hAnsi="Arial"/>
          <w:sz w:val="17"/>
          <w:szCs w:val="17"/>
          <w:b w:val="1"/>
          <w:bCs w:val="1"/>
          <w:i w:val="1"/>
          <w:iCs w:val="1"/>
          <w:color w:val="auto"/>
        </w:rPr>
        <w:t xml:space="preserve">Substitute Aircraft </w:t>
      </w:r>
      <w:r>
        <w:rPr>
          <w:rFonts w:ascii="Arial" w:cs="Arial" w:eastAsia="Arial" w:hAnsi="Arial"/>
          <w:sz w:val="17"/>
          <w:szCs w:val="17"/>
          <w:color w:val="auto"/>
        </w:rPr>
        <w:t>means any aircraft which Customer has designated,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5.1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hereof, to be delivered in lieu of a Firm Aircraft.</w:t>
      </w:r>
    </w:p>
    <w:p>
      <w:pPr>
        <w:spacing w:after="0" w:line="249" w:lineRule="exact"/>
        <w:rPr>
          <w:sz w:val="20"/>
          <w:szCs w:val="20"/>
          <w:color w:val="auto"/>
        </w:rPr>
      </w:pPr>
    </w:p>
    <w:p>
      <w:pPr>
        <w:ind w:left="566"/>
        <w:spacing w:after="0"/>
        <w:rPr>
          <w:sz w:val="20"/>
          <w:szCs w:val="20"/>
          <w:color w:val="auto"/>
        </w:rPr>
      </w:pPr>
      <w:r>
        <w:rPr>
          <w:rFonts w:ascii="Arial" w:cs="Arial" w:eastAsia="Arial" w:hAnsi="Arial"/>
          <w:sz w:val="19"/>
          <w:szCs w:val="19"/>
          <w:b w:val="1"/>
          <w:bCs w:val="1"/>
          <w:i w:val="1"/>
          <w:iCs w:val="1"/>
          <w:color w:val="auto"/>
        </w:rPr>
        <w:t xml:space="preserve">Substitution Notice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5.1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hereof.</w:t>
      </w:r>
    </w:p>
    <w:p>
      <w:pPr>
        <w:spacing w:after="0" w:line="226" w:lineRule="exact"/>
        <w:rPr>
          <w:sz w:val="20"/>
          <w:szCs w:val="20"/>
          <w:color w:val="auto"/>
        </w:rPr>
      </w:pPr>
    </w:p>
    <w:p>
      <w:pPr>
        <w:ind w:left="566"/>
        <w:spacing w:after="0"/>
        <w:rPr>
          <w:sz w:val="20"/>
          <w:szCs w:val="20"/>
          <w:color w:val="auto"/>
        </w:rPr>
      </w:pPr>
      <w:r>
        <w:rPr>
          <w:rFonts w:ascii="Arial" w:cs="Arial" w:eastAsia="Arial" w:hAnsi="Arial"/>
          <w:sz w:val="19"/>
          <w:szCs w:val="19"/>
          <w:b w:val="1"/>
          <w:bCs w:val="1"/>
          <w:i w:val="1"/>
          <w:iCs w:val="1"/>
          <w:color w:val="auto"/>
        </w:rPr>
        <w:t xml:space="preserve">Successor Model </w:t>
      </w:r>
      <w:r>
        <w:rPr>
          <w:rFonts w:ascii="Arial" w:cs="Arial" w:eastAsia="Arial" w:hAnsi="Arial"/>
          <w:sz w:val="19"/>
          <w:szCs w:val="19"/>
          <w:color w:val="auto"/>
        </w:rPr>
        <w:t>means [*CTR].</w:t>
      </w:r>
    </w:p>
    <w:p>
      <w:pPr>
        <w:spacing w:after="0" w:line="226" w:lineRule="exact"/>
        <w:rPr>
          <w:sz w:val="20"/>
          <w:szCs w:val="20"/>
          <w:color w:val="auto"/>
        </w:rPr>
      </w:pPr>
    </w:p>
    <w:p>
      <w:pPr>
        <w:ind w:left="6" w:right="20" w:firstLine="561"/>
        <w:spacing w:after="0" w:line="266" w:lineRule="auto"/>
        <w:rPr>
          <w:sz w:val="20"/>
          <w:szCs w:val="20"/>
          <w:color w:val="auto"/>
        </w:rPr>
      </w:pPr>
      <w:r>
        <w:rPr>
          <w:rFonts w:ascii="Arial" w:cs="Arial" w:eastAsia="Arial" w:hAnsi="Arial"/>
          <w:sz w:val="19"/>
          <w:szCs w:val="19"/>
          <w:b w:val="1"/>
          <w:bCs w:val="1"/>
          <w:i w:val="1"/>
          <w:iCs w:val="1"/>
          <w:color w:val="auto"/>
        </w:rPr>
        <w:t xml:space="preserve">Then Current Engine Price </w:t>
      </w:r>
      <w:r>
        <w:rPr>
          <w:rFonts w:ascii="Arial" w:cs="Arial" w:eastAsia="Arial" w:hAnsi="Arial"/>
          <w:sz w:val="19"/>
          <w:szCs w:val="19"/>
          <w:color w:val="auto"/>
        </w:rPr>
        <w:t>means the Engine Price of Rights Aircraft or Substitute Aircraft set by the Engine Supplier as of the date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execution of a Purchase Agreement Supplement entered into by Boeing and Customer.</w:t>
      </w:r>
    </w:p>
    <w:p>
      <w:pPr>
        <w:spacing w:after="0" w:line="200" w:lineRule="exact"/>
        <w:rPr>
          <w:sz w:val="20"/>
          <w:szCs w:val="20"/>
          <w:color w:val="auto"/>
        </w:rPr>
      </w:pPr>
    </w:p>
    <w:p>
      <w:pPr>
        <w:spacing w:after="0" w:line="357"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pacing w:after="0" w:line="226" w:lineRule="exact"/>
        <w:rPr>
          <w:sz w:val="20"/>
          <w:szCs w:val="20"/>
          <w:color w:val="auto"/>
        </w:rPr>
      </w:pPr>
    </w:p>
    <w:p>
      <w:pPr>
        <w:ind w:left="326" w:hanging="326"/>
        <w:spacing w:after="0"/>
        <w:tabs>
          <w:tab w:leader="none" w:pos="326"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[*CTR].</w:t>
      </w:r>
    </w:p>
    <w:p>
      <w:pPr>
        <w:spacing w:after="0" w:line="222" w:lineRule="exact"/>
        <w:rPr>
          <w:rFonts w:ascii="Arial" w:cs="Arial" w:eastAsia="Arial" w:hAnsi="Arial"/>
          <w:sz w:val="19"/>
          <w:szCs w:val="19"/>
          <w:b w:val="1"/>
          <w:bCs w:val="1"/>
          <w:color w:val="auto"/>
        </w:rPr>
      </w:pPr>
    </w:p>
    <w:p>
      <w:pPr>
        <w:ind w:left="326" w:hanging="326"/>
        <w:spacing w:after="0"/>
        <w:tabs>
          <w:tab w:leader="none" w:pos="32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Information</w:t>
      </w:r>
      <w:r>
        <w:rPr>
          <w:rFonts w:ascii="Arial" w:cs="Arial" w:eastAsia="Arial" w:hAnsi="Arial"/>
          <w:sz w:val="19"/>
          <w:szCs w:val="19"/>
          <w:b w:val="1"/>
          <w:bCs w:val="1"/>
          <w:color w:val="auto"/>
        </w:rPr>
        <w:t>.</w:t>
      </w:r>
    </w:p>
    <w:p>
      <w:pPr>
        <w:spacing w:after="0" w:line="230"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jc w:val="both"/>
        <w:ind w:left="6" w:right="20" w:firstLine="561"/>
        <w:spacing w:after="0" w:line="276" w:lineRule="auto"/>
        <w:rPr>
          <w:sz w:val="20"/>
          <w:szCs w:val="20"/>
          <w:color w:val="auto"/>
        </w:rPr>
      </w:pPr>
      <w:r>
        <w:rPr>
          <w:rFonts w:ascii="Arial" w:cs="Arial" w:eastAsia="Arial" w:hAnsi="Arial"/>
          <w:sz w:val="18"/>
          <w:szCs w:val="18"/>
          <w:color w:val="auto"/>
        </w:rPr>
        <w:t>3.3 Concurrently with the disclosure by Boeing or any Affiliate of Boeing to any other customer or potential customer of plans to study the development of a Derivative or a Successor Model, Boeing will make available to Customer information, in reasonable detail, regarding such Derivative or Successor Model, including, but not limited to, the product development activities and schedule with respect thereto.</w:t>
      </w:r>
    </w:p>
    <w:p>
      <w:pPr>
        <w:spacing w:after="0" w:line="175" w:lineRule="exact"/>
        <w:rPr>
          <w:sz w:val="20"/>
          <w:szCs w:val="20"/>
          <w:color w:val="auto"/>
        </w:rPr>
      </w:pPr>
    </w:p>
    <w:p>
      <w:pPr>
        <w:jc w:val="both"/>
        <w:ind w:left="6" w:firstLine="561"/>
        <w:spacing w:after="0" w:line="326" w:lineRule="auto"/>
        <w:rPr>
          <w:sz w:val="20"/>
          <w:szCs w:val="20"/>
          <w:color w:val="auto"/>
        </w:rPr>
      </w:pPr>
      <w:r>
        <w:rPr>
          <w:rFonts w:ascii="Arial" w:cs="Arial" w:eastAsia="Arial" w:hAnsi="Arial"/>
          <w:sz w:val="17"/>
          <w:szCs w:val="17"/>
          <w:color w:val="auto"/>
        </w:rPr>
        <w:t>3.4 Boeing will inform Customer of, and offer Customer the opportunity to participate in, any airline working group or other forum sponsored by Boeing for the purpose of soliciting the input of potential customers in connection with the development of any Derivative or any Successor Model.</w:t>
      </w:r>
    </w:p>
    <w:p>
      <w:pPr>
        <w:spacing w:after="0" w:line="13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3.5</w:t>
        <w:tab/>
        <w:t>[*CTR]</w:t>
      </w:r>
    </w:p>
    <w:p>
      <w:pPr>
        <w:spacing w:after="0" w:line="22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8"/>
          <w:szCs w:val="18"/>
          <w:color w:val="auto"/>
        </w:rPr>
        <w:t>[*CTR].</w:t>
      </w:r>
    </w:p>
    <w:p>
      <w:pPr>
        <w:sectPr>
          <w:pgSz w:w="11900" w:h="16838" w:orient="portrait"/>
          <w:cols w:equalWidth="0" w:num="1">
            <w:col w:w="11446"/>
          </w:cols>
          <w:pgMar w:left="234" w:top="1056" w:right="2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6"/>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L.A. 6-1162-TRW-0664R2</w:t>
      </w:r>
    </w:p>
    <w:p>
      <w:pPr>
        <w:spacing w:after="0" w:line="47" w:lineRule="exact"/>
        <w:rPr>
          <w:sz w:val="20"/>
          <w:szCs w:val="20"/>
          <w:color w:val="auto"/>
        </w:rPr>
      </w:pPr>
    </w:p>
    <w:p>
      <w:pPr>
        <w:sectPr>
          <w:pgSz w:w="11900" w:h="16838" w:orient="portrait"/>
          <w:cols w:equalWidth="0" w:num="3">
            <w:col w:w="1026" w:space="720"/>
            <w:col w:w="480" w:space="620"/>
            <w:col w:w="8600"/>
          </w:cols>
          <w:pgMar w:left="234" w:top="1056" w:right="219" w:bottom="1440" w:gutter="0" w:footer="0" w:header="0"/>
          <w:type w:val="continuous"/>
        </w:sectPr>
      </w:pPr>
    </w:p>
    <w:p>
      <w:pPr>
        <w:spacing w:after="0" w:line="25" w:lineRule="exact"/>
        <w:rPr>
          <w:sz w:val="20"/>
          <w:szCs w:val="20"/>
          <w:color w:val="auto"/>
        </w:rPr>
      </w:pPr>
    </w:p>
    <w:p>
      <w:pPr>
        <w:ind w:left="6"/>
        <w:spacing w:after="0"/>
        <w:rPr>
          <w:sz w:val="20"/>
          <w:szCs w:val="20"/>
          <w:color w:val="auto"/>
        </w:rPr>
      </w:pPr>
      <w:r>
        <w:rPr>
          <w:rFonts w:ascii="Arial" w:cs="Arial" w:eastAsia="Arial" w:hAnsi="Arial"/>
          <w:sz w:val="14"/>
          <w:szCs w:val="14"/>
          <w:color w:val="auto"/>
        </w:rPr>
        <w:t>Aircraft Purchase Rights and Substitution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w:t>
      </w:r>
    </w:p>
    <w:p>
      <w:pPr>
        <w:spacing w:after="0" w:line="50" w:lineRule="exact"/>
        <w:rPr>
          <w:sz w:val="20"/>
          <w:szCs w:val="20"/>
          <w:color w:val="auto"/>
        </w:rPr>
      </w:pPr>
    </w:p>
    <w:p>
      <w:pPr>
        <w:sectPr>
          <w:pgSz w:w="11900" w:h="16838" w:orient="portrait"/>
          <w:cols w:equalWidth="0" w:num="2">
            <w:col w:w="3446" w:space="720"/>
            <w:col w:w="7280"/>
          </w:cols>
          <w:pgMar w:left="234" w:top="1056" w:right="219" w:bottom="1440" w:gutter="0" w:footer="0" w:header="0"/>
          <w:type w:val="continuous"/>
        </w:sectPr>
      </w:pPr>
    </w:p>
    <w:p>
      <w:pPr>
        <w:ind w:left="2246"/>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6"/>
          </w:cols>
          <w:pgMar w:left="234" w:top="1056" w:right="219" w:bottom="1440" w:gutter="0" w:footer="0" w:header="0"/>
          <w:type w:val="continuous"/>
        </w:sectPr>
      </w:pPr>
    </w:p>
    <w:bookmarkStart w:id="140" w:name="page141"/>
    <w:bookmarkEnd w:id="140"/>
    <w:p>
      <w:pPr>
        <w:jc w:val="right"/>
        <w:ind w:left="566" w:right="7640" w:hanging="566"/>
        <w:spacing w:after="0" w:line="582" w:lineRule="auto"/>
        <w:tabs>
          <w:tab w:leader="none" w:pos="333"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Exercise of Purchase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4.1  </w:t>
      </w:r>
      <w:r>
        <w:rPr>
          <w:rFonts w:ascii="Arial" w:cs="Arial" w:eastAsia="Arial" w:hAnsi="Arial"/>
          <w:sz w:val="16"/>
          <w:szCs w:val="16"/>
          <w:u w:val="single" w:color="auto"/>
          <w:color w:val="auto"/>
        </w:rPr>
        <w:t>Intentionally Omitted.</w:t>
      </w:r>
    </w:p>
    <w:p>
      <w:pPr>
        <w:ind w:left="566"/>
        <w:spacing w:after="0"/>
        <w:rPr>
          <w:rFonts w:ascii="Arial" w:cs="Arial" w:eastAsia="Arial" w:hAnsi="Arial"/>
          <w:sz w:val="16"/>
          <w:szCs w:val="16"/>
          <w:b w:val="1"/>
          <w:bCs w:val="1"/>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Intentionally Omitted.</w:t>
      </w:r>
    </w:p>
    <w:p>
      <w:pPr>
        <w:spacing w:after="0" w:line="226" w:lineRule="exact"/>
        <w:rPr>
          <w:rFonts w:ascii="Arial" w:cs="Arial" w:eastAsia="Arial" w:hAnsi="Arial"/>
          <w:sz w:val="16"/>
          <w:szCs w:val="16"/>
          <w:b w:val="1"/>
          <w:bCs w:val="1"/>
          <w:color w:val="auto"/>
        </w:rPr>
      </w:pPr>
    </w:p>
    <w:p>
      <w:pPr>
        <w:ind w:left="566"/>
        <w:spacing w:after="0"/>
        <w:rPr>
          <w:rFonts w:ascii="Arial" w:cs="Arial" w:eastAsia="Arial" w:hAnsi="Arial"/>
          <w:sz w:val="16"/>
          <w:szCs w:val="16"/>
          <w:b w:val="1"/>
          <w:bCs w:val="1"/>
          <w:color w:val="auto"/>
        </w:rPr>
      </w:pPr>
      <w:r>
        <w:rPr>
          <w:rFonts w:ascii="Arial" w:cs="Arial" w:eastAsia="Arial" w:hAnsi="Arial"/>
          <w:sz w:val="19"/>
          <w:szCs w:val="19"/>
          <w:color w:val="auto"/>
        </w:rPr>
        <w:t>4.3  [*CTR]:</w:t>
      </w:r>
    </w:p>
    <w:p>
      <w:pPr>
        <w:spacing w:after="0" w:line="226" w:lineRule="exact"/>
        <w:rPr>
          <w:sz w:val="20"/>
          <w:szCs w:val="20"/>
          <w:color w:val="auto"/>
        </w:rPr>
      </w:pPr>
    </w:p>
    <w:p>
      <w:pPr>
        <w:ind w:left="3206" w:hanging="399"/>
        <w:spacing w:after="0"/>
        <w:tabs>
          <w:tab w:leader="none" w:pos="32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[*CTR</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26" w:lineRule="exact"/>
        <w:rPr>
          <w:rFonts w:ascii="Arial" w:cs="Arial" w:eastAsia="Arial" w:hAnsi="Arial"/>
          <w:sz w:val="19"/>
          <w:szCs w:val="19"/>
          <w:color w:val="auto"/>
        </w:rPr>
      </w:pPr>
    </w:p>
    <w:p>
      <w:pPr>
        <w:ind w:left="3206" w:hanging="399"/>
        <w:spacing w:after="0"/>
        <w:tabs>
          <w:tab w:leader="none" w:pos="32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4286" w:hanging="356"/>
        <w:spacing w:after="0"/>
        <w:tabs>
          <w:tab w:leader="none" w:pos="4286" w:val="left"/>
        </w:tabs>
        <w:numPr>
          <w:ilvl w:val="0"/>
          <w:numId w:val="83"/>
        </w:numPr>
        <w:rPr>
          <w:rFonts w:ascii="Arial" w:cs="Arial" w:eastAsia="Arial" w:hAnsi="Arial"/>
          <w:sz w:val="19"/>
          <w:szCs w:val="19"/>
          <w:color w:val="auto"/>
        </w:rPr>
      </w:pPr>
      <w:r>
        <w:rPr>
          <w:rFonts w:ascii="Arial" w:cs="Arial" w:eastAsia="Arial" w:hAnsi="Arial"/>
          <w:sz w:val="19"/>
          <w:szCs w:val="19"/>
          <w:color w:val="auto"/>
        </w:rPr>
        <w:t>[*CTR]; and</w:t>
      </w:r>
    </w:p>
    <w:p>
      <w:pPr>
        <w:spacing w:after="0" w:line="226" w:lineRule="exact"/>
        <w:rPr>
          <w:rFonts w:ascii="Arial" w:cs="Arial" w:eastAsia="Arial" w:hAnsi="Arial"/>
          <w:sz w:val="19"/>
          <w:szCs w:val="19"/>
          <w:color w:val="auto"/>
        </w:rPr>
      </w:pPr>
    </w:p>
    <w:p>
      <w:pPr>
        <w:ind w:left="4346" w:hanging="416"/>
        <w:spacing w:after="0"/>
        <w:tabs>
          <w:tab w:leader="none" w:pos="4346" w:val="left"/>
        </w:tabs>
        <w:numPr>
          <w:ilvl w:val="0"/>
          <w:numId w:val="83"/>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448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u w:val="single" w:color="auto"/>
          <w:color w:val="auto"/>
        </w:rPr>
        <w:t>[*CTR]</w:t>
      </w:r>
      <w:r>
        <w:rPr>
          <w:rFonts w:ascii="Arial" w:cs="Arial" w:eastAsia="Arial" w:hAnsi="Arial"/>
          <w:sz w:val="18"/>
          <w:szCs w:val="18"/>
          <w:color w:val="auto"/>
        </w:rPr>
        <w:t>. Intentionally Omitted.</w:t>
      </w:r>
    </w:p>
    <w:p>
      <w:pPr>
        <w:spacing w:after="0" w:line="20" w:lineRule="exact"/>
        <w:rPr>
          <w:sz w:val="20"/>
          <w:szCs w:val="20"/>
          <w:color w:val="auto"/>
        </w:rPr>
      </w:pPr>
    </w:p>
    <w:p>
      <w:pPr>
        <w:ind w:left="326" w:hanging="326"/>
        <w:spacing w:after="0"/>
        <w:tabs>
          <w:tab w:leader="none" w:pos="326"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Substitution Right</w:t>
      </w:r>
      <w:r>
        <w:rPr>
          <w:rFonts w:ascii="Arial" w:cs="Arial" w:eastAsia="Arial" w:hAnsi="Arial"/>
          <w:sz w:val="19"/>
          <w:szCs w:val="19"/>
          <w:b w:val="1"/>
          <w:bCs w:val="1"/>
          <w:color w:val="auto"/>
        </w:rPr>
        <w:t>.</w:t>
      </w:r>
    </w:p>
    <w:p>
      <w:pPr>
        <w:spacing w:after="0" w:line="210" w:lineRule="exact"/>
        <w:rPr>
          <w:rFonts w:ascii="Arial" w:cs="Arial" w:eastAsia="Arial" w:hAnsi="Arial"/>
          <w:sz w:val="19"/>
          <w:szCs w:val="19"/>
          <w:b w:val="1"/>
          <w:bCs w:val="1"/>
          <w:color w:val="auto"/>
        </w:rPr>
      </w:pPr>
    </w:p>
    <w:p>
      <w:pPr>
        <w:ind w:left="566"/>
        <w:spacing w:after="0"/>
        <w:rPr>
          <w:rFonts w:ascii="Arial" w:cs="Arial" w:eastAsia="Arial" w:hAnsi="Arial"/>
          <w:sz w:val="19"/>
          <w:szCs w:val="19"/>
          <w:b w:val="1"/>
          <w:bCs w:val="1"/>
          <w:color w:val="auto"/>
        </w:rPr>
      </w:pPr>
      <w:r>
        <w:rPr>
          <w:rFonts w:ascii="Arial" w:cs="Arial" w:eastAsia="Arial" w:hAnsi="Arial"/>
          <w:sz w:val="19"/>
          <w:szCs w:val="19"/>
          <w:color w:val="auto"/>
        </w:rPr>
        <w:t>5.1  [*CTR].</w:t>
      </w:r>
    </w:p>
    <w:p>
      <w:pPr>
        <w:spacing w:after="0" w:line="226" w:lineRule="exact"/>
        <w:rPr>
          <w:rFonts w:ascii="Arial" w:cs="Arial" w:eastAsia="Arial" w:hAnsi="Arial"/>
          <w:sz w:val="19"/>
          <w:szCs w:val="19"/>
          <w:b w:val="1"/>
          <w:bCs w:val="1"/>
          <w:color w:val="auto"/>
        </w:rPr>
      </w:pPr>
    </w:p>
    <w:p>
      <w:pPr>
        <w:ind w:left="566"/>
        <w:spacing w:after="0"/>
        <w:rPr>
          <w:rFonts w:ascii="Arial" w:cs="Arial" w:eastAsia="Arial" w:hAnsi="Arial"/>
          <w:sz w:val="19"/>
          <w:szCs w:val="19"/>
          <w:b w:val="1"/>
          <w:bCs w:val="1"/>
          <w:color w:val="auto"/>
        </w:rPr>
      </w:pPr>
      <w:r>
        <w:rPr>
          <w:rFonts w:ascii="Arial" w:cs="Arial" w:eastAsia="Arial" w:hAnsi="Arial"/>
          <w:sz w:val="19"/>
          <w:szCs w:val="19"/>
          <w:color w:val="auto"/>
        </w:rPr>
        <w:t>5.2  [*CTR].</w:t>
      </w:r>
    </w:p>
    <w:p>
      <w:pPr>
        <w:spacing w:after="0" w:line="22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color w:val="auto"/>
        </w:rPr>
        <w:t>[*CTR].</w:t>
      </w:r>
    </w:p>
    <w:p>
      <w:pPr>
        <w:spacing w:after="0" w:line="187" w:lineRule="exact"/>
        <w:rPr>
          <w:sz w:val="20"/>
          <w:szCs w:val="20"/>
          <w:color w:val="auto"/>
        </w:rPr>
      </w:pPr>
    </w:p>
    <w:p>
      <w:pPr>
        <w:ind w:left="566" w:right="6860" w:hanging="566"/>
        <w:spacing w:after="0" w:line="490" w:lineRule="auto"/>
        <w:tabs>
          <w:tab w:leader="none" w:pos="333"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Aircraft Price and Credit Memoranda</w:t>
      </w:r>
      <w:r>
        <w:rPr>
          <w:rFonts w:ascii="Arial" w:cs="Arial" w:eastAsia="Arial" w:hAnsi="Arial"/>
          <w:sz w:val="19"/>
          <w:szCs w:val="19"/>
          <w:b w:val="1"/>
          <w:bCs w:val="1"/>
          <w:color w:val="auto"/>
        </w:rPr>
        <w:t xml:space="preserve">. </w:t>
      </w:r>
      <w:r>
        <w:rPr>
          <w:rFonts w:ascii="Arial" w:cs="Arial" w:eastAsia="Arial" w:hAnsi="Arial"/>
          <w:sz w:val="19"/>
          <w:szCs w:val="19"/>
          <w:color w:val="auto"/>
        </w:rPr>
        <w:t>6.1 [*CTR].</w:t>
      </w:r>
    </w:p>
    <w:p>
      <w:pPr>
        <w:ind w:left="566"/>
        <w:spacing w:after="0"/>
        <w:rPr>
          <w:rFonts w:ascii="Arial" w:cs="Arial" w:eastAsia="Arial" w:hAnsi="Arial"/>
          <w:sz w:val="19"/>
          <w:szCs w:val="19"/>
          <w:b w:val="1"/>
          <w:bCs w:val="1"/>
          <w:color w:val="auto"/>
        </w:rPr>
      </w:pPr>
      <w:r>
        <w:rPr>
          <w:rFonts w:ascii="Arial" w:cs="Arial" w:eastAsia="Arial" w:hAnsi="Arial"/>
          <w:sz w:val="19"/>
          <w:szCs w:val="19"/>
          <w:color w:val="auto"/>
        </w:rPr>
        <w:t>6.2  [*CTR].</w:t>
      </w:r>
    </w:p>
    <w:p>
      <w:pPr>
        <w:spacing w:after="0" w:line="226" w:lineRule="exact"/>
        <w:rPr>
          <w:rFonts w:ascii="Arial" w:cs="Arial" w:eastAsia="Arial" w:hAnsi="Arial"/>
          <w:sz w:val="19"/>
          <w:szCs w:val="19"/>
          <w:b w:val="1"/>
          <w:bCs w:val="1"/>
          <w:color w:val="auto"/>
        </w:rPr>
      </w:pPr>
    </w:p>
    <w:p>
      <w:pPr>
        <w:ind w:left="566"/>
        <w:spacing w:after="0"/>
        <w:rPr>
          <w:rFonts w:ascii="Arial" w:cs="Arial" w:eastAsia="Arial" w:hAnsi="Arial"/>
          <w:sz w:val="19"/>
          <w:szCs w:val="19"/>
          <w:b w:val="1"/>
          <w:bCs w:val="1"/>
          <w:color w:val="auto"/>
        </w:rPr>
      </w:pPr>
      <w:r>
        <w:rPr>
          <w:rFonts w:ascii="Arial" w:cs="Arial" w:eastAsia="Arial" w:hAnsi="Arial"/>
          <w:sz w:val="19"/>
          <w:szCs w:val="19"/>
          <w:color w:val="auto"/>
        </w:rPr>
        <w:t>6.3  [*CTR]</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13" w:lineRule="exact"/>
        <w:rPr>
          <w:sz w:val="20"/>
          <w:szCs w:val="20"/>
          <w:color w:val="auto"/>
        </w:rPr>
      </w:pPr>
    </w:p>
    <w:p>
      <w:pPr>
        <w:ind w:left="1126"/>
        <w:spacing w:after="0"/>
        <w:tabs>
          <w:tab w:leader="none" w:pos="1666" w:val="left"/>
        </w:tabs>
        <w:rPr>
          <w:sz w:val="20"/>
          <w:szCs w:val="20"/>
          <w:color w:val="auto"/>
        </w:rPr>
      </w:pPr>
      <w:r>
        <w:rPr>
          <w:rFonts w:ascii="Arial" w:cs="Arial" w:eastAsia="Arial" w:hAnsi="Arial"/>
          <w:sz w:val="19"/>
          <w:szCs w:val="19"/>
          <w:color w:val="auto"/>
        </w:rPr>
        <w:t>6.3.1</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1126"/>
        <w:spacing w:after="0"/>
        <w:tabs>
          <w:tab w:leader="none" w:pos="1666" w:val="left"/>
        </w:tabs>
        <w:rPr>
          <w:sz w:val="20"/>
          <w:szCs w:val="20"/>
          <w:color w:val="auto"/>
        </w:rPr>
      </w:pPr>
      <w:r>
        <w:rPr>
          <w:rFonts w:ascii="Arial" w:cs="Arial" w:eastAsia="Arial" w:hAnsi="Arial"/>
          <w:sz w:val="19"/>
          <w:szCs w:val="19"/>
          <w:color w:val="auto"/>
        </w:rPr>
        <w:t>6.3.2</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566"/>
        <w:spacing w:after="0"/>
        <w:tabs>
          <w:tab w:leader="none" w:pos="1006" w:val="left"/>
        </w:tabs>
        <w:rPr>
          <w:sz w:val="20"/>
          <w:szCs w:val="20"/>
          <w:color w:val="auto"/>
        </w:rPr>
      </w:pPr>
      <w:r>
        <w:rPr>
          <w:rFonts w:ascii="Arial" w:cs="Arial" w:eastAsia="Arial" w:hAnsi="Arial"/>
          <w:sz w:val="19"/>
          <w:szCs w:val="19"/>
          <w:color w:val="auto"/>
        </w:rPr>
        <w:t>6.4.</w:t>
        <w:tab/>
        <w:t>[*CTR].</w:t>
      </w:r>
    </w:p>
    <w:p>
      <w:pPr>
        <w:spacing w:after="0" w:line="200" w:lineRule="exact"/>
        <w:rPr>
          <w:sz w:val="20"/>
          <w:szCs w:val="20"/>
          <w:color w:val="auto"/>
        </w:rPr>
      </w:pPr>
    </w:p>
    <w:p>
      <w:pPr>
        <w:spacing w:after="0" w:line="237" w:lineRule="exact"/>
        <w:rPr>
          <w:sz w:val="20"/>
          <w:szCs w:val="20"/>
          <w:color w:val="auto"/>
        </w:rPr>
      </w:pPr>
    </w:p>
    <w:p>
      <w:pPr>
        <w:ind w:left="6"/>
        <w:spacing w:after="0"/>
        <w:tabs>
          <w:tab w:leader="none" w:pos="1726" w:val="left"/>
          <w:tab w:leader="none" w:pos="2826" w:val="left"/>
        </w:tabs>
        <w:rPr>
          <w:sz w:val="20"/>
          <w:szCs w:val="20"/>
          <w:color w:val="auto"/>
        </w:rPr>
      </w:pPr>
      <w:r>
        <w:rPr>
          <w:rFonts w:ascii="Arial" w:cs="Arial" w:eastAsia="Arial" w:hAnsi="Arial"/>
          <w:sz w:val="19"/>
          <w:szCs w:val="19"/>
          <w:color w:val="auto"/>
        </w:rPr>
        <w:t>PA No.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L.A. 6-1162-TRW-0664R2</w:t>
      </w:r>
    </w:p>
    <w:p>
      <w:pPr>
        <w:spacing w:after="0" w:line="43" w:lineRule="exact"/>
        <w:rPr>
          <w:sz w:val="20"/>
          <w:szCs w:val="20"/>
          <w:color w:val="auto"/>
        </w:rPr>
      </w:pPr>
    </w:p>
    <w:p>
      <w:pPr>
        <w:ind w:left="6"/>
        <w:spacing w:after="0"/>
        <w:tabs>
          <w:tab w:leader="none" w:pos="4146"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5</w:t>
      </w:r>
    </w:p>
    <w:p>
      <w:pPr>
        <w:spacing w:after="0" w:line="27" w:lineRule="exact"/>
        <w:rPr>
          <w:sz w:val="20"/>
          <w:szCs w:val="20"/>
          <w:color w:val="auto"/>
        </w:rPr>
      </w:pPr>
    </w:p>
    <w:p>
      <w:pPr>
        <w:ind w:left="2246"/>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286"/>
          </w:cols>
          <w:pgMar w:left="234" w:top="830" w:right="1379" w:bottom="1440" w:gutter="0" w:footer="0" w:header="0"/>
        </w:sectPr>
      </w:pPr>
    </w:p>
    <w:bookmarkStart w:id="141" w:name="page142"/>
    <w:bookmarkEnd w:id="141"/>
    <w:p>
      <w:pPr>
        <w:ind w:left="326" w:hanging="326"/>
        <w:spacing w:after="0"/>
        <w:tabs>
          <w:tab w:leader="none" w:pos="32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Payments</w:t>
      </w:r>
      <w:r>
        <w:rPr>
          <w:rFonts w:ascii="Arial" w:cs="Arial" w:eastAsia="Arial" w:hAnsi="Arial"/>
          <w:sz w:val="19"/>
          <w:szCs w:val="19"/>
          <w:b w:val="1"/>
          <w:bCs w:val="1"/>
          <w:color w:val="auto"/>
        </w:rPr>
        <w:t>.</w:t>
      </w:r>
    </w:p>
    <w:p>
      <w:pPr>
        <w:spacing w:after="0" w:line="230"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566"/>
        <w:spacing w:after="0"/>
        <w:tabs>
          <w:tab w:leader="none" w:pos="1006" w:val="left"/>
        </w:tabs>
        <w:rPr>
          <w:sz w:val="20"/>
          <w:szCs w:val="20"/>
          <w:color w:val="auto"/>
        </w:rPr>
      </w:pPr>
      <w:r>
        <w:rPr>
          <w:rFonts w:ascii="Arial" w:cs="Arial" w:eastAsia="Arial" w:hAnsi="Arial"/>
          <w:sz w:val="19"/>
          <w:szCs w:val="19"/>
          <w:color w:val="auto"/>
        </w:rPr>
        <w:t>7.3.</w:t>
        <w:tab/>
        <w:t>[*CTR].</w:t>
      </w:r>
    </w:p>
    <w:p>
      <w:pPr>
        <w:spacing w:after="0" w:line="222" w:lineRule="exact"/>
        <w:rPr>
          <w:sz w:val="20"/>
          <w:szCs w:val="20"/>
          <w:color w:val="auto"/>
        </w:rPr>
      </w:pPr>
    </w:p>
    <w:p>
      <w:pPr>
        <w:ind w:left="566" w:right="9420" w:hanging="566"/>
        <w:spacing w:after="0" w:line="582" w:lineRule="auto"/>
        <w:tabs>
          <w:tab w:leader="none" w:pos="333"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Forms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8.1 [*CTR].</w:t>
      </w:r>
    </w:p>
    <w:p>
      <w:pPr>
        <w:ind w:left="566"/>
        <w:spacing w:after="0"/>
        <w:rPr>
          <w:rFonts w:ascii="Arial" w:cs="Arial" w:eastAsia="Arial" w:hAnsi="Arial"/>
          <w:sz w:val="16"/>
          <w:szCs w:val="16"/>
          <w:b w:val="1"/>
          <w:bCs w:val="1"/>
          <w:color w:val="auto"/>
        </w:rPr>
      </w:pPr>
      <w:r>
        <w:rPr>
          <w:rFonts w:ascii="Arial" w:cs="Arial" w:eastAsia="Arial" w:hAnsi="Arial"/>
          <w:sz w:val="19"/>
          <w:szCs w:val="19"/>
          <w:color w:val="auto"/>
        </w:rPr>
        <w:t>8.2  [*CTR]:</w:t>
      </w:r>
    </w:p>
    <w:p>
      <w:pPr>
        <w:spacing w:after="0" w:line="226" w:lineRule="exact"/>
        <w:rPr>
          <w:sz w:val="20"/>
          <w:szCs w:val="20"/>
          <w:color w:val="auto"/>
        </w:rPr>
      </w:pPr>
    </w:p>
    <w:p>
      <w:pPr>
        <w:ind w:left="3206" w:hanging="399"/>
        <w:spacing w:after="0"/>
        <w:tabs>
          <w:tab w:leader="none" w:pos="32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3206" w:hanging="399"/>
        <w:spacing w:after="0"/>
        <w:tabs>
          <w:tab w:leader="none" w:pos="32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3206" w:hanging="399"/>
        <w:spacing w:after="0"/>
        <w:tabs>
          <w:tab w:leader="none" w:pos="32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[*CTR]; and</w:t>
      </w:r>
    </w:p>
    <w:p>
      <w:pPr>
        <w:spacing w:after="0" w:line="226" w:lineRule="exact"/>
        <w:rPr>
          <w:rFonts w:ascii="Arial" w:cs="Arial" w:eastAsia="Arial" w:hAnsi="Arial"/>
          <w:sz w:val="19"/>
          <w:szCs w:val="19"/>
          <w:color w:val="auto"/>
        </w:rPr>
      </w:pPr>
    </w:p>
    <w:p>
      <w:pPr>
        <w:ind w:left="3206" w:hanging="399"/>
        <w:spacing w:after="0"/>
        <w:tabs>
          <w:tab w:leader="none" w:pos="32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222" w:lineRule="exact"/>
        <w:rPr>
          <w:sz w:val="20"/>
          <w:szCs w:val="20"/>
          <w:color w:val="auto"/>
        </w:rPr>
      </w:pPr>
    </w:p>
    <w:p>
      <w:pPr>
        <w:jc w:val="both"/>
        <w:ind w:left="6" w:hanging="6"/>
        <w:spacing w:after="0" w:line="250" w:lineRule="auto"/>
        <w:tabs>
          <w:tab w:leader="none" w:pos="41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Derivative and Successor Models</w:t>
      </w:r>
      <w:r>
        <w:rPr>
          <w:rFonts w:ascii="Arial" w:cs="Arial" w:eastAsia="Arial" w:hAnsi="Arial"/>
          <w:sz w:val="19"/>
          <w:szCs w:val="19"/>
          <w:b w:val="1"/>
          <w:bCs w:val="1"/>
          <w:color w:val="auto"/>
        </w:rPr>
        <w:t xml:space="preserve">. </w:t>
      </w:r>
      <w:r>
        <w:rPr>
          <w:rFonts w:ascii="Arial" w:cs="Arial" w:eastAsia="Arial" w:hAnsi="Arial"/>
          <w:sz w:val="19"/>
          <w:szCs w:val="19"/>
          <w:color w:val="auto"/>
        </w:rPr>
        <w:t>If prior to the Expiration Date Boeing and Customer agree upon terms and conditions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any applicable launch program conditions) for the purchase of a Derivative or Successor Model, such Derivative or Successor Model shall be deemed to be an Eligible Model hereunder, and Customer shall be entitled, subject to the terms hereof, to exercise any Purchase Right for the purchase of such Derivative or Successor Model and/or to exercise its right of substitution to have such Derivative or Successor Model delivered in lieu of any Firm Aircraft.</w:t>
      </w:r>
    </w:p>
    <w:p>
      <w:pPr>
        <w:spacing w:after="0" w:line="195" w:lineRule="exact"/>
        <w:rPr>
          <w:rFonts w:ascii="Arial" w:cs="Arial" w:eastAsia="Arial" w:hAnsi="Arial"/>
          <w:sz w:val="19"/>
          <w:szCs w:val="19"/>
          <w:b w:val="1"/>
          <w:bCs w:val="1"/>
          <w:color w:val="auto"/>
        </w:rPr>
      </w:pPr>
    </w:p>
    <w:p>
      <w:pPr>
        <w:jc w:val="both"/>
        <w:ind w:left="6" w:right="20" w:hanging="6"/>
        <w:spacing w:after="0" w:line="257" w:lineRule="auto"/>
        <w:tabs>
          <w:tab w:leader="none" w:pos="509"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Production Capacity Assurances</w:t>
      </w:r>
      <w:r>
        <w:rPr>
          <w:rFonts w:ascii="Arial" w:cs="Arial" w:eastAsia="Arial" w:hAnsi="Arial"/>
          <w:sz w:val="19"/>
          <w:szCs w:val="19"/>
          <w:b w:val="1"/>
          <w:bCs w:val="1"/>
          <w:color w:val="auto"/>
        </w:rPr>
        <w:t xml:space="preserve">. </w:t>
      </w:r>
      <w:r>
        <w:rPr>
          <w:rFonts w:ascii="Arial" w:cs="Arial" w:eastAsia="Arial" w:hAnsi="Arial"/>
          <w:sz w:val="19"/>
          <w:szCs w:val="19"/>
          <w:color w:val="auto"/>
        </w:rPr>
        <w:t>If Customer desires to purchase a sufficient number of Rights Aircraft that would, in Boeing's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economically justify an increase in the production rate for the model type of aircraft Customer desires to purchase, Boeing shall use its best reasonable efforts to increase the production rate for such aircraft.</w:t>
      </w:r>
    </w:p>
    <w:p>
      <w:pPr>
        <w:spacing w:after="0" w:line="187" w:lineRule="exact"/>
        <w:rPr>
          <w:rFonts w:ascii="Arial" w:cs="Arial" w:eastAsia="Arial" w:hAnsi="Arial"/>
          <w:sz w:val="19"/>
          <w:szCs w:val="19"/>
          <w:b w:val="1"/>
          <w:bCs w:val="1"/>
          <w:color w:val="auto"/>
        </w:rPr>
      </w:pPr>
    </w:p>
    <w:p>
      <w:pPr>
        <w:ind w:left="406" w:hanging="406"/>
        <w:spacing w:after="0"/>
        <w:tabs>
          <w:tab w:leader="none" w:pos="40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Intentionally Omitted.</w:t>
      </w:r>
    </w:p>
    <w:p>
      <w:pPr>
        <w:spacing w:after="0" w:line="200" w:lineRule="exact"/>
        <w:rPr>
          <w:sz w:val="20"/>
          <w:szCs w:val="20"/>
          <w:color w:val="auto"/>
        </w:rPr>
      </w:pPr>
    </w:p>
    <w:p>
      <w:pPr>
        <w:spacing w:after="0" w:line="206" w:lineRule="exact"/>
        <w:rPr>
          <w:sz w:val="20"/>
          <w:szCs w:val="20"/>
          <w:color w:val="auto"/>
        </w:rPr>
      </w:pPr>
    </w:p>
    <w:p>
      <w:pPr>
        <w:ind w:left="6"/>
        <w:spacing w:after="0"/>
        <w:tabs>
          <w:tab w:leader="none" w:pos="1726" w:val="left"/>
          <w:tab w:leader="none" w:pos="2826" w:val="left"/>
        </w:tabs>
        <w:rPr>
          <w:sz w:val="20"/>
          <w:szCs w:val="20"/>
          <w:color w:val="auto"/>
        </w:rPr>
      </w:pPr>
      <w:r>
        <w:rPr>
          <w:rFonts w:ascii="Arial" w:cs="Arial" w:eastAsia="Arial" w:hAnsi="Arial"/>
          <w:sz w:val="19"/>
          <w:szCs w:val="19"/>
          <w:color w:val="auto"/>
        </w:rPr>
        <w:t>PA No.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L.A. 6-1162-TRW-0664R2</w:t>
      </w:r>
    </w:p>
    <w:p>
      <w:pPr>
        <w:spacing w:after="0" w:line="43" w:lineRule="exact"/>
        <w:rPr>
          <w:sz w:val="20"/>
          <w:szCs w:val="20"/>
          <w:color w:val="auto"/>
        </w:rPr>
      </w:pPr>
    </w:p>
    <w:p>
      <w:pPr>
        <w:ind w:left="6"/>
        <w:spacing w:after="0"/>
        <w:tabs>
          <w:tab w:leader="none" w:pos="4146"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6</w:t>
      </w:r>
    </w:p>
    <w:p>
      <w:pPr>
        <w:spacing w:after="0" w:line="27" w:lineRule="exact"/>
        <w:rPr>
          <w:sz w:val="20"/>
          <w:szCs w:val="20"/>
          <w:color w:val="auto"/>
        </w:rPr>
      </w:pPr>
    </w:p>
    <w:p>
      <w:pPr>
        <w:ind w:left="2246"/>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830" w:right="219" w:bottom="1440" w:gutter="0" w:footer="0" w:header="0"/>
        </w:sectPr>
      </w:pPr>
    </w:p>
    <w:bookmarkStart w:id="142" w:name="page143"/>
    <w:bookmarkEnd w:id="142"/>
    <w:p>
      <w:pPr>
        <w:ind w:left="6186"/>
        <w:spacing w:after="0"/>
        <w:rPr>
          <w:sz w:val="20"/>
          <w:szCs w:val="20"/>
          <w:color w:val="auto"/>
        </w:rPr>
      </w:pPr>
      <w:r>
        <w:rPr>
          <w:rFonts w:ascii="Arial" w:cs="Arial" w:eastAsia="Arial" w:hAnsi="Arial"/>
          <w:sz w:val="11"/>
          <w:szCs w:val="11"/>
          <w:color w:val="808080"/>
        </w:rPr>
        <w:drawing>
          <wp:anchor simplePos="0" relativeHeight="251657728" behindDoc="1" locked="0" layoutInCell="0" allowOverlap="1">
            <wp:simplePos x="0" y="0"/>
            <wp:positionH relativeFrom="page">
              <wp:posOffset>5823585</wp:posOffset>
            </wp:positionH>
            <wp:positionV relativeFrom="page">
              <wp:posOffset>88900</wp:posOffset>
            </wp:positionV>
            <wp:extent cx="1492885" cy="327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492885" cy="327025"/>
                    </a:xfrm>
                    <a:prstGeom prst="rect">
                      <a:avLst/>
                    </a:prstGeom>
                    <a:noFill/>
                  </pic:spPr>
                </pic:pic>
              </a:graphicData>
            </a:graphic>
          </wp:anchor>
        </w:drawing>
        <w:t>The Boeing Company</w:t>
      </w:r>
    </w:p>
    <w:p>
      <w:pPr>
        <w:spacing w:after="0" w:line="10" w:lineRule="exact"/>
        <w:rPr>
          <w:sz w:val="20"/>
          <w:szCs w:val="20"/>
          <w:color w:val="auto"/>
        </w:rPr>
      </w:pPr>
    </w:p>
    <w:p>
      <w:pPr>
        <w:ind w:left="6186"/>
        <w:spacing w:after="0"/>
        <w:rPr>
          <w:sz w:val="20"/>
          <w:szCs w:val="20"/>
          <w:color w:val="auto"/>
        </w:rPr>
      </w:pPr>
      <w:r>
        <w:rPr>
          <w:rFonts w:ascii="Arial" w:cs="Arial" w:eastAsia="Arial" w:hAnsi="Arial"/>
          <w:sz w:val="11"/>
          <w:szCs w:val="11"/>
          <w:color w:val="808080"/>
        </w:rPr>
        <w:t>P.O. Box 3707</w:t>
      </w:r>
    </w:p>
    <w:p>
      <w:pPr>
        <w:spacing w:after="0" w:line="2" w:lineRule="exact"/>
        <w:rPr>
          <w:sz w:val="20"/>
          <w:szCs w:val="20"/>
          <w:color w:val="auto"/>
        </w:rPr>
      </w:pPr>
    </w:p>
    <w:p>
      <w:pPr>
        <w:ind w:left="6186"/>
        <w:spacing w:after="0" w:line="127" w:lineRule="exact"/>
        <w:rPr>
          <w:sz w:val="20"/>
          <w:szCs w:val="20"/>
          <w:color w:val="auto"/>
        </w:rPr>
      </w:pPr>
      <w:r>
        <w:rPr>
          <w:rFonts w:ascii="Arial" w:cs="Arial" w:eastAsia="Arial" w:hAnsi="Arial"/>
          <w:sz w:val="11"/>
          <w:szCs w:val="11"/>
          <w:color w:val="808080"/>
        </w:rPr>
        <w:t>Seattle, WA 98124</w:t>
      </w:r>
      <w:r>
        <w:rPr>
          <w:rFonts w:ascii="MS PGothic" w:cs="MS PGothic" w:eastAsia="MS PGothic" w:hAnsi="MS PGothic"/>
          <w:sz w:val="11"/>
          <w:szCs w:val="11"/>
          <w:color w:val="808080"/>
        </w:rPr>
        <w:t>‑</w:t>
      </w:r>
      <w:r>
        <w:rPr>
          <w:rFonts w:ascii="Arial" w:cs="Arial" w:eastAsia="Arial" w:hAnsi="Arial"/>
          <w:sz w:val="11"/>
          <w:szCs w:val="11"/>
          <w:color w:val="808080"/>
        </w:rPr>
        <w:t>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 w:hanging="6"/>
        <w:spacing w:after="0" w:line="284" w:lineRule="auto"/>
        <w:tabs>
          <w:tab w:leader="none" w:pos="451"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and Boeing understand that certain commercial and financial information contained in this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Applicable Purchase Agreements. Subject to the terms and conditions of Letter Agreement 6-1162-TRW-0673R1 entitled “</w:t>
      </w:r>
      <w:r>
        <w:rPr>
          <w:rFonts w:ascii="Arial" w:cs="Arial" w:eastAsia="Arial" w:hAnsi="Arial"/>
          <w:sz w:val="17"/>
          <w:szCs w:val="17"/>
          <w:u w:val="single" w:color="auto"/>
          <w:color w:val="auto"/>
        </w:rPr>
        <w:t>Confidentiality</w:t>
      </w:r>
      <w:r>
        <w:rPr>
          <w:rFonts w:ascii="Arial" w:cs="Arial" w:eastAsia="Arial" w:hAnsi="Arial"/>
          <w:sz w:val="17"/>
          <w:szCs w:val="17"/>
          <w:color w:val="auto"/>
        </w:rPr>
        <w:t>”, either party may disclose the information contained in this Letter Agreement without the consent of the other party when and to the extent required by any law applicable to such party or by a Governmental Authority.</w:t>
      </w:r>
    </w:p>
    <w:p>
      <w:pPr>
        <w:spacing w:after="0" w:line="354" w:lineRule="exact"/>
        <w:rPr>
          <w:sz w:val="20"/>
          <w:szCs w:val="20"/>
          <w:color w:val="auto"/>
        </w:rPr>
      </w:pPr>
    </w:p>
    <w:p>
      <w:pPr>
        <w:ind w:left="6"/>
        <w:spacing w:after="0"/>
        <w:rPr>
          <w:sz w:val="20"/>
          <w:szCs w:val="20"/>
          <w:color w:val="auto"/>
        </w:rPr>
      </w:pPr>
      <w:r>
        <w:rPr>
          <w:rFonts w:ascii="Arial" w:cs="Arial" w:eastAsia="Arial" w:hAnsi="Arial"/>
          <w:sz w:val="16"/>
          <w:szCs w:val="16"/>
          <w:color w:val="auto"/>
        </w:rPr>
        <w:t>Very truly yours,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71" w:lineRule="exact"/>
        <w:rPr>
          <w:sz w:val="20"/>
          <w:szCs w:val="20"/>
          <w:color w:val="auto"/>
        </w:rPr>
      </w:pPr>
    </w:p>
    <w:p>
      <w:pPr>
        <w:ind w:left="6"/>
        <w:spacing w:after="0"/>
        <w:tabs>
          <w:tab w:leader="none" w:pos="406" w:val="left"/>
        </w:tabs>
        <w:rPr>
          <w:sz w:val="20"/>
          <w:szCs w:val="20"/>
          <w:color w:val="auto"/>
        </w:rPr>
      </w:pPr>
      <w:r>
        <w:rPr>
          <w:rFonts w:ascii="Arial" w:cs="Arial" w:eastAsia="Arial" w:hAnsi="Arial"/>
          <w:sz w:val="16"/>
          <w:szCs w:val="16"/>
          <w:color w:val="auto"/>
        </w:rPr>
        <w:t>By:</w:t>
        <w:tab/>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-11430</wp:posOffset>
            </wp:positionV>
            <wp:extent cx="146304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1463040" cy="7620"/>
                    </a:xfrm>
                    <a:prstGeom prst="rect">
                      <a:avLst/>
                    </a:prstGeom>
                    <a:noFill/>
                  </pic:spPr>
                </pic:pic>
              </a:graphicData>
            </a:graphic>
          </wp:anchor>
        </w:drawing>
      </w:r>
    </w:p>
    <w:p>
      <w:pPr>
        <w:spacing w:after="0" w:line="358" w:lineRule="exact"/>
        <w:rPr>
          <w:sz w:val="20"/>
          <w:szCs w:val="20"/>
          <w:color w:val="auto"/>
        </w:rPr>
      </w:pPr>
    </w:p>
    <w:p>
      <w:pPr>
        <w:ind w:left="6"/>
        <w:spacing w:after="0" w:line="184" w:lineRule="exact"/>
        <w:tabs>
          <w:tab w:leader="none" w:pos="866"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-11430</wp:posOffset>
            </wp:positionV>
            <wp:extent cx="15068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1506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
        <w:spacing w:after="0"/>
        <w:rPr>
          <w:sz w:val="20"/>
          <w:szCs w:val="20"/>
          <w:color w:val="auto"/>
        </w:rPr>
      </w:pPr>
      <w:r>
        <w:rPr>
          <w:rFonts w:ascii="Arial" w:cs="Arial" w:eastAsia="Arial" w:hAnsi="Arial"/>
          <w:sz w:val="19"/>
          <w:szCs w:val="19"/>
          <w:color w:val="auto"/>
        </w:rPr>
        <w:t xml:space="preserve">ACCEPTED AND AGREED TO this  6th day of </w:t>
      </w:r>
      <w:r>
        <w:rPr>
          <w:rFonts w:ascii="Arial" w:cs="Arial" w:eastAsia="Arial" w:hAnsi="Arial"/>
          <w:sz w:val="19"/>
          <w:szCs w:val="19"/>
          <w:u w:val="single" w:color="auto"/>
          <w:color w:val="auto"/>
        </w:rPr>
        <w:t>April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-14605</wp:posOffset>
            </wp:positionV>
            <wp:extent cx="24066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2406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60" w:type="dxa"/>
            <w:vAlign w:val="bottom"/>
            <w:gridSpan w:val="2"/>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right="402"/>
              <w:spacing w:after="0"/>
              <w:rPr>
                <w:sz w:val="20"/>
                <w:szCs w:val="20"/>
                <w:color w:val="auto"/>
              </w:rPr>
            </w:pPr>
            <w:r>
              <w:rPr>
                <w:rFonts w:ascii="Arial" w:cs="Arial" w:eastAsia="Arial" w:hAnsi="Arial"/>
                <w:sz w:val="16"/>
                <w:szCs w:val="16"/>
                <w:color w:val="auto"/>
                <w:w w:val="91"/>
              </w:rPr>
              <w:t>/s/ American Airlines, Inc.</w:t>
            </w:r>
          </w:p>
        </w:tc>
        <w:tc>
          <w:tcPr>
            <w:tcW w:w="40" w:type="dxa"/>
            <w:vAlign w:val="bottom"/>
          </w:tcPr>
          <w:p>
            <w:pPr>
              <w:spacing w:after="0"/>
              <w:rPr>
                <w:sz w:val="16"/>
                <w:szCs w:val="16"/>
                <w:color w:val="auto"/>
              </w:rPr>
            </w:pPr>
          </w:p>
        </w:tc>
      </w:tr>
      <w:tr>
        <w:trPr>
          <w:trHeight w:val="635"/>
        </w:trPr>
        <w:tc>
          <w:tcPr>
            <w:tcW w:w="240" w:type="dxa"/>
            <w:vAlign w:val="bottom"/>
          </w:tcPr>
          <w:p>
            <w:pPr>
              <w:spacing w:after="0"/>
              <w:rPr>
                <w:sz w:val="20"/>
                <w:szCs w:val="20"/>
                <w:color w:val="auto"/>
              </w:rPr>
            </w:pPr>
            <w:r>
              <w:rPr>
                <w:rFonts w:ascii="Arial" w:cs="Arial" w:eastAsia="Arial" w:hAnsi="Arial"/>
                <w:sz w:val="16"/>
                <w:szCs w:val="16"/>
                <w:color w:val="auto"/>
              </w:rPr>
              <w:t>Its:</w:t>
            </w: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382"/>
              <w:spacing w:after="0"/>
              <w:rPr>
                <w:sz w:val="20"/>
                <w:szCs w:val="20"/>
                <w:color w:val="auto"/>
              </w:rPr>
            </w:pPr>
            <w:r>
              <w:rPr>
                <w:rFonts w:ascii="Arial" w:cs="Arial" w:eastAsia="Arial" w:hAnsi="Arial"/>
                <w:sz w:val="16"/>
                <w:szCs w:val="16"/>
                <w:color w:val="auto"/>
                <w:w w:val="86"/>
              </w:rPr>
              <w:t>Vice President and Treasurer</w:t>
            </w:r>
          </w:p>
        </w:tc>
        <w:tc>
          <w:tcPr>
            <w:tcW w:w="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
        <w:spacing w:after="0"/>
        <w:tabs>
          <w:tab w:leader="none" w:pos="1726" w:val="left"/>
          <w:tab w:leader="none" w:pos="2826" w:val="left"/>
        </w:tabs>
        <w:rPr>
          <w:sz w:val="20"/>
          <w:szCs w:val="20"/>
          <w:color w:val="auto"/>
        </w:rPr>
      </w:pPr>
      <w:r>
        <w:rPr>
          <w:rFonts w:ascii="Arial" w:cs="Arial" w:eastAsia="Arial" w:hAnsi="Arial"/>
          <w:sz w:val="19"/>
          <w:szCs w:val="19"/>
          <w:color w:val="auto"/>
        </w:rPr>
        <w:t>PA No. 3219</w:t>
      </w:r>
      <w:r>
        <w:rPr>
          <w:sz w:val="20"/>
          <w:szCs w:val="20"/>
          <w:color w:val="auto"/>
        </w:rPr>
        <w:tab/>
      </w:r>
      <w:r>
        <w:rPr>
          <w:rFonts w:ascii="Arial" w:cs="Arial" w:eastAsia="Arial" w:hAnsi="Arial"/>
          <w:sz w:val="19"/>
          <w:szCs w:val="19"/>
          <w:color w:val="auto"/>
        </w:rPr>
        <w:t>SA-11</w:t>
      </w:r>
      <w:r>
        <w:rPr>
          <w:sz w:val="20"/>
          <w:szCs w:val="20"/>
          <w:color w:val="auto"/>
        </w:rPr>
        <w:tab/>
      </w:r>
      <w:r>
        <w:rPr>
          <w:rFonts w:ascii="Arial" w:cs="Arial" w:eastAsia="Arial" w:hAnsi="Arial"/>
          <w:sz w:val="14"/>
          <w:szCs w:val="14"/>
          <w:color w:val="auto"/>
        </w:rPr>
        <w:t>L.A. 6-1162-TRW-0664R2</w:t>
      </w:r>
    </w:p>
    <w:p>
      <w:pPr>
        <w:spacing w:after="0" w:line="43" w:lineRule="exact"/>
        <w:rPr>
          <w:sz w:val="20"/>
          <w:szCs w:val="20"/>
          <w:color w:val="auto"/>
        </w:rPr>
      </w:pPr>
    </w:p>
    <w:p>
      <w:pPr>
        <w:ind w:left="6"/>
        <w:spacing w:after="0"/>
        <w:tabs>
          <w:tab w:leader="none" w:pos="4146"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7</w:t>
      </w:r>
    </w:p>
    <w:p>
      <w:pPr>
        <w:spacing w:after="0" w:line="27" w:lineRule="exact"/>
        <w:rPr>
          <w:sz w:val="20"/>
          <w:szCs w:val="20"/>
          <w:color w:val="auto"/>
        </w:rPr>
      </w:pPr>
    </w:p>
    <w:p>
      <w:pPr>
        <w:ind w:left="2246"/>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89" w:right="219" w:bottom="1440" w:gutter="0" w:footer="0" w:header="0"/>
        </w:sectPr>
      </w:pPr>
    </w:p>
    <w:bookmarkStart w:id="143" w:name="page144"/>
    <w:bookmarkEnd w:id="143"/>
    <w:p>
      <w:pPr>
        <w:ind w:left="6180"/>
        <w:spacing w:after="0"/>
        <w:rPr>
          <w:sz w:val="20"/>
          <w:szCs w:val="20"/>
          <w:color w:val="auto"/>
        </w:rPr>
      </w:pPr>
      <w:r>
        <w:rPr>
          <w:rFonts w:ascii="Arial" w:cs="Arial" w:eastAsia="Arial" w:hAnsi="Arial"/>
          <w:sz w:val="10"/>
          <w:szCs w:val="10"/>
          <w:color w:val="808080"/>
        </w:rPr>
        <w:drawing>
          <wp:anchor simplePos="0" relativeHeight="251657728" behindDoc="1" locked="0" layoutInCell="0" allowOverlap="1">
            <wp:simplePos x="0" y="0"/>
            <wp:positionH relativeFrom="page">
              <wp:posOffset>5823585</wp:posOffset>
            </wp:positionH>
            <wp:positionV relativeFrom="page">
              <wp:posOffset>88900</wp:posOffset>
            </wp:positionV>
            <wp:extent cx="1492885" cy="3270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492885" cy="327025"/>
                    </a:xfrm>
                    <a:prstGeom prst="rect">
                      <a:avLst/>
                    </a:prstGeom>
                    <a:noFill/>
                  </pic:spPr>
                </pic:pic>
              </a:graphicData>
            </a:graphic>
          </wp:anchor>
        </w:drawing>
        <w:t>The Boeing Company</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1"/>
          <w:szCs w:val="11"/>
          <w:color w:val="808080"/>
        </w:rPr>
        <w:t>P.O. Box 3707</w:t>
      </w:r>
    </w:p>
    <w:p>
      <w:pPr>
        <w:spacing w:after="0" w:line="2" w:lineRule="exact"/>
        <w:rPr>
          <w:sz w:val="20"/>
          <w:szCs w:val="20"/>
          <w:color w:val="auto"/>
        </w:rPr>
      </w:pPr>
    </w:p>
    <w:p>
      <w:pPr>
        <w:ind w:left="6180"/>
        <w:spacing w:after="0" w:line="104" w:lineRule="exact"/>
        <w:rPr>
          <w:sz w:val="20"/>
          <w:szCs w:val="20"/>
          <w:color w:val="auto"/>
        </w:rPr>
      </w:pPr>
      <w:r>
        <w:rPr>
          <w:rFonts w:ascii="Arial" w:cs="Arial" w:eastAsia="Arial" w:hAnsi="Arial"/>
          <w:sz w:val="9"/>
          <w:szCs w:val="9"/>
          <w:color w:val="808080"/>
        </w:rPr>
        <w:t>Seattle, WA 98124</w:t>
      </w:r>
      <w:r>
        <w:rPr>
          <w:rFonts w:ascii="MS PGothic" w:cs="MS PGothic" w:eastAsia="MS PGothic" w:hAnsi="MS PGothic"/>
          <w:sz w:val="9"/>
          <w:szCs w:val="9"/>
          <w:color w:val="808080"/>
        </w:rPr>
        <w:t>‑</w:t>
      </w:r>
      <w:r>
        <w:rPr>
          <w:rFonts w:ascii="Arial" w:cs="Arial" w:eastAsia="Arial" w:hAnsi="Arial"/>
          <w:sz w:val="9"/>
          <w:szCs w:val="9"/>
          <w:color w:val="808080"/>
        </w:rPr>
        <w:t>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620" w:val="left"/>
        </w:tabs>
        <w:rPr>
          <w:sz w:val="20"/>
          <w:szCs w:val="20"/>
          <w:color w:val="auto"/>
        </w:rPr>
      </w:pPr>
      <w:r>
        <w:rPr>
          <w:rFonts w:ascii="Arial" w:cs="Arial" w:eastAsia="Arial" w:hAnsi="Arial"/>
          <w:sz w:val="19"/>
          <w:szCs w:val="19"/>
          <w:color w:val="auto"/>
        </w:rPr>
        <w:t>Attachment A(R2):</w:t>
      </w:r>
      <w:r>
        <w:rPr>
          <w:sz w:val="20"/>
          <w:szCs w:val="20"/>
          <w:color w:val="auto"/>
        </w:rPr>
        <w:tab/>
      </w:r>
      <w:r>
        <w:rPr>
          <w:rFonts w:ascii="Arial" w:cs="Arial" w:eastAsia="Arial" w:hAnsi="Arial"/>
          <w:sz w:val="18"/>
          <w:szCs w:val="18"/>
          <w:color w:val="auto"/>
        </w:rPr>
        <w:t xml:space="preserve">Information regarding [*CTR] </w:t>
      </w:r>
      <w:r>
        <w:rPr>
          <w:rFonts w:ascii="Arial" w:cs="Arial" w:eastAsia="Arial" w:hAnsi="Arial"/>
          <w:sz w:val="18"/>
          <w:szCs w:val="18"/>
          <w:b w:val="1"/>
          <w:bCs w:val="1"/>
          <w:color w:val="auto"/>
        </w:rPr>
        <w:t>WITHDRAWN</w:t>
      </w:r>
    </w:p>
    <w:p>
      <w:pPr>
        <w:spacing w:after="0" w:line="24"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Attachment B(R2):</w:t>
      </w:r>
      <w:r>
        <w:rPr>
          <w:sz w:val="20"/>
          <w:szCs w:val="20"/>
          <w:color w:val="auto"/>
        </w:rPr>
        <w:tab/>
      </w:r>
      <w:r>
        <w:rPr>
          <w:rFonts w:ascii="Arial" w:cs="Arial" w:eastAsia="Arial" w:hAnsi="Arial"/>
          <w:sz w:val="18"/>
          <w:szCs w:val="18"/>
          <w:color w:val="auto"/>
        </w:rPr>
        <w:t xml:space="preserve">Information regarding [*CTR] </w:t>
      </w:r>
      <w:r>
        <w:rPr>
          <w:rFonts w:ascii="Arial" w:cs="Arial" w:eastAsia="Arial" w:hAnsi="Arial"/>
          <w:sz w:val="18"/>
          <w:szCs w:val="18"/>
          <w:b w:val="1"/>
          <w:bCs w:val="1"/>
          <w:color w:val="auto"/>
        </w:rPr>
        <w:t>WITHDRAWN</w:t>
      </w:r>
    </w:p>
    <w:p>
      <w:pPr>
        <w:spacing w:after="0" w:line="4"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Attachment C(R4):</w:t>
      </w:r>
      <w:r>
        <w:rPr>
          <w:sz w:val="20"/>
          <w:szCs w:val="20"/>
          <w:color w:val="auto"/>
        </w:rPr>
        <w:tab/>
      </w:r>
      <w:r>
        <w:rPr>
          <w:rFonts w:ascii="Arial" w:cs="Arial" w:eastAsia="Arial" w:hAnsi="Arial"/>
          <w:sz w:val="17"/>
          <w:szCs w:val="17"/>
          <w:color w:val="auto"/>
        </w:rPr>
        <w:t>Description and Price for Eligible Models</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color w:val="auto"/>
        </w:rPr>
        <w:t>Attachment D:</w:t>
      </w:r>
      <w:r>
        <w:rPr>
          <w:sz w:val="20"/>
          <w:szCs w:val="20"/>
          <w:color w:val="auto"/>
        </w:rPr>
        <w:tab/>
      </w:r>
      <w:r>
        <w:rPr>
          <w:rFonts w:ascii="Arial" w:cs="Arial" w:eastAsia="Arial" w:hAnsi="Arial"/>
          <w:sz w:val="16"/>
          <w:szCs w:val="16"/>
          <w:color w:val="auto"/>
        </w:rPr>
        <w:t>Form of Purchase Agreement Supplement</w:t>
      </w:r>
    </w:p>
    <w:p>
      <w:pPr>
        <w:spacing w:after="0" w:line="4" w:lineRule="exact"/>
        <w:rPr>
          <w:sz w:val="20"/>
          <w:szCs w:val="20"/>
          <w:color w:val="auto"/>
        </w:rPr>
      </w:pPr>
    </w:p>
    <w:p>
      <w:pPr>
        <w:spacing w:after="0"/>
        <w:tabs>
          <w:tab w:leader="none" w:pos="1240" w:val="left"/>
        </w:tabs>
        <w:rPr>
          <w:sz w:val="20"/>
          <w:szCs w:val="20"/>
          <w:color w:val="auto"/>
        </w:rPr>
      </w:pPr>
      <w:r>
        <w:rPr>
          <w:rFonts w:ascii="Arial" w:cs="Arial" w:eastAsia="Arial" w:hAnsi="Arial"/>
          <w:sz w:val="19"/>
          <w:szCs w:val="19"/>
          <w:color w:val="auto"/>
        </w:rPr>
        <w:t>Attachment E:</w:t>
      </w:r>
      <w:r>
        <w:rPr>
          <w:sz w:val="20"/>
          <w:szCs w:val="20"/>
          <w:color w:val="auto"/>
        </w:rPr>
        <w:tab/>
      </w:r>
      <w:r>
        <w:rPr>
          <w:rFonts w:ascii="Arial" w:cs="Arial" w:eastAsia="Arial" w:hAnsi="Arial"/>
          <w:sz w:val="17"/>
          <w:szCs w:val="17"/>
          <w:color w:val="auto"/>
        </w:rPr>
        <w:t>Letter Agreements</w:t>
      </w:r>
    </w:p>
    <w:p>
      <w:pPr>
        <w:sectPr>
          <w:pgSz w:w="11900" w:h="16838" w:orient="portrait"/>
          <w:cols w:equalWidth="0" w:num="1">
            <w:col w:w="10280"/>
          </w:cols>
          <w:pgMar w:left="240" w:top="68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SA-11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L.A. 6-1162-TRW-0664R2</w:t>
      </w:r>
    </w:p>
    <w:p>
      <w:pPr>
        <w:spacing w:after="0" w:line="47" w:lineRule="exact"/>
        <w:rPr>
          <w:sz w:val="20"/>
          <w:szCs w:val="20"/>
          <w:color w:val="auto"/>
        </w:rPr>
      </w:pPr>
    </w:p>
    <w:p>
      <w:pPr>
        <w:sectPr>
          <w:pgSz w:w="11900" w:h="16838" w:orient="portrait"/>
          <w:cols w:equalWidth="0" w:num="3">
            <w:col w:w="1020" w:space="720"/>
            <w:col w:w="480" w:space="620"/>
            <w:col w:w="7440"/>
          </w:cols>
          <w:pgMar w:left="240" w:top="689" w:right="1379" w:bottom="1440" w:gutter="0" w:footer="0" w:header="0"/>
          <w:type w:val="continuous"/>
        </w:sectPr>
      </w:pPr>
    </w:p>
    <w:p>
      <w:pPr>
        <w:spacing w:after="0"/>
        <w:tabs>
          <w:tab w:leader="none" w:pos="4140" w:val="left"/>
        </w:tabs>
        <w:rPr>
          <w:sz w:val="20"/>
          <w:szCs w:val="20"/>
          <w:color w:val="auto"/>
        </w:rPr>
      </w:pPr>
      <w:r>
        <w:rPr>
          <w:rFonts w:ascii="Arial" w:cs="Arial" w:eastAsia="Arial" w:hAnsi="Arial"/>
          <w:sz w:val="16"/>
          <w:szCs w:val="16"/>
          <w:color w:val="auto"/>
        </w:rPr>
        <w:t>Aircraft Purchase Rights and Substitution Rights</w:t>
      </w:r>
      <w:r>
        <w:rPr>
          <w:sz w:val="20"/>
          <w:szCs w:val="20"/>
          <w:color w:val="auto"/>
        </w:rPr>
        <w:tab/>
      </w:r>
      <w:r>
        <w:rPr>
          <w:rFonts w:ascii="Arial" w:cs="Arial" w:eastAsia="Arial" w:hAnsi="Arial"/>
          <w:sz w:val="16"/>
          <w:szCs w:val="16"/>
          <w:color w:val="auto"/>
        </w:rPr>
        <w:t>Page 8</w:t>
      </w:r>
    </w:p>
    <w:p>
      <w:pPr>
        <w:spacing w:after="0" w:line="50" w:lineRule="exact"/>
        <w:rPr>
          <w:sz w:val="20"/>
          <w:szCs w:val="20"/>
          <w:color w:val="auto"/>
        </w:rPr>
      </w:pPr>
    </w:p>
    <w:p>
      <w:pPr>
        <w:ind w:left="2240"/>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0280"/>
          </w:cols>
          <w:pgMar w:left="240" w:top="689" w:right="137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280"/>
          </w:cols>
          <w:pgMar w:left="240" w:top="689" w:right="1379" w:bottom="1440" w:gutter="0" w:footer="0" w:header="0"/>
          <w:type w:val="continuous"/>
        </w:sectPr>
      </w:pPr>
    </w:p>
    <w:bookmarkStart w:id="144" w:name="page145"/>
    <w:bookmarkEnd w:id="144"/>
    <w:p>
      <w:pPr>
        <w:jc w:val="center"/>
        <w:ind w:left="1140"/>
        <w:spacing w:after="0"/>
        <w:rPr>
          <w:sz w:val="20"/>
          <w:szCs w:val="20"/>
          <w:color w:val="auto"/>
        </w:rPr>
      </w:pPr>
      <w:r>
        <w:rPr>
          <w:rFonts w:ascii="Arial" w:cs="Arial" w:eastAsia="Arial" w:hAnsi="Arial"/>
          <w:sz w:val="19"/>
          <w:szCs w:val="19"/>
          <w:b w:val="1"/>
          <w:bCs w:val="1"/>
          <w:color w:val="auto"/>
        </w:rPr>
        <w:t>[*CTR] Attachment A(R2) to Letter Agreement 6-1162-TRW-0664R1 (Model 787)</w:t>
      </w:r>
    </w:p>
    <w:p>
      <w:pPr>
        <w:spacing w:after="0" w:line="191" w:lineRule="exact"/>
        <w:rPr>
          <w:sz w:val="20"/>
          <w:szCs w:val="20"/>
          <w:color w:val="auto"/>
        </w:rPr>
      </w:pPr>
    </w:p>
    <w:p>
      <w:pPr>
        <w:jc w:val="center"/>
        <w:ind w:left="1140"/>
        <w:spacing w:after="0"/>
        <w:rPr>
          <w:sz w:val="20"/>
          <w:szCs w:val="20"/>
          <w:color w:val="auto"/>
        </w:rPr>
      </w:pPr>
      <w:r>
        <w:rPr>
          <w:rFonts w:ascii="Arial" w:cs="Arial" w:eastAsia="Arial" w:hAnsi="Arial"/>
          <w:sz w:val="19"/>
          <w:szCs w:val="19"/>
          <w:b w:val="1"/>
          <w:bCs w:val="1"/>
          <w:color w:val="auto"/>
        </w:rPr>
        <w:t>Information Regarding 787-9 [*CTR] Rights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9"/>
                <w:szCs w:val="19"/>
                <w:color w:val="auto"/>
              </w:rPr>
              <w:t>PA No. 3219</w:t>
            </w:r>
          </w:p>
        </w:tc>
        <w:tc>
          <w:tcPr>
            <w:tcW w:w="840" w:type="dxa"/>
            <w:vAlign w:val="bottom"/>
          </w:tcPr>
          <w:p>
            <w:pPr>
              <w:ind w:left="40"/>
              <w:spacing w:after="0"/>
              <w:rPr>
                <w:sz w:val="20"/>
                <w:szCs w:val="20"/>
                <w:color w:val="auto"/>
              </w:rPr>
            </w:pPr>
            <w:r>
              <w:rPr>
                <w:rFonts w:ascii="Arial" w:cs="Arial" w:eastAsia="Arial" w:hAnsi="Arial"/>
                <w:sz w:val="19"/>
                <w:szCs w:val="19"/>
                <w:color w:val="auto"/>
              </w:rPr>
              <w:t>SA-11</w:t>
            </w:r>
          </w:p>
        </w:tc>
        <w:tc>
          <w:tcPr>
            <w:tcW w:w="2000" w:type="dxa"/>
            <w:vAlign w:val="bottom"/>
          </w:tcPr>
          <w:p>
            <w:pPr>
              <w:ind w:left="300"/>
              <w:spacing w:after="0"/>
              <w:rPr>
                <w:sz w:val="20"/>
                <w:szCs w:val="20"/>
                <w:color w:val="auto"/>
              </w:rPr>
            </w:pPr>
            <w:r>
              <w:rPr>
                <w:rFonts w:ascii="Arial" w:cs="Arial" w:eastAsia="Arial" w:hAnsi="Arial"/>
                <w:sz w:val="16"/>
                <w:szCs w:val="16"/>
                <w:color w:val="auto"/>
                <w:w w:val="90"/>
              </w:rPr>
              <w:t>L.A. 6-1162-TRW-0664R2</w:t>
            </w:r>
          </w:p>
        </w:tc>
      </w:tr>
      <w:tr>
        <w:trPr>
          <w:trHeight w:val="239"/>
        </w:trPr>
        <w:tc>
          <w:tcPr>
            <w:tcW w:w="1700" w:type="dxa"/>
            <w:vAlign w:val="bottom"/>
          </w:tcPr>
          <w:p>
            <w:pPr>
              <w:spacing w:after="0"/>
              <w:rPr>
                <w:sz w:val="20"/>
                <w:szCs w:val="20"/>
                <w:color w:val="auto"/>
              </w:rPr>
            </w:pPr>
            <w:r>
              <w:rPr>
                <w:rFonts w:ascii="Arial" w:cs="Arial" w:eastAsia="Arial" w:hAnsi="Arial"/>
                <w:sz w:val="16"/>
                <w:szCs w:val="16"/>
                <w:color w:val="auto"/>
                <w:w w:val="94"/>
              </w:rPr>
              <w:t>MADP Attachment A(R2)</w:t>
            </w:r>
          </w:p>
        </w:tc>
        <w:tc>
          <w:tcPr>
            <w:tcW w:w="840" w:type="dxa"/>
            <w:vAlign w:val="bottom"/>
          </w:tcPr>
          <w:p>
            <w:pPr>
              <w:spacing w:after="0"/>
              <w:rPr>
                <w:sz w:val="20"/>
                <w:szCs w:val="20"/>
                <w:color w:val="auto"/>
              </w:rPr>
            </w:pPr>
          </w:p>
        </w:tc>
        <w:tc>
          <w:tcPr>
            <w:tcW w:w="2000" w:type="dxa"/>
            <w:vAlign w:val="bottom"/>
          </w:tcPr>
          <w:p>
            <w:pPr>
              <w:ind w:left="400"/>
              <w:spacing w:after="0"/>
              <w:rPr>
                <w:sz w:val="20"/>
                <w:szCs w:val="20"/>
                <w:color w:val="auto"/>
              </w:rPr>
            </w:pPr>
            <w:r>
              <w:rPr>
                <w:rFonts w:ascii="Arial" w:cs="Arial" w:eastAsia="Arial" w:hAnsi="Arial"/>
                <w:sz w:val="19"/>
                <w:szCs w:val="19"/>
                <w:color w:val="auto"/>
              </w:rPr>
              <w:t>Page 1</w:t>
            </w:r>
          </w:p>
        </w:tc>
      </w:tr>
    </w:tbl>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280"/>
          </w:cols>
          <w:pgMar w:left="240" w:top="315" w:right="1379" w:bottom="1440" w:gutter="0" w:footer="0" w:header="0"/>
        </w:sectPr>
      </w:pPr>
    </w:p>
    <w:bookmarkStart w:id="145" w:name="page146"/>
    <w:bookmarkEnd w:id="145"/>
    <w:p>
      <w:pPr>
        <w:jc w:val="center"/>
        <w:ind w:right="-1139"/>
        <w:spacing w:after="0"/>
        <w:rPr>
          <w:sz w:val="20"/>
          <w:szCs w:val="20"/>
          <w:color w:val="auto"/>
        </w:rPr>
      </w:pPr>
      <w:r>
        <w:rPr>
          <w:rFonts w:ascii="Arial" w:cs="Arial" w:eastAsia="Arial" w:hAnsi="Arial"/>
          <w:sz w:val="19"/>
          <w:szCs w:val="19"/>
          <w:b w:val="1"/>
          <w:bCs w:val="1"/>
          <w:color w:val="auto"/>
        </w:rPr>
        <w:t>[*CTR] Attachment B(R2) to Letter Agreement 6-1162-TRW-0664R1 (Model 787)</w:t>
      </w:r>
    </w:p>
    <w:p>
      <w:pPr>
        <w:spacing w:after="0" w:line="24" w:lineRule="exact"/>
        <w:rPr>
          <w:sz w:val="20"/>
          <w:szCs w:val="20"/>
          <w:color w:val="auto"/>
        </w:rPr>
      </w:pPr>
    </w:p>
    <w:p>
      <w:pPr>
        <w:jc w:val="center"/>
        <w:ind w:right="-1139"/>
        <w:spacing w:after="0"/>
        <w:rPr>
          <w:sz w:val="20"/>
          <w:szCs w:val="20"/>
          <w:color w:val="auto"/>
        </w:rPr>
      </w:pPr>
      <w:r>
        <w:rPr>
          <w:rFonts w:ascii="Arial" w:cs="Arial" w:eastAsia="Arial" w:hAnsi="Arial"/>
          <w:sz w:val="19"/>
          <w:szCs w:val="19"/>
          <w:b w:val="1"/>
          <w:bCs w:val="1"/>
          <w:color w:val="auto"/>
        </w:rPr>
        <w:t>Information Regarding 787-9 [*CTR] Rights (WITHDRAWN)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9"/>
                <w:szCs w:val="19"/>
                <w:color w:val="auto"/>
              </w:rPr>
              <w:t>PA No. 3219</w:t>
            </w:r>
          </w:p>
        </w:tc>
        <w:tc>
          <w:tcPr>
            <w:tcW w:w="860" w:type="dxa"/>
            <w:vAlign w:val="bottom"/>
          </w:tcPr>
          <w:p>
            <w:pPr>
              <w:ind w:left="60"/>
              <w:spacing w:after="0"/>
              <w:rPr>
                <w:sz w:val="20"/>
                <w:szCs w:val="20"/>
                <w:color w:val="auto"/>
              </w:rPr>
            </w:pPr>
            <w:r>
              <w:rPr>
                <w:rFonts w:ascii="Arial" w:cs="Arial" w:eastAsia="Arial" w:hAnsi="Arial"/>
                <w:sz w:val="19"/>
                <w:szCs w:val="19"/>
                <w:color w:val="auto"/>
              </w:rPr>
              <w:t>SA-11</w:t>
            </w:r>
          </w:p>
        </w:tc>
        <w:tc>
          <w:tcPr>
            <w:tcW w:w="2000" w:type="dxa"/>
            <w:vAlign w:val="bottom"/>
          </w:tcPr>
          <w:p>
            <w:pPr>
              <w:ind w:left="300"/>
              <w:spacing w:after="0"/>
              <w:rPr>
                <w:sz w:val="20"/>
                <w:szCs w:val="20"/>
                <w:color w:val="auto"/>
              </w:rPr>
            </w:pPr>
            <w:r>
              <w:rPr>
                <w:rFonts w:ascii="Arial" w:cs="Arial" w:eastAsia="Arial" w:hAnsi="Arial"/>
                <w:sz w:val="16"/>
                <w:szCs w:val="16"/>
                <w:color w:val="auto"/>
                <w:w w:val="90"/>
              </w:rPr>
              <w:t>L.A. 6-1162-TRW-0664R2</w:t>
            </w:r>
          </w:p>
        </w:tc>
      </w:tr>
      <w:tr>
        <w:trPr>
          <w:trHeight w:val="239"/>
        </w:trPr>
        <w:tc>
          <w:tcPr>
            <w:tcW w:w="1680" w:type="dxa"/>
            <w:vAlign w:val="bottom"/>
          </w:tcPr>
          <w:p>
            <w:pPr>
              <w:spacing w:after="0"/>
              <w:rPr>
                <w:sz w:val="20"/>
                <w:szCs w:val="20"/>
                <w:color w:val="auto"/>
              </w:rPr>
            </w:pPr>
            <w:r>
              <w:rPr>
                <w:rFonts w:ascii="Arial" w:cs="Arial" w:eastAsia="Arial" w:hAnsi="Arial"/>
                <w:sz w:val="16"/>
                <w:szCs w:val="16"/>
                <w:color w:val="auto"/>
                <w:w w:val="93"/>
              </w:rPr>
              <w:t>QADP Attachment B(R2)</w:t>
            </w:r>
          </w:p>
        </w:tc>
        <w:tc>
          <w:tcPr>
            <w:tcW w:w="860" w:type="dxa"/>
            <w:vAlign w:val="bottom"/>
          </w:tcPr>
          <w:p>
            <w:pPr>
              <w:spacing w:after="0"/>
              <w:rPr>
                <w:sz w:val="20"/>
                <w:szCs w:val="20"/>
                <w:color w:val="auto"/>
              </w:rPr>
            </w:pPr>
          </w:p>
        </w:tc>
        <w:tc>
          <w:tcPr>
            <w:tcW w:w="2000" w:type="dxa"/>
            <w:vAlign w:val="bottom"/>
          </w:tcPr>
          <w:p>
            <w:pPr>
              <w:ind w:left="360"/>
              <w:spacing w:after="0"/>
              <w:rPr>
                <w:sz w:val="20"/>
                <w:szCs w:val="20"/>
                <w:color w:val="auto"/>
              </w:rPr>
            </w:pPr>
            <w:r>
              <w:rPr>
                <w:rFonts w:ascii="Arial" w:cs="Arial" w:eastAsia="Arial" w:hAnsi="Arial"/>
                <w:sz w:val="19"/>
                <w:szCs w:val="19"/>
                <w:color w:val="auto"/>
              </w:rPr>
              <w:t>Page 2</w:t>
            </w:r>
          </w:p>
        </w:tc>
      </w:tr>
    </w:tbl>
    <w:p>
      <w:pPr>
        <w:ind w:left="2240"/>
        <w:spacing w:after="0"/>
        <w:rPr>
          <w:sz w:val="20"/>
          <w:szCs w:val="20"/>
          <w:color w:val="auto"/>
        </w:rPr>
      </w:pPr>
      <w:r>
        <w:rPr>
          <w:rFonts w:ascii="Arial" w:cs="Arial" w:eastAsia="Arial" w:hAnsi="Arial"/>
          <w:sz w:val="19"/>
          <w:szCs w:val="19"/>
          <w:b w:val="1"/>
          <w:bCs w:val="1"/>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280"/>
          </w:cols>
          <w:pgMar w:left="240" w:top="128" w:right="137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Attachment C(R4)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6-1162-TRW-0664R2</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40" w:type="dxa"/>
            <w:vAlign w:val="bottom"/>
            <w:tcBorders>
              <w:right w:val="single" w:sz="8" w:color="00000A"/>
            </w:tcBorders>
          </w:tcPr>
          <w:p>
            <w:pPr>
              <w:spacing w:after="0"/>
              <w:rPr>
                <w:sz w:val="22"/>
                <w:szCs w:val="22"/>
                <w:color w:val="auto"/>
              </w:rPr>
            </w:pPr>
          </w:p>
        </w:tc>
        <w:tc>
          <w:tcPr>
            <w:tcW w:w="2020" w:type="dxa"/>
            <w:vAlign w:val="bottom"/>
            <w:tcBorders>
              <w:top w:val="single" w:sz="8" w:color="00000A"/>
              <w:bottom w:val="single" w:sz="8" w:color="00000A"/>
            </w:tcBorders>
            <w:gridSpan w:val="2"/>
          </w:tcPr>
          <w:p>
            <w:pPr>
              <w:ind w:left="20"/>
              <w:spacing w:after="0"/>
              <w:rPr>
                <w:sz w:val="20"/>
                <w:szCs w:val="20"/>
                <w:color w:val="auto"/>
              </w:rPr>
            </w:pPr>
            <w:r>
              <w:rPr>
                <w:rFonts w:ascii="Arial" w:cs="Arial" w:eastAsia="Arial" w:hAnsi="Arial"/>
                <w:sz w:val="19"/>
                <w:szCs w:val="19"/>
                <w:b w:val="1"/>
                <w:bCs w:val="1"/>
                <w:color w:val="auto"/>
              </w:rPr>
              <w:t>Eligible Model</w:t>
            </w:r>
          </w:p>
        </w:tc>
        <w:tc>
          <w:tcPr>
            <w:tcW w:w="780" w:type="dxa"/>
            <w:vAlign w:val="bottom"/>
            <w:tcBorders>
              <w:top w:val="single" w:sz="8" w:color="00000A"/>
              <w:bottom w:val="single" w:sz="8" w:color="00000A"/>
              <w:right w:val="single" w:sz="8" w:color="00000A"/>
            </w:tcBorders>
          </w:tcPr>
          <w:p>
            <w:pPr>
              <w:spacing w:after="0"/>
              <w:rPr>
                <w:sz w:val="22"/>
                <w:szCs w:val="22"/>
                <w:color w:val="auto"/>
              </w:rPr>
            </w:pPr>
          </w:p>
        </w:tc>
        <w:tc>
          <w:tcPr>
            <w:tcW w:w="440" w:type="dxa"/>
            <w:vAlign w:val="bottom"/>
            <w:tcBorders>
              <w:top w:val="single" w:sz="8" w:color="00000A"/>
              <w:bottom w:val="single" w:sz="8" w:color="00000A"/>
            </w:tcBorders>
          </w:tcPr>
          <w:p>
            <w:pPr>
              <w:spacing w:after="0"/>
              <w:rPr>
                <w:sz w:val="22"/>
                <w:szCs w:val="22"/>
                <w:color w:val="auto"/>
              </w:rPr>
            </w:pPr>
          </w:p>
        </w:tc>
        <w:tc>
          <w:tcPr>
            <w:tcW w:w="1360" w:type="dxa"/>
            <w:vAlign w:val="bottom"/>
            <w:tcBorders>
              <w:top w:val="single" w:sz="8" w:color="00000A"/>
              <w:bottom w:val="single" w:sz="8" w:color="00000A"/>
              <w:right w:val="single" w:sz="8" w:color="00000A"/>
            </w:tcBorders>
          </w:tcPr>
          <w:p>
            <w:pPr>
              <w:ind w:left="140"/>
              <w:spacing w:after="0"/>
              <w:rPr>
                <w:sz w:val="20"/>
                <w:szCs w:val="20"/>
                <w:color w:val="auto"/>
              </w:rPr>
            </w:pPr>
            <w:r>
              <w:rPr>
                <w:rFonts w:ascii="Arial" w:cs="Arial" w:eastAsia="Arial" w:hAnsi="Arial"/>
                <w:sz w:val="19"/>
                <w:szCs w:val="19"/>
                <w:b w:val="1"/>
                <w:bCs w:val="1"/>
                <w:color w:val="auto"/>
              </w:rPr>
              <w:t>[*CTR]</w:t>
            </w:r>
          </w:p>
        </w:tc>
        <w:tc>
          <w:tcPr>
            <w:tcW w:w="1800" w:type="dxa"/>
            <w:vAlign w:val="bottom"/>
            <w:tcBorders>
              <w:top w:val="single" w:sz="8" w:color="00000A"/>
              <w:bottom w:val="single" w:sz="8" w:color="00000A"/>
              <w:right w:val="single" w:sz="8" w:color="00000A"/>
            </w:tcBorders>
          </w:tcPr>
          <w:p>
            <w:pPr>
              <w:ind w:left="580"/>
              <w:spacing w:after="0"/>
              <w:rPr>
                <w:sz w:val="20"/>
                <w:szCs w:val="20"/>
                <w:color w:val="auto"/>
              </w:rPr>
            </w:pPr>
            <w:r>
              <w:rPr>
                <w:rFonts w:ascii="Arial" w:cs="Arial" w:eastAsia="Arial" w:hAnsi="Arial"/>
                <w:sz w:val="19"/>
                <w:szCs w:val="19"/>
                <w:b w:val="1"/>
                <w:bCs w:val="1"/>
                <w:color w:val="auto"/>
              </w:rPr>
              <w:t>[*CTR]</w:t>
            </w:r>
          </w:p>
        </w:tc>
        <w:tc>
          <w:tcPr>
            <w:tcW w:w="1800" w:type="dxa"/>
            <w:vAlign w:val="bottom"/>
            <w:tcBorders>
              <w:top w:val="single" w:sz="8" w:color="00000A"/>
              <w:bottom w:val="single" w:sz="8" w:color="00000A"/>
              <w:right w:val="single" w:sz="8" w:color="00000A"/>
            </w:tcBorders>
          </w:tcPr>
          <w:p>
            <w:pPr>
              <w:ind w:left="580"/>
              <w:spacing w:after="0"/>
              <w:rPr>
                <w:sz w:val="20"/>
                <w:szCs w:val="20"/>
                <w:color w:val="auto"/>
              </w:rPr>
            </w:pPr>
            <w:r>
              <w:rPr>
                <w:rFonts w:ascii="Arial" w:cs="Arial" w:eastAsia="Arial" w:hAnsi="Arial"/>
                <w:sz w:val="19"/>
                <w:szCs w:val="19"/>
                <w:b w:val="1"/>
                <w:bCs w:val="1"/>
                <w:color w:val="auto"/>
              </w:rPr>
              <w:t>[*CTR]</w:t>
            </w:r>
          </w:p>
        </w:tc>
        <w:tc>
          <w:tcPr>
            <w:tcW w:w="1780" w:type="dxa"/>
            <w:vAlign w:val="bottom"/>
            <w:tcBorders>
              <w:top w:val="single" w:sz="8" w:color="00000A"/>
              <w:bottom w:val="single" w:sz="8" w:color="00000A"/>
              <w:right w:val="single" w:sz="8" w:color="00000A"/>
            </w:tcBorders>
          </w:tcPr>
          <w:p>
            <w:pPr>
              <w:ind w:left="580"/>
              <w:spacing w:after="0"/>
              <w:rPr>
                <w:sz w:val="20"/>
                <w:szCs w:val="20"/>
                <w:color w:val="auto"/>
              </w:rPr>
            </w:pPr>
            <w:r>
              <w:rPr>
                <w:rFonts w:ascii="Arial" w:cs="Arial" w:eastAsia="Arial" w:hAnsi="Arial"/>
                <w:sz w:val="19"/>
                <w:szCs w:val="19"/>
                <w:b w:val="1"/>
                <w:bCs w:val="1"/>
                <w:color w:val="auto"/>
              </w:rPr>
              <w:t>[*CTR]</w:t>
            </w:r>
          </w:p>
        </w:tc>
      </w:tr>
      <w:tr>
        <w:trPr>
          <w:trHeight w:val="249"/>
        </w:trPr>
        <w:tc>
          <w:tcPr>
            <w:tcW w:w="740" w:type="dxa"/>
            <w:vAlign w:val="bottom"/>
            <w:tcBorders>
              <w:right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1620" w:type="dxa"/>
            <w:vAlign w:val="bottom"/>
            <w:tcBorders>
              <w:bottom w:val="single" w:sz="8" w:color="00000A"/>
            </w:tcBorders>
          </w:tcPr>
          <w:p>
            <w:pPr>
              <w:ind w:left="180"/>
              <w:spacing w:after="0"/>
              <w:rPr>
                <w:sz w:val="20"/>
                <w:szCs w:val="20"/>
                <w:color w:val="auto"/>
              </w:rPr>
            </w:pPr>
            <w:r>
              <w:rPr>
                <w:rFonts w:ascii="Arial" w:cs="Arial" w:eastAsia="Arial" w:hAnsi="Arial"/>
                <w:sz w:val="19"/>
                <w:szCs w:val="19"/>
                <w:color w:val="auto"/>
              </w:rPr>
              <w:t>[*CTR]</w:t>
            </w:r>
          </w:p>
        </w:tc>
        <w:tc>
          <w:tcPr>
            <w:tcW w:w="780" w:type="dxa"/>
            <w:vAlign w:val="bottom"/>
            <w:tcBorders>
              <w:bottom w:val="single" w:sz="8" w:color="00000A"/>
              <w:right w:val="single" w:sz="8" w:color="00000A"/>
            </w:tcBorders>
          </w:tcPr>
          <w:p>
            <w:pPr>
              <w:spacing w:after="0"/>
              <w:rPr>
                <w:sz w:val="21"/>
                <w:szCs w:val="21"/>
                <w:color w:val="auto"/>
              </w:rPr>
            </w:pPr>
          </w:p>
        </w:tc>
        <w:tc>
          <w:tcPr>
            <w:tcW w:w="440" w:type="dxa"/>
            <w:vAlign w:val="bottom"/>
            <w:tcBorders>
              <w:bottom w:val="single" w:sz="8" w:color="00000A"/>
            </w:tcBorders>
          </w:tcPr>
          <w:p>
            <w:pPr>
              <w:spacing w:after="0"/>
              <w:rPr>
                <w:sz w:val="21"/>
                <w:szCs w:val="21"/>
                <w:color w:val="auto"/>
              </w:rPr>
            </w:pPr>
          </w:p>
        </w:tc>
        <w:tc>
          <w:tcPr>
            <w:tcW w:w="1360" w:type="dxa"/>
            <w:vAlign w:val="bottom"/>
            <w:tcBorders>
              <w:bottom w:val="single" w:sz="8" w:color="00000A"/>
              <w:right w:val="single" w:sz="8" w:color="00000A"/>
            </w:tcBorders>
          </w:tcPr>
          <w:p>
            <w:pPr>
              <w:jc w:val="center"/>
              <w:ind w:left="6"/>
              <w:spacing w:after="0"/>
              <w:rPr>
                <w:sz w:val="20"/>
                <w:szCs w:val="20"/>
                <w:color w:val="auto"/>
              </w:rPr>
            </w:pPr>
            <w:r>
              <w:rPr>
                <w:rFonts w:ascii="Arial" w:cs="Arial" w:eastAsia="Arial" w:hAnsi="Arial"/>
                <w:sz w:val="19"/>
                <w:szCs w:val="19"/>
                <w:color w:val="auto"/>
              </w:rPr>
              <w:t>[*CTR]</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[*CTR]</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[*CTR]</w:t>
            </w:r>
          </w:p>
        </w:tc>
        <w:tc>
          <w:tcPr>
            <w:tcW w:w="1780" w:type="dxa"/>
            <w:vAlign w:val="bottom"/>
            <w:tcBorders>
              <w:bottom w:val="single" w:sz="8" w:color="00000A"/>
              <w:right w:val="single" w:sz="8" w:color="00000A"/>
            </w:tcBorders>
          </w:tcPr>
          <w:p>
            <w:pPr>
              <w:jc w:val="center"/>
              <w:ind w:left="426"/>
              <w:spacing w:after="0"/>
              <w:rPr>
                <w:sz w:val="20"/>
                <w:szCs w:val="20"/>
                <w:color w:val="auto"/>
              </w:rPr>
            </w:pPr>
            <w:r>
              <w:rPr>
                <w:rFonts w:ascii="Arial" w:cs="Arial" w:eastAsia="Arial" w:hAnsi="Arial"/>
                <w:sz w:val="19"/>
                <w:szCs w:val="19"/>
                <w:color w:val="auto"/>
              </w:rPr>
              <w:t>[*CTR]</w:t>
            </w:r>
          </w:p>
        </w:tc>
      </w:tr>
      <w:tr>
        <w:trPr>
          <w:trHeight w:val="249"/>
        </w:trPr>
        <w:tc>
          <w:tcPr>
            <w:tcW w:w="740" w:type="dxa"/>
            <w:vAlign w:val="bottom"/>
            <w:tcBorders>
              <w:right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1620" w:type="dxa"/>
            <w:vAlign w:val="bottom"/>
            <w:tcBorders>
              <w:bottom w:val="single" w:sz="8" w:color="00000A"/>
            </w:tcBorders>
          </w:tcPr>
          <w:p>
            <w:pPr>
              <w:ind w:left="180"/>
              <w:spacing w:after="0"/>
              <w:rPr>
                <w:sz w:val="20"/>
                <w:szCs w:val="20"/>
                <w:color w:val="auto"/>
              </w:rPr>
            </w:pPr>
            <w:r>
              <w:rPr>
                <w:rFonts w:ascii="Arial" w:cs="Arial" w:eastAsia="Arial" w:hAnsi="Arial"/>
                <w:sz w:val="19"/>
                <w:szCs w:val="19"/>
                <w:color w:val="auto"/>
              </w:rPr>
              <w:t>[*CTR]</w:t>
            </w:r>
          </w:p>
        </w:tc>
        <w:tc>
          <w:tcPr>
            <w:tcW w:w="780" w:type="dxa"/>
            <w:vAlign w:val="bottom"/>
            <w:tcBorders>
              <w:bottom w:val="single" w:sz="8" w:color="00000A"/>
              <w:right w:val="single" w:sz="8" w:color="00000A"/>
            </w:tcBorders>
          </w:tcPr>
          <w:p>
            <w:pPr>
              <w:spacing w:after="0"/>
              <w:rPr>
                <w:sz w:val="21"/>
                <w:szCs w:val="21"/>
                <w:color w:val="auto"/>
              </w:rPr>
            </w:pPr>
          </w:p>
        </w:tc>
        <w:tc>
          <w:tcPr>
            <w:tcW w:w="440" w:type="dxa"/>
            <w:vAlign w:val="bottom"/>
            <w:tcBorders>
              <w:bottom w:val="single" w:sz="8" w:color="00000A"/>
            </w:tcBorders>
          </w:tcPr>
          <w:p>
            <w:pPr>
              <w:spacing w:after="0"/>
              <w:rPr>
                <w:sz w:val="21"/>
                <w:szCs w:val="21"/>
                <w:color w:val="auto"/>
              </w:rPr>
            </w:pPr>
          </w:p>
        </w:tc>
        <w:tc>
          <w:tcPr>
            <w:tcW w:w="1360" w:type="dxa"/>
            <w:vAlign w:val="bottom"/>
            <w:tcBorders>
              <w:bottom w:val="single" w:sz="8" w:color="00000A"/>
              <w:right w:val="single" w:sz="8" w:color="00000A"/>
            </w:tcBorders>
          </w:tcPr>
          <w:p>
            <w:pPr>
              <w:jc w:val="center"/>
              <w:ind w:left="6"/>
              <w:spacing w:after="0"/>
              <w:rPr>
                <w:sz w:val="20"/>
                <w:szCs w:val="20"/>
                <w:color w:val="auto"/>
              </w:rPr>
            </w:pPr>
            <w:r>
              <w:rPr>
                <w:rFonts w:ascii="Arial" w:cs="Arial" w:eastAsia="Arial" w:hAnsi="Arial"/>
                <w:sz w:val="19"/>
                <w:szCs w:val="19"/>
                <w:color w:val="auto"/>
              </w:rPr>
              <w:t>[*CTR]</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[*CTR]</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[*CTR]</w:t>
            </w:r>
          </w:p>
        </w:tc>
        <w:tc>
          <w:tcPr>
            <w:tcW w:w="178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[*CTR]</w:t>
            </w:r>
          </w:p>
        </w:tc>
      </w:tr>
      <w:tr>
        <w:trPr>
          <w:trHeight w:val="249"/>
        </w:trPr>
        <w:tc>
          <w:tcPr>
            <w:tcW w:w="740" w:type="dxa"/>
            <w:vAlign w:val="bottom"/>
            <w:tcBorders>
              <w:right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1620" w:type="dxa"/>
            <w:vAlign w:val="bottom"/>
            <w:tcBorders>
              <w:bottom w:val="single" w:sz="8" w:color="00000A"/>
            </w:tcBorders>
          </w:tcPr>
          <w:p>
            <w:pPr>
              <w:ind w:left="180"/>
              <w:spacing w:after="0"/>
              <w:rPr>
                <w:sz w:val="20"/>
                <w:szCs w:val="20"/>
                <w:color w:val="auto"/>
              </w:rPr>
            </w:pPr>
            <w:r>
              <w:rPr>
                <w:rFonts w:ascii="Arial" w:cs="Arial" w:eastAsia="Arial" w:hAnsi="Arial"/>
                <w:sz w:val="19"/>
                <w:szCs w:val="19"/>
                <w:color w:val="auto"/>
              </w:rPr>
              <w:t>Derivatives</w:t>
            </w:r>
          </w:p>
        </w:tc>
        <w:tc>
          <w:tcPr>
            <w:tcW w:w="780" w:type="dxa"/>
            <w:vAlign w:val="bottom"/>
            <w:tcBorders>
              <w:bottom w:val="single" w:sz="8" w:color="00000A"/>
              <w:right w:val="single" w:sz="8" w:color="00000A"/>
            </w:tcBorders>
          </w:tcPr>
          <w:p>
            <w:pPr>
              <w:spacing w:after="0"/>
              <w:rPr>
                <w:sz w:val="21"/>
                <w:szCs w:val="21"/>
                <w:color w:val="auto"/>
              </w:rPr>
            </w:pPr>
          </w:p>
        </w:tc>
        <w:tc>
          <w:tcPr>
            <w:tcW w:w="440" w:type="dxa"/>
            <w:vAlign w:val="bottom"/>
            <w:tcBorders>
              <w:bottom w:val="single" w:sz="8" w:color="00000A"/>
            </w:tcBorders>
          </w:tcPr>
          <w:p>
            <w:pPr>
              <w:spacing w:after="0"/>
              <w:rPr>
                <w:sz w:val="21"/>
                <w:szCs w:val="21"/>
                <w:color w:val="auto"/>
              </w:rPr>
            </w:pPr>
          </w:p>
        </w:tc>
        <w:tc>
          <w:tcPr>
            <w:tcW w:w="1360" w:type="dxa"/>
            <w:vAlign w:val="bottom"/>
            <w:tcBorders>
              <w:bottom w:val="single" w:sz="8" w:color="00000A"/>
              <w:right w:val="single" w:sz="8" w:color="00000A"/>
            </w:tcBorders>
          </w:tcPr>
          <w:p>
            <w:pPr>
              <w:jc w:val="center"/>
              <w:ind w:left="6"/>
              <w:spacing w:after="0"/>
              <w:rPr>
                <w:sz w:val="20"/>
                <w:szCs w:val="20"/>
                <w:color w:val="auto"/>
              </w:rPr>
            </w:pPr>
            <w:r>
              <w:rPr>
                <w:rFonts w:ascii="Arial" w:cs="Arial" w:eastAsia="Arial" w:hAnsi="Arial"/>
                <w:sz w:val="19"/>
                <w:szCs w:val="19"/>
                <w:color w:val="auto"/>
              </w:rPr>
              <w:t>TBD*</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c>
          <w:tcPr>
            <w:tcW w:w="178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r>
      <w:tr>
        <w:trPr>
          <w:trHeight w:val="249"/>
        </w:trPr>
        <w:tc>
          <w:tcPr>
            <w:tcW w:w="740" w:type="dxa"/>
            <w:vAlign w:val="bottom"/>
            <w:tcBorders>
              <w:right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1620" w:type="dxa"/>
            <w:vAlign w:val="bottom"/>
            <w:tcBorders>
              <w:bottom w:val="single" w:sz="8" w:color="00000A"/>
            </w:tcBorders>
          </w:tcPr>
          <w:p>
            <w:pPr>
              <w:ind w:left="180"/>
              <w:spacing w:after="0"/>
              <w:rPr>
                <w:sz w:val="20"/>
                <w:szCs w:val="20"/>
                <w:color w:val="auto"/>
              </w:rPr>
            </w:pPr>
            <w:r>
              <w:rPr>
                <w:rFonts w:ascii="Arial" w:cs="Arial" w:eastAsia="Arial" w:hAnsi="Arial"/>
                <w:sz w:val="19"/>
                <w:szCs w:val="19"/>
                <w:color w:val="auto"/>
                <w:w w:val="91"/>
              </w:rPr>
              <w:t>Successor Models</w:t>
            </w:r>
          </w:p>
        </w:tc>
        <w:tc>
          <w:tcPr>
            <w:tcW w:w="780" w:type="dxa"/>
            <w:vAlign w:val="bottom"/>
            <w:tcBorders>
              <w:bottom w:val="single" w:sz="8" w:color="00000A"/>
              <w:right w:val="single" w:sz="8" w:color="00000A"/>
            </w:tcBorders>
          </w:tcPr>
          <w:p>
            <w:pPr>
              <w:spacing w:after="0"/>
              <w:rPr>
                <w:sz w:val="21"/>
                <w:szCs w:val="21"/>
                <w:color w:val="auto"/>
              </w:rPr>
            </w:pPr>
          </w:p>
        </w:tc>
        <w:tc>
          <w:tcPr>
            <w:tcW w:w="440" w:type="dxa"/>
            <w:vAlign w:val="bottom"/>
            <w:tcBorders>
              <w:bottom w:val="single" w:sz="8" w:color="00000A"/>
            </w:tcBorders>
          </w:tcPr>
          <w:p>
            <w:pPr>
              <w:spacing w:after="0"/>
              <w:rPr>
                <w:sz w:val="21"/>
                <w:szCs w:val="21"/>
                <w:color w:val="auto"/>
              </w:rPr>
            </w:pPr>
          </w:p>
        </w:tc>
        <w:tc>
          <w:tcPr>
            <w:tcW w:w="1360" w:type="dxa"/>
            <w:vAlign w:val="bottom"/>
            <w:tcBorders>
              <w:bottom w:val="single" w:sz="8" w:color="00000A"/>
              <w:right w:val="single" w:sz="8" w:color="00000A"/>
            </w:tcBorders>
          </w:tcPr>
          <w:p>
            <w:pPr>
              <w:jc w:val="center"/>
              <w:ind w:left="6"/>
              <w:spacing w:after="0"/>
              <w:rPr>
                <w:sz w:val="20"/>
                <w:szCs w:val="20"/>
                <w:color w:val="auto"/>
              </w:rPr>
            </w:pPr>
            <w:r>
              <w:rPr>
                <w:rFonts w:ascii="Arial" w:cs="Arial" w:eastAsia="Arial" w:hAnsi="Arial"/>
                <w:sz w:val="19"/>
                <w:szCs w:val="19"/>
                <w:color w:val="auto"/>
              </w:rPr>
              <w:t>TBD*</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c>
          <w:tcPr>
            <w:tcW w:w="180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c>
          <w:tcPr>
            <w:tcW w:w="1780" w:type="dxa"/>
            <w:vAlign w:val="bottom"/>
            <w:tcBorders>
              <w:bottom w:val="single" w:sz="8" w:color="00000A"/>
              <w:right w:val="single" w:sz="8" w:color="00000A"/>
            </w:tcBorders>
          </w:tcPr>
          <w:p>
            <w:pPr>
              <w:jc w:val="center"/>
              <w:ind w:left="446"/>
              <w:spacing w:after="0"/>
              <w:rPr>
                <w:sz w:val="20"/>
                <w:szCs w:val="20"/>
                <w:color w:val="auto"/>
              </w:rPr>
            </w:pPr>
            <w:r>
              <w:rPr>
                <w:rFonts w:ascii="Arial" w:cs="Arial" w:eastAsia="Arial" w:hAnsi="Arial"/>
                <w:sz w:val="19"/>
                <w:szCs w:val="19"/>
                <w:color w:val="auto"/>
              </w:rPr>
              <w:t>TBD*</w:t>
            </w:r>
          </w:p>
        </w:tc>
      </w:tr>
      <w:tr>
        <w:trPr>
          <w:trHeight w:val="238"/>
        </w:trPr>
        <w:tc>
          <w:tcPr>
            <w:tcW w:w="2760" w:type="dxa"/>
            <w:vAlign w:val="bottom"/>
            <w:gridSpan w:val="3"/>
          </w:tcPr>
          <w:p>
            <w:pPr>
              <w:spacing w:after="0"/>
              <w:rPr>
                <w:sz w:val="20"/>
                <w:szCs w:val="20"/>
                <w:color w:val="auto"/>
              </w:rPr>
            </w:pPr>
            <w:r>
              <w:rPr>
                <w:rFonts w:ascii="Arial" w:cs="Arial" w:eastAsia="Arial" w:hAnsi="Arial"/>
                <w:sz w:val="19"/>
                <w:szCs w:val="19"/>
                <w:color w:val="auto"/>
              </w:rPr>
              <w:t>*The Parties will [*CTR].</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608"/>
        </w:trPr>
        <w:tc>
          <w:tcPr>
            <w:tcW w:w="1140" w:type="dxa"/>
            <w:vAlign w:val="bottom"/>
            <w:gridSpan w:val="2"/>
          </w:tcPr>
          <w:p>
            <w:pPr>
              <w:spacing w:after="0"/>
              <w:rPr>
                <w:sz w:val="20"/>
                <w:szCs w:val="20"/>
                <w:color w:val="auto"/>
              </w:rPr>
            </w:pPr>
            <w:r>
              <w:rPr>
                <w:rFonts w:ascii="Arial" w:cs="Arial" w:eastAsia="Arial" w:hAnsi="Arial"/>
                <w:sz w:val="19"/>
                <w:szCs w:val="19"/>
                <w:color w:val="auto"/>
              </w:rPr>
              <w:t>PA No. 3219</w:t>
            </w:r>
          </w:p>
        </w:tc>
        <w:tc>
          <w:tcPr>
            <w:tcW w:w="1620" w:type="dxa"/>
            <w:vAlign w:val="bottom"/>
          </w:tcPr>
          <w:p>
            <w:pPr>
              <w:ind w:left="600"/>
              <w:spacing w:after="0"/>
              <w:rPr>
                <w:sz w:val="20"/>
                <w:szCs w:val="20"/>
                <w:color w:val="auto"/>
              </w:rPr>
            </w:pPr>
            <w:r>
              <w:rPr>
                <w:rFonts w:ascii="Arial" w:cs="Arial" w:eastAsia="Arial" w:hAnsi="Arial"/>
                <w:sz w:val="19"/>
                <w:szCs w:val="19"/>
                <w:color w:val="auto"/>
              </w:rPr>
              <w:t>SA-11</w:t>
            </w:r>
          </w:p>
        </w:tc>
        <w:tc>
          <w:tcPr>
            <w:tcW w:w="2580" w:type="dxa"/>
            <w:vAlign w:val="bottom"/>
            <w:gridSpan w:val="3"/>
          </w:tcPr>
          <w:p>
            <w:pPr>
              <w:ind w:left="80"/>
              <w:spacing w:after="0"/>
              <w:rPr>
                <w:sz w:val="20"/>
                <w:szCs w:val="20"/>
                <w:color w:val="auto"/>
              </w:rPr>
            </w:pPr>
            <w:r>
              <w:rPr>
                <w:rFonts w:ascii="Arial" w:cs="Arial" w:eastAsia="Arial" w:hAnsi="Arial"/>
                <w:sz w:val="16"/>
                <w:szCs w:val="16"/>
                <w:color w:val="auto"/>
              </w:rPr>
              <w:t>L.A. 6-1162-TRW-0664R2</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3980" w:type="dxa"/>
            <w:vAlign w:val="bottom"/>
            <w:gridSpan w:val="5"/>
          </w:tcPr>
          <w:p>
            <w:pPr>
              <w:spacing w:after="0"/>
              <w:rPr>
                <w:sz w:val="20"/>
                <w:szCs w:val="20"/>
                <w:color w:val="auto"/>
              </w:rPr>
            </w:pPr>
            <w:r>
              <w:rPr>
                <w:rFonts w:ascii="Arial" w:cs="Arial" w:eastAsia="Arial" w:hAnsi="Arial"/>
                <w:sz w:val="16"/>
                <w:szCs w:val="16"/>
                <w:color w:val="auto"/>
                <w:w w:val="91"/>
              </w:rPr>
              <w:t>Aircraft Purchase Rights and Substitution Rights, Attachment</w:t>
            </w:r>
          </w:p>
        </w:tc>
        <w:tc>
          <w:tcPr>
            <w:tcW w:w="1360" w:type="dxa"/>
            <w:vAlign w:val="bottom"/>
          </w:tcPr>
          <w:p>
            <w:pPr>
              <w:ind w:left="840"/>
              <w:spacing w:after="0"/>
              <w:rPr>
                <w:sz w:val="20"/>
                <w:szCs w:val="20"/>
                <w:color w:val="auto"/>
              </w:rPr>
            </w:pPr>
            <w:r>
              <w:rPr>
                <w:rFonts w:ascii="Arial" w:cs="Arial" w:eastAsia="Arial" w:hAnsi="Arial"/>
                <w:sz w:val="19"/>
                <w:szCs w:val="19"/>
                <w:color w:val="auto"/>
                <w:w w:val="79"/>
              </w:rPr>
              <w:t>Page 1</w:t>
            </w:r>
          </w:p>
        </w:tc>
        <w:tc>
          <w:tcPr>
            <w:tcW w:w="1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0" w:type="dxa"/>
            <w:vAlign w:val="bottom"/>
            <w:gridSpan w:val="4"/>
          </w:tcPr>
          <w:p>
            <w:pPr>
              <w:ind w:left="1100"/>
              <w:spacing w:after="0"/>
              <w:rPr>
                <w:sz w:val="20"/>
                <w:szCs w:val="20"/>
                <w:color w:val="auto"/>
              </w:rPr>
            </w:pPr>
            <w:r>
              <w:rPr>
                <w:rFonts w:ascii="Arial" w:cs="Arial" w:eastAsia="Arial" w:hAnsi="Arial"/>
                <w:sz w:val="19"/>
                <w:szCs w:val="19"/>
                <w:b w:val="1"/>
                <w:bCs w:val="1"/>
                <w:color w:val="auto"/>
              </w:rPr>
              <w:t>BOEING PROPRIETARY</w:t>
            </w:r>
          </w:p>
        </w:tc>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720"/>
          </w:cols>
          <w:pgMar w:left="240" w:top="132" w:right="9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Attachment D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6-1162-TRW-0664R2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AGREEMENT SUPPLEMENT NO. [___]</w:t>
      </w:r>
    </w:p>
    <w:p>
      <w:pPr>
        <w:spacing w:after="0" w:line="2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PURCHASE AGREEMENT SUPPLEMENT NO. 3219, dated [__________, ____], between The Boeing Company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 E C I T A L S</w:t>
      </w:r>
      <w:r>
        <w:rPr>
          <w:rFonts w:ascii="Arial" w:cs="Arial" w:eastAsia="Arial" w:hAnsi="Arial"/>
          <w:sz w:val="19"/>
          <w:szCs w:val="19"/>
          <w:color w:val="auto"/>
        </w:rPr>
        <w:t>:</w:t>
      </w:r>
    </w:p>
    <w:p>
      <w:pPr>
        <w:spacing w:after="0" w:line="226" w:lineRule="exact"/>
        <w:rPr>
          <w:sz w:val="20"/>
          <w:szCs w:val="20"/>
          <w:color w:val="auto"/>
        </w:rPr>
      </w:pPr>
    </w:p>
    <w:p>
      <w:pPr>
        <w:jc w:val="both"/>
        <w:ind w:firstLine="1117"/>
        <w:spacing w:after="0" w:line="248" w:lineRule="auto"/>
        <w:tabs>
          <w:tab w:leader="none" w:pos="1563"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Boeing and Customer have heretofore entered into (i) that certain Purchase Agreement No. 3219, dated [__________], 2007 (as amended, supplemented, or otherwise modified, the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xml:space="preserve">, and capitalized terms used herein without definition shall have the meanings specified therefore in such Purchase Agreement), and (ii) that certain Letter Agreement 6-1162-TRW-0664R1 (the </w:t>
      </w:r>
      <w:r>
        <w:rPr>
          <w:rFonts w:ascii="Arial" w:cs="Arial" w:eastAsia="Arial" w:hAnsi="Arial"/>
          <w:sz w:val="19"/>
          <w:szCs w:val="19"/>
          <w:b w:val="1"/>
          <w:bCs w:val="1"/>
          <w:i w:val="1"/>
          <w:iCs w:val="1"/>
          <w:color w:val="auto"/>
        </w:rPr>
        <w:t>Rights Letter</w:t>
      </w:r>
      <w:r>
        <w:rPr>
          <w:rFonts w:ascii="Arial" w:cs="Arial" w:eastAsia="Arial" w:hAnsi="Arial"/>
          <w:sz w:val="19"/>
          <w:szCs w:val="19"/>
          <w:color w:val="auto"/>
        </w:rPr>
        <w:t>), providing for the execution and delivery from time to time of Purchase Agreement Supplements, each substantially in the form hereof, for the purpose of subjecting Rights Aircraft and Substitute Aircraft to the Purchase Agreement as and when purchased by Customer in accordance with the terms of the Rights Letter.</w:t>
      </w:r>
    </w:p>
    <w:p>
      <w:pPr>
        <w:spacing w:after="0" w:line="201" w:lineRule="exact"/>
        <w:rPr>
          <w:rFonts w:ascii="Arial" w:cs="Arial" w:eastAsia="Arial" w:hAnsi="Arial"/>
          <w:sz w:val="19"/>
          <w:szCs w:val="19"/>
          <w:color w:val="auto"/>
        </w:rPr>
      </w:pPr>
    </w:p>
    <w:p>
      <w:pPr>
        <w:ind w:right="20" w:firstLine="1117"/>
        <w:spacing w:after="0" w:line="266" w:lineRule="auto"/>
        <w:tabs>
          <w:tab w:leader="none" w:pos="16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Customer has exercised its right under the Rights Letter to purchase the aircraft described below pursuant to the terms and conditions of the Purchase Agreement as supplemented by this Purchase Agreement Supplement.</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In consideration of the foregoing premises and other good and sufficient consideration, Boeing and Customer hereby agree as follows:</w:t>
      </w:r>
    </w:p>
    <w:p>
      <w:pPr>
        <w:spacing w:after="0" w:line="245" w:lineRule="exact"/>
        <w:rPr>
          <w:sz w:val="20"/>
          <w:szCs w:val="20"/>
          <w:color w:val="auto"/>
        </w:rPr>
      </w:pPr>
    </w:p>
    <w:p>
      <w:pPr>
        <w:ind w:firstLine="555"/>
        <w:spacing w:after="0" w:line="270" w:lineRule="auto"/>
        <w:tabs>
          <w:tab w:leader="none" w:pos="983"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Aircraft Description</w:t>
      </w:r>
      <w:r>
        <w:rPr>
          <w:rFonts w:ascii="Arial" w:cs="Arial" w:eastAsia="Arial" w:hAnsi="Arial"/>
          <w:sz w:val="19"/>
          <w:szCs w:val="19"/>
          <w:b w:val="1"/>
          <w:bCs w:val="1"/>
          <w:color w:val="auto"/>
        </w:rPr>
        <w:t xml:space="preserve">. </w:t>
      </w:r>
      <w:r>
        <w:rPr>
          <w:rFonts w:ascii="Arial" w:cs="Arial" w:eastAsia="Arial" w:hAnsi="Arial"/>
          <w:sz w:val="19"/>
          <w:szCs w:val="19"/>
          <w:color w:val="auto"/>
        </w:rPr>
        <w:t>Boeing will manufacture and sell to Customer, and Customer will purchase, the aircraft described in Table [__]</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 made a part hereof.</w:t>
      </w:r>
    </w:p>
    <w:p>
      <w:pPr>
        <w:spacing w:after="0" w:line="175" w:lineRule="exact"/>
        <w:rPr>
          <w:rFonts w:ascii="Arial" w:cs="Arial" w:eastAsia="Arial" w:hAnsi="Arial"/>
          <w:sz w:val="19"/>
          <w:szCs w:val="19"/>
          <w:b w:val="1"/>
          <w:bCs w:val="1"/>
          <w:color w:val="auto"/>
        </w:rPr>
      </w:pPr>
    </w:p>
    <w:p>
      <w:pPr>
        <w:ind w:left="880" w:hanging="325"/>
        <w:spacing w:after="0"/>
        <w:tabs>
          <w:tab w:leader="none" w:pos="88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Delivery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The Scheduled Delivery Month of each aircraft is set forth in Table [__].</w:t>
      </w:r>
    </w:p>
    <w:p>
      <w:pPr>
        <w:spacing w:after="0" w:line="226" w:lineRule="exact"/>
        <w:rPr>
          <w:rFonts w:ascii="Arial" w:cs="Arial" w:eastAsia="Arial" w:hAnsi="Arial"/>
          <w:sz w:val="19"/>
          <w:szCs w:val="19"/>
          <w:b w:val="1"/>
          <w:bCs w:val="1"/>
          <w:color w:val="auto"/>
        </w:rPr>
      </w:pPr>
    </w:p>
    <w:p>
      <w:pPr>
        <w:ind w:left="880" w:hanging="325"/>
        <w:spacing w:after="0"/>
        <w:tabs>
          <w:tab w:leader="none" w:pos="88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Aircraft Basic Price and each component thereof and the Advance Payment Base Price for the aircraft are set forth in Table [__].</w:t>
      </w:r>
    </w:p>
    <w:p>
      <w:pPr>
        <w:spacing w:after="0" w:line="249" w:lineRule="exact"/>
        <w:rPr>
          <w:rFonts w:ascii="Arial" w:cs="Arial" w:eastAsia="Arial" w:hAnsi="Arial"/>
          <w:sz w:val="17"/>
          <w:szCs w:val="17"/>
          <w:b w:val="1"/>
          <w:bCs w:val="1"/>
          <w:color w:val="auto"/>
        </w:rPr>
      </w:pPr>
    </w:p>
    <w:p>
      <w:pPr>
        <w:ind w:left="880" w:hanging="325"/>
        <w:spacing w:after="0"/>
        <w:tabs>
          <w:tab w:leader="none" w:pos="88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w:t>
      </w:r>
    </w:p>
    <w:p>
      <w:pPr>
        <w:spacing w:after="0" w:line="230" w:lineRule="exact"/>
        <w:rPr>
          <w:sz w:val="20"/>
          <w:szCs w:val="20"/>
          <w:color w:val="auto"/>
        </w:rPr>
      </w:pPr>
    </w:p>
    <w:p>
      <w:pPr>
        <w:ind w:left="1120"/>
        <w:spacing w:after="0"/>
        <w:tabs>
          <w:tab w:leader="none" w:pos="152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Boeing acknowledges receipt of a Deposit in the amount of [$_________] for each aircraft.</w:t>
      </w:r>
    </w:p>
    <w:p>
      <w:pPr>
        <w:spacing w:after="0" w:line="226" w:lineRule="exact"/>
        <w:rPr>
          <w:sz w:val="20"/>
          <w:szCs w:val="20"/>
          <w:color w:val="auto"/>
        </w:rPr>
      </w:pPr>
    </w:p>
    <w:p>
      <w:pPr>
        <w:ind w:left="1120"/>
        <w:spacing w:after="0"/>
        <w:tabs>
          <w:tab w:leader="none" w:pos="15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Customer will make advance payments to Boeing in the amount of [____%] of the Advance Payment Base Price of each aircraft,</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beginning with a payment of [__%], less the Deposit, on the date of this Purchase Agreement</w:t>
      </w:r>
    </w:p>
    <w:p>
      <w:pPr>
        <w:spacing w:after="0" w:line="4" w:lineRule="exact"/>
        <w:rPr>
          <w:sz w:val="20"/>
          <w:szCs w:val="20"/>
          <w:color w:val="auto"/>
        </w:rPr>
      </w:pPr>
    </w:p>
    <w:p>
      <w:pPr>
        <w:ind w:left="560" w:right="20"/>
        <w:spacing w:after="0" w:line="248" w:lineRule="auto"/>
        <w:rPr>
          <w:sz w:val="20"/>
          <w:szCs w:val="20"/>
          <w:color w:val="auto"/>
        </w:rPr>
      </w:pPr>
      <w:r>
        <w:rPr>
          <w:rFonts w:ascii="Arial" w:cs="Arial" w:eastAsia="Arial" w:hAnsi="Arial"/>
          <w:sz w:val="19"/>
          <w:szCs w:val="19"/>
          <w:color w:val="auto"/>
        </w:rPr>
        <w:t>Supplement for each aircraft. Additional payments for each aircraft are due on the first Business Day of the months and in the amounts listed in Table [__].</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PA No. 3219</w:t>
            </w:r>
          </w:p>
        </w:tc>
        <w:tc>
          <w:tcPr>
            <w:tcW w:w="900" w:type="dxa"/>
            <w:vAlign w:val="bottom"/>
          </w:tcPr>
          <w:p>
            <w:pPr>
              <w:ind w:left="400"/>
              <w:spacing w:after="0"/>
              <w:rPr>
                <w:sz w:val="20"/>
                <w:szCs w:val="20"/>
                <w:color w:val="auto"/>
              </w:rPr>
            </w:pPr>
            <w:r>
              <w:rPr>
                <w:rFonts w:ascii="Arial" w:cs="Arial" w:eastAsia="Arial" w:hAnsi="Arial"/>
                <w:sz w:val="19"/>
                <w:szCs w:val="19"/>
                <w:color w:val="auto"/>
                <w:w w:val="90"/>
              </w:rPr>
              <w:t>SA-11</w:t>
            </w:r>
          </w:p>
        </w:tc>
        <w:tc>
          <w:tcPr>
            <w:tcW w:w="2440" w:type="dxa"/>
            <w:vAlign w:val="bottom"/>
          </w:tcPr>
          <w:p>
            <w:pPr>
              <w:ind w:left="600"/>
              <w:spacing w:after="0"/>
              <w:rPr>
                <w:sz w:val="20"/>
                <w:szCs w:val="20"/>
                <w:color w:val="auto"/>
              </w:rPr>
            </w:pPr>
            <w:r>
              <w:rPr>
                <w:rFonts w:ascii="Arial" w:cs="Arial" w:eastAsia="Arial" w:hAnsi="Arial"/>
                <w:sz w:val="16"/>
                <w:szCs w:val="16"/>
                <w:color w:val="auto"/>
                <w:w w:val="97"/>
              </w:rPr>
              <w:t>L.A. 6-1162-TRW-0664R2</w:t>
            </w:r>
          </w:p>
        </w:tc>
        <w:tc>
          <w:tcPr>
            <w:tcW w:w="640" w:type="dxa"/>
            <w:vAlign w:val="bottom"/>
            <w:vMerge w:val="restart"/>
          </w:tcPr>
          <w:p>
            <w:pPr>
              <w:ind w:left="140"/>
              <w:spacing w:after="0"/>
              <w:rPr>
                <w:sz w:val="20"/>
                <w:szCs w:val="20"/>
                <w:color w:val="auto"/>
              </w:rPr>
            </w:pPr>
            <w:r>
              <w:rPr>
                <w:rFonts w:ascii="Arial" w:cs="Arial" w:eastAsia="Arial" w:hAnsi="Arial"/>
                <w:sz w:val="19"/>
                <w:szCs w:val="19"/>
                <w:color w:val="auto"/>
                <w:w w:val="79"/>
              </w:rPr>
              <w:t>Page 1</w:t>
            </w:r>
          </w:p>
        </w:tc>
        <w:tc>
          <w:tcPr>
            <w:tcW w:w="0" w:type="dxa"/>
            <w:vAlign w:val="bottom"/>
          </w:tcPr>
          <w:p>
            <w:pPr>
              <w:spacing w:after="0"/>
              <w:rPr>
                <w:sz w:val="1"/>
                <w:szCs w:val="1"/>
                <w:color w:val="auto"/>
              </w:rPr>
            </w:pPr>
          </w:p>
        </w:tc>
      </w:tr>
      <w:tr>
        <w:trPr>
          <w:trHeight w:val="225"/>
        </w:trPr>
        <w:tc>
          <w:tcPr>
            <w:tcW w:w="4680" w:type="dxa"/>
            <w:vAlign w:val="bottom"/>
            <w:gridSpan w:val="3"/>
          </w:tcPr>
          <w:p>
            <w:pPr>
              <w:spacing w:after="0"/>
              <w:rPr>
                <w:sz w:val="20"/>
                <w:szCs w:val="20"/>
                <w:color w:val="auto"/>
              </w:rPr>
            </w:pPr>
            <w:r>
              <w:rPr>
                <w:rFonts w:ascii="Arial" w:cs="Arial" w:eastAsia="Arial" w:hAnsi="Arial"/>
                <w:sz w:val="16"/>
                <w:szCs w:val="16"/>
                <w:color w:val="auto"/>
              </w:rPr>
              <w:t>Aircraft Purchase Rights and Substitution Rights, Attachment</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9"/>
                <w:szCs w:val="19"/>
                <w:b w:val="1"/>
                <w:bCs w:val="1"/>
                <w:color w:val="auto"/>
              </w:rPr>
              <w:t>BOEING PROPRIETARY</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32" w:right="21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Attachment D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6-1162-TRW-0664R2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60" w:firstLine="562"/>
        <w:spacing w:after="0" w:line="251" w:lineRule="auto"/>
        <w:rPr>
          <w:sz w:val="20"/>
          <w:szCs w:val="20"/>
          <w:color w:val="auto"/>
        </w:rPr>
      </w:pPr>
      <w:r>
        <w:rPr>
          <w:rFonts w:ascii="Arial" w:cs="Arial" w:eastAsia="Arial" w:hAnsi="Arial"/>
          <w:sz w:val="19"/>
          <w:szCs w:val="19"/>
          <w:color w:val="auto"/>
        </w:rPr>
        <w:t>4.3 For any aircraft described on Table [___] having a Scheduled Delivery Month less than twenty-four (24) months from the date of this Purchase Agreement Supplement, the total amount of advance payments due upon the date of this Purchase Agreement Supplement will include all advance payments that are or were due on or before such date in accordance with the advance payment schedule set forth in Table [___].</w:t>
      </w:r>
    </w:p>
    <w:p>
      <w:pPr>
        <w:spacing w:after="0" w:line="193" w:lineRule="exact"/>
        <w:rPr>
          <w:sz w:val="20"/>
          <w:szCs w:val="20"/>
          <w:color w:val="auto"/>
        </w:rPr>
      </w:pPr>
    </w:p>
    <w:p>
      <w:pPr>
        <w:jc w:val="both"/>
        <w:ind w:firstLine="555"/>
        <w:spacing w:after="0" w:line="257" w:lineRule="auto"/>
        <w:tabs>
          <w:tab w:leader="none" w:pos="948"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terms and provisions of the Purchase Agreement are hereby incorporated by reference in this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Supplement to the same extent as if fully set forth herein; and each reference therein to “Aircraft” shall be deemed to include the aircraft described in Table [__] attached hereto.</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 WITNESS WHEREOF, Boeing and Customer have each caused this Purchase Agreement Supplement No. [____] to be duly executed</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as of the day and year first above written.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THE BOEING COMPANY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PA No. 3219</w:t>
            </w:r>
          </w:p>
        </w:tc>
        <w:tc>
          <w:tcPr>
            <w:tcW w:w="900" w:type="dxa"/>
            <w:vAlign w:val="bottom"/>
          </w:tcPr>
          <w:p>
            <w:pPr>
              <w:ind w:left="400"/>
              <w:spacing w:after="0"/>
              <w:rPr>
                <w:sz w:val="20"/>
                <w:szCs w:val="20"/>
                <w:color w:val="auto"/>
              </w:rPr>
            </w:pPr>
            <w:r>
              <w:rPr>
                <w:rFonts w:ascii="Arial" w:cs="Arial" w:eastAsia="Arial" w:hAnsi="Arial"/>
                <w:sz w:val="19"/>
                <w:szCs w:val="19"/>
                <w:color w:val="auto"/>
                <w:w w:val="90"/>
              </w:rPr>
              <w:t>SA-11</w:t>
            </w:r>
          </w:p>
        </w:tc>
        <w:tc>
          <w:tcPr>
            <w:tcW w:w="2440" w:type="dxa"/>
            <w:vAlign w:val="bottom"/>
          </w:tcPr>
          <w:p>
            <w:pPr>
              <w:ind w:left="600"/>
              <w:spacing w:after="0"/>
              <w:rPr>
                <w:sz w:val="20"/>
                <w:szCs w:val="20"/>
                <w:color w:val="auto"/>
              </w:rPr>
            </w:pPr>
            <w:r>
              <w:rPr>
                <w:rFonts w:ascii="Arial" w:cs="Arial" w:eastAsia="Arial" w:hAnsi="Arial"/>
                <w:sz w:val="16"/>
                <w:szCs w:val="16"/>
                <w:color w:val="auto"/>
                <w:w w:val="97"/>
              </w:rPr>
              <w:t>L.A. 6-1162-TRW-0664R2</w:t>
            </w:r>
          </w:p>
        </w:tc>
        <w:tc>
          <w:tcPr>
            <w:tcW w:w="640" w:type="dxa"/>
            <w:vAlign w:val="bottom"/>
            <w:vMerge w:val="restart"/>
          </w:tcPr>
          <w:p>
            <w:pPr>
              <w:ind w:left="140"/>
              <w:spacing w:after="0"/>
              <w:rPr>
                <w:sz w:val="20"/>
                <w:szCs w:val="20"/>
                <w:color w:val="auto"/>
              </w:rPr>
            </w:pPr>
            <w:r>
              <w:rPr>
                <w:rFonts w:ascii="Arial" w:cs="Arial" w:eastAsia="Arial" w:hAnsi="Arial"/>
                <w:sz w:val="19"/>
                <w:szCs w:val="19"/>
                <w:color w:val="auto"/>
                <w:w w:val="79"/>
              </w:rPr>
              <w:t>Page 2</w:t>
            </w:r>
          </w:p>
        </w:tc>
        <w:tc>
          <w:tcPr>
            <w:tcW w:w="0" w:type="dxa"/>
            <w:vAlign w:val="bottom"/>
          </w:tcPr>
          <w:p>
            <w:pPr>
              <w:spacing w:after="0"/>
              <w:rPr>
                <w:sz w:val="1"/>
                <w:szCs w:val="1"/>
                <w:color w:val="auto"/>
              </w:rPr>
            </w:pPr>
          </w:p>
        </w:tc>
      </w:tr>
      <w:tr>
        <w:trPr>
          <w:trHeight w:val="225"/>
        </w:trPr>
        <w:tc>
          <w:tcPr>
            <w:tcW w:w="4680" w:type="dxa"/>
            <w:vAlign w:val="bottom"/>
            <w:gridSpan w:val="3"/>
          </w:tcPr>
          <w:p>
            <w:pPr>
              <w:spacing w:after="0"/>
              <w:rPr>
                <w:sz w:val="20"/>
                <w:szCs w:val="20"/>
                <w:color w:val="auto"/>
              </w:rPr>
            </w:pPr>
            <w:r>
              <w:rPr>
                <w:rFonts w:ascii="Arial" w:cs="Arial" w:eastAsia="Arial" w:hAnsi="Arial"/>
                <w:sz w:val="16"/>
                <w:szCs w:val="16"/>
                <w:color w:val="auto"/>
              </w:rPr>
              <w:t>Aircraft Purchase Rights and Substitution Rights, Attachment D</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9"/>
                <w:szCs w:val="19"/>
                <w:b w:val="1"/>
                <w:bCs w:val="1"/>
                <w:color w:val="auto"/>
              </w:rPr>
              <w:t>BOEING PROPRIETARY</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2" w:right="2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Attachment E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6-1162-TRW-0664R2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following letter agreements, as may be amended from time to time, between Boeing and Customer will be expressly incorporated by reference in any purchase agreement executed and delivered by the parties pursuant to Section 8.2 of this Letter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80" w:type="dxa"/>
            <w:vAlign w:val="bottom"/>
            <w:gridSpan w:val="2"/>
          </w:tcPr>
          <w:p>
            <w:pPr>
              <w:ind w:left="560"/>
              <w:spacing w:after="0"/>
              <w:rPr>
                <w:sz w:val="20"/>
                <w:szCs w:val="20"/>
                <w:color w:val="auto"/>
              </w:rPr>
            </w:pPr>
            <w:r>
              <w:rPr>
                <w:rFonts w:ascii="Arial" w:cs="Arial" w:eastAsia="Arial" w:hAnsi="Arial"/>
                <w:sz w:val="19"/>
                <w:szCs w:val="19"/>
                <w:color w:val="auto"/>
                <w:w w:val="99"/>
              </w:rPr>
              <w:t>Letter Agreement No.</w:t>
            </w:r>
          </w:p>
        </w:tc>
        <w:tc>
          <w:tcPr>
            <w:tcW w:w="2820" w:type="dxa"/>
            <w:vAlign w:val="bottom"/>
            <w:gridSpan w:val="3"/>
          </w:tcPr>
          <w:p>
            <w:pPr>
              <w:ind w:left="200"/>
              <w:spacing w:after="0"/>
              <w:rPr>
                <w:sz w:val="20"/>
                <w:szCs w:val="20"/>
                <w:color w:val="auto"/>
              </w:rPr>
            </w:pPr>
            <w:r>
              <w:rPr>
                <w:rFonts w:ascii="Arial" w:cs="Arial" w:eastAsia="Arial" w:hAnsi="Arial"/>
                <w:sz w:val="19"/>
                <w:szCs w:val="19"/>
                <w:color w:val="auto"/>
              </w:rPr>
              <w:t>Subject</w:t>
            </w:r>
          </w:p>
        </w:tc>
        <w:tc>
          <w:tcPr>
            <w:tcW w:w="92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47"/>
        </w:trPr>
        <w:tc>
          <w:tcPr>
            <w:tcW w:w="560" w:type="dxa"/>
            <w:vAlign w:val="bottom"/>
          </w:tcPr>
          <w:p>
            <w:pPr>
              <w:spacing w:after="0"/>
              <w:rPr>
                <w:sz w:val="21"/>
                <w:szCs w:val="21"/>
                <w:color w:val="auto"/>
              </w:rPr>
            </w:pPr>
          </w:p>
        </w:tc>
        <w:tc>
          <w:tcPr>
            <w:tcW w:w="1820" w:type="dxa"/>
            <w:vAlign w:val="bottom"/>
          </w:tcPr>
          <w:p>
            <w:pPr>
              <w:ind w:left="60"/>
              <w:spacing w:after="0"/>
              <w:rPr>
                <w:sz w:val="20"/>
                <w:szCs w:val="20"/>
                <w:color w:val="auto"/>
              </w:rPr>
            </w:pPr>
            <w:r>
              <w:rPr>
                <w:rFonts w:ascii="Arial" w:cs="Arial" w:eastAsia="Arial" w:hAnsi="Arial"/>
                <w:sz w:val="19"/>
                <w:szCs w:val="19"/>
                <w:color w:val="auto"/>
                <w:w w:val="95"/>
              </w:rPr>
              <w:t>6-1162-TRW-0670R1</w:t>
            </w:r>
          </w:p>
        </w:tc>
        <w:tc>
          <w:tcPr>
            <w:tcW w:w="200" w:type="dxa"/>
            <w:vAlign w:val="bottom"/>
          </w:tcPr>
          <w:p>
            <w:pPr>
              <w:spacing w:after="0"/>
              <w:rPr>
                <w:sz w:val="21"/>
                <w:szCs w:val="21"/>
                <w:color w:val="auto"/>
              </w:rPr>
            </w:pPr>
          </w:p>
        </w:tc>
        <w:tc>
          <w:tcPr>
            <w:tcW w:w="3540" w:type="dxa"/>
            <w:vAlign w:val="bottom"/>
            <w:gridSpan w:val="3"/>
          </w:tcPr>
          <w:p>
            <w:pPr>
              <w:ind w:left="220"/>
              <w:spacing w:after="0"/>
              <w:rPr>
                <w:sz w:val="20"/>
                <w:szCs w:val="20"/>
                <w:color w:val="auto"/>
              </w:rPr>
            </w:pPr>
            <w:r>
              <w:rPr>
                <w:rFonts w:ascii="Arial" w:cs="Arial" w:eastAsia="Arial" w:hAnsi="Arial"/>
                <w:sz w:val="19"/>
                <w:szCs w:val="19"/>
                <w:color w:val="auto"/>
                <w:w w:val="90"/>
              </w:rPr>
              <w:t>Miscellaneous Commitments for Model 787</w:t>
            </w:r>
          </w:p>
        </w:tc>
      </w:tr>
      <w:tr>
        <w:trPr>
          <w:trHeight w:val="445"/>
        </w:trPr>
        <w:tc>
          <w:tcPr>
            <w:tcW w:w="560" w:type="dxa"/>
            <w:vAlign w:val="bottom"/>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9"/>
                <w:szCs w:val="19"/>
                <w:color w:val="auto"/>
              </w:rPr>
              <w:t>6-1162-AKP-073R1</w:t>
            </w:r>
          </w:p>
        </w:tc>
        <w:tc>
          <w:tcPr>
            <w:tcW w:w="200" w:type="dxa"/>
            <w:vAlign w:val="bottom"/>
          </w:tcPr>
          <w:p>
            <w:pPr>
              <w:spacing w:after="0"/>
              <w:rPr>
                <w:sz w:val="24"/>
                <w:szCs w:val="24"/>
                <w:color w:val="auto"/>
              </w:rPr>
            </w:pPr>
          </w:p>
        </w:tc>
        <w:tc>
          <w:tcPr>
            <w:tcW w:w="2620" w:type="dxa"/>
            <w:vAlign w:val="bottom"/>
            <w:gridSpan w:val="2"/>
          </w:tcPr>
          <w:p>
            <w:pPr>
              <w:ind w:left="220"/>
              <w:spacing w:after="0"/>
              <w:rPr>
                <w:sz w:val="20"/>
                <w:szCs w:val="20"/>
                <w:color w:val="auto"/>
              </w:rPr>
            </w:pPr>
            <w:r>
              <w:rPr>
                <w:rFonts w:ascii="Arial" w:cs="Arial" w:eastAsia="Arial" w:hAnsi="Arial"/>
                <w:sz w:val="19"/>
                <w:szCs w:val="19"/>
                <w:color w:val="auto"/>
                <w:w w:val="93"/>
              </w:rPr>
              <w:t>Accident Claims and Litigation</w:t>
            </w:r>
          </w:p>
        </w:tc>
        <w:tc>
          <w:tcPr>
            <w:tcW w:w="920" w:type="dxa"/>
            <w:vAlign w:val="bottom"/>
          </w:tcPr>
          <w:p>
            <w:pPr>
              <w:spacing w:after="0"/>
              <w:rPr>
                <w:sz w:val="24"/>
                <w:szCs w:val="24"/>
                <w:color w:val="auto"/>
              </w:rPr>
            </w:pPr>
          </w:p>
        </w:tc>
      </w:tr>
      <w:tr>
        <w:trPr>
          <w:trHeight w:val="445"/>
        </w:trPr>
        <w:tc>
          <w:tcPr>
            <w:tcW w:w="560" w:type="dxa"/>
            <w:vAlign w:val="bottom"/>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9"/>
                <w:szCs w:val="19"/>
                <w:color w:val="auto"/>
                <w:w w:val="95"/>
              </w:rPr>
              <w:t>6-1162-TRW-0674R2</w:t>
            </w:r>
          </w:p>
        </w:tc>
        <w:tc>
          <w:tcPr>
            <w:tcW w:w="200" w:type="dxa"/>
            <w:vAlign w:val="bottom"/>
          </w:tcPr>
          <w:p>
            <w:pPr>
              <w:spacing w:after="0"/>
              <w:rPr>
                <w:sz w:val="24"/>
                <w:szCs w:val="24"/>
                <w:color w:val="auto"/>
              </w:rPr>
            </w:pPr>
          </w:p>
        </w:tc>
        <w:tc>
          <w:tcPr>
            <w:tcW w:w="2620" w:type="dxa"/>
            <w:vAlign w:val="bottom"/>
            <w:gridSpan w:val="2"/>
          </w:tcPr>
          <w:p>
            <w:pPr>
              <w:ind w:left="220"/>
              <w:spacing w:after="0"/>
              <w:rPr>
                <w:sz w:val="20"/>
                <w:szCs w:val="20"/>
                <w:color w:val="auto"/>
              </w:rPr>
            </w:pPr>
            <w:r>
              <w:rPr>
                <w:rFonts w:ascii="Arial" w:cs="Arial" w:eastAsia="Arial" w:hAnsi="Arial"/>
                <w:sz w:val="19"/>
                <w:szCs w:val="19"/>
                <w:color w:val="auto"/>
              </w:rPr>
              <w:t>Business Considerations</w:t>
            </w:r>
          </w:p>
        </w:tc>
        <w:tc>
          <w:tcPr>
            <w:tcW w:w="920" w:type="dxa"/>
            <w:vAlign w:val="bottom"/>
          </w:tcPr>
          <w:p>
            <w:pPr>
              <w:spacing w:after="0"/>
              <w:rPr>
                <w:sz w:val="24"/>
                <w:szCs w:val="24"/>
                <w:color w:val="auto"/>
              </w:rPr>
            </w:pPr>
          </w:p>
        </w:tc>
      </w:tr>
      <w:tr>
        <w:trPr>
          <w:trHeight w:val="445"/>
        </w:trPr>
        <w:tc>
          <w:tcPr>
            <w:tcW w:w="560" w:type="dxa"/>
            <w:vAlign w:val="bottom"/>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9"/>
                <w:szCs w:val="19"/>
                <w:color w:val="auto"/>
              </w:rPr>
              <w:t>3219-05R1</w:t>
            </w:r>
          </w:p>
        </w:tc>
        <w:tc>
          <w:tcPr>
            <w:tcW w:w="200" w:type="dxa"/>
            <w:vAlign w:val="bottom"/>
          </w:tcPr>
          <w:p>
            <w:pPr>
              <w:spacing w:after="0"/>
              <w:rPr>
                <w:sz w:val="24"/>
                <w:szCs w:val="24"/>
                <w:color w:val="auto"/>
              </w:rPr>
            </w:pPr>
          </w:p>
        </w:tc>
        <w:tc>
          <w:tcPr>
            <w:tcW w:w="2620" w:type="dxa"/>
            <w:vAlign w:val="bottom"/>
            <w:gridSpan w:val="2"/>
          </w:tcPr>
          <w:p>
            <w:pPr>
              <w:ind w:left="220"/>
              <w:spacing w:after="0"/>
              <w:rPr>
                <w:sz w:val="20"/>
                <w:szCs w:val="20"/>
                <w:color w:val="auto"/>
              </w:rPr>
            </w:pPr>
            <w:r>
              <w:rPr>
                <w:rFonts w:ascii="Arial" w:cs="Arial" w:eastAsia="Arial" w:hAnsi="Arial"/>
                <w:sz w:val="19"/>
                <w:szCs w:val="19"/>
                <w:color w:val="auto"/>
              </w:rPr>
              <w:t>Spares Commitments</w:t>
            </w:r>
          </w:p>
        </w:tc>
        <w:tc>
          <w:tcPr>
            <w:tcW w:w="920" w:type="dxa"/>
            <w:vAlign w:val="bottom"/>
          </w:tcPr>
          <w:p>
            <w:pPr>
              <w:spacing w:after="0"/>
              <w:rPr>
                <w:sz w:val="24"/>
                <w:szCs w:val="24"/>
                <w:color w:val="auto"/>
              </w:rPr>
            </w:pPr>
          </w:p>
        </w:tc>
      </w:tr>
      <w:tr>
        <w:trPr>
          <w:trHeight w:val="445"/>
        </w:trPr>
        <w:tc>
          <w:tcPr>
            <w:tcW w:w="560" w:type="dxa"/>
            <w:vAlign w:val="bottom"/>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9"/>
                <w:szCs w:val="19"/>
                <w:color w:val="auto"/>
                <w:w w:val="95"/>
              </w:rPr>
              <w:t>6-1162-TRW-0673R1</w:t>
            </w:r>
          </w:p>
        </w:tc>
        <w:tc>
          <w:tcPr>
            <w:tcW w:w="200" w:type="dxa"/>
            <w:vAlign w:val="bottom"/>
          </w:tcPr>
          <w:p>
            <w:pPr>
              <w:spacing w:after="0"/>
              <w:rPr>
                <w:sz w:val="24"/>
                <w:szCs w:val="24"/>
                <w:color w:val="auto"/>
              </w:rPr>
            </w:pPr>
          </w:p>
        </w:tc>
        <w:tc>
          <w:tcPr>
            <w:tcW w:w="2620" w:type="dxa"/>
            <w:vAlign w:val="bottom"/>
            <w:gridSpan w:val="2"/>
          </w:tcPr>
          <w:p>
            <w:pPr>
              <w:ind w:left="220"/>
              <w:spacing w:after="0"/>
              <w:rPr>
                <w:sz w:val="20"/>
                <w:szCs w:val="20"/>
                <w:color w:val="auto"/>
              </w:rPr>
            </w:pPr>
            <w:r>
              <w:rPr>
                <w:rFonts w:ascii="Arial" w:cs="Arial" w:eastAsia="Arial" w:hAnsi="Arial"/>
                <w:sz w:val="19"/>
                <w:szCs w:val="19"/>
                <w:color w:val="auto"/>
              </w:rPr>
              <w:t>Confidentiality</w:t>
            </w:r>
          </w:p>
        </w:tc>
        <w:tc>
          <w:tcPr>
            <w:tcW w:w="920" w:type="dxa"/>
            <w:vAlign w:val="bottom"/>
          </w:tcPr>
          <w:p>
            <w:pPr>
              <w:spacing w:after="0"/>
              <w:rPr>
                <w:sz w:val="24"/>
                <w:szCs w:val="24"/>
                <w:color w:val="auto"/>
              </w:rPr>
            </w:pPr>
          </w:p>
        </w:tc>
      </w:tr>
      <w:tr>
        <w:trPr>
          <w:trHeight w:val="802"/>
        </w:trPr>
        <w:tc>
          <w:tcPr>
            <w:tcW w:w="2380" w:type="dxa"/>
            <w:vAlign w:val="bottom"/>
            <w:gridSpan w:val="2"/>
          </w:tcPr>
          <w:p>
            <w:pPr>
              <w:spacing w:after="0"/>
              <w:rPr>
                <w:sz w:val="20"/>
                <w:szCs w:val="20"/>
                <w:color w:val="auto"/>
              </w:rPr>
            </w:pPr>
            <w:r>
              <w:rPr>
                <w:rFonts w:ascii="Arial" w:cs="Arial" w:eastAsia="Arial" w:hAnsi="Arial"/>
                <w:sz w:val="19"/>
                <w:szCs w:val="19"/>
                <w:color w:val="auto"/>
              </w:rPr>
              <w:t>PA No. 3219   SA-11</w:t>
            </w:r>
          </w:p>
        </w:tc>
        <w:tc>
          <w:tcPr>
            <w:tcW w:w="2820" w:type="dxa"/>
            <w:vAlign w:val="bottom"/>
            <w:gridSpan w:val="3"/>
          </w:tcPr>
          <w:p>
            <w:pPr>
              <w:ind w:left="80"/>
              <w:spacing w:after="0"/>
              <w:rPr>
                <w:sz w:val="20"/>
                <w:szCs w:val="20"/>
                <w:color w:val="auto"/>
              </w:rPr>
            </w:pPr>
            <w:r>
              <w:rPr>
                <w:rFonts w:ascii="Arial" w:cs="Arial" w:eastAsia="Arial" w:hAnsi="Arial"/>
                <w:sz w:val="19"/>
                <w:szCs w:val="19"/>
                <w:color w:val="auto"/>
              </w:rPr>
              <w:t>LA 6-1162-TRW-0664R2</w:t>
            </w:r>
          </w:p>
        </w:tc>
        <w:tc>
          <w:tcPr>
            <w:tcW w:w="920" w:type="dxa"/>
            <w:vAlign w:val="bottom"/>
          </w:tcPr>
          <w:p>
            <w:pPr>
              <w:spacing w:after="0"/>
              <w:rPr>
                <w:sz w:val="24"/>
                <w:szCs w:val="24"/>
                <w:color w:val="auto"/>
              </w:rPr>
            </w:pPr>
          </w:p>
        </w:tc>
      </w:tr>
      <w:tr>
        <w:trPr>
          <w:trHeight w:val="239"/>
        </w:trPr>
        <w:tc>
          <w:tcPr>
            <w:tcW w:w="5200" w:type="dxa"/>
            <w:vAlign w:val="bottom"/>
            <w:gridSpan w:val="5"/>
          </w:tcPr>
          <w:p>
            <w:pPr>
              <w:spacing w:after="0"/>
              <w:rPr>
                <w:sz w:val="20"/>
                <w:szCs w:val="20"/>
                <w:color w:val="auto"/>
              </w:rPr>
            </w:pPr>
            <w:r>
              <w:rPr>
                <w:rFonts w:ascii="Arial" w:cs="Arial" w:eastAsia="Arial" w:hAnsi="Arial"/>
                <w:sz w:val="19"/>
                <w:szCs w:val="19"/>
                <w:color w:val="auto"/>
                <w:w w:val="97"/>
              </w:rPr>
              <w:t>Aircraft Purchase Rights and Substitution Rights, Attachment E</w:t>
            </w:r>
          </w:p>
        </w:tc>
        <w:tc>
          <w:tcPr>
            <w:tcW w:w="920" w:type="dxa"/>
            <w:vAlign w:val="bottom"/>
          </w:tcPr>
          <w:p>
            <w:pPr>
              <w:ind w:left="40"/>
              <w:spacing w:after="0"/>
              <w:rPr>
                <w:sz w:val="20"/>
                <w:szCs w:val="20"/>
                <w:color w:val="auto"/>
              </w:rPr>
            </w:pPr>
            <w:r>
              <w:rPr>
                <w:rFonts w:ascii="Arial" w:cs="Arial" w:eastAsia="Arial" w:hAnsi="Arial"/>
                <w:sz w:val="19"/>
                <w:szCs w:val="19"/>
                <w:color w:val="auto"/>
              </w:rPr>
              <w:t>Page 1</w:t>
            </w:r>
          </w:p>
        </w:tc>
      </w:tr>
    </w:tbl>
    <w:p>
      <w:pPr>
        <w:jc w:val="center"/>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1420"/>
          </w:cols>
          <w:pgMar w:left="240" w:top="132" w:right="239" w:bottom="1440" w:gutter="0" w:footer="0" w:header="0"/>
        </w:sectPr>
      </w:pPr>
    </w:p>
    <w:bookmarkStart w:id="150" w:name="page151"/>
    <w:bookmarkEnd w:id="150"/>
    <w:p>
      <w:pPr>
        <w:ind w:left="5046"/>
        <w:spacing w:after="0"/>
        <w:rPr>
          <w:sz w:val="20"/>
          <w:szCs w:val="20"/>
          <w:color w:val="auto"/>
        </w:rPr>
      </w:pPr>
      <w:r>
        <w:rPr>
          <w:sz w:val="1"/>
          <w:szCs w:val="1"/>
          <w:color w:val="auto"/>
        </w:rPr>
        <w:drawing>
          <wp:inline distT="0" distB="0" distL="0" distR="0">
            <wp:extent cx="1396365" cy="31178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6</w:t>
      </w:r>
      <w:r>
        <w:rPr>
          <w:rFonts w:ascii="MS PGothic" w:cs="MS PGothic" w:eastAsia="MS PGothic" w:hAnsi="MS PGothic"/>
          <w:sz w:val="19"/>
          <w:szCs w:val="19"/>
          <w:color w:val="auto"/>
        </w:rPr>
        <w:t>‑</w:t>
      </w:r>
      <w:r>
        <w:rPr>
          <w:rFonts w:ascii="Arial" w:cs="Arial" w:eastAsia="Arial" w:hAnsi="Arial"/>
          <w:sz w:val="19"/>
          <w:szCs w:val="19"/>
          <w:color w:val="auto"/>
        </w:rPr>
        <w:t>1162</w:t>
      </w:r>
      <w:r>
        <w:rPr>
          <w:rFonts w:ascii="MS PGothic" w:cs="MS PGothic" w:eastAsia="MS PGothic" w:hAnsi="MS PGothic"/>
          <w:sz w:val="19"/>
          <w:szCs w:val="19"/>
          <w:color w:val="auto"/>
        </w:rPr>
        <w:t>‑</w:t>
      </w:r>
      <w:r>
        <w:rPr>
          <w:rFonts w:ascii="Arial" w:cs="Arial" w:eastAsia="Arial" w:hAnsi="Arial"/>
          <w:sz w:val="19"/>
          <w:szCs w:val="19"/>
          <w:color w:val="auto"/>
        </w:rPr>
        <w:t>TRW</w:t>
      </w:r>
      <w:r>
        <w:rPr>
          <w:rFonts w:ascii="MS PGothic" w:cs="MS PGothic" w:eastAsia="MS PGothic" w:hAnsi="MS PGothic"/>
          <w:sz w:val="19"/>
          <w:szCs w:val="19"/>
          <w:color w:val="auto"/>
        </w:rPr>
        <w:t>‑</w:t>
      </w:r>
      <w:r>
        <w:rPr>
          <w:rFonts w:ascii="Arial" w:cs="Arial" w:eastAsia="Arial" w:hAnsi="Arial"/>
          <w:sz w:val="19"/>
          <w:szCs w:val="19"/>
          <w:color w:val="auto"/>
        </w:rPr>
        <w:t>0667R3</w:t>
      </w:r>
    </w:p>
    <w:p>
      <w:pPr>
        <w:spacing w:after="0" w:line="285"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Texas 75261-9616</w:t>
      </w:r>
    </w:p>
    <w:p>
      <w:pPr>
        <w:sectPr>
          <w:pgSz w:w="11900" w:h="16838" w:orient="portrait"/>
          <w:cols w:equalWidth="0" w:num="1">
            <w:col w:w="11446"/>
          </w:cols>
          <w:pgMar w:left="234" w:top="139" w:right="219" w:bottom="1440" w:gutter="0" w:footer="0" w:header="0"/>
        </w:sectPr>
      </w:pPr>
    </w:p>
    <w:p>
      <w:pPr>
        <w:spacing w:after="0" w:line="269" w:lineRule="exact"/>
        <w:rPr>
          <w:sz w:val="20"/>
          <w:szCs w:val="20"/>
          <w:color w:val="auto"/>
        </w:rPr>
      </w:pPr>
    </w:p>
    <w:p>
      <w:pPr>
        <w:ind w:left="6"/>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sectPr>
          <w:pgSz w:w="11900" w:h="16838" w:orient="portrait"/>
          <w:cols w:equalWidth="0" w:num="2">
            <w:col w:w="606" w:space="520"/>
            <w:col w:w="10320"/>
          </w:cols>
          <w:pgMar w:left="234" w:top="139" w:right="21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Arial" w:cs="Arial" w:eastAsia="Arial" w:hAnsi="Arial"/>
          <w:sz w:val="19"/>
          <w:szCs w:val="19"/>
          <w:color w:val="auto"/>
        </w:rPr>
        <w:t>Purchase Agreement No. 3219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06" w:space="320"/>
            <w:col w:w="10320"/>
          </w:cols>
          <w:pgMar w:left="234" w:top="139" w:right="219" w:bottom="1440" w:gutter="0" w:footer="0" w:header="0"/>
          <w:type w:val="continuous"/>
        </w:sectPr>
      </w:pPr>
    </w:p>
    <w:p>
      <w:pPr>
        <w:spacing w:after="0" w:line="41" w:lineRule="exact"/>
        <w:rPr>
          <w:sz w:val="20"/>
          <w:szCs w:val="20"/>
          <w:color w:val="auto"/>
        </w:rPr>
      </w:pPr>
    </w:p>
    <w:p>
      <w:pPr>
        <w:ind w:left="6"/>
        <w:spacing w:after="0" w:line="266"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have the same meaning as in the Purchase Agreement.</w:t>
      </w:r>
    </w:p>
    <w:p>
      <w:pPr>
        <w:spacing w:after="0" w:line="147"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Boeing recognizes that performance retention within reasonable limits is essential to maintain the economy of operation of the Aircraft. Therefore the parties hereto agree as follows with respect to performance retention.</w:t>
      </w:r>
    </w:p>
    <w:p>
      <w:pPr>
        <w:spacing w:after="0" w:line="147" w:lineRule="exact"/>
        <w:rPr>
          <w:sz w:val="20"/>
          <w:szCs w:val="20"/>
          <w:color w:val="auto"/>
        </w:rPr>
      </w:pPr>
    </w:p>
    <w:p>
      <w:pPr>
        <w:ind w:left="766" w:hanging="766"/>
        <w:spacing w:after="0"/>
        <w:tabs>
          <w:tab w:leader="none" w:pos="76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Aircraft Commitment.</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For the purposes of this Letter Agreement, the “</w:t>
      </w:r>
      <w:r>
        <w:rPr>
          <w:rFonts w:ascii="Arial" w:cs="Arial" w:eastAsia="Arial" w:hAnsi="Arial"/>
          <w:sz w:val="19"/>
          <w:szCs w:val="19"/>
          <w:b w:val="1"/>
          <w:bCs w:val="1"/>
          <w:i w:val="1"/>
          <w:iCs w:val="1"/>
          <w:color w:val="auto"/>
        </w:rPr>
        <w:t>Covered Aircraft</w:t>
      </w:r>
      <w:r>
        <w:rPr>
          <w:rFonts w:ascii="Arial" w:cs="Arial" w:eastAsia="Arial" w:hAnsi="Arial"/>
          <w:sz w:val="19"/>
          <w:szCs w:val="19"/>
          <w:color w:val="auto"/>
        </w:rPr>
        <w:t>” shall be defined as a [*CTR].</w:t>
      </w:r>
    </w:p>
    <w:p>
      <w:pPr>
        <w:spacing w:after="0" w:line="191"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Boeing commits to Customer that, for the Covered Aircraft, the [*CTR], as defined in Attachment A, during the Performance Retention Term, as defined in Paragraph 2 below, will not exceed the levels shown in the table below (</w:t>
      </w:r>
      <w:r>
        <w:rPr>
          <w:rFonts w:ascii="Arial" w:cs="Arial" w:eastAsia="Arial" w:hAnsi="Arial"/>
          <w:sz w:val="19"/>
          <w:szCs w:val="19"/>
          <w:b w:val="1"/>
          <w:bCs w:val="1"/>
          <w:i w:val="1"/>
          <w:iCs w:val="1"/>
          <w:color w:val="auto"/>
        </w:rPr>
        <w:t>Aircraft Commitment</w:t>
      </w:r>
      <w:r>
        <w:rPr>
          <w:rFonts w:ascii="Arial" w:cs="Arial" w:eastAsia="Arial" w:hAnsi="Arial"/>
          <w:sz w:val="19"/>
          <w:szCs w:val="19"/>
          <w:color w:val="auto"/>
        </w:rPr>
        <w:t>).</w:t>
      </w:r>
    </w:p>
    <w:p>
      <w:pPr>
        <w:spacing w:after="0" w:line="158" w:lineRule="exact"/>
        <w:rPr>
          <w:sz w:val="20"/>
          <w:szCs w:val="20"/>
          <w:color w:val="auto"/>
        </w:rPr>
      </w:pPr>
    </w:p>
    <w:tbl>
      <w:tblPr>
        <w:tblLayout w:type="fixed"/>
        <w:tblInd w:w="16" w:type="dxa"/>
        <w:tblCellMar>
          <w:top w:w="0" w:type="dxa"/>
          <w:left w:w="0" w:type="dxa"/>
          <w:bottom w:w="0" w:type="dxa"/>
          <w:right w:w="0" w:type="dxa"/>
        </w:tblCellMar>
      </w:tblPr>
      <w:tr>
        <w:trPr>
          <w:trHeight w:val="227"/>
        </w:trPr>
        <w:tc>
          <w:tcPr>
            <w:tcW w:w="8600" w:type="dxa"/>
            <w:vAlign w:val="bottom"/>
            <w:tcBorders>
              <w:top w:val="single" w:sz="8" w:color="auto"/>
              <w:left w:val="single" w:sz="8" w:color="auto"/>
              <w:right w:val="single" w:sz="8" w:color="auto"/>
            </w:tcBorders>
          </w:tcPr>
          <w:p>
            <w:pPr>
              <w:ind w:left="2440"/>
              <w:spacing w:after="0"/>
              <w:rPr>
                <w:sz w:val="20"/>
                <w:szCs w:val="20"/>
                <w:color w:val="auto"/>
              </w:rPr>
            </w:pPr>
            <w:r>
              <w:rPr>
                <w:rFonts w:ascii="Arial" w:cs="Arial" w:eastAsia="Arial" w:hAnsi="Arial"/>
                <w:sz w:val="19"/>
                <w:szCs w:val="19"/>
                <w:color w:val="auto"/>
              </w:rPr>
              <w:t>Time After Delivery of the First Covered Aircraft</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Cumulative Fleet Average Fuel</w:t>
            </w:r>
          </w:p>
        </w:tc>
      </w:tr>
      <w:tr>
        <w:trPr>
          <w:trHeight w:val="211"/>
        </w:trPr>
        <w:tc>
          <w:tcPr>
            <w:tcW w:w="860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91"/>
              </w:rPr>
              <w:t>Mileage Deterioration Commitment</w:t>
            </w:r>
          </w:p>
        </w:tc>
      </w:tr>
      <w:tr>
        <w:trPr>
          <w:trHeight w:val="246"/>
        </w:trPr>
        <w:tc>
          <w:tcPr>
            <w:tcW w:w="8600" w:type="dxa"/>
            <w:vAlign w:val="bottom"/>
            <w:tcBorders>
              <w:left w:val="single" w:sz="8" w:color="auto"/>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w:t>
            </w:r>
          </w:p>
        </w:tc>
      </w:tr>
      <w:tr>
        <w:trPr>
          <w:trHeight w:val="343"/>
        </w:trPr>
        <w:tc>
          <w:tcPr>
            <w:tcW w:w="86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343"/>
        </w:trPr>
        <w:tc>
          <w:tcPr>
            <w:tcW w:w="86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343"/>
        </w:trPr>
        <w:tc>
          <w:tcPr>
            <w:tcW w:w="86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bl>
    <w:p>
      <w:pPr>
        <w:spacing w:after="0" w:line="200" w:lineRule="exact"/>
        <w:rPr>
          <w:sz w:val="20"/>
          <w:szCs w:val="20"/>
          <w:color w:val="auto"/>
        </w:rPr>
      </w:pPr>
    </w:p>
    <w:p>
      <w:pPr>
        <w:spacing w:after="0" w:line="389"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Applicability and Performance Retention Term.</w:t>
      </w:r>
    </w:p>
    <w:p>
      <w:pPr>
        <w:spacing w:after="0" w:line="396"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1</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type w:val="continuous"/>
        </w:sectPr>
      </w:pPr>
    </w:p>
    <w:bookmarkStart w:id="151" w:name="page152"/>
    <w:bookmarkEnd w:id="151"/>
    <w:p>
      <w:pPr>
        <w:ind w:left="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6"/>
          <w:szCs w:val="16"/>
          <w:color w:val="auto"/>
        </w:rPr>
        <w:t>2.1</w:t>
      </w:r>
      <w:r>
        <w:rPr>
          <w:rFonts w:ascii="Arial" w:cs="Arial" w:eastAsia="Arial" w:hAnsi="Arial"/>
          <w:sz w:val="18"/>
          <w:szCs w:val="18"/>
          <w:u w:val="single" w:color="auto"/>
          <w:color w:val="auto"/>
        </w:rPr>
        <w:t>Delivery Schedule for Covered Aircraft.</w:t>
      </w:r>
    </w:p>
    <w:p>
      <w:pPr>
        <w:spacing w:after="0" w:line="202" w:lineRule="exact"/>
        <w:rPr>
          <w:sz w:val="20"/>
          <w:szCs w:val="20"/>
          <w:color w:val="auto"/>
        </w:rPr>
      </w:pPr>
    </w:p>
    <w:p>
      <w:pPr>
        <w:jc w:val="both"/>
        <w:ind w:left="6" w:firstLine="772"/>
        <w:spacing w:after="0" w:line="255" w:lineRule="auto"/>
        <w:rPr>
          <w:sz w:val="20"/>
          <w:szCs w:val="20"/>
          <w:color w:val="auto"/>
        </w:rPr>
      </w:pPr>
      <w:r>
        <w:rPr>
          <w:rFonts w:ascii="Arial" w:cs="Arial" w:eastAsia="Arial" w:hAnsi="Arial"/>
          <w:sz w:val="19"/>
          <w:szCs w:val="19"/>
          <w:color w:val="auto"/>
        </w:rPr>
        <w:t>For the purposes of this Letter Agreement, it is anticipated that Boeing will deliver the Covered Aircraft to Customer in accordance with the following delivery schedule set forth in Attachment C. If the fleet size and delivery schedule is significantly different, the Aircraft Commitment may be appropriately adjusted to reflect such changes.</w:t>
      </w:r>
    </w:p>
    <w:p>
      <w:pPr>
        <w:spacing w:after="0" w:line="251" w:lineRule="exact"/>
        <w:rPr>
          <w:sz w:val="20"/>
          <w:szCs w:val="20"/>
          <w:color w:val="auto"/>
        </w:rPr>
      </w:pPr>
    </w:p>
    <w:p>
      <w:pPr>
        <w:ind w:left="766"/>
        <w:spacing w:after="0"/>
        <w:rPr>
          <w:sz w:val="20"/>
          <w:szCs w:val="20"/>
          <w:color w:val="auto"/>
        </w:rPr>
      </w:pPr>
      <w:r>
        <w:rPr>
          <w:rFonts w:ascii="Arial" w:cs="Arial" w:eastAsia="Arial" w:hAnsi="Arial"/>
          <w:sz w:val="16"/>
          <w:szCs w:val="16"/>
          <w:color w:val="auto"/>
        </w:rPr>
        <w:t>2.2</w:t>
      </w:r>
      <w:r>
        <w:rPr>
          <w:rFonts w:ascii="Arial" w:cs="Arial" w:eastAsia="Arial" w:hAnsi="Arial"/>
          <w:sz w:val="18"/>
          <w:szCs w:val="18"/>
          <w:u w:val="single" w:color="auto"/>
          <w:color w:val="auto"/>
        </w:rPr>
        <w:t>Performance Retention Term.</w:t>
      </w:r>
    </w:p>
    <w:p>
      <w:pPr>
        <w:spacing w:after="0" w:line="202"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Conditions.</w:t>
      </w:r>
    </w:p>
    <w:p>
      <w:pPr>
        <w:spacing w:after="0" w:line="190" w:lineRule="exact"/>
        <w:rPr>
          <w:rFonts w:ascii="Arial" w:cs="Arial" w:eastAsia="Arial" w:hAnsi="Arial"/>
          <w:sz w:val="19"/>
          <w:szCs w:val="19"/>
          <w:color w:val="auto"/>
        </w:rPr>
      </w:pPr>
    </w:p>
    <w:p>
      <w:pPr>
        <w:ind w:left="766"/>
        <w:spacing w:after="0"/>
        <w:rPr>
          <w:rFonts w:ascii="Arial" w:cs="Arial" w:eastAsia="Arial" w:hAnsi="Arial"/>
          <w:sz w:val="19"/>
          <w:szCs w:val="19"/>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Operation and Maintenance.</w:t>
      </w:r>
    </w:p>
    <w:p>
      <w:pPr>
        <w:spacing w:after="0" w:line="191" w:lineRule="exact"/>
        <w:rPr>
          <w:sz w:val="20"/>
          <w:szCs w:val="20"/>
          <w:color w:val="auto"/>
        </w:rPr>
      </w:pPr>
    </w:p>
    <w:p>
      <w:pPr>
        <w:jc w:val="both"/>
        <w:ind w:left="6" w:firstLine="760"/>
        <w:spacing w:after="0" w:line="228" w:lineRule="exact"/>
        <w:rPr>
          <w:sz w:val="20"/>
          <w:szCs w:val="20"/>
          <w:color w:val="auto"/>
        </w:rPr>
      </w:pPr>
      <w:r>
        <w:rPr>
          <w:rFonts w:ascii="Arial" w:cs="Arial" w:eastAsia="Arial" w:hAnsi="Arial"/>
          <w:sz w:val="18"/>
          <w:szCs w:val="18"/>
          <w:color w:val="auto"/>
        </w:rPr>
        <w:t>Customer shall operate and maintain the Covered Aircraft in accordance with Customer’s FAA</w:t>
      </w:r>
      <w:r>
        <w:rPr>
          <w:rFonts w:ascii="MS PGothic" w:cs="MS PGothic" w:eastAsia="MS PGothic" w:hAnsi="MS PGothic"/>
          <w:sz w:val="18"/>
          <w:szCs w:val="18"/>
          <w:color w:val="auto"/>
        </w:rPr>
        <w:t>‑</w:t>
      </w:r>
      <w:r>
        <w:rPr>
          <w:rFonts w:ascii="Arial" w:cs="Arial" w:eastAsia="Arial" w:hAnsi="Arial"/>
          <w:sz w:val="18"/>
          <w:szCs w:val="18"/>
          <w:color w:val="auto"/>
        </w:rPr>
        <w:t>approved operations and maintenance programs. Customer shall operate and maintain the engines in accordance with the Operation and Maintenance Manuals and Customer's Maintenance Program and an Engine Management Program mutually defined and agreed to by the Engine Manufacturer and Customer.</w:t>
      </w:r>
    </w:p>
    <w:p>
      <w:pPr>
        <w:spacing w:after="0" w:line="171" w:lineRule="exact"/>
        <w:rPr>
          <w:sz w:val="20"/>
          <w:szCs w:val="20"/>
          <w:color w:val="auto"/>
        </w:rPr>
      </w:pPr>
    </w:p>
    <w:p>
      <w:pPr>
        <w:ind w:left="766"/>
        <w:spacing w:after="0"/>
        <w:tabs>
          <w:tab w:leader="none" w:pos="1286"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6"/>
          <w:szCs w:val="16"/>
          <w:u w:val="single" w:color="auto"/>
          <w:color w:val="auto"/>
        </w:rPr>
        <w:t>Powerback.</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226"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Flight Cycle Utilization and Derate.</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Determination of Fuel Mileage Deterioration.</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1" w:lineRule="exact"/>
        <w:rPr>
          <w:sz w:val="20"/>
          <w:szCs w:val="20"/>
          <w:color w:val="auto"/>
        </w:rPr>
      </w:pPr>
    </w:p>
    <w:p>
      <w:pPr>
        <w:ind w:left="6" w:right="20"/>
        <w:spacing w:after="0" w:line="326" w:lineRule="auto"/>
        <w:rPr>
          <w:sz w:val="20"/>
          <w:szCs w:val="20"/>
          <w:color w:val="auto"/>
        </w:rPr>
      </w:pPr>
      <w:r>
        <w:rPr>
          <w:rFonts w:ascii="Arial" w:cs="Arial" w:eastAsia="Arial" w:hAnsi="Arial"/>
          <w:sz w:val="17"/>
          <w:szCs w:val="17"/>
          <w:color w:val="auto"/>
        </w:rPr>
        <w:t>Following the delivery of each Covered Aircraft to Customer by Boeing, and continuing until expiration of the Performance Retention Term, Customer shall record, analyze, and forward to Boeing cruise fuel mileage data obtained on such Covered Aircraft as specified in Attachment B (</w:t>
      </w:r>
      <w:r>
        <w:rPr>
          <w:rFonts w:ascii="Arial" w:cs="Arial" w:eastAsia="Arial" w:hAnsi="Arial"/>
          <w:sz w:val="17"/>
          <w:szCs w:val="17"/>
          <w:b w:val="1"/>
          <w:bCs w:val="1"/>
          <w:i w:val="1"/>
          <w:iCs w:val="1"/>
          <w:color w:val="auto"/>
        </w:rPr>
        <w:t>Basic Data</w:t>
      </w:r>
      <w:r>
        <w:rPr>
          <w:rFonts w:ascii="Arial" w:cs="Arial" w:eastAsia="Arial" w:hAnsi="Arial"/>
          <w:sz w:val="17"/>
          <w:szCs w:val="17"/>
          <w:color w:val="auto"/>
        </w:rPr>
        <w:t>).</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Notice of Performance Deterioration.</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766" w:hanging="766"/>
        <w:spacing w:after="0"/>
        <w:tabs>
          <w:tab w:leader="none" w:pos="76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Election of Actions</w:t>
      </w:r>
      <w:r>
        <w:rPr>
          <w:rFonts w:ascii="Arial" w:cs="Arial" w:eastAsia="Arial" w:hAnsi="Arial"/>
          <w:sz w:val="19"/>
          <w:szCs w:val="19"/>
          <w:color w:val="auto"/>
        </w:rPr>
        <w:t>.</w:t>
      </w:r>
    </w:p>
    <w:p>
      <w:pPr>
        <w:spacing w:after="0" w:line="396"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2</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927" w:right="219" w:bottom="1440" w:gutter="0" w:footer="0" w:header="0"/>
        </w:sectPr>
      </w:pPr>
    </w:p>
    <w:bookmarkStart w:id="152" w:name="page153"/>
    <w:bookmarkEnd w:id="152"/>
    <w:p>
      <w:pPr>
        <w:jc w:val="both"/>
        <w:ind w:right="20"/>
        <w:spacing w:after="0" w:line="26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Upon Boeing's receipt of any notice that the Cumulative Fleet Average Fuel Mileage Deterioration exceeds, or is likely to exceed the Aircraft Commitment, Boeing and Customer, as appropriate, will take the following actions:</w:t>
      </w:r>
    </w:p>
    <w:p>
      <w:pPr>
        <w:spacing w:after="0" w:line="14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6"/>
          <w:szCs w:val="16"/>
          <w:u w:val="single" w:color="auto"/>
          <w:color w:val="auto"/>
        </w:rPr>
        <w:t>Data.</w:t>
      </w:r>
    </w:p>
    <w:p>
      <w:pPr>
        <w:spacing w:after="0" w:line="191" w:lineRule="exact"/>
        <w:rPr>
          <w:sz w:val="20"/>
          <w:szCs w:val="20"/>
          <w:color w:val="auto"/>
        </w:rPr>
      </w:pPr>
    </w:p>
    <w:p>
      <w:pPr>
        <w:jc w:val="both"/>
        <w:ind w:firstLine="772"/>
        <w:spacing w:after="0" w:line="262" w:lineRule="auto"/>
        <w:rPr>
          <w:sz w:val="20"/>
          <w:szCs w:val="20"/>
          <w:color w:val="auto"/>
        </w:rPr>
      </w:pPr>
      <w:r>
        <w:rPr>
          <w:rFonts w:ascii="Arial" w:cs="Arial" w:eastAsia="Arial" w:hAnsi="Arial"/>
          <w:sz w:val="18"/>
          <w:szCs w:val="18"/>
          <w:color w:val="auto"/>
        </w:rPr>
        <w:t>Boeing will evaluate the Basic Data. At its option, Boeing may accomplish such evaluation by analysis of Customer’s raw ACMS data or by obtaining additional performance data on such Covered Aircraft in accordance with Attachment B. Such additional data may include data acquired during revenue service with Boeing personnel aboard as observers. The Basic Data and any additional data obtained by Boeing in its evaluation shall be appropriately adjusted to reflect any material changes elected by Customer to the Covered Aircraft which have occurred subsequent to delivery of the Covered Aircraft, including any replacement of one or more of the engines installed on a Covered Aircraft. Additionally, adjustments will be applied for any relevant factors as agreed by Customer and Boeing (e.g., inaccuracies in flight deck instrumentation, a sudden increase in deterioration that is attributed to a foreign object damage event such as severe hail and the additional rate of deterioration for Aircraft used for pilot training). If Boeing and Customer are in disagreement as to such evaluation of the Basic Data, such disagreement shall be resolved by good faith technical negotiation between the parties including, as necessary, the Engine Manufacturer.</w:t>
      </w:r>
    </w:p>
    <w:p>
      <w:pPr>
        <w:spacing w:after="0" w:line="154"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6"/>
          <w:szCs w:val="16"/>
          <w:u w:val="single" w:color="auto"/>
          <w:color w:val="auto"/>
        </w:rPr>
        <w:t>Surveys.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7"/>
          <w:szCs w:val="17"/>
          <w:u w:val="single" w:color="auto"/>
          <w:color w:val="auto"/>
        </w:rPr>
        <w:t>Weight.</w:t>
      </w:r>
    </w:p>
    <w:p>
      <w:pPr>
        <w:spacing w:after="0" w:line="191" w:lineRule="exact"/>
        <w:rPr>
          <w:sz w:val="20"/>
          <w:szCs w:val="20"/>
          <w:color w:val="auto"/>
        </w:rPr>
      </w:pPr>
    </w:p>
    <w:p>
      <w:pPr>
        <w:jc w:val="both"/>
        <w:ind w:firstLine="772"/>
        <w:spacing w:after="0" w:line="266" w:lineRule="auto"/>
        <w:rPr>
          <w:sz w:val="20"/>
          <w:szCs w:val="20"/>
          <w:color w:val="auto"/>
        </w:rPr>
      </w:pPr>
      <w:r>
        <w:rPr>
          <w:rFonts w:ascii="Arial" w:cs="Arial" w:eastAsia="Arial" w:hAnsi="Arial"/>
          <w:sz w:val="19"/>
          <w:szCs w:val="19"/>
          <w:color w:val="auto"/>
        </w:rPr>
        <w:t>Boeing may request that Customer weigh such Covered Aircraft, in which event Customer agrees to weigh such Covered Aircraft in conjunction with its normally scheduled maintenance and will report its findings to Boeing.</w:t>
      </w:r>
    </w:p>
    <w:p>
      <w:pPr>
        <w:spacing w:after="0" w:line="14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7"/>
          <w:szCs w:val="17"/>
          <w:u w:val="single" w:color="auto"/>
          <w:color w:val="auto"/>
        </w:rPr>
        <w:t>Corrective Actions.</w:t>
      </w:r>
    </w:p>
    <w:p>
      <w:pPr>
        <w:spacing w:after="0" w:line="191" w:lineRule="exact"/>
        <w:rPr>
          <w:sz w:val="20"/>
          <w:szCs w:val="20"/>
          <w:color w:val="auto"/>
        </w:rPr>
      </w:pPr>
    </w:p>
    <w:p>
      <w:pPr>
        <w:jc w:val="both"/>
        <w:ind w:firstLine="760"/>
        <w:spacing w:after="0" w:line="225" w:lineRule="exact"/>
        <w:rPr>
          <w:sz w:val="20"/>
          <w:szCs w:val="20"/>
          <w:color w:val="auto"/>
        </w:rPr>
      </w:pPr>
      <w:r>
        <w:rPr>
          <w:rFonts w:ascii="Arial" w:cs="Arial" w:eastAsia="Arial" w:hAnsi="Arial"/>
          <w:sz w:val="19"/>
          <w:szCs w:val="19"/>
          <w:color w:val="auto"/>
        </w:rPr>
        <w:t xml:space="preserve">Boeing shall promptly make such recommendations to Customer that Boeing believes would result in improvement of the cruise fuel mileage performance of such Covered Aircraft based on analysis of the surveys and available data pursuant to Paragraphs 6.1 </w:t>
      </w:r>
      <w:r>
        <w:rPr>
          <w:rFonts w:ascii="MS PGothic" w:cs="MS PGothic" w:eastAsia="MS PGothic" w:hAnsi="MS PGothic"/>
          <w:sz w:val="19"/>
          <w:szCs w:val="19"/>
          <w:color w:val="auto"/>
        </w:rPr>
        <w:t>‑</w:t>
      </w:r>
      <w:r>
        <w:rPr>
          <w:rFonts w:ascii="Arial" w:cs="Arial" w:eastAsia="Arial" w:hAnsi="Arial"/>
          <w:sz w:val="19"/>
          <w:szCs w:val="19"/>
          <w:color w:val="auto"/>
        </w:rPr>
        <w:t xml:space="preserve"> 6.3. Boeing, Engine Manufacturer and Customer shall thereafter mutually agree on the appropriate corrective action to be taken based on any such recommendations. Corrective actions, which involve maintenance and/or refurbishment, as described in Paragraph 6.2, both on</w:t>
      </w:r>
      <w:r>
        <w:rPr>
          <w:rFonts w:ascii="MS PGothic" w:cs="MS PGothic" w:eastAsia="MS PGothic" w:hAnsi="MS PGothic"/>
          <w:sz w:val="19"/>
          <w:szCs w:val="19"/>
          <w:color w:val="auto"/>
        </w:rPr>
        <w:t>‑</w:t>
      </w:r>
      <w:r>
        <w:rPr>
          <w:rFonts w:ascii="Arial" w:cs="Arial" w:eastAsia="Arial" w:hAnsi="Arial"/>
          <w:sz w:val="19"/>
          <w:szCs w:val="19"/>
          <w:color w:val="auto"/>
        </w:rPr>
        <w:t>wing and off</w:t>
      </w:r>
      <w:r>
        <w:rPr>
          <w:rFonts w:ascii="MS PGothic" w:cs="MS PGothic" w:eastAsia="MS PGothic" w:hAnsi="MS PGothic"/>
          <w:sz w:val="19"/>
          <w:szCs w:val="19"/>
          <w:color w:val="auto"/>
        </w:rPr>
        <w:t>‑</w:t>
      </w:r>
      <w:r>
        <w:rPr>
          <w:rFonts w:ascii="Arial" w:cs="Arial" w:eastAsia="Arial" w:hAnsi="Arial"/>
          <w:sz w:val="19"/>
          <w:szCs w:val="19"/>
          <w:color w:val="auto"/>
        </w:rPr>
        <w:t>wing, shall be performed at no cost to Boeing and/or Engine Manufacturer.</w:t>
      </w:r>
    </w:p>
    <w:p>
      <w:pPr>
        <w:spacing w:after="0" w:line="174"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19"/>
          <w:szCs w:val="19"/>
          <w:color w:val="auto"/>
        </w:rPr>
        <w:t>6.5</w:t>
      </w:r>
      <w:r>
        <w:rPr>
          <w:sz w:val="20"/>
          <w:szCs w:val="20"/>
          <w:color w:val="auto"/>
        </w:rPr>
        <w:tab/>
      </w:r>
      <w:r>
        <w:rPr>
          <w:rFonts w:ascii="Arial" w:cs="Arial" w:eastAsia="Arial" w:hAnsi="Arial"/>
          <w:sz w:val="16"/>
          <w:szCs w:val="16"/>
          <w:u w:val="single" w:color="auto"/>
          <w:color w:val="auto"/>
        </w:rPr>
        <w:t>Improvement Parts and Engine Refurbishment.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3</w:t>
            </w:r>
          </w:p>
        </w:tc>
      </w:tr>
    </w:tbl>
    <w:p>
      <w:pPr>
        <w:jc w:val="center"/>
        <w:spacing w:after="0" w:line="237" w:lineRule="auto"/>
        <w:rPr>
          <w:sz w:val="20"/>
          <w:szCs w:val="20"/>
          <w:color w:val="auto"/>
        </w:rPr>
      </w:pPr>
      <w:r>
        <w:rPr>
          <w:rFonts w:ascii="Arial" w:cs="Arial" w:eastAsia="Arial" w:hAnsi="Arial"/>
          <w:sz w:val="16"/>
          <w:szCs w:val="16"/>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1021" w:right="219" w:bottom="1440" w:gutter="0" w:footer="0" w:header="0"/>
        </w:sectPr>
      </w:pPr>
    </w:p>
    <w:bookmarkStart w:id="153" w:name="page154"/>
    <w:bookmarkEnd w:id="153"/>
    <w:p>
      <w:pPr>
        <w:ind w:left="76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Following the completion of any corrective action pursuant to Paragraph 6.4, if subsequent Basic Data show that the [*CTR].</w:t>
      </w:r>
    </w:p>
    <w:p>
      <w:pPr>
        <w:spacing w:after="0" w:line="214"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766"/>
        <w:spacing w:after="0"/>
        <w:rPr>
          <w:rFonts w:ascii="Arial" w:cs="Arial" w:eastAsia="Arial" w:hAnsi="Arial"/>
          <w:sz w:val="19"/>
          <w:szCs w:val="19"/>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Annual Excess Fuel Burn Amount.</w:t>
      </w:r>
    </w:p>
    <w:p>
      <w:pPr>
        <w:spacing w:after="0" w:line="191" w:lineRule="exact"/>
        <w:rPr>
          <w:sz w:val="20"/>
          <w:szCs w:val="20"/>
          <w:color w:val="auto"/>
        </w:rPr>
      </w:pPr>
    </w:p>
    <w:p>
      <w:pPr>
        <w:ind w:left="1886"/>
        <w:spacing w:after="0"/>
        <w:rPr>
          <w:sz w:val="20"/>
          <w:szCs w:val="20"/>
          <w:color w:val="auto"/>
        </w:rPr>
      </w:pPr>
      <w:r>
        <w:rPr>
          <w:rFonts w:ascii="Arial" w:cs="Arial" w:eastAsia="Arial" w:hAnsi="Arial"/>
          <w:sz w:val="19"/>
          <w:szCs w:val="19"/>
          <w:color w:val="auto"/>
        </w:rPr>
        <w:t>[*CTR]:</w:t>
      </w:r>
    </w:p>
    <w:p>
      <w:pPr>
        <w:spacing w:after="0" w:line="378"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308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308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3086"/>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400" w:lineRule="exact"/>
        <w:rPr>
          <w:sz w:val="20"/>
          <w:szCs w:val="20"/>
          <w:color w:val="auto"/>
        </w:rPr>
      </w:pPr>
    </w:p>
    <w:p>
      <w:pPr>
        <w:ind w:left="766"/>
        <w:spacing w:after="0"/>
        <w:tabs>
          <w:tab w:leader="none" w:pos="1226"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7"/>
          <w:szCs w:val="17"/>
          <w:u w:val="single" w:color="auto"/>
          <w:color w:val="auto"/>
        </w:rPr>
        <w:t>Credit Memorandum</w:t>
      </w:r>
      <w:r>
        <w:rPr>
          <w:rFonts w:ascii="Arial" w:cs="Arial" w:eastAsia="Arial" w:hAnsi="Arial"/>
          <w:sz w:val="17"/>
          <w:szCs w:val="17"/>
          <w:color w:val="auto"/>
        </w:rPr>
        <w:t>.</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226"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u w:val="single" w:color="auto"/>
          <w:color w:val="auto"/>
        </w:rPr>
        <w:t>Credit Adjustments</w:t>
      </w:r>
      <w:r>
        <w:rPr>
          <w:rFonts w:ascii="Arial" w:cs="Arial" w:eastAsia="Arial" w:hAnsi="Arial"/>
          <w:sz w:val="17"/>
          <w:szCs w:val="17"/>
          <w:color w:val="auto"/>
        </w:rPr>
        <w:t>.</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166"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7"/>
          <w:szCs w:val="17"/>
          <w:u w:val="single" w:color="auto"/>
          <w:color w:val="auto"/>
        </w:rPr>
        <w:t>Limitation on Amount of Credits.</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1126" w:right="7699" w:hanging="1126"/>
        <w:spacing w:after="0" w:line="449" w:lineRule="auto"/>
        <w:tabs>
          <w:tab w:leader="none" w:pos="76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 xml:space="preserve">Duplication of Benefits </w:t>
      </w:r>
      <w:r>
        <w:rPr>
          <w:rFonts w:ascii="Arial" w:cs="Arial" w:eastAsia="Arial" w:hAnsi="Arial"/>
          <w:sz w:val="19"/>
          <w:szCs w:val="19"/>
          <w:color w:val="auto"/>
        </w:rPr>
        <w:t>[*CTR].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p>
    <w:p>
      <w:pPr>
        <w:ind w:left="766"/>
        <w:spacing w:after="0"/>
        <w:rPr>
          <w:sz w:val="20"/>
          <w:szCs w:val="20"/>
          <w:color w:val="auto"/>
        </w:rPr>
      </w:pPr>
      <w:r>
        <w:rPr>
          <w:rFonts w:ascii="Arial" w:cs="Arial" w:eastAsia="Arial" w:hAnsi="Arial"/>
          <w:sz w:val="19"/>
          <w:szCs w:val="19"/>
          <w:u w:val="single" w:color="auto"/>
          <w:color w:val="auto"/>
        </w:rPr>
        <w:t>Assignment Prohibited</w:t>
      </w:r>
      <w:r>
        <w:rPr>
          <w:rFonts w:ascii="Arial" w:cs="Arial" w:eastAsia="Arial" w:hAnsi="Arial"/>
          <w:sz w:val="19"/>
          <w:szCs w:val="19"/>
          <w:color w:val="auto"/>
        </w:rPr>
        <w:t>.</w:t>
      </w:r>
    </w:p>
    <w:p>
      <w:pPr>
        <w:spacing w:after="0" w:line="380"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4</w:t>
            </w:r>
          </w:p>
        </w:tc>
      </w:tr>
    </w:tbl>
    <w:p>
      <w:pPr>
        <w:ind w:left="4826"/>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26"/>
          </w:cols>
          <w:pgMar w:left="234" w:top="1021" w:right="1440" w:bottom="1440" w:gutter="0" w:footer="0" w:header="0"/>
        </w:sectPr>
      </w:pPr>
    </w:p>
    <w:bookmarkStart w:id="154" w:name="page155"/>
    <w:bookmarkEnd w:id="154"/>
    <w:p>
      <w:pPr>
        <w:jc w:val="both"/>
        <w:ind w:left="1126"/>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58" w:lineRule="exact"/>
        <w:rPr>
          <w:sz w:val="20"/>
          <w:szCs w:val="20"/>
          <w:color w:val="auto"/>
        </w:rPr>
      </w:pPr>
    </w:p>
    <w:p>
      <w:pPr>
        <w:ind w:left="1126" w:right="9240" w:hanging="1126"/>
        <w:spacing w:after="0" w:line="605" w:lineRule="auto"/>
        <w:tabs>
          <w:tab w:leader="none" w:pos="764"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[*CTR].</w:t>
      </w:r>
    </w:p>
    <w:p>
      <w:pPr>
        <w:spacing w:after="0" w:line="97"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5</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55" w:name="page156"/>
    <w:bookmarkEnd w:id="155"/>
    <w:p>
      <w:pPr>
        <w:ind w:left="766" w:hanging="766"/>
        <w:spacing w:after="0"/>
        <w:tabs>
          <w:tab w:leader="none" w:pos="766" w:val="left"/>
        </w:tabs>
        <w:numPr>
          <w:ilvl w:val="0"/>
          <w:numId w:val="102"/>
        </w:numPr>
        <w:rPr>
          <w:rFonts w:ascii="Arial" w:cs="Arial" w:eastAsia="Arial" w:hAnsi="Arial"/>
          <w:sz w:val="16"/>
          <w:szCs w:val="16"/>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Confidential Treatment</w:t>
      </w:r>
      <w:r>
        <w:rPr>
          <w:rFonts w:ascii="Arial" w:cs="Arial" w:eastAsia="Arial" w:hAnsi="Arial"/>
          <w:sz w:val="19"/>
          <w:szCs w:val="19"/>
          <w:color w:val="auto"/>
        </w:rPr>
        <w:t>.</w:t>
      </w:r>
    </w:p>
    <w:p>
      <w:pPr>
        <w:spacing w:after="0" w:line="191" w:lineRule="exact"/>
        <w:rPr>
          <w:sz w:val="20"/>
          <w:szCs w:val="20"/>
          <w:color w:val="auto"/>
        </w:rPr>
      </w:pPr>
    </w:p>
    <w:p>
      <w:pPr>
        <w:jc w:val="both"/>
        <w:ind w:left="1126"/>
        <w:spacing w:after="0" w:line="247" w:lineRule="auto"/>
        <w:rPr>
          <w:sz w:val="20"/>
          <w:szCs w:val="20"/>
          <w:color w:val="auto"/>
        </w:rPr>
      </w:pPr>
      <w:r>
        <w:rPr>
          <w:rFonts w:ascii="Arial" w:cs="Arial" w:eastAsia="Arial" w:hAnsi="Arial"/>
          <w:sz w:val="19"/>
          <w:szCs w:val="19"/>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 either party may disclose the information contained herein without the consent of the other party when and to the extent required by any law applicable to such party or by a Governmental Authority.</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9"/>
          <w:szCs w:val="19"/>
          <w:color w:val="auto"/>
        </w:rPr>
        <w:t>Very truly yours,</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BOEING COMPANY</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Arial" w:cs="Arial" w:eastAsia="Arial" w:hAnsi="Arial"/>
          <w:sz w:val="19"/>
          <w:szCs w:val="19"/>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-14605</wp:posOffset>
            </wp:positionV>
            <wp:extent cx="18154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
        <w:spacing w:after="0" w:line="219" w:lineRule="exact"/>
        <w:tabs>
          <w:tab w:leader="none" w:pos="666"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-14605</wp:posOffset>
            </wp:positionV>
            <wp:extent cx="145224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If the foregoing correctly sets forth your understanding of our agreement with respect to the matters treated above, please indicate your acceptance and approval.</w:t>
      </w:r>
    </w:p>
    <w:p>
      <w:pPr>
        <w:spacing w:after="0" w:line="200" w:lineRule="exact"/>
        <w:rPr>
          <w:sz w:val="20"/>
          <w:szCs w:val="20"/>
          <w:color w:val="auto"/>
        </w:rPr>
      </w:pPr>
    </w:p>
    <w:p>
      <w:pPr>
        <w:spacing w:after="0" w:line="205" w:lineRule="exact"/>
        <w:rPr>
          <w:sz w:val="20"/>
          <w:szCs w:val="20"/>
          <w:color w:val="auto"/>
        </w:rPr>
      </w:pPr>
    </w:p>
    <w:p>
      <w:pPr>
        <w:ind w:left="6"/>
        <w:spacing w:after="0"/>
        <w:tabs>
          <w:tab w:leader="none" w:pos="3706" w:val="left"/>
        </w:tabs>
        <w:rPr>
          <w:sz w:val="20"/>
          <w:szCs w:val="20"/>
          <w:color w:val="auto"/>
        </w:rPr>
      </w:pPr>
      <w:r>
        <w:rPr>
          <w:rFonts w:ascii="Arial" w:cs="Arial" w:eastAsia="Arial" w:hAnsi="Arial"/>
          <w:sz w:val="19"/>
          <w:szCs w:val="19"/>
          <w:color w:val="auto"/>
        </w:rPr>
        <w:t>ACCEPTED AND AGREED TO this  6th</w:t>
      </w:r>
      <w:r>
        <w:rPr>
          <w:sz w:val="20"/>
          <w:szCs w:val="20"/>
          <w:color w:val="auto"/>
        </w:rPr>
        <w:tab/>
      </w:r>
      <w:r>
        <w:rPr>
          <w:rFonts w:ascii="Arial" w:cs="Arial" w:eastAsia="Arial" w:hAnsi="Arial"/>
          <w:sz w:val="17"/>
          <w:szCs w:val="17"/>
          <w:color w:val="auto"/>
        </w:rPr>
        <w:t>day of _</w:t>
      </w:r>
      <w:r>
        <w:rPr>
          <w:rFonts w:ascii="Arial" w:cs="Arial" w:eastAsia="Arial" w:hAnsi="Arial"/>
          <w:sz w:val="17"/>
          <w:szCs w:val="17"/>
          <w:u w:val="single" w:color="auto"/>
          <w:color w:val="auto"/>
        </w:rPr>
        <w:t>Apri</w:t>
      </w:r>
      <w:r>
        <w:rPr>
          <w:rFonts w:ascii="Arial" w:cs="Arial" w:eastAsia="Arial" w:hAnsi="Arial"/>
          <w:sz w:val="17"/>
          <w:szCs w:val="17"/>
          <w:color w:val="auto"/>
        </w:rPr>
        <w:t>l____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-14605</wp:posOffset>
            </wp:positionV>
            <wp:extent cx="5086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08635"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0" w:lineRule="exact"/>
        <w:rPr>
          <w:sz w:val="20"/>
          <w:szCs w:val="20"/>
          <w:color w:val="auto"/>
        </w:rPr>
      </w:pPr>
    </w:p>
    <w:p>
      <w:pPr>
        <w:spacing w:after="0" w:line="365" w:lineRule="exact"/>
        <w:rPr>
          <w:sz w:val="20"/>
          <w:szCs w:val="20"/>
          <w:color w:val="auto"/>
        </w:rPr>
      </w:pPr>
    </w:p>
    <w:p>
      <w:pPr>
        <w:ind w:left="6"/>
        <w:spacing w:after="0"/>
        <w:tabs>
          <w:tab w:leader="none" w:pos="526" w:val="left"/>
        </w:tabs>
        <w:rPr>
          <w:sz w:val="20"/>
          <w:szCs w:val="20"/>
          <w:color w:val="auto"/>
        </w:rPr>
      </w:pPr>
      <w:r>
        <w:rPr>
          <w:rFonts w:ascii="Arial" w:cs="Arial" w:eastAsia="Arial" w:hAnsi="Arial"/>
          <w:sz w:val="19"/>
          <w:szCs w:val="19"/>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-14605</wp:posOffset>
            </wp:positionV>
            <wp:extent cx="224472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2244725" cy="7620"/>
                    </a:xfrm>
                    <a:prstGeom prst="rect">
                      <a:avLst/>
                    </a:prstGeom>
                    <a:noFill/>
                  </pic:spPr>
                </pic:pic>
              </a:graphicData>
            </a:graphic>
          </wp:anchor>
        </w:drawing>
      </w:r>
    </w:p>
    <w:p>
      <w:pPr>
        <w:spacing w:after="0" w:line="393" w:lineRule="exact"/>
        <w:rPr>
          <w:sz w:val="20"/>
          <w:szCs w:val="20"/>
          <w:color w:val="auto"/>
        </w:rPr>
      </w:pPr>
    </w:p>
    <w:p>
      <w:pPr>
        <w:ind w:left="6"/>
        <w:spacing w:after="0"/>
        <w:rPr>
          <w:sz w:val="20"/>
          <w:szCs w:val="20"/>
          <w:color w:val="auto"/>
        </w:rPr>
      </w:pPr>
      <w:r>
        <w:rPr>
          <w:rFonts w:ascii="Arial" w:cs="Arial" w:eastAsia="Arial" w:hAnsi="Arial"/>
          <w:sz w:val="19"/>
          <w:szCs w:val="19"/>
          <w:color w:val="auto"/>
        </w:rPr>
        <w:t>Its: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14903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1490345" cy="76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6</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56" w:name="page157"/>
    <w:bookmarkEnd w:id="156"/>
    <w:p>
      <w:pPr>
        <w:jc w:val="center"/>
        <w:ind w:right="-5"/>
        <w:spacing w:after="0"/>
        <w:rPr>
          <w:sz w:val="20"/>
          <w:szCs w:val="20"/>
          <w:color w:val="auto"/>
        </w:rPr>
      </w:pPr>
      <w:r>
        <w:rPr>
          <w:rFonts w:ascii="Arial" w:cs="Arial" w:eastAsia="Arial" w:hAnsi="Arial"/>
          <w:sz w:val="19"/>
          <w:szCs w:val="19"/>
          <w:u w:val="single" w:color="auto"/>
          <w:color w:val="auto"/>
        </w:rPr>
        <w:t>Attachment A: Determination of Cumulative Fleet Average Fuel Mileage Deterioration</w:t>
      </w:r>
    </w:p>
    <w:p>
      <w:pPr>
        <w:spacing w:after="0" w:line="191" w:lineRule="exact"/>
        <w:rPr>
          <w:sz w:val="20"/>
          <w:szCs w:val="20"/>
          <w:color w:val="auto"/>
        </w:rPr>
      </w:pPr>
    </w:p>
    <w:p>
      <w:pPr>
        <w:jc w:val="both"/>
        <w:ind w:left="6" w:right="20"/>
        <w:spacing w:after="0" w:line="276" w:lineRule="auto"/>
        <w:rPr>
          <w:sz w:val="20"/>
          <w:szCs w:val="20"/>
          <w:color w:val="auto"/>
        </w:rPr>
      </w:pPr>
      <w:r>
        <w:rPr>
          <w:rFonts w:ascii="Arial" w:cs="Arial" w:eastAsia="Arial" w:hAnsi="Arial"/>
          <w:sz w:val="18"/>
          <w:szCs w:val="18"/>
          <w:color w:val="auto"/>
        </w:rPr>
        <w:t xml:space="preserve">For purposes of this Letter Agreement, the </w:t>
      </w:r>
      <w:r>
        <w:rPr>
          <w:rFonts w:ascii="Arial" w:cs="Arial" w:eastAsia="Arial" w:hAnsi="Arial"/>
          <w:sz w:val="18"/>
          <w:szCs w:val="18"/>
          <w:b w:val="1"/>
          <w:bCs w:val="1"/>
          <w:i w:val="1"/>
          <w:iCs w:val="1"/>
          <w:color w:val="auto"/>
        </w:rPr>
        <w:t>Cumulative Fleet Average Fuel Mileage Deterioration</w:t>
      </w:r>
      <w:r>
        <w:rPr>
          <w:rFonts w:ascii="Arial" w:cs="Arial" w:eastAsia="Arial" w:hAnsi="Arial"/>
          <w:sz w:val="18"/>
          <w:szCs w:val="18"/>
          <w:color w:val="auto"/>
        </w:rPr>
        <w:t xml:space="preserve"> is the average cruise fuel mileage deterioration of the Covered Aircraft. The determination of the Fleet Average Mileage Deterioration will be based on fuel mileage deterioration of individual Covered Aircraft relative to their Baseline Performance Level cruise fuel mileage performance as defined below.</w:t>
      </w:r>
    </w:p>
    <w:p>
      <w:pPr>
        <w:spacing w:after="0" w:line="140" w:lineRule="exact"/>
        <w:rPr>
          <w:sz w:val="20"/>
          <w:szCs w:val="20"/>
          <w:color w:val="auto"/>
        </w:rPr>
      </w:pPr>
    </w:p>
    <w:p>
      <w:pPr>
        <w:jc w:val="both"/>
        <w:ind w:left="6" w:hanging="6"/>
        <w:spacing w:after="0" w:line="255" w:lineRule="auto"/>
        <w:tabs>
          <w:tab w:leader="none" w:pos="41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Boeing will provide Customer with the Boeing Airplane Performance Monitoring Program (</w:t>
      </w:r>
      <w:r>
        <w:rPr>
          <w:rFonts w:ascii="Arial" w:cs="Arial" w:eastAsia="Arial" w:hAnsi="Arial"/>
          <w:sz w:val="19"/>
          <w:szCs w:val="19"/>
          <w:b w:val="1"/>
          <w:bCs w:val="1"/>
          <w:i w:val="1"/>
          <w:iCs w:val="1"/>
          <w:color w:val="auto"/>
        </w:rPr>
        <w:t>APM</w:t>
      </w:r>
      <w:r>
        <w:rPr>
          <w:rFonts w:ascii="Arial" w:cs="Arial" w:eastAsia="Arial" w:hAnsi="Arial"/>
          <w:sz w:val="19"/>
          <w:szCs w:val="19"/>
          <w:color w:val="auto"/>
        </w:rPr>
        <w:t>), in effect at the time of delivery of the first Covered Aircraft, that shall be used for data analysis during the Performance Retention Term. For purposes of this Letter Agreement, the Model Reference Level cruise fuel mileage performance for the Covered Aircraft shall be as set forth in the APM.</w:t>
      </w:r>
    </w:p>
    <w:p>
      <w:pPr>
        <w:spacing w:after="0" w:line="157" w:lineRule="exact"/>
        <w:rPr>
          <w:rFonts w:ascii="Arial" w:cs="Arial" w:eastAsia="Arial" w:hAnsi="Arial"/>
          <w:sz w:val="19"/>
          <w:szCs w:val="19"/>
          <w:color w:val="auto"/>
        </w:rPr>
      </w:pPr>
    </w:p>
    <w:p>
      <w:pPr>
        <w:ind w:left="326" w:hanging="326"/>
        <w:spacing w:after="0"/>
        <w:tabs>
          <w:tab w:leader="none" w:pos="32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326" w:hanging="326"/>
        <w:spacing w:after="0"/>
        <w:tabs>
          <w:tab w:leader="none" w:pos="32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6" w:right="120" w:hanging="6"/>
        <w:spacing w:after="0" w:line="266" w:lineRule="auto"/>
        <w:tabs>
          <w:tab w:leader="none" w:pos="33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Current Deterioration</w:t>
      </w:r>
      <w:r>
        <w:rPr>
          <w:rFonts w:ascii="Arial" w:cs="Arial" w:eastAsia="Arial" w:hAnsi="Arial"/>
          <w:sz w:val="19"/>
          <w:szCs w:val="19"/>
          <w:color w:val="auto"/>
        </w:rPr>
        <w:t xml:space="preserve"> (expressed as a percentage) for each Covered Aircraft is the difference between the Current Performance Level and the Baseline Performance Level.</w:t>
      </w:r>
    </w:p>
    <w:p>
      <w:pPr>
        <w:spacing w:after="0" w:line="353"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620" w:type="dxa"/>
            <w:vAlign w:val="bottom"/>
          </w:tcPr>
          <w:p>
            <w:pPr>
              <w:spacing w:after="0"/>
              <w:rPr>
                <w:sz w:val="20"/>
                <w:szCs w:val="20"/>
                <w:color w:val="auto"/>
              </w:rPr>
            </w:pPr>
            <w:r>
              <w:rPr>
                <w:rFonts w:ascii="Arial" w:cs="Arial" w:eastAsia="Arial" w:hAnsi="Arial"/>
                <w:sz w:val="16"/>
                <w:szCs w:val="16"/>
                <w:color w:val="auto"/>
              </w:rPr>
              <w:t>P.A. No. 3219</w:t>
            </w:r>
          </w:p>
        </w:tc>
        <w:tc>
          <w:tcPr>
            <w:tcW w:w="920" w:type="dxa"/>
            <w:vAlign w:val="bottom"/>
          </w:tcPr>
          <w:p>
            <w:pPr>
              <w:ind w:left="180"/>
              <w:spacing w:after="0"/>
              <w:rPr>
                <w:sz w:val="20"/>
                <w:szCs w:val="20"/>
                <w:color w:val="auto"/>
              </w:rPr>
            </w:pPr>
            <w:r>
              <w:rPr>
                <w:rFonts w:ascii="Arial" w:cs="Arial" w:eastAsia="Arial" w:hAnsi="Arial"/>
                <w:sz w:val="16"/>
                <w:szCs w:val="16"/>
                <w:color w:val="auto"/>
              </w:rPr>
              <w:t>SA-11</w:t>
            </w:r>
          </w:p>
        </w:tc>
        <w:tc>
          <w:tcPr>
            <w:tcW w:w="1980" w:type="dxa"/>
            <w:vAlign w:val="bottom"/>
          </w:tcPr>
          <w:p>
            <w:pPr>
              <w:ind w:left="34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620" w:type="dxa"/>
            <w:vAlign w:val="bottom"/>
          </w:tcPr>
          <w:p>
            <w:pPr>
              <w:spacing w:after="0"/>
              <w:rPr>
                <w:sz w:val="20"/>
                <w:szCs w:val="20"/>
                <w:color w:val="auto"/>
              </w:rPr>
            </w:pPr>
            <w:r>
              <w:rPr>
                <w:rFonts w:ascii="Arial" w:cs="Arial" w:eastAsia="Arial" w:hAnsi="Arial"/>
                <w:sz w:val="16"/>
                <w:szCs w:val="16"/>
                <w:color w:val="auto"/>
              </w:rPr>
              <w:t>[*CTR]- Attachment A</w:t>
            </w:r>
          </w:p>
        </w:tc>
        <w:tc>
          <w:tcPr>
            <w:tcW w:w="920" w:type="dxa"/>
            <w:vAlign w:val="bottom"/>
          </w:tcPr>
          <w:p>
            <w:pPr>
              <w:spacing w:after="0"/>
              <w:rPr>
                <w:sz w:val="17"/>
                <w:szCs w:val="17"/>
                <w:color w:val="auto"/>
              </w:rPr>
            </w:pPr>
          </w:p>
        </w:tc>
        <w:tc>
          <w:tcPr>
            <w:tcW w:w="1980" w:type="dxa"/>
            <w:vAlign w:val="bottom"/>
          </w:tcPr>
          <w:p>
            <w:pPr>
              <w:ind w:left="500"/>
              <w:spacing w:after="0"/>
              <w:rPr>
                <w:sz w:val="20"/>
                <w:szCs w:val="20"/>
                <w:color w:val="auto"/>
              </w:rPr>
            </w:pPr>
            <w:r>
              <w:rPr>
                <w:rFonts w:ascii="Arial" w:cs="Arial" w:eastAsia="Arial" w:hAnsi="Arial"/>
                <w:sz w:val="16"/>
                <w:szCs w:val="16"/>
                <w:color w:val="auto"/>
              </w:rPr>
              <w:t>Page 1</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530" w:right="219" w:bottom="1440" w:gutter="0" w:footer="0" w:header="0"/>
        </w:sectPr>
      </w:pPr>
    </w:p>
    <w:bookmarkStart w:id="157" w:name="page158"/>
    <w:bookmarkEnd w:id="157"/>
    <w:p>
      <w:pPr>
        <w:ind w:left="6"/>
        <w:spacing w:after="0"/>
        <w:tabs>
          <w:tab w:leader="none" w:pos="1246" w:val="left"/>
        </w:tabs>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A:</w:t>
      </w:r>
      <w:r>
        <w:rPr>
          <w:sz w:val="20"/>
          <w:szCs w:val="20"/>
          <w:color w:val="auto"/>
        </w:rPr>
        <w:tab/>
      </w:r>
      <w:r>
        <w:rPr>
          <w:rFonts w:ascii="Arial" w:cs="Arial" w:eastAsia="Arial" w:hAnsi="Arial"/>
          <w:sz w:val="17"/>
          <w:szCs w:val="17"/>
          <w:u w:val="single" w:color="auto"/>
          <w:color w:val="auto"/>
        </w:rPr>
        <w:t>Determination of Cumulative Fleet Average Fuel Mileage Deterioration, continued</w:t>
      </w:r>
    </w:p>
    <w:p>
      <w:pPr>
        <w:spacing w:after="0" w:line="191" w:lineRule="exact"/>
        <w:rPr>
          <w:sz w:val="20"/>
          <w:szCs w:val="20"/>
          <w:color w:val="auto"/>
        </w:rPr>
      </w:pPr>
    </w:p>
    <w:p>
      <w:pPr>
        <w:ind w:left="326" w:hanging="326"/>
        <w:spacing w:after="0"/>
        <w:tabs>
          <w:tab w:leader="none" w:pos="32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jc w:val="both"/>
        <w:ind w:left="6" w:hanging="6"/>
        <w:spacing w:after="0" w:line="255" w:lineRule="auto"/>
        <w:tabs>
          <w:tab w:leader="none" w:pos="3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Cumulative Fleet Average Fuel Mileage Deterioration</w:t>
      </w:r>
      <w:r>
        <w:rPr>
          <w:rFonts w:ascii="Arial" w:cs="Arial" w:eastAsia="Arial" w:hAnsi="Arial"/>
          <w:sz w:val="19"/>
          <w:szCs w:val="19"/>
          <w:color w:val="auto"/>
        </w:rPr>
        <w:t xml:space="preserve"> (expressed as a percentage) will be determined for each Subsequent Monitoring Period by summing the Fleet Average Fuel Mileage Deterioration values as determined in Paragraph 5 for each calendar month according to the following equation:</w:t>
      </w:r>
    </w:p>
    <w:p>
      <w:pPr>
        <w:spacing w:after="0" w:line="158" w:lineRule="exact"/>
        <w:rPr>
          <w:sz w:val="20"/>
          <w:szCs w:val="20"/>
          <w:color w:val="auto"/>
        </w:rPr>
      </w:pPr>
    </w:p>
    <w:p>
      <w:pPr>
        <w:ind w:left="15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378"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378"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378"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378" w:lineRule="exact"/>
        <w:rPr>
          <w:sz w:val="20"/>
          <w:szCs w:val="20"/>
          <w:color w:val="auto"/>
        </w:rPr>
      </w:pPr>
    </w:p>
    <w:p>
      <w:pPr>
        <w:ind w:left="326" w:hanging="326"/>
        <w:spacing w:after="0"/>
        <w:tabs>
          <w:tab w:leader="none" w:pos="32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383"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340" w:type="dxa"/>
            <w:vAlign w:val="bottom"/>
          </w:tcPr>
          <w:p>
            <w:pPr>
              <w:spacing w:after="0"/>
              <w:rPr>
                <w:sz w:val="20"/>
                <w:szCs w:val="20"/>
                <w:color w:val="auto"/>
              </w:rPr>
            </w:pPr>
            <w:r>
              <w:rPr>
                <w:rFonts w:ascii="Arial" w:cs="Arial" w:eastAsia="Arial" w:hAnsi="Arial"/>
                <w:sz w:val="16"/>
                <w:szCs w:val="16"/>
                <w:color w:val="auto"/>
              </w:rPr>
              <w:t>P.A. No. 3219</w:t>
            </w:r>
          </w:p>
        </w:tc>
        <w:tc>
          <w:tcPr>
            <w:tcW w:w="960" w:type="dxa"/>
            <w:vAlign w:val="bottom"/>
          </w:tcPr>
          <w:p>
            <w:pPr>
              <w:ind w:left="460"/>
              <w:spacing w:after="0"/>
              <w:rPr>
                <w:sz w:val="20"/>
                <w:szCs w:val="20"/>
                <w:color w:val="auto"/>
              </w:rPr>
            </w:pPr>
            <w:r>
              <w:rPr>
                <w:rFonts w:ascii="Arial" w:cs="Arial" w:eastAsia="Arial" w:hAnsi="Arial"/>
                <w:sz w:val="16"/>
                <w:szCs w:val="16"/>
                <w:color w:val="auto"/>
              </w:rPr>
              <w:t>SA-11</w:t>
            </w:r>
          </w:p>
        </w:tc>
        <w:tc>
          <w:tcPr>
            <w:tcW w:w="2220" w:type="dxa"/>
            <w:vAlign w:val="bottom"/>
          </w:tcPr>
          <w:p>
            <w:pPr>
              <w:ind w:left="58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340" w:type="dxa"/>
            <w:vAlign w:val="bottom"/>
          </w:tcPr>
          <w:p>
            <w:pPr>
              <w:spacing w:after="0"/>
              <w:rPr>
                <w:sz w:val="20"/>
                <w:szCs w:val="20"/>
                <w:color w:val="auto"/>
              </w:rPr>
            </w:pPr>
            <w:r>
              <w:rPr>
                <w:rFonts w:ascii="Arial" w:cs="Arial" w:eastAsia="Arial" w:hAnsi="Arial"/>
                <w:sz w:val="16"/>
                <w:szCs w:val="16"/>
                <w:color w:val="auto"/>
              </w:rPr>
              <w:t>[*CTR]</w:t>
            </w:r>
          </w:p>
        </w:tc>
        <w:tc>
          <w:tcPr>
            <w:tcW w:w="9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6"/>
                <w:szCs w:val="16"/>
                <w:color w:val="auto"/>
              </w:rPr>
              <w:t>Page 2</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431"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9"/>
          <w:szCs w:val="19"/>
          <w:u w:val="single" w:color="auto"/>
          <w:color w:val="auto"/>
        </w:rPr>
        <w:t>Attachment B: Cruise Fuel Mileage Performance Determination</w:t>
      </w:r>
    </w:p>
    <w:p>
      <w:pPr>
        <w:spacing w:after="0" w:line="191" w:lineRule="exact"/>
        <w:rPr>
          <w:sz w:val="20"/>
          <w:szCs w:val="20"/>
          <w:color w:val="auto"/>
        </w:rPr>
      </w:pPr>
    </w:p>
    <w:p>
      <w:pPr>
        <w:jc w:val="both"/>
        <w:ind w:left="560"/>
        <w:spacing w:after="0" w:line="251" w:lineRule="auto"/>
        <w:rPr>
          <w:sz w:val="20"/>
          <w:szCs w:val="20"/>
          <w:color w:val="auto"/>
        </w:rPr>
      </w:pPr>
      <w:r>
        <w:rPr>
          <w:rFonts w:ascii="Arial" w:cs="Arial" w:eastAsia="Arial" w:hAnsi="Arial"/>
          <w:sz w:val="19"/>
          <w:szCs w:val="19"/>
          <w:color w:val="auto"/>
        </w:rPr>
        <w:t>Customer shall obtain cruise fuel mileage performance data in revenue service using the Airplane Condition Monitoring System (ACMS). This data will be recorded during level flight cruise in steady state conditions. Data shall be obtained in accordance with the then current revision of the Airplane Performance Monitoring Software User Guide (</w:t>
      </w:r>
      <w:r>
        <w:rPr>
          <w:rFonts w:ascii="Arial" w:cs="Arial" w:eastAsia="Arial" w:hAnsi="Arial"/>
          <w:sz w:val="19"/>
          <w:szCs w:val="19"/>
          <w:b w:val="1"/>
          <w:bCs w:val="1"/>
          <w:i w:val="1"/>
          <w:iCs w:val="1"/>
          <w:color w:val="auto"/>
        </w:rPr>
        <w:t>APM User Guide</w:t>
      </w:r>
      <w:r>
        <w:rPr>
          <w:rFonts w:ascii="Arial" w:cs="Arial" w:eastAsia="Arial" w:hAnsi="Arial"/>
          <w:sz w:val="19"/>
          <w:szCs w:val="19"/>
          <w:color w:val="auto"/>
        </w:rPr>
        <w:t>) and shall include the parameters defined in the airplane model specific appendix during each such data recording (</w:t>
      </w:r>
      <w:r>
        <w:rPr>
          <w:rFonts w:ascii="Arial" w:cs="Arial" w:eastAsia="Arial" w:hAnsi="Arial"/>
          <w:sz w:val="19"/>
          <w:szCs w:val="19"/>
          <w:b w:val="1"/>
          <w:bCs w:val="1"/>
          <w:i w:val="1"/>
          <w:iCs w:val="1"/>
          <w:color w:val="auto"/>
        </w:rPr>
        <w:t>Data Events</w:t>
      </w:r>
      <w:r>
        <w:rPr>
          <w:rFonts w:ascii="Arial" w:cs="Arial" w:eastAsia="Arial" w:hAnsi="Arial"/>
          <w:sz w:val="19"/>
          <w:szCs w:val="19"/>
          <w:color w:val="auto"/>
        </w:rPr>
        <w:t>).</w:t>
      </w:r>
    </w:p>
    <w:p>
      <w:pPr>
        <w:spacing w:after="0" w:line="162" w:lineRule="exact"/>
        <w:rPr>
          <w:sz w:val="20"/>
          <w:szCs w:val="20"/>
          <w:color w:val="auto"/>
        </w:rPr>
      </w:pPr>
    </w:p>
    <w:p>
      <w:pPr>
        <w:jc w:val="both"/>
        <w:ind w:left="560"/>
        <w:spacing w:after="0" w:line="299" w:lineRule="auto"/>
        <w:rPr>
          <w:sz w:val="20"/>
          <w:szCs w:val="20"/>
          <w:color w:val="auto"/>
        </w:rPr>
      </w:pPr>
      <w:r>
        <w:rPr>
          <w:rFonts w:ascii="Arial" w:cs="Arial" w:eastAsia="Arial" w:hAnsi="Arial"/>
          <w:sz w:val="17"/>
          <w:szCs w:val="17"/>
          <w:color w:val="auto"/>
        </w:rPr>
        <w:t>Boeing will provide Customer with the Boeing Airplane Performance Monitoring Software for data analysis. Customer shall reduce and analyze data obtained from the Data Events. Such analysis shall be in accordance with the methods set forth in the APM User Guide. Customer’s analysis shall include the determination of the fuel mileage, thrust required and fuel flow required relative to the Model Reference Level.</w:t>
      </w:r>
    </w:p>
    <w:p>
      <w:pPr>
        <w:spacing w:after="0" w:line="123" w:lineRule="exact"/>
        <w:rPr>
          <w:sz w:val="20"/>
          <w:szCs w:val="20"/>
          <w:color w:val="auto"/>
        </w:rPr>
      </w:pPr>
    </w:p>
    <w:p>
      <w:pPr>
        <w:jc w:val="both"/>
        <w:ind w:left="560"/>
        <w:spacing w:after="0" w:line="270" w:lineRule="auto"/>
        <w:rPr>
          <w:sz w:val="20"/>
          <w:szCs w:val="20"/>
          <w:color w:val="auto"/>
        </w:rPr>
      </w:pPr>
      <w:r>
        <w:rPr>
          <w:rFonts w:ascii="Arial" w:cs="Arial" w:eastAsia="Arial" w:hAnsi="Arial"/>
          <w:sz w:val="18"/>
          <w:szCs w:val="18"/>
          <w:color w:val="auto"/>
        </w:rPr>
        <w:t>Customer will maintain records of factors relating to fuel mileage deterioration. These factors will include (a) engine history, cockpit instrumentation history and airframe history and condition of such Covered Aircraft, (b) pertinent Covered Aircraft maintenance and operational procedures used by Customer, (c) drag effects of any post delivery airframe and/or engine changes incorporated in such Covered Aircraft, (d) sudden shifts in engine EGT condition monitoring data, and (e) any other relevant factors.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tcPr>
          <w:p>
            <w:pPr>
              <w:spacing w:after="0"/>
              <w:rPr>
                <w:sz w:val="20"/>
                <w:szCs w:val="20"/>
                <w:color w:val="auto"/>
              </w:rPr>
            </w:pPr>
            <w:r>
              <w:rPr>
                <w:rFonts w:ascii="Arial" w:cs="Arial" w:eastAsia="Arial" w:hAnsi="Arial"/>
                <w:sz w:val="16"/>
                <w:szCs w:val="16"/>
                <w:color w:val="auto"/>
              </w:rPr>
              <w:t>P.A. No. 3219</w:t>
            </w:r>
          </w:p>
        </w:tc>
        <w:tc>
          <w:tcPr>
            <w:tcW w:w="920" w:type="dxa"/>
            <w:vAlign w:val="bottom"/>
          </w:tcPr>
          <w:p>
            <w:pPr>
              <w:ind w:left="180"/>
              <w:spacing w:after="0"/>
              <w:rPr>
                <w:sz w:val="20"/>
                <w:szCs w:val="20"/>
                <w:color w:val="auto"/>
              </w:rPr>
            </w:pPr>
            <w:r>
              <w:rPr>
                <w:rFonts w:ascii="Arial" w:cs="Arial" w:eastAsia="Arial" w:hAnsi="Arial"/>
                <w:sz w:val="16"/>
                <w:szCs w:val="16"/>
                <w:color w:val="auto"/>
              </w:rPr>
              <w:t>SA-11</w:t>
            </w:r>
          </w:p>
        </w:tc>
        <w:tc>
          <w:tcPr>
            <w:tcW w:w="1980" w:type="dxa"/>
            <w:vAlign w:val="bottom"/>
          </w:tcPr>
          <w:p>
            <w:pPr>
              <w:ind w:left="34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620" w:type="dxa"/>
            <w:vAlign w:val="bottom"/>
          </w:tcPr>
          <w:p>
            <w:pPr>
              <w:spacing w:after="0"/>
              <w:rPr>
                <w:sz w:val="20"/>
                <w:szCs w:val="20"/>
                <w:color w:val="auto"/>
              </w:rPr>
            </w:pPr>
            <w:r>
              <w:rPr>
                <w:rFonts w:ascii="Arial" w:cs="Arial" w:eastAsia="Arial" w:hAnsi="Arial"/>
                <w:sz w:val="16"/>
                <w:szCs w:val="16"/>
                <w:color w:val="auto"/>
              </w:rPr>
              <w:t>[*CTR]- Attachment B</w:t>
            </w:r>
          </w:p>
        </w:tc>
        <w:tc>
          <w:tcPr>
            <w:tcW w:w="920" w:type="dxa"/>
            <w:vAlign w:val="bottom"/>
          </w:tcPr>
          <w:p>
            <w:pPr>
              <w:spacing w:after="0"/>
              <w:rPr>
                <w:sz w:val="17"/>
                <w:szCs w:val="17"/>
                <w:color w:val="auto"/>
              </w:rPr>
            </w:pPr>
          </w:p>
        </w:tc>
        <w:tc>
          <w:tcPr>
            <w:tcW w:w="1980" w:type="dxa"/>
            <w:vAlign w:val="bottom"/>
          </w:tcPr>
          <w:p>
            <w:pPr>
              <w:ind w:left="500"/>
              <w:spacing w:after="0"/>
              <w:rPr>
                <w:sz w:val="20"/>
                <w:szCs w:val="20"/>
                <w:color w:val="auto"/>
              </w:rPr>
            </w:pPr>
            <w:r>
              <w:rPr>
                <w:rFonts w:ascii="Arial" w:cs="Arial" w:eastAsia="Arial" w:hAnsi="Arial"/>
                <w:sz w:val="16"/>
                <w:szCs w:val="16"/>
                <w:color w:val="auto"/>
              </w:rPr>
              <w:t>Page 1</w:t>
            </w:r>
          </w:p>
        </w:tc>
      </w:tr>
    </w:tbl>
    <w:p>
      <w:pPr>
        <w:jc w:val="center"/>
        <w:spacing w:after="0" w:line="237" w:lineRule="auto"/>
        <w:rPr>
          <w:sz w:val="20"/>
          <w:szCs w:val="20"/>
          <w:color w:val="auto"/>
        </w:rPr>
      </w:pPr>
      <w:r>
        <w:rPr>
          <w:rFonts w:ascii="Arial" w:cs="Arial" w:eastAsia="Arial" w:hAnsi="Arial"/>
          <w:sz w:val="16"/>
          <w:szCs w:val="16"/>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530" w:right="219" w:bottom="1440" w:gutter="0" w:footer="0" w:header="0"/>
        </w:sectPr>
      </w:pPr>
    </w:p>
    <w:bookmarkStart w:id="159" w:name="page160"/>
    <w:bookmarkEnd w:id="159"/>
    <w:p>
      <w:pPr>
        <w:ind w:left="3660"/>
        <w:spacing w:after="0"/>
        <w:rPr>
          <w:sz w:val="20"/>
          <w:szCs w:val="20"/>
          <w:color w:val="auto"/>
        </w:rPr>
      </w:pPr>
      <w:r>
        <w:rPr>
          <w:rFonts w:ascii="Arial" w:cs="Arial" w:eastAsia="Arial" w:hAnsi="Arial"/>
          <w:sz w:val="19"/>
          <w:szCs w:val="19"/>
          <w:u w:val="single" w:color="auto"/>
          <w:color w:val="auto"/>
        </w:rPr>
        <w:t>Attachment C: Delivery Schedule for Covered Aircraft</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Aircraft</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w w:val="92"/>
              </w:rPr>
              <w:t>Delivery Date</w:t>
            </w:r>
          </w:p>
        </w:tc>
      </w:tr>
      <w:tr>
        <w:trPr>
          <w:trHeight w:val="269"/>
        </w:trPr>
        <w:tc>
          <w:tcPr>
            <w:tcW w:w="1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900" w:type="dxa"/>
            <w:vAlign w:val="bottom"/>
          </w:tcPr>
          <w:p>
            <w:pPr>
              <w:ind w:left="1780"/>
              <w:spacing w:after="0"/>
              <w:rPr>
                <w:sz w:val="20"/>
                <w:szCs w:val="20"/>
                <w:color w:val="auto"/>
              </w:rPr>
            </w:pPr>
            <w:r>
              <w:rPr>
                <w:rFonts w:ascii="Arial" w:cs="Arial" w:eastAsia="Arial" w:hAnsi="Arial"/>
                <w:sz w:val="19"/>
                <w:szCs w:val="19"/>
                <w:color w:val="auto"/>
              </w:rPr>
              <w:t>[*CTR]</w:t>
            </w:r>
          </w:p>
        </w:tc>
        <w:tc>
          <w:tcPr>
            <w:tcW w:w="1580" w:type="dxa"/>
            <w:vAlign w:val="bottom"/>
          </w:tcPr>
          <w:p>
            <w:pPr>
              <w:jc w:val="center"/>
              <w:ind w:left="426"/>
              <w:spacing w:after="0"/>
              <w:rPr>
                <w:sz w:val="20"/>
                <w:szCs w:val="20"/>
                <w:color w:val="auto"/>
              </w:rPr>
            </w:pPr>
            <w:r>
              <w:rPr>
                <w:rFonts w:ascii="Arial" w:cs="Arial" w:eastAsia="Arial" w:hAnsi="Arial"/>
                <w:sz w:val="19"/>
                <w:szCs w:val="19"/>
                <w:color w:val="auto"/>
              </w:rPr>
              <w:t>[*CTR]</w:t>
            </w:r>
          </w:p>
        </w:tc>
      </w:tr>
      <w:tr>
        <w:trPr>
          <w:trHeight w:val="587"/>
        </w:trPr>
        <w:tc>
          <w:tcPr>
            <w:tcW w:w="1620" w:type="dxa"/>
            <w:vAlign w:val="bottom"/>
          </w:tcPr>
          <w:p>
            <w:pPr>
              <w:spacing w:after="0"/>
              <w:rPr>
                <w:sz w:val="20"/>
                <w:szCs w:val="20"/>
                <w:color w:val="auto"/>
              </w:rPr>
            </w:pPr>
            <w:r>
              <w:rPr>
                <w:rFonts w:ascii="Arial" w:cs="Arial" w:eastAsia="Arial" w:hAnsi="Arial"/>
                <w:sz w:val="16"/>
                <w:szCs w:val="16"/>
                <w:color w:val="auto"/>
              </w:rPr>
              <w:t>P.A. No. 3219</w:t>
            </w:r>
          </w:p>
        </w:tc>
        <w:tc>
          <w:tcPr>
            <w:tcW w:w="920" w:type="dxa"/>
            <w:vAlign w:val="bottom"/>
          </w:tcPr>
          <w:p>
            <w:pPr>
              <w:ind w:left="180"/>
              <w:spacing w:after="0"/>
              <w:rPr>
                <w:sz w:val="20"/>
                <w:szCs w:val="20"/>
                <w:color w:val="auto"/>
              </w:rPr>
            </w:pPr>
            <w:r>
              <w:rPr>
                <w:rFonts w:ascii="Arial" w:cs="Arial" w:eastAsia="Arial" w:hAnsi="Arial"/>
                <w:sz w:val="16"/>
                <w:szCs w:val="16"/>
                <w:color w:val="auto"/>
              </w:rPr>
              <w:t>SA-11</w:t>
            </w:r>
          </w:p>
        </w:tc>
        <w:tc>
          <w:tcPr>
            <w:tcW w:w="2900" w:type="dxa"/>
            <w:vAlign w:val="bottom"/>
          </w:tcPr>
          <w:p>
            <w:pPr>
              <w:ind w:left="340"/>
              <w:spacing w:after="0" w:line="184" w:lineRule="exact"/>
              <w:rPr>
                <w:sz w:val="20"/>
                <w:szCs w:val="20"/>
                <w:color w:val="auto"/>
              </w:rPr>
            </w:pPr>
            <w:r>
              <w:rPr>
                <w:rFonts w:ascii="Arial" w:cs="Arial" w:eastAsia="Arial" w:hAnsi="Arial"/>
                <w:sz w:val="16"/>
                <w:szCs w:val="16"/>
                <w:color w:val="auto"/>
              </w:rPr>
              <w:t>L.A.6</w:t>
            </w:r>
            <w:r>
              <w:rPr>
                <w:rFonts w:ascii="MS PGothic" w:cs="MS PGothic" w:eastAsia="MS PGothic" w:hAnsi="MS PGothic"/>
                <w:sz w:val="16"/>
                <w:szCs w:val="16"/>
                <w:color w:val="auto"/>
              </w:rPr>
              <w:t>‑</w:t>
            </w:r>
            <w:r>
              <w:rPr>
                <w:rFonts w:ascii="Arial" w:cs="Arial" w:eastAsia="Arial" w:hAnsi="Arial"/>
                <w:sz w:val="16"/>
                <w:szCs w:val="16"/>
                <w:color w:val="auto"/>
              </w:rPr>
              <w:t>1162</w:t>
            </w:r>
            <w:r>
              <w:rPr>
                <w:rFonts w:ascii="MS PGothic" w:cs="MS PGothic" w:eastAsia="MS PGothic" w:hAnsi="MS PGothic"/>
                <w:sz w:val="16"/>
                <w:szCs w:val="16"/>
                <w:color w:val="auto"/>
              </w:rPr>
              <w:t>‑</w:t>
            </w:r>
            <w:r>
              <w:rPr>
                <w:rFonts w:ascii="Arial" w:cs="Arial" w:eastAsia="Arial" w:hAnsi="Arial"/>
                <w:sz w:val="16"/>
                <w:szCs w:val="16"/>
                <w:color w:val="auto"/>
              </w:rPr>
              <w:t>TRW</w:t>
            </w:r>
            <w:r>
              <w:rPr>
                <w:rFonts w:ascii="MS PGothic" w:cs="MS PGothic" w:eastAsia="MS PGothic" w:hAnsi="MS PGothic"/>
                <w:sz w:val="16"/>
                <w:szCs w:val="16"/>
                <w:color w:val="auto"/>
              </w:rPr>
              <w:t>‑</w:t>
            </w:r>
            <w:r>
              <w:rPr>
                <w:rFonts w:ascii="Arial" w:cs="Arial" w:eastAsia="Arial" w:hAnsi="Arial"/>
                <w:sz w:val="16"/>
                <w:szCs w:val="16"/>
                <w:color w:val="auto"/>
              </w:rPr>
              <w:t>0667R3</w:t>
            </w:r>
          </w:p>
        </w:tc>
        <w:tc>
          <w:tcPr>
            <w:tcW w:w="1580" w:type="dxa"/>
            <w:vAlign w:val="bottom"/>
          </w:tcPr>
          <w:p>
            <w:pPr>
              <w:spacing w:after="0"/>
              <w:rPr>
                <w:sz w:val="24"/>
                <w:szCs w:val="24"/>
                <w:color w:val="auto"/>
              </w:rPr>
            </w:pPr>
          </w:p>
        </w:tc>
      </w:tr>
      <w:tr>
        <w:trPr>
          <w:trHeight w:val="199"/>
        </w:trPr>
        <w:tc>
          <w:tcPr>
            <w:tcW w:w="1620" w:type="dxa"/>
            <w:vAlign w:val="bottom"/>
          </w:tcPr>
          <w:p>
            <w:pPr>
              <w:spacing w:after="0"/>
              <w:rPr>
                <w:sz w:val="20"/>
                <w:szCs w:val="20"/>
                <w:color w:val="auto"/>
              </w:rPr>
            </w:pPr>
            <w:r>
              <w:rPr>
                <w:rFonts w:ascii="Arial" w:cs="Arial" w:eastAsia="Arial" w:hAnsi="Arial"/>
                <w:sz w:val="16"/>
                <w:szCs w:val="16"/>
                <w:color w:val="auto"/>
              </w:rPr>
              <w:t>[*CTR]- Attachment C</w:t>
            </w:r>
          </w:p>
        </w:tc>
        <w:tc>
          <w:tcPr>
            <w:tcW w:w="920" w:type="dxa"/>
            <w:vAlign w:val="bottom"/>
          </w:tcPr>
          <w:p>
            <w:pPr>
              <w:spacing w:after="0"/>
              <w:rPr>
                <w:sz w:val="17"/>
                <w:szCs w:val="17"/>
                <w:color w:val="auto"/>
              </w:rPr>
            </w:pPr>
          </w:p>
        </w:tc>
        <w:tc>
          <w:tcPr>
            <w:tcW w:w="2900" w:type="dxa"/>
            <w:vAlign w:val="bottom"/>
          </w:tcPr>
          <w:p>
            <w:pPr>
              <w:ind w:left="500"/>
              <w:spacing w:after="0"/>
              <w:rPr>
                <w:sz w:val="20"/>
                <w:szCs w:val="20"/>
                <w:color w:val="auto"/>
              </w:rPr>
            </w:pPr>
            <w:r>
              <w:rPr>
                <w:rFonts w:ascii="Arial" w:cs="Arial" w:eastAsia="Arial" w:hAnsi="Arial"/>
                <w:sz w:val="16"/>
                <w:szCs w:val="16"/>
                <w:color w:val="auto"/>
              </w:rPr>
              <w:t>Page 1</w:t>
            </w:r>
          </w:p>
        </w:tc>
        <w:tc>
          <w:tcPr>
            <w:tcW w:w="1580" w:type="dxa"/>
            <w:vAlign w:val="bottom"/>
          </w:tcPr>
          <w:p>
            <w:pPr>
              <w:spacing w:after="0"/>
              <w:rPr>
                <w:sz w:val="17"/>
                <w:szCs w:val="17"/>
                <w:color w:val="auto"/>
              </w:rPr>
            </w:pPr>
          </w:p>
        </w:tc>
      </w:tr>
    </w:tbl>
    <w:p>
      <w:pPr>
        <w:ind w:left="4820"/>
        <w:spacing w:after="0" w:line="237" w:lineRule="auto"/>
        <w:rPr>
          <w:sz w:val="20"/>
          <w:szCs w:val="20"/>
          <w:color w:val="auto"/>
        </w:rPr>
      </w:pPr>
      <w:r>
        <w:rPr>
          <w:rFonts w:ascii="Arial" w:cs="Arial" w:eastAsia="Arial" w:hAnsi="Arial"/>
          <w:sz w:val="16"/>
          <w:szCs w:val="16"/>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530"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257"/>
        </w:trPr>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0" w:type="dxa"/>
            <w:vAlign w:val="bottom"/>
          </w:tcPr>
          <w:p>
            <w:pPr>
              <w:ind w:left="1780"/>
              <w:spacing w:after="0"/>
              <w:rPr>
                <w:sz w:val="20"/>
                <w:szCs w:val="20"/>
                <w:color w:val="auto"/>
              </w:rPr>
            </w:pPr>
            <w:r>
              <w:rPr>
                <w:rFonts w:ascii="Arial" w:cs="Arial" w:eastAsia="Arial" w:hAnsi="Arial"/>
                <w:sz w:val="19"/>
                <w:szCs w:val="19"/>
                <w:color w:val="auto"/>
              </w:rPr>
              <w:t>[*CTR]</w:t>
            </w:r>
          </w:p>
        </w:tc>
        <w:tc>
          <w:tcPr>
            <w:tcW w:w="1240" w:type="dxa"/>
            <w:vAlign w:val="bottom"/>
          </w:tcPr>
          <w:p>
            <w:pPr>
              <w:ind w:left="660"/>
              <w:spacing w:after="0"/>
              <w:rPr>
                <w:sz w:val="20"/>
                <w:szCs w:val="20"/>
                <w:color w:val="auto"/>
              </w:rPr>
            </w:pPr>
            <w:r>
              <w:rPr>
                <w:rFonts w:ascii="Arial" w:cs="Arial" w:eastAsia="Arial" w:hAnsi="Arial"/>
                <w:sz w:val="19"/>
                <w:szCs w:val="19"/>
                <w:color w:val="auto"/>
                <w:w w:val="98"/>
              </w:rPr>
              <w:t>[*CTR]</w:t>
            </w:r>
          </w:p>
        </w:tc>
      </w:tr>
      <w:tr>
        <w:trPr>
          <w:trHeight w:val="774"/>
        </w:trPr>
        <w:tc>
          <w:tcPr>
            <w:tcW w:w="1620" w:type="dxa"/>
            <w:vAlign w:val="bottom"/>
          </w:tcPr>
          <w:p>
            <w:pPr>
              <w:spacing w:after="0"/>
              <w:rPr>
                <w:sz w:val="20"/>
                <w:szCs w:val="20"/>
                <w:color w:val="auto"/>
              </w:rPr>
            </w:pPr>
            <w:r>
              <w:rPr>
                <w:rFonts w:ascii="Arial" w:cs="Arial" w:eastAsia="Arial" w:hAnsi="Arial"/>
                <w:sz w:val="16"/>
                <w:szCs w:val="16"/>
                <w:color w:val="auto"/>
              </w:rPr>
              <w:t>P.A. No. 3219</w:t>
            </w:r>
          </w:p>
        </w:tc>
        <w:tc>
          <w:tcPr>
            <w:tcW w:w="920" w:type="dxa"/>
            <w:vAlign w:val="bottom"/>
          </w:tcPr>
          <w:p>
            <w:pPr>
              <w:ind w:left="180"/>
              <w:spacing w:after="0"/>
              <w:rPr>
                <w:sz w:val="20"/>
                <w:szCs w:val="20"/>
                <w:color w:val="auto"/>
              </w:rPr>
            </w:pPr>
            <w:r>
              <w:rPr>
                <w:rFonts w:ascii="Arial" w:cs="Arial" w:eastAsia="Arial" w:hAnsi="Arial"/>
                <w:sz w:val="16"/>
                <w:szCs w:val="16"/>
                <w:color w:val="auto"/>
              </w:rPr>
              <w:t>SA-11</w:t>
            </w:r>
          </w:p>
        </w:tc>
        <w:tc>
          <w:tcPr>
            <w:tcW w:w="3000" w:type="dxa"/>
            <w:vAlign w:val="bottom"/>
          </w:tcPr>
          <w:p>
            <w:pPr>
              <w:ind w:left="340"/>
              <w:spacing w:after="0" w:line="184" w:lineRule="exact"/>
              <w:rPr>
                <w:sz w:val="20"/>
                <w:szCs w:val="20"/>
                <w:color w:val="auto"/>
              </w:rPr>
            </w:pPr>
            <w:r>
              <w:rPr>
                <w:rFonts w:ascii="Arial" w:cs="Arial" w:eastAsia="Arial" w:hAnsi="Arial"/>
                <w:sz w:val="16"/>
                <w:szCs w:val="16"/>
                <w:color w:val="auto"/>
              </w:rPr>
              <w:t>L.A.6</w:t>
            </w:r>
            <w:r>
              <w:rPr>
                <w:rFonts w:ascii="MS PGothic" w:cs="MS PGothic" w:eastAsia="MS PGothic" w:hAnsi="MS PGothic"/>
                <w:sz w:val="16"/>
                <w:szCs w:val="16"/>
                <w:color w:val="auto"/>
              </w:rPr>
              <w:t>‑</w:t>
            </w:r>
            <w:r>
              <w:rPr>
                <w:rFonts w:ascii="Arial" w:cs="Arial" w:eastAsia="Arial" w:hAnsi="Arial"/>
                <w:sz w:val="16"/>
                <w:szCs w:val="16"/>
                <w:color w:val="auto"/>
              </w:rPr>
              <w:t>1162</w:t>
            </w:r>
            <w:r>
              <w:rPr>
                <w:rFonts w:ascii="MS PGothic" w:cs="MS PGothic" w:eastAsia="MS PGothic" w:hAnsi="MS PGothic"/>
                <w:sz w:val="16"/>
                <w:szCs w:val="16"/>
                <w:color w:val="auto"/>
              </w:rPr>
              <w:t>‑</w:t>
            </w:r>
            <w:r>
              <w:rPr>
                <w:rFonts w:ascii="Arial" w:cs="Arial" w:eastAsia="Arial" w:hAnsi="Arial"/>
                <w:sz w:val="16"/>
                <w:szCs w:val="16"/>
                <w:color w:val="auto"/>
              </w:rPr>
              <w:t>TRW</w:t>
            </w:r>
            <w:r>
              <w:rPr>
                <w:rFonts w:ascii="MS PGothic" w:cs="MS PGothic" w:eastAsia="MS PGothic" w:hAnsi="MS PGothic"/>
                <w:sz w:val="16"/>
                <w:szCs w:val="16"/>
                <w:color w:val="auto"/>
              </w:rPr>
              <w:t>‑</w:t>
            </w:r>
            <w:r>
              <w:rPr>
                <w:rFonts w:ascii="Arial" w:cs="Arial" w:eastAsia="Arial" w:hAnsi="Arial"/>
                <w:sz w:val="16"/>
                <w:szCs w:val="16"/>
                <w:color w:val="auto"/>
              </w:rPr>
              <w:t>0667R3</w:t>
            </w:r>
          </w:p>
        </w:tc>
        <w:tc>
          <w:tcPr>
            <w:tcW w:w="1240" w:type="dxa"/>
            <w:vAlign w:val="bottom"/>
          </w:tcPr>
          <w:p>
            <w:pPr>
              <w:spacing w:after="0"/>
              <w:rPr>
                <w:sz w:val="24"/>
                <w:szCs w:val="24"/>
                <w:color w:val="auto"/>
              </w:rPr>
            </w:pPr>
          </w:p>
        </w:tc>
      </w:tr>
      <w:tr>
        <w:trPr>
          <w:trHeight w:val="199"/>
        </w:trPr>
        <w:tc>
          <w:tcPr>
            <w:tcW w:w="1620" w:type="dxa"/>
            <w:vAlign w:val="bottom"/>
          </w:tcPr>
          <w:p>
            <w:pPr>
              <w:spacing w:after="0"/>
              <w:rPr>
                <w:sz w:val="20"/>
                <w:szCs w:val="20"/>
                <w:color w:val="auto"/>
              </w:rPr>
            </w:pPr>
            <w:r>
              <w:rPr>
                <w:rFonts w:ascii="Arial" w:cs="Arial" w:eastAsia="Arial" w:hAnsi="Arial"/>
                <w:sz w:val="16"/>
                <w:szCs w:val="16"/>
                <w:color w:val="auto"/>
              </w:rPr>
              <w:t>[*CTR]- Attachment C</w:t>
            </w:r>
          </w:p>
        </w:tc>
        <w:tc>
          <w:tcPr>
            <w:tcW w:w="920" w:type="dxa"/>
            <w:vAlign w:val="bottom"/>
          </w:tcPr>
          <w:p>
            <w:pPr>
              <w:spacing w:after="0"/>
              <w:rPr>
                <w:sz w:val="17"/>
                <w:szCs w:val="17"/>
                <w:color w:val="auto"/>
              </w:rPr>
            </w:pPr>
          </w:p>
        </w:tc>
        <w:tc>
          <w:tcPr>
            <w:tcW w:w="3000" w:type="dxa"/>
            <w:vAlign w:val="bottom"/>
          </w:tcPr>
          <w:p>
            <w:pPr>
              <w:ind w:left="500"/>
              <w:spacing w:after="0"/>
              <w:rPr>
                <w:sz w:val="20"/>
                <w:szCs w:val="20"/>
                <w:color w:val="auto"/>
              </w:rPr>
            </w:pPr>
            <w:r>
              <w:rPr>
                <w:rFonts w:ascii="Arial" w:cs="Arial" w:eastAsia="Arial" w:hAnsi="Arial"/>
                <w:sz w:val="16"/>
                <w:szCs w:val="16"/>
                <w:color w:val="auto"/>
              </w:rPr>
              <w:t>Page 2</w:t>
            </w:r>
          </w:p>
        </w:tc>
        <w:tc>
          <w:tcPr>
            <w:tcW w:w="1240" w:type="dxa"/>
            <w:vAlign w:val="bottom"/>
          </w:tcPr>
          <w:p>
            <w:pPr>
              <w:spacing w:after="0"/>
              <w:rPr>
                <w:sz w:val="17"/>
                <w:szCs w:val="17"/>
                <w:color w:val="auto"/>
              </w:rPr>
            </w:pPr>
          </w:p>
        </w:tc>
      </w:tr>
    </w:tbl>
    <w:p>
      <w:pPr>
        <w:ind w:left="4820"/>
        <w:spacing w:after="0" w:line="23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963" w:right="1440" w:bottom="1440" w:gutter="0" w:footer="0" w:header="0"/>
        </w:sectPr>
      </w:pPr>
    </w:p>
    <w:bookmarkStart w:id="161" w:name="page162"/>
    <w:bookmarkEnd w:id="161"/>
    <w:p>
      <w:pPr>
        <w:ind w:left="3066"/>
        <w:spacing w:after="0"/>
        <w:rPr>
          <w:sz w:val="20"/>
          <w:szCs w:val="20"/>
          <w:color w:val="auto"/>
        </w:rPr>
      </w:pPr>
      <w:r>
        <w:rPr>
          <w:rFonts w:ascii="Arial" w:cs="Arial" w:eastAsia="Arial" w:hAnsi="Arial"/>
          <w:sz w:val="18"/>
          <w:szCs w:val="18"/>
          <w:u w:val="single" w:color="auto"/>
          <w:color w:val="auto"/>
        </w:rPr>
        <w:t>Attachment D: ANNUAL LIMITATION ADJUSTMENT EQUATION</w:t>
      </w:r>
    </w:p>
    <w:p>
      <w:pPr>
        <w:spacing w:after="0" w:line="200" w:lineRule="exact"/>
        <w:rPr>
          <w:sz w:val="20"/>
          <w:szCs w:val="20"/>
          <w:color w:val="auto"/>
        </w:rPr>
      </w:pPr>
    </w:p>
    <w:p>
      <w:pPr>
        <w:spacing w:after="0" w:line="225" w:lineRule="exact"/>
        <w:rPr>
          <w:sz w:val="20"/>
          <w:szCs w:val="20"/>
          <w:color w:val="auto"/>
        </w:rPr>
      </w:pPr>
    </w:p>
    <w:p>
      <w:pPr>
        <w:ind w:left="48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CALENDAR YEARS 2015 AND ON</w:t>
      </w:r>
      <w:r>
        <w:rPr>
          <w:rFonts w:ascii="Arial" w:cs="Arial" w:eastAsia="Arial" w:hAnsi="Arial"/>
          <w:sz w:val="19"/>
          <w:szCs w:val="19"/>
          <w:color w:val="auto"/>
        </w:rPr>
        <w:t>)</w:t>
      </w:r>
    </w:p>
    <w:p>
      <w:pPr>
        <w:spacing w:after="0" w:line="226" w:lineRule="exact"/>
        <w:rPr>
          <w:sz w:val="20"/>
          <w:szCs w:val="20"/>
          <w:color w:val="auto"/>
        </w:rPr>
      </w:pPr>
    </w:p>
    <w:p>
      <w:pPr>
        <w:ind w:left="846" w:hanging="846"/>
        <w:spacing w:after="0"/>
        <w:tabs>
          <w:tab w:leader="none" w:pos="84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1966"/>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46" w:hanging="846"/>
        <w:spacing w:after="0"/>
        <w:tabs>
          <w:tab w:leader="none" w:pos="84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140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48"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pacing w:after="0" w:line="226"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ectPr>
          <w:pgSz w:w="11900" w:h="16838" w:orient="portrait"/>
          <w:cols w:equalWidth="0" w:num="1">
            <w:col w:w="10226"/>
          </w:cols>
          <w:pgMar w:left="234" w:top="343" w:right="1440" w:bottom="1440" w:gutter="0" w:footer="0" w:header="0"/>
        </w:sectPr>
      </w:pPr>
    </w:p>
    <w:p>
      <w:pPr>
        <w:spacing w:after="0" w:line="226" w:lineRule="exact"/>
        <w:rPr>
          <w:sz w:val="20"/>
          <w:szCs w:val="20"/>
          <w:color w:val="auto"/>
        </w:rPr>
      </w:pPr>
    </w:p>
    <w:p>
      <w:pPr>
        <w:ind w:left="6"/>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ectPr>
          <w:pgSz w:w="11900" w:h="16838" w:orient="portrait"/>
          <w:cols w:equalWidth="0" w:num="2">
            <w:col w:w="206" w:space="640"/>
            <w:col w:w="9379"/>
          </w:cols>
          <w:pgMar w:left="234" w:top="343" w:right="1440" w:bottom="1440" w:gutter="0" w:footer="0" w:header="0"/>
          <w:type w:val="continuous"/>
        </w:sectPr>
      </w:pPr>
    </w:p>
    <w:p>
      <w:pPr>
        <w:spacing w:after="0" w:line="248" w:lineRule="exact"/>
        <w:rPr>
          <w:sz w:val="20"/>
          <w:szCs w:val="20"/>
          <w:color w:val="auto"/>
        </w:rPr>
      </w:pPr>
    </w:p>
    <w:p>
      <w:pPr>
        <w:ind w:left="2346"/>
        <w:spacing w:after="0"/>
        <w:tabs>
          <w:tab w:leader="none" w:pos="2686"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8"/>
          <w:szCs w:val="18"/>
          <w:color w:val="auto"/>
        </w:rPr>
        <w:t>[*CTR].</w:t>
      </w:r>
    </w:p>
    <w:p>
      <w:pPr>
        <w:sectPr>
          <w:pgSz w:w="11900" w:h="16838" w:orient="portrait"/>
          <w:cols w:equalWidth="0" w:num="1">
            <w:col w:w="10226"/>
          </w:cols>
          <w:pgMar w:left="234" w:top="3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spacing w:after="0" w:line="287" w:lineRule="auto"/>
        <w:rPr>
          <w:sz w:val="20"/>
          <w:szCs w:val="20"/>
          <w:color w:val="auto"/>
        </w:rPr>
      </w:pPr>
      <w:r>
        <w:rPr>
          <w:rFonts w:ascii="Arial" w:cs="Arial" w:eastAsia="Arial" w:hAnsi="Arial"/>
          <w:sz w:val="14"/>
          <w:szCs w:val="14"/>
          <w:color w:val="auto"/>
        </w:rPr>
        <w:t>P.A. No. 3219 [*CTR]- Attachment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SA-11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L.A.6</w:t>
      </w:r>
      <w:r>
        <w:rPr>
          <w:rFonts w:ascii="MS PGothic" w:cs="MS PGothic" w:eastAsia="MS PGothic" w:hAnsi="MS PGothic"/>
          <w:sz w:val="14"/>
          <w:szCs w:val="14"/>
          <w:color w:val="auto"/>
        </w:rPr>
        <w:t>‑</w:t>
      </w:r>
      <w:r>
        <w:rPr>
          <w:rFonts w:ascii="Arial" w:cs="Arial" w:eastAsia="Arial" w:hAnsi="Arial"/>
          <w:sz w:val="14"/>
          <w:szCs w:val="14"/>
          <w:color w:val="auto"/>
        </w:rPr>
        <w:t>1162</w:t>
      </w:r>
      <w:r>
        <w:rPr>
          <w:rFonts w:ascii="MS PGothic" w:cs="MS PGothic" w:eastAsia="MS PGothic" w:hAnsi="MS PGothic"/>
          <w:sz w:val="14"/>
          <w:szCs w:val="14"/>
          <w:color w:val="auto"/>
        </w:rPr>
        <w:t>‑</w:t>
      </w:r>
      <w:r>
        <w:rPr>
          <w:rFonts w:ascii="Arial" w:cs="Arial" w:eastAsia="Arial" w:hAnsi="Arial"/>
          <w:sz w:val="14"/>
          <w:szCs w:val="14"/>
          <w:color w:val="auto"/>
        </w:rPr>
        <w:t>TRW</w:t>
      </w:r>
      <w:r>
        <w:rPr>
          <w:rFonts w:ascii="MS PGothic" w:cs="MS PGothic" w:eastAsia="MS PGothic" w:hAnsi="MS PGothic"/>
          <w:sz w:val="14"/>
          <w:szCs w:val="14"/>
          <w:color w:val="auto"/>
        </w:rPr>
        <w:t>‑</w:t>
      </w:r>
      <w:r>
        <w:rPr>
          <w:rFonts w:ascii="Arial" w:cs="Arial" w:eastAsia="Arial" w:hAnsi="Arial"/>
          <w:sz w:val="14"/>
          <w:szCs w:val="14"/>
          <w:color w:val="auto"/>
        </w:rPr>
        <w:t>0667R3</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Page 1</w:t>
      </w:r>
    </w:p>
    <w:p>
      <w:pPr>
        <w:spacing w:after="0" w:line="3" w:lineRule="exact"/>
        <w:rPr>
          <w:sz w:val="20"/>
          <w:szCs w:val="20"/>
          <w:color w:val="auto"/>
        </w:rPr>
      </w:pPr>
    </w:p>
    <w:p>
      <w:pPr>
        <w:sectPr>
          <w:pgSz w:w="11900" w:h="16838" w:orient="portrait"/>
          <w:cols w:equalWidth="0" w:num="3">
            <w:col w:w="1446" w:space="360"/>
            <w:col w:w="400" w:space="680"/>
            <w:col w:w="7339"/>
          </w:cols>
          <w:pgMar w:left="234" w:top="343" w:right="1440" w:bottom="1440" w:gutter="0" w:footer="0" w:header="0"/>
          <w:type w:val="continuous"/>
        </w:sectPr>
      </w:pPr>
    </w:p>
    <w:p>
      <w:pPr>
        <w:ind w:left="4826"/>
        <w:spacing w:after="0"/>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26"/>
          </w:cols>
          <w:pgMar w:left="234" w:top="343" w:right="1440" w:bottom="1440" w:gutter="0" w:footer="0" w:header="0"/>
          <w:type w:val="continuous"/>
        </w:sectPr>
      </w:pPr>
    </w:p>
    <w:bookmarkStart w:id="162" w:name="page163"/>
    <w:bookmarkEnd w:id="162"/>
    <w:p>
      <w:pPr>
        <w:ind w:left="2640"/>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D: ANNUAL LIMITATION ADJUSTMENT EQUATION, continued</w:t>
      </w:r>
    </w:p>
    <w:p>
      <w:pPr>
        <w:spacing w:after="0" w:line="191" w:lineRule="exact"/>
        <w:rPr>
          <w:sz w:val="20"/>
          <w:szCs w:val="20"/>
          <w:color w:val="auto"/>
        </w:rPr>
      </w:pPr>
    </w:p>
    <w:p>
      <w:pPr>
        <w:ind w:left="720"/>
        <w:spacing w:after="0"/>
        <w:tabs>
          <w:tab w:leader="none" w:pos="110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8"/>
          <w:szCs w:val="18"/>
          <w:color w:val="auto"/>
        </w:rPr>
        <w:t>[*CTR].</w:t>
      </w:r>
    </w:p>
    <w:p>
      <w:pPr>
        <w:spacing w:after="0" w:line="226" w:lineRule="exact"/>
        <w:rPr>
          <w:sz w:val="20"/>
          <w:szCs w:val="20"/>
          <w:color w:val="auto"/>
        </w:rPr>
      </w:pPr>
    </w:p>
    <w:p>
      <w:pPr>
        <w:ind w:left="2800" w:hanging="467"/>
        <w:spacing w:after="0"/>
        <w:tabs>
          <w:tab w:leader="none" w:pos="28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NOTE:</w:t>
        <w:tab/>
        <w:t>[*CTR].</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tcPr>
          <w:p>
            <w:pPr>
              <w:spacing w:after="0"/>
              <w:rPr>
                <w:sz w:val="20"/>
                <w:szCs w:val="20"/>
                <w:color w:val="auto"/>
              </w:rPr>
            </w:pPr>
            <w:r>
              <w:rPr>
                <w:rFonts w:ascii="Arial" w:cs="Arial" w:eastAsia="Arial" w:hAnsi="Arial"/>
                <w:sz w:val="16"/>
                <w:szCs w:val="16"/>
                <w:color w:val="auto"/>
              </w:rPr>
              <w:t>P.A. No. 3219</w:t>
            </w:r>
          </w:p>
        </w:tc>
        <w:tc>
          <w:tcPr>
            <w:tcW w:w="920" w:type="dxa"/>
            <w:vAlign w:val="bottom"/>
          </w:tcPr>
          <w:p>
            <w:pPr>
              <w:ind w:left="180"/>
              <w:spacing w:after="0"/>
              <w:rPr>
                <w:sz w:val="20"/>
                <w:szCs w:val="20"/>
                <w:color w:val="auto"/>
              </w:rPr>
            </w:pPr>
            <w:r>
              <w:rPr>
                <w:rFonts w:ascii="Arial" w:cs="Arial" w:eastAsia="Arial" w:hAnsi="Arial"/>
                <w:sz w:val="16"/>
                <w:szCs w:val="16"/>
                <w:color w:val="auto"/>
              </w:rPr>
              <w:t>SA-11</w:t>
            </w:r>
          </w:p>
        </w:tc>
        <w:tc>
          <w:tcPr>
            <w:tcW w:w="1980" w:type="dxa"/>
            <w:vAlign w:val="bottom"/>
          </w:tcPr>
          <w:p>
            <w:pPr>
              <w:ind w:left="340"/>
              <w:spacing w:after="0" w:line="184" w:lineRule="exact"/>
              <w:rPr>
                <w:sz w:val="20"/>
                <w:szCs w:val="20"/>
                <w:color w:val="auto"/>
              </w:rPr>
            </w:pPr>
            <w:r>
              <w:rPr>
                <w:rFonts w:ascii="Arial" w:cs="Arial" w:eastAsia="Arial" w:hAnsi="Arial"/>
                <w:sz w:val="16"/>
                <w:szCs w:val="16"/>
                <w:color w:val="auto"/>
                <w:w w:val="89"/>
              </w:rPr>
              <w:t>L.A.6</w:t>
            </w:r>
            <w:r>
              <w:rPr>
                <w:rFonts w:ascii="MS PGothic" w:cs="MS PGothic" w:eastAsia="MS PGothic" w:hAnsi="MS PGothic"/>
                <w:sz w:val="16"/>
                <w:szCs w:val="16"/>
                <w:color w:val="auto"/>
                <w:w w:val="89"/>
              </w:rPr>
              <w:t>‑</w:t>
            </w:r>
            <w:r>
              <w:rPr>
                <w:rFonts w:ascii="Arial" w:cs="Arial" w:eastAsia="Arial" w:hAnsi="Arial"/>
                <w:sz w:val="16"/>
                <w:szCs w:val="16"/>
                <w:color w:val="auto"/>
                <w:w w:val="89"/>
              </w:rPr>
              <w:t>1162</w:t>
            </w:r>
            <w:r>
              <w:rPr>
                <w:rFonts w:ascii="MS PGothic" w:cs="MS PGothic" w:eastAsia="MS PGothic" w:hAnsi="MS PGothic"/>
                <w:sz w:val="16"/>
                <w:szCs w:val="16"/>
                <w:color w:val="auto"/>
                <w:w w:val="89"/>
              </w:rPr>
              <w:t>‑</w:t>
            </w:r>
            <w:r>
              <w:rPr>
                <w:rFonts w:ascii="Arial" w:cs="Arial" w:eastAsia="Arial" w:hAnsi="Arial"/>
                <w:sz w:val="16"/>
                <w:szCs w:val="16"/>
                <w:color w:val="auto"/>
                <w:w w:val="89"/>
              </w:rPr>
              <w:t>TRW</w:t>
            </w:r>
            <w:r>
              <w:rPr>
                <w:rFonts w:ascii="MS PGothic" w:cs="MS PGothic" w:eastAsia="MS PGothic" w:hAnsi="MS PGothic"/>
                <w:sz w:val="16"/>
                <w:szCs w:val="16"/>
                <w:color w:val="auto"/>
                <w:w w:val="89"/>
              </w:rPr>
              <w:t>‑</w:t>
            </w:r>
            <w:r>
              <w:rPr>
                <w:rFonts w:ascii="Arial" w:cs="Arial" w:eastAsia="Arial" w:hAnsi="Arial"/>
                <w:sz w:val="16"/>
                <w:szCs w:val="16"/>
                <w:color w:val="auto"/>
                <w:w w:val="89"/>
              </w:rPr>
              <w:t>0667R3</w:t>
            </w:r>
          </w:p>
        </w:tc>
      </w:tr>
      <w:tr>
        <w:trPr>
          <w:trHeight w:val="199"/>
        </w:trPr>
        <w:tc>
          <w:tcPr>
            <w:tcW w:w="1620" w:type="dxa"/>
            <w:vAlign w:val="bottom"/>
          </w:tcPr>
          <w:p>
            <w:pPr>
              <w:spacing w:after="0"/>
              <w:rPr>
                <w:sz w:val="20"/>
                <w:szCs w:val="20"/>
                <w:color w:val="auto"/>
              </w:rPr>
            </w:pPr>
            <w:r>
              <w:rPr>
                <w:rFonts w:ascii="Arial" w:cs="Arial" w:eastAsia="Arial" w:hAnsi="Arial"/>
                <w:sz w:val="16"/>
                <w:szCs w:val="16"/>
                <w:color w:val="auto"/>
              </w:rPr>
              <w:t>[*CTR]- Attachment D</w:t>
            </w:r>
          </w:p>
        </w:tc>
        <w:tc>
          <w:tcPr>
            <w:tcW w:w="920" w:type="dxa"/>
            <w:vAlign w:val="bottom"/>
          </w:tcPr>
          <w:p>
            <w:pPr>
              <w:spacing w:after="0"/>
              <w:rPr>
                <w:sz w:val="17"/>
                <w:szCs w:val="17"/>
                <w:color w:val="auto"/>
              </w:rPr>
            </w:pPr>
          </w:p>
        </w:tc>
        <w:tc>
          <w:tcPr>
            <w:tcW w:w="1980" w:type="dxa"/>
            <w:vAlign w:val="bottom"/>
          </w:tcPr>
          <w:p>
            <w:pPr>
              <w:ind w:left="500"/>
              <w:spacing w:after="0"/>
              <w:rPr>
                <w:sz w:val="20"/>
                <w:szCs w:val="20"/>
                <w:color w:val="auto"/>
              </w:rPr>
            </w:pPr>
            <w:r>
              <w:rPr>
                <w:rFonts w:ascii="Arial" w:cs="Arial" w:eastAsia="Arial" w:hAnsi="Arial"/>
                <w:sz w:val="16"/>
                <w:szCs w:val="16"/>
                <w:color w:val="auto"/>
              </w:rPr>
              <w:t>Page 2</w:t>
            </w:r>
          </w:p>
        </w:tc>
      </w:tr>
    </w:tbl>
    <w:p>
      <w:pPr>
        <w:ind w:left="4820"/>
        <w:spacing w:after="0" w:line="237" w:lineRule="auto"/>
        <w:rPr>
          <w:sz w:val="20"/>
          <w:szCs w:val="20"/>
          <w:color w:val="auto"/>
        </w:rPr>
      </w:pPr>
      <w:r>
        <w:rPr>
          <w:rFonts w:ascii="Arial" w:cs="Arial" w:eastAsia="Arial" w:hAnsi="Arial"/>
          <w:sz w:val="16"/>
          <w:szCs w:val="16"/>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1244" w:right="1440" w:bottom="1440" w:gutter="0" w:footer="0" w:header="0"/>
        </w:sectPr>
      </w:pPr>
    </w:p>
    <w:bookmarkStart w:id="163" w:name="page164"/>
    <w:bookmarkEnd w:id="163"/>
    <w:p>
      <w:pPr>
        <w:ind w:left="5046"/>
        <w:spacing w:after="0"/>
        <w:rPr>
          <w:sz w:val="20"/>
          <w:szCs w:val="20"/>
          <w:color w:val="auto"/>
        </w:rPr>
      </w:pPr>
      <w:r>
        <w:rPr>
          <w:sz w:val="1"/>
          <w:szCs w:val="1"/>
          <w:color w:val="auto"/>
        </w:rPr>
        <w:drawing>
          <wp:inline distT="0" distB="0" distL="0" distR="0">
            <wp:extent cx="1396365" cy="31178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Arial" w:cs="Arial" w:eastAsia="Arial" w:hAnsi="Arial"/>
          <w:sz w:val="19"/>
          <w:szCs w:val="19"/>
          <w:color w:val="auto"/>
        </w:rPr>
        <w:t>6-1162-TRW-0674R4</w:t>
      </w:r>
    </w:p>
    <w:p>
      <w:pPr>
        <w:spacing w:after="0" w:line="285"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 Texas 75261-9616</w:t>
      </w:r>
    </w:p>
    <w:p>
      <w:pPr>
        <w:spacing w:after="0" w:line="269" w:lineRule="exact"/>
        <w:rPr>
          <w:sz w:val="20"/>
          <w:szCs w:val="20"/>
          <w:color w:val="auto"/>
        </w:rPr>
      </w:pPr>
    </w:p>
    <w:p>
      <w:pPr>
        <w:ind w:left="6"/>
        <w:spacing w:after="0"/>
        <w:tabs>
          <w:tab w:leader="none" w:pos="786" w:val="left"/>
        </w:tabs>
        <w:rPr>
          <w:sz w:val="20"/>
          <w:szCs w:val="20"/>
          <w:color w:val="auto"/>
        </w:rPr>
      </w:pPr>
      <w:r>
        <w:rPr>
          <w:rFonts w:ascii="Arial" w:cs="Arial" w:eastAsia="Arial" w:hAnsi="Arial"/>
          <w:sz w:val="19"/>
          <w:szCs w:val="19"/>
          <w:color w:val="auto"/>
        </w:rPr>
        <w:t>Subject:</w:t>
      </w:r>
      <w:r>
        <w:rPr>
          <w:sz w:val="20"/>
          <w:szCs w:val="20"/>
          <w:color w:val="auto"/>
        </w:rPr>
        <w:tab/>
      </w:r>
      <w:r>
        <w:rPr>
          <w:rFonts w:ascii="Arial" w:cs="Arial" w:eastAsia="Arial" w:hAnsi="Arial"/>
          <w:sz w:val="16"/>
          <w:szCs w:val="16"/>
          <w:color w:val="auto"/>
        </w:rPr>
        <w:t>Business Considerations</w:t>
      </w:r>
    </w:p>
    <w:p>
      <w:pPr>
        <w:sectPr>
          <w:pgSz w:w="11900" w:h="16838" w:orient="portrait"/>
          <w:cols w:equalWidth="0" w:num="1">
            <w:col w:w="11446"/>
          </w:cols>
          <w:pgMar w:left="234" w:top="139" w:right="219" w:bottom="1440" w:gutter="0" w:footer="0" w:header="0"/>
        </w:sectPr>
      </w:pP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3219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06" w:space="320"/>
            <w:col w:w="10320"/>
          </w:cols>
          <w:pgMar w:left="234" w:top="139" w:right="219" w:bottom="1440" w:gutter="0" w:footer="0" w:header="0"/>
          <w:type w:val="continuous"/>
        </w:sectPr>
      </w:pPr>
    </w:p>
    <w:p>
      <w:pPr>
        <w:spacing w:after="0" w:line="69" w:lineRule="exact"/>
        <w:rPr>
          <w:sz w:val="20"/>
          <w:szCs w:val="20"/>
          <w:color w:val="auto"/>
        </w:rPr>
      </w:pPr>
    </w:p>
    <w:p>
      <w:pPr>
        <w:ind w:left="6" w:firstLine="772"/>
        <w:spacing w:after="0" w:line="266"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have the same meaning as in the Purchase Agreement.</w:t>
      </w:r>
    </w:p>
    <w:p>
      <w:pPr>
        <w:spacing w:after="0" w:line="143" w:lineRule="exact"/>
        <w:rPr>
          <w:sz w:val="20"/>
          <w:szCs w:val="20"/>
          <w:color w:val="auto"/>
        </w:rPr>
      </w:pPr>
    </w:p>
    <w:p>
      <w:pPr>
        <w:ind w:left="566" w:right="10040" w:hanging="566"/>
        <w:spacing w:after="0" w:line="536" w:lineRule="auto"/>
        <w:tabs>
          <w:tab w:leader="none" w:pos="379"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Basic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[*CTR]:</w:t>
      </w:r>
    </w:p>
    <w:p>
      <w:pPr>
        <w:spacing w:after="0" w:line="1"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u w:val="single" w:color="auto"/>
          <w:color w:val="auto"/>
        </w:rPr>
        <w:t>[*CTR]</w:t>
      </w:r>
      <w:r>
        <w:rPr>
          <w:sz w:val="20"/>
          <w:szCs w:val="20"/>
          <w:color w:val="auto"/>
        </w:rPr>
        <w:tab/>
      </w:r>
      <w:r>
        <w:rPr>
          <w:rFonts w:ascii="Arial" w:cs="Arial" w:eastAsia="Arial" w:hAnsi="Arial"/>
          <w:sz w:val="19"/>
          <w:szCs w:val="19"/>
          <w:u w:val="single" w:color="auto"/>
          <w:color w:val="auto"/>
        </w:rPr>
        <w:t>[*CTR]</w:t>
      </w:r>
    </w:p>
    <w:p>
      <w:pPr>
        <w:spacing w:after="0" w:line="20"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4"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87" w:lineRule="exact"/>
        <w:rPr>
          <w:sz w:val="20"/>
          <w:szCs w:val="20"/>
          <w:color w:val="auto"/>
        </w:rPr>
      </w:pPr>
    </w:p>
    <w:p>
      <w:pPr>
        <w:ind w:left="566" w:right="8940" w:hanging="566"/>
        <w:spacing w:after="0" w:line="456" w:lineRule="auto"/>
        <w:tabs>
          <w:tab w:leader="none" w:pos="301"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Simulator Package [*CTR]. </w:t>
      </w:r>
      <w:r>
        <w:rPr>
          <w:rFonts w:ascii="Arial" w:cs="Arial" w:eastAsia="Arial" w:hAnsi="Arial"/>
          <w:sz w:val="19"/>
          <w:szCs w:val="19"/>
          <w:color w:val="auto"/>
        </w:rPr>
        <w:t>[*CTR].</w:t>
      </w:r>
    </w:p>
    <w:p>
      <w:pPr>
        <w:ind w:left="286" w:hanging="286"/>
        <w:spacing w:after="0"/>
        <w:tabs>
          <w:tab w:leader="none" w:pos="286"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Delivery Reschedule Credit Memorandum.</w:t>
      </w:r>
    </w:p>
    <w:p>
      <w:pPr>
        <w:spacing w:after="0" w:line="207"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97"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u w:val="single" w:color="auto"/>
          <w:color w:val="auto"/>
        </w:rPr>
        <w:t>[*CTR]</w:t>
      </w:r>
      <w:r>
        <w:rPr>
          <w:sz w:val="20"/>
          <w:szCs w:val="20"/>
          <w:color w:val="auto"/>
        </w:rPr>
        <w:tab/>
      </w:r>
      <w:r>
        <w:rPr>
          <w:rFonts w:ascii="Arial" w:cs="Arial" w:eastAsia="Arial" w:hAnsi="Arial"/>
          <w:sz w:val="19"/>
          <w:szCs w:val="19"/>
          <w:u w:val="single" w:color="auto"/>
          <w:color w:val="auto"/>
        </w:rPr>
        <w:t>[*CTR]</w:t>
      </w:r>
    </w:p>
    <w:p>
      <w:pPr>
        <w:spacing w:after="0" w:line="20"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4" w:lineRule="exact"/>
        <w:rPr>
          <w:sz w:val="20"/>
          <w:szCs w:val="20"/>
          <w:color w:val="auto"/>
        </w:rPr>
      </w:pPr>
    </w:p>
    <w:p>
      <w:pPr>
        <w:ind w:left="566"/>
        <w:spacing w:after="0"/>
        <w:tabs>
          <w:tab w:leader="none" w:pos="1506"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81"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396"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660" w:type="dxa"/>
            <w:vAlign w:val="bottom"/>
          </w:tcPr>
          <w:p>
            <w:pPr>
              <w:spacing w:after="0"/>
              <w:rPr>
                <w:sz w:val="20"/>
                <w:szCs w:val="20"/>
                <w:color w:val="auto"/>
              </w:rPr>
            </w:pPr>
            <w:r>
              <w:rPr>
                <w:rFonts w:ascii="Arial" w:cs="Arial" w:eastAsia="Arial" w:hAnsi="Arial"/>
                <w:sz w:val="16"/>
                <w:szCs w:val="16"/>
                <w:color w:val="auto"/>
              </w:rPr>
              <w:t>P.A. No. 3219</w:t>
            </w:r>
          </w:p>
        </w:tc>
        <w:tc>
          <w:tcPr>
            <w:tcW w:w="800" w:type="dxa"/>
            <w:vAlign w:val="bottom"/>
          </w:tcPr>
          <w:p>
            <w:pPr>
              <w:ind w:left="140"/>
              <w:spacing w:after="0"/>
              <w:rPr>
                <w:sz w:val="20"/>
                <w:szCs w:val="20"/>
                <w:color w:val="auto"/>
              </w:rPr>
            </w:pPr>
            <w:r>
              <w:rPr>
                <w:rFonts w:ascii="Arial" w:cs="Arial" w:eastAsia="Arial" w:hAnsi="Arial"/>
                <w:sz w:val="16"/>
                <w:szCs w:val="16"/>
                <w:color w:val="auto"/>
              </w:rPr>
              <w:t>SA-11</w:t>
            </w:r>
          </w:p>
        </w:tc>
        <w:tc>
          <w:tcPr>
            <w:tcW w:w="1900" w:type="dxa"/>
            <w:vAlign w:val="bottom"/>
          </w:tcPr>
          <w:p>
            <w:pPr>
              <w:ind w:left="260"/>
              <w:spacing w:after="0"/>
              <w:rPr>
                <w:sz w:val="20"/>
                <w:szCs w:val="20"/>
                <w:color w:val="auto"/>
              </w:rPr>
            </w:pPr>
            <w:r>
              <w:rPr>
                <w:rFonts w:ascii="Arial" w:cs="Arial" w:eastAsia="Arial" w:hAnsi="Arial"/>
                <w:sz w:val="16"/>
                <w:szCs w:val="16"/>
                <w:color w:val="auto"/>
                <w:w w:val="89"/>
              </w:rPr>
              <w:t>L.A.6-1162-TRW-0674R4</w:t>
            </w:r>
          </w:p>
        </w:tc>
      </w:t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3"/>
              </w:rPr>
              <w:t>Business Considerations</w:t>
            </w:r>
          </w:p>
        </w:tc>
        <w:tc>
          <w:tcPr>
            <w:tcW w:w="800" w:type="dxa"/>
            <w:vAlign w:val="bottom"/>
          </w:tcPr>
          <w:p>
            <w:pPr>
              <w:spacing w:after="0"/>
              <w:rPr>
                <w:sz w:val="17"/>
                <w:szCs w:val="17"/>
                <w:color w:val="auto"/>
              </w:rPr>
            </w:pPr>
          </w:p>
        </w:tc>
        <w:tc>
          <w:tcPr>
            <w:tcW w:w="1900" w:type="dxa"/>
            <w:vAlign w:val="bottom"/>
          </w:tcPr>
          <w:p>
            <w:pPr>
              <w:ind w:left="740"/>
              <w:spacing w:after="0"/>
              <w:rPr>
                <w:sz w:val="20"/>
                <w:szCs w:val="20"/>
                <w:color w:val="auto"/>
              </w:rPr>
            </w:pPr>
            <w:r>
              <w:rPr>
                <w:rFonts w:ascii="Arial" w:cs="Arial" w:eastAsia="Arial" w:hAnsi="Arial"/>
                <w:sz w:val="16"/>
                <w:szCs w:val="16"/>
                <w:color w:val="auto"/>
              </w:rPr>
              <w:t>Page 1</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type w:val="continuous"/>
        </w:sectPr>
      </w:pPr>
    </w:p>
    <w:bookmarkStart w:id="164" w:name="page165"/>
    <w:bookmarkEnd w:id="164"/>
    <w:p>
      <w:pPr>
        <w:ind w:left="6" w:right="10360" w:hanging="6"/>
        <w:spacing w:after="0" w:line="458" w:lineRule="auto"/>
        <w:tabs>
          <w:tab w:leader="none" w:pos="303"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[*CTR]. 4a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[*CTR].</w:t>
      </w:r>
    </w:p>
    <w:p>
      <w:pPr>
        <w:spacing w:after="0" w:line="1" w:lineRule="exact"/>
        <w:rPr>
          <w:sz w:val="20"/>
          <w:szCs w:val="20"/>
          <w:color w:val="auto"/>
        </w:rPr>
      </w:pPr>
    </w:p>
    <w:p>
      <w:pPr>
        <w:jc w:val="both"/>
        <w:ind w:left="6" w:right="20" w:firstLine="561"/>
        <w:spacing w:after="0" w:line="255" w:lineRule="auto"/>
        <w:rPr>
          <w:sz w:val="20"/>
          <w:szCs w:val="20"/>
          <w:color w:val="auto"/>
        </w:rPr>
      </w:pPr>
      <w:r>
        <w:rPr>
          <w:rFonts w:ascii="Arial" w:cs="Arial" w:eastAsia="Arial" w:hAnsi="Arial"/>
          <w:sz w:val="19"/>
          <w:szCs w:val="19"/>
          <w:color w:val="auto"/>
        </w:rPr>
        <w:t>4a.1 [*CTR] (as defined in Section 4a.2 herein) and each [*CTR] (as defined in Section 4a.2 herein), [*CTR]. The [*CTR] in accordance with the provisions of the [*CTR] as such provisions have been applied to the [*CTR]. Such [*CTR]. The [*CTR] in addition to the [*CTR] pursuant to Section 3 of this Letter Agreement.</w:t>
      </w:r>
    </w:p>
    <w:p>
      <w:pPr>
        <w:spacing w:after="0" w:line="158" w:lineRule="exact"/>
        <w:rPr>
          <w:sz w:val="20"/>
          <w:szCs w:val="20"/>
          <w:color w:val="auto"/>
        </w:rPr>
      </w:pPr>
    </w:p>
    <w:p>
      <w:pPr>
        <w:ind w:left="566"/>
        <w:spacing w:after="0"/>
        <w:tabs>
          <w:tab w:leader="none" w:pos="1046" w:val="left"/>
        </w:tabs>
        <w:rPr>
          <w:sz w:val="20"/>
          <w:szCs w:val="20"/>
          <w:color w:val="auto"/>
        </w:rPr>
      </w:pPr>
      <w:r>
        <w:rPr>
          <w:rFonts w:ascii="Arial" w:cs="Arial" w:eastAsia="Arial" w:hAnsi="Arial"/>
          <w:sz w:val="19"/>
          <w:szCs w:val="19"/>
          <w:color w:val="auto"/>
        </w:rPr>
        <w:t>4a.2</w:t>
      </w:r>
      <w:r>
        <w:rPr>
          <w:sz w:val="20"/>
          <w:szCs w:val="20"/>
          <w:color w:val="auto"/>
        </w:rPr>
        <w:tab/>
      </w:r>
      <w:r>
        <w:rPr>
          <w:rFonts w:ascii="Arial" w:cs="Arial" w:eastAsia="Arial" w:hAnsi="Arial"/>
          <w:sz w:val="17"/>
          <w:szCs w:val="17"/>
          <w:u w:val="single" w:color="auto"/>
          <w:color w:val="auto"/>
        </w:rPr>
        <w:t>Section 4a Definitions</w:t>
      </w:r>
      <w:r>
        <w:rPr>
          <w:rFonts w:ascii="Arial" w:cs="Arial" w:eastAsia="Arial" w:hAnsi="Arial"/>
          <w:sz w:val="17"/>
          <w:szCs w:val="17"/>
          <w:color w:val="auto"/>
        </w:rPr>
        <w:t>: For purposes of this Section 4a, the following definitions shall apply:</w:t>
      </w:r>
    </w:p>
    <w:p>
      <w:pPr>
        <w:spacing w:after="0" w:line="191" w:lineRule="exact"/>
        <w:rPr>
          <w:sz w:val="20"/>
          <w:szCs w:val="20"/>
          <w:color w:val="auto"/>
        </w:rPr>
      </w:pPr>
    </w:p>
    <w:p>
      <w:pPr>
        <w:ind w:left="566"/>
        <w:spacing w:after="0"/>
        <w:rPr>
          <w:sz w:val="20"/>
          <w:szCs w:val="20"/>
          <w:color w:val="auto"/>
        </w:rPr>
      </w:pPr>
      <w:r>
        <w:rPr>
          <w:rFonts w:ascii="Arial" w:cs="Arial" w:eastAsia="Arial" w:hAnsi="Arial"/>
          <w:sz w:val="19"/>
          <w:szCs w:val="19"/>
          <w:b w:val="1"/>
          <w:bCs w:val="1"/>
          <w:i w:val="1"/>
          <w:iCs w:val="1"/>
          <w:color w:val="auto"/>
        </w:rPr>
        <w:t xml:space="preserve">[*CTR] </w:t>
      </w:r>
      <w:r>
        <w:rPr>
          <w:rFonts w:ascii="Arial" w:cs="Arial" w:eastAsia="Arial" w:hAnsi="Arial"/>
          <w:sz w:val="19"/>
          <w:szCs w:val="19"/>
          <w:color w:val="auto"/>
        </w:rPr>
        <w:t>means each of the [*CTR] at the effective date of this Letter Agreement 6-1162-TRW-0674R4.</w:t>
      </w:r>
    </w:p>
    <w:p>
      <w:pPr>
        <w:spacing w:after="0" w:line="187" w:lineRule="exact"/>
        <w:rPr>
          <w:sz w:val="20"/>
          <w:szCs w:val="20"/>
          <w:color w:val="auto"/>
        </w:rPr>
      </w:pPr>
    </w:p>
    <w:p>
      <w:pPr>
        <w:ind w:left="286" w:hanging="286"/>
        <w:spacing w:after="0"/>
        <w:tabs>
          <w:tab w:leader="none" w:pos="286"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[*CTR].</w:t>
      </w:r>
    </w:p>
    <w:p>
      <w:pPr>
        <w:spacing w:after="0" w:line="206" w:lineRule="exact"/>
        <w:rPr>
          <w:rFonts w:ascii="Arial" w:cs="Arial" w:eastAsia="Arial" w:hAnsi="Arial"/>
          <w:sz w:val="19"/>
          <w:szCs w:val="19"/>
          <w:b w:val="1"/>
          <w:bCs w:val="1"/>
          <w:color w:val="auto"/>
        </w:rPr>
      </w:pPr>
    </w:p>
    <w:p>
      <w:pPr>
        <w:ind w:left="566"/>
        <w:spacing w:after="0"/>
        <w:rPr>
          <w:rFonts w:ascii="Arial" w:cs="Arial" w:eastAsia="Arial" w:hAnsi="Arial"/>
          <w:sz w:val="19"/>
          <w:szCs w:val="19"/>
          <w:b w:val="1"/>
          <w:bCs w:val="1"/>
          <w:color w:val="auto"/>
        </w:rPr>
      </w:pPr>
      <w:r>
        <w:rPr>
          <w:rFonts w:ascii="Arial" w:cs="Arial" w:eastAsia="Arial" w:hAnsi="Arial"/>
          <w:sz w:val="19"/>
          <w:szCs w:val="19"/>
          <w:color w:val="auto"/>
        </w:rPr>
        <w:t>[*CTR].</w:t>
      </w:r>
    </w:p>
    <w:p>
      <w:pPr>
        <w:spacing w:after="0" w:line="186" w:lineRule="exact"/>
        <w:rPr>
          <w:rFonts w:ascii="Arial" w:cs="Arial" w:eastAsia="Arial" w:hAnsi="Arial"/>
          <w:sz w:val="19"/>
          <w:szCs w:val="19"/>
          <w:b w:val="1"/>
          <w:bCs w:val="1"/>
          <w:color w:val="auto"/>
        </w:rPr>
      </w:pPr>
    </w:p>
    <w:p>
      <w:pPr>
        <w:ind w:left="286" w:hanging="286"/>
        <w:spacing w:after="0"/>
        <w:tabs>
          <w:tab w:leader="none" w:pos="286"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2018 787-9 [*CTR] Aircraft [*CTR].</w:t>
      </w:r>
    </w:p>
    <w:p>
      <w:pPr>
        <w:spacing w:after="0" w:line="242" w:lineRule="exact"/>
        <w:rPr>
          <w:sz w:val="20"/>
          <w:szCs w:val="20"/>
          <w:color w:val="auto"/>
        </w:rPr>
      </w:pPr>
    </w:p>
    <w:p>
      <w:pPr>
        <w:jc w:val="both"/>
        <w:ind w:left="6" w:firstLine="561"/>
        <w:spacing w:after="0" w:line="248" w:lineRule="auto"/>
        <w:rPr>
          <w:sz w:val="20"/>
          <w:szCs w:val="20"/>
          <w:color w:val="auto"/>
        </w:rPr>
      </w:pPr>
      <w:r>
        <w:rPr>
          <w:rFonts w:ascii="Arial" w:cs="Arial" w:eastAsia="Arial" w:hAnsi="Arial"/>
          <w:sz w:val="19"/>
          <w:szCs w:val="19"/>
          <w:color w:val="auto"/>
        </w:rPr>
        <w:t>In consideration of [*CTR] pursuant to Letter Agreement 6-1162-TRW-0664R1, as such [*CTR] is further described in Supplemental Agreement No. 11, Boeing [*CTR] the 2018 787-9 [*CTR] Aircraft [*CTR] pursuant to the terms of this Section 6 for [*CTR] at the time of execution of this Letter Agreement (</w:t>
      </w:r>
      <w:r>
        <w:rPr>
          <w:rFonts w:ascii="Arial" w:cs="Arial" w:eastAsia="Arial" w:hAnsi="Arial"/>
          <w:sz w:val="19"/>
          <w:szCs w:val="19"/>
          <w:b w:val="1"/>
          <w:bCs w:val="1"/>
          <w:i w:val="1"/>
          <w:iCs w:val="1"/>
          <w:color w:val="auto"/>
        </w:rPr>
        <w:t>2018 787-9 [*CTR] Aircraft</w:t>
      </w:r>
      <w:r>
        <w:rPr>
          <w:rFonts w:ascii="Arial" w:cs="Arial" w:eastAsia="Arial" w:hAnsi="Arial"/>
          <w:sz w:val="19"/>
          <w:szCs w:val="19"/>
          <w:color w:val="auto"/>
        </w:rPr>
        <w:t>). Boeing will [*CTR] at the time of delivery of each 787-9 [*CTR] Aircraft a [*CTR]. The [*CTR] in accordance with the provisions of the [*CTR] as such provisions have been applied to the [*CTR]. Such [*CTR] at the time of delivery of the applicable 2018 787-9 [*CTR] Aircraft. The 2018 787-9 [*CTR] Aircraft [*CTR] in addition to the [*CTR] pursuant to Section 4 of this Letter Agreement.</w:t>
      </w:r>
    </w:p>
    <w:p>
      <w:pPr>
        <w:spacing w:after="0" w:line="69" w:lineRule="exact"/>
        <w:rPr>
          <w:sz w:val="20"/>
          <w:szCs w:val="20"/>
          <w:color w:val="auto"/>
        </w:rPr>
      </w:pPr>
    </w:p>
    <w:p>
      <w:pPr>
        <w:ind w:left="286" w:hanging="286"/>
        <w:spacing w:after="0"/>
        <w:tabs>
          <w:tab w:leader="none" w:pos="286"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2018 787-9 [*CTR] Aircraft [*CTR]</w:t>
      </w:r>
      <w:r>
        <w:rPr>
          <w:rFonts w:ascii="Arial" w:cs="Arial" w:eastAsia="Arial" w:hAnsi="Arial"/>
          <w:sz w:val="19"/>
          <w:szCs w:val="19"/>
          <w:b w:val="1"/>
          <w:bCs w:val="1"/>
          <w:color w:val="auto"/>
        </w:rPr>
        <w:t>.</w:t>
      </w:r>
    </w:p>
    <w:p>
      <w:pPr>
        <w:spacing w:after="0" w:line="335" w:lineRule="exact"/>
        <w:rPr>
          <w:sz w:val="20"/>
          <w:szCs w:val="20"/>
          <w:color w:val="auto"/>
        </w:rPr>
      </w:pPr>
    </w:p>
    <w:p>
      <w:pPr>
        <w:jc w:val="both"/>
        <w:ind w:left="6" w:firstLine="561"/>
        <w:spacing w:after="0" w:line="251" w:lineRule="auto"/>
        <w:rPr>
          <w:sz w:val="20"/>
          <w:szCs w:val="20"/>
          <w:color w:val="auto"/>
        </w:rPr>
      </w:pPr>
      <w:r>
        <w:rPr>
          <w:rFonts w:ascii="Arial" w:cs="Arial" w:eastAsia="Arial" w:hAnsi="Arial"/>
          <w:sz w:val="19"/>
          <w:szCs w:val="19"/>
          <w:color w:val="auto"/>
        </w:rPr>
        <w:t>7.1 In [*CTR] of the [*CTR] Aircraft, Boeing [*CTR]. Each [*CTR] Aircraft [*CTR] in accordance with the provisions of the [*CTR] as such provisions have been applied to the [*CTR]. Except as provided in Section 7.2, below, a [*CTR] Aircraft [*CTR] of a [*CTR] Aircraft, the [*CTR] of a [*CTR] Aircraft, the [*CTR] of a [*CTR] Aircraft, and the [*CTR] of a [*CTR] Aircraft. Such [*CTR] Aircraft [*CTR] of the applicable [*CTR] Aircraft.</w:t>
      </w:r>
    </w:p>
    <w:p>
      <w:pPr>
        <w:spacing w:after="0" w:line="197" w:lineRule="exact"/>
        <w:rPr>
          <w:sz w:val="20"/>
          <w:szCs w:val="20"/>
          <w:color w:val="auto"/>
        </w:rPr>
      </w:pPr>
    </w:p>
    <w:p>
      <w:pPr>
        <w:jc w:val="both"/>
        <w:ind w:left="6" w:right="20" w:firstLine="561"/>
        <w:spacing w:after="0" w:line="294" w:lineRule="auto"/>
        <w:rPr>
          <w:sz w:val="20"/>
          <w:szCs w:val="20"/>
          <w:color w:val="auto"/>
        </w:rPr>
      </w:pPr>
      <w:r>
        <w:rPr>
          <w:rFonts w:ascii="Arial" w:cs="Arial" w:eastAsia="Arial" w:hAnsi="Arial"/>
          <w:sz w:val="18"/>
          <w:szCs w:val="18"/>
          <w:color w:val="auto"/>
        </w:rPr>
        <w:t>7.2 If either [*CTR] the Purchase Agreement as to the delivery of one or more [*CTR] Aircraft as and when permitted under a [*CTR] (as defined in Section 7.3 below), such [*CTR] Aircraft will be [*CTR], and shall be [*CTR], solely for purposes of [*CTR] a [*CTR] Aircraft [*CTR].</w:t>
      </w:r>
    </w:p>
    <w:p>
      <w:pPr>
        <w:spacing w:after="0" w:line="200" w:lineRule="exact"/>
        <w:rPr>
          <w:sz w:val="20"/>
          <w:szCs w:val="20"/>
          <w:color w:val="auto"/>
        </w:rPr>
      </w:pPr>
    </w:p>
    <w:p>
      <w:pPr>
        <w:spacing w:after="0" w:line="352"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660" w:type="dxa"/>
            <w:vAlign w:val="bottom"/>
          </w:tcPr>
          <w:p>
            <w:pPr>
              <w:spacing w:after="0"/>
              <w:rPr>
                <w:sz w:val="20"/>
                <w:szCs w:val="20"/>
                <w:color w:val="auto"/>
              </w:rPr>
            </w:pPr>
            <w:r>
              <w:rPr>
                <w:rFonts w:ascii="Arial" w:cs="Arial" w:eastAsia="Arial" w:hAnsi="Arial"/>
                <w:sz w:val="16"/>
                <w:szCs w:val="16"/>
                <w:color w:val="auto"/>
              </w:rPr>
              <w:t>P.A. No. 3219</w:t>
            </w:r>
          </w:p>
        </w:tc>
        <w:tc>
          <w:tcPr>
            <w:tcW w:w="800" w:type="dxa"/>
            <w:vAlign w:val="bottom"/>
          </w:tcPr>
          <w:p>
            <w:pPr>
              <w:ind w:left="140"/>
              <w:spacing w:after="0"/>
              <w:rPr>
                <w:sz w:val="20"/>
                <w:szCs w:val="20"/>
                <w:color w:val="auto"/>
              </w:rPr>
            </w:pPr>
            <w:r>
              <w:rPr>
                <w:rFonts w:ascii="Arial" w:cs="Arial" w:eastAsia="Arial" w:hAnsi="Arial"/>
                <w:sz w:val="16"/>
                <w:szCs w:val="16"/>
                <w:color w:val="auto"/>
              </w:rPr>
              <w:t>SA-11</w:t>
            </w:r>
          </w:p>
        </w:tc>
        <w:tc>
          <w:tcPr>
            <w:tcW w:w="1900" w:type="dxa"/>
            <w:vAlign w:val="bottom"/>
          </w:tcPr>
          <w:p>
            <w:pPr>
              <w:ind w:left="260"/>
              <w:spacing w:after="0"/>
              <w:rPr>
                <w:sz w:val="20"/>
                <w:szCs w:val="20"/>
                <w:color w:val="auto"/>
              </w:rPr>
            </w:pPr>
            <w:r>
              <w:rPr>
                <w:rFonts w:ascii="Arial" w:cs="Arial" w:eastAsia="Arial" w:hAnsi="Arial"/>
                <w:sz w:val="16"/>
                <w:szCs w:val="16"/>
                <w:color w:val="auto"/>
                <w:w w:val="89"/>
              </w:rPr>
              <w:t>L.A.6-1162-TRW-0674R4</w:t>
            </w:r>
          </w:p>
        </w:tc>
      </w:t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3"/>
              </w:rPr>
              <w:t>Business Considerations</w:t>
            </w:r>
          </w:p>
        </w:tc>
        <w:tc>
          <w:tcPr>
            <w:tcW w:w="800" w:type="dxa"/>
            <w:vAlign w:val="bottom"/>
          </w:tcPr>
          <w:p>
            <w:pPr>
              <w:spacing w:after="0"/>
              <w:rPr>
                <w:sz w:val="17"/>
                <w:szCs w:val="17"/>
                <w:color w:val="auto"/>
              </w:rPr>
            </w:pPr>
          </w:p>
        </w:tc>
        <w:tc>
          <w:tcPr>
            <w:tcW w:w="1900" w:type="dxa"/>
            <w:vAlign w:val="bottom"/>
          </w:tcPr>
          <w:p>
            <w:pPr>
              <w:ind w:left="740"/>
              <w:spacing w:after="0"/>
              <w:rPr>
                <w:sz w:val="20"/>
                <w:szCs w:val="20"/>
                <w:color w:val="auto"/>
              </w:rPr>
            </w:pPr>
            <w:r>
              <w:rPr>
                <w:rFonts w:ascii="Arial" w:cs="Arial" w:eastAsia="Arial" w:hAnsi="Arial"/>
                <w:sz w:val="16"/>
                <w:szCs w:val="16"/>
                <w:color w:val="auto"/>
              </w:rPr>
              <w:t>Page 2</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017" w:right="219" w:bottom="1440" w:gutter="0" w:footer="0" w:header="0"/>
        </w:sectPr>
      </w:pPr>
    </w:p>
    <w:bookmarkStart w:id="165" w:name="page166"/>
    <w:bookmarkEnd w:id="165"/>
    <w:p>
      <w:pPr>
        <w:ind w:left="56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If a [*CTR] Aircraft is [*CTR] in accordance with the [*CTR], the applicable [*CTR] Aircraft [*CTR] as follows:</w:t>
      </w:r>
    </w:p>
    <w:p>
      <w:pPr>
        <w:spacing w:after="0" w:line="226" w:lineRule="exact"/>
        <w:rPr>
          <w:sz w:val="20"/>
          <w:szCs w:val="20"/>
          <w:color w:val="auto"/>
        </w:rPr>
      </w:pPr>
    </w:p>
    <w:p>
      <w:pPr>
        <w:ind w:left="806" w:hanging="245"/>
        <w:spacing w:after="0"/>
        <w:tabs>
          <w:tab w:leader="none" w:pos="8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[*CTR];</w:t>
      </w:r>
    </w:p>
    <w:p>
      <w:pPr>
        <w:spacing w:after="0" w:line="226" w:lineRule="exact"/>
        <w:rPr>
          <w:rFonts w:ascii="Arial" w:cs="Arial" w:eastAsia="Arial" w:hAnsi="Arial"/>
          <w:sz w:val="19"/>
          <w:szCs w:val="19"/>
          <w:color w:val="auto"/>
        </w:rPr>
      </w:pPr>
    </w:p>
    <w:p>
      <w:pPr>
        <w:ind w:left="826" w:hanging="265"/>
        <w:spacing w:after="0"/>
        <w:tabs>
          <w:tab w:leader="none" w:pos="8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[*CTR];</w:t>
      </w:r>
    </w:p>
    <w:p>
      <w:pPr>
        <w:spacing w:after="0" w:line="226" w:lineRule="exact"/>
        <w:rPr>
          <w:rFonts w:ascii="Arial" w:cs="Arial" w:eastAsia="Arial" w:hAnsi="Arial"/>
          <w:sz w:val="19"/>
          <w:szCs w:val="19"/>
          <w:color w:val="auto"/>
        </w:rPr>
      </w:pPr>
    </w:p>
    <w:p>
      <w:pPr>
        <w:ind w:left="806" w:hanging="245"/>
        <w:spacing w:after="0"/>
        <w:tabs>
          <w:tab w:leader="none" w:pos="8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[*CTR]; and</w:t>
      </w:r>
    </w:p>
    <w:p>
      <w:pPr>
        <w:spacing w:after="0" w:line="226" w:lineRule="exact"/>
        <w:rPr>
          <w:rFonts w:ascii="Arial" w:cs="Arial" w:eastAsia="Arial" w:hAnsi="Arial"/>
          <w:sz w:val="19"/>
          <w:szCs w:val="19"/>
          <w:color w:val="auto"/>
        </w:rPr>
      </w:pPr>
    </w:p>
    <w:p>
      <w:pPr>
        <w:ind w:left="826" w:hanging="265"/>
        <w:spacing w:after="0"/>
        <w:tabs>
          <w:tab w:leader="none" w:pos="8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[*CTR].</w:t>
      </w:r>
    </w:p>
    <w:p>
      <w:pPr>
        <w:spacing w:after="0" w:line="226" w:lineRule="exact"/>
        <w:rPr>
          <w:rFonts w:ascii="Arial" w:cs="Arial" w:eastAsia="Arial" w:hAnsi="Arial"/>
          <w:sz w:val="19"/>
          <w:szCs w:val="19"/>
          <w:color w:val="auto"/>
        </w:rPr>
      </w:pPr>
    </w:p>
    <w:p>
      <w:pPr>
        <w:ind w:left="806" w:hanging="245"/>
        <w:spacing w:after="0"/>
        <w:tabs>
          <w:tab w:leader="none" w:pos="8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 [*CTR].</w:t>
      </w:r>
    </w:p>
    <w:p>
      <w:pPr>
        <w:spacing w:after="0" w:line="226" w:lineRule="exact"/>
        <w:rPr>
          <w:sz w:val="20"/>
          <w:szCs w:val="20"/>
          <w:color w:val="auto"/>
        </w:rPr>
      </w:pPr>
    </w:p>
    <w:p>
      <w:pPr>
        <w:jc w:val="both"/>
        <w:ind w:left="6" w:firstLine="561"/>
        <w:spacing w:after="0" w:line="286" w:lineRule="auto"/>
        <w:rPr>
          <w:sz w:val="20"/>
          <w:szCs w:val="20"/>
          <w:color w:val="auto"/>
        </w:rPr>
      </w:pPr>
      <w:r>
        <w:rPr>
          <w:rFonts w:ascii="Arial" w:cs="Arial" w:eastAsia="Arial" w:hAnsi="Arial"/>
          <w:sz w:val="17"/>
          <w:szCs w:val="17"/>
          <w:color w:val="auto"/>
        </w:rPr>
        <w:t xml:space="preserve">7.3 For purposes of Section 7.2, [*CTR] means any provision in the Aircraft General Terms Agreement entered into by and between Boeing and Customer dated October 31, 1997 (as amended by the Purchase Agreement, </w:t>
      </w:r>
      <w:r>
        <w:rPr>
          <w:rFonts w:ascii="Arial" w:cs="Arial" w:eastAsia="Arial" w:hAnsi="Arial"/>
          <w:sz w:val="17"/>
          <w:szCs w:val="17"/>
          <w:b w:val="1"/>
          <w:bCs w:val="1"/>
          <w:i w:val="1"/>
          <w:iCs w:val="1"/>
          <w:color w:val="auto"/>
        </w:rPr>
        <w:t>AGTA</w:t>
      </w:r>
      <w:r>
        <w:rPr>
          <w:rFonts w:ascii="Arial" w:cs="Arial" w:eastAsia="Arial" w:hAnsi="Arial"/>
          <w:sz w:val="17"/>
          <w:szCs w:val="17"/>
          <w:color w:val="auto"/>
        </w:rPr>
        <w:t>), the Purchase Agreement or any Letter Agreement or Supplemental Agreement to the Purchase Agreement that [*CTR] Aircraft, including but not limited to, the following: Sections 7.4 or 7.5 of the AGTA, Section 1.13 of the Letter Agreement No. 6-1162-TRW-0670R1 entitled “</w:t>
      </w:r>
      <w:r>
        <w:rPr>
          <w:rFonts w:ascii="Arial" w:cs="Arial" w:eastAsia="Arial" w:hAnsi="Arial"/>
          <w:sz w:val="17"/>
          <w:szCs w:val="17"/>
          <w:u w:val="single" w:color="auto"/>
          <w:color w:val="auto"/>
        </w:rPr>
        <w:t>Miscellaneous Commitments for Model 787 Aircraft</w:t>
      </w:r>
      <w:r>
        <w:rPr>
          <w:rFonts w:ascii="Arial" w:cs="Arial" w:eastAsia="Arial" w:hAnsi="Arial"/>
          <w:sz w:val="17"/>
          <w:szCs w:val="17"/>
          <w:color w:val="auto"/>
        </w:rPr>
        <w:t>”, or Section 9.2 and 9.3 of Supplemental Agreement No. 11 entered into by and between Boeing and Customer dated as of the date hereof.</w:t>
      </w:r>
    </w:p>
    <w:p>
      <w:pPr>
        <w:spacing w:after="0" w:line="169" w:lineRule="exact"/>
        <w:rPr>
          <w:sz w:val="20"/>
          <w:szCs w:val="20"/>
          <w:color w:val="auto"/>
        </w:rPr>
      </w:pPr>
    </w:p>
    <w:p>
      <w:pPr>
        <w:ind w:left="566"/>
        <w:spacing w:after="0"/>
        <w:tabs>
          <w:tab w:leader="none" w:pos="1046"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8"/>
          <w:szCs w:val="18"/>
          <w:color w:val="auto"/>
        </w:rPr>
        <w:t>Notwithstanding anything to the contrary in this Section 7, once a [*CTR] Aircraft [*CTR] in accordance with this Letter Agreement,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color w:val="auto"/>
        </w:rPr>
        <w:t>[*CTR] as provided in Section 7.1 of this Letter Agreement and in no event will Customer [*CTR] Aircraft [*CTR] by this Letter Agreement to be</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 Customer.</w:t>
      </w:r>
    </w:p>
    <w:p>
      <w:pPr>
        <w:spacing w:after="0" w:line="171" w:lineRule="exact"/>
        <w:rPr>
          <w:sz w:val="20"/>
          <w:szCs w:val="20"/>
          <w:color w:val="auto"/>
        </w:rPr>
      </w:pPr>
    </w:p>
    <w:p>
      <w:pPr>
        <w:ind w:left="286" w:hanging="286"/>
        <w:spacing w:after="0"/>
        <w:tabs>
          <w:tab w:leader="none" w:pos="286"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[*CTR]</w:t>
      </w:r>
      <w:r>
        <w:rPr>
          <w:rFonts w:ascii="Arial" w:cs="Arial" w:eastAsia="Arial" w:hAnsi="Arial"/>
          <w:sz w:val="19"/>
          <w:szCs w:val="19"/>
          <w:color w:val="auto"/>
        </w:rPr>
        <w:t>.</w:t>
      </w:r>
    </w:p>
    <w:p>
      <w:pPr>
        <w:spacing w:after="0" w:line="242" w:lineRule="exact"/>
        <w:rPr>
          <w:sz w:val="20"/>
          <w:szCs w:val="20"/>
          <w:color w:val="auto"/>
        </w:rPr>
      </w:pPr>
    </w:p>
    <w:p>
      <w:pPr>
        <w:ind w:left="6" w:right="20" w:firstLine="561"/>
        <w:spacing w:after="0" w:line="266" w:lineRule="auto"/>
        <w:rPr>
          <w:sz w:val="20"/>
          <w:szCs w:val="20"/>
          <w:color w:val="auto"/>
        </w:rPr>
      </w:pPr>
      <w:r>
        <w:rPr>
          <w:rFonts w:ascii="Arial" w:cs="Arial" w:eastAsia="Arial" w:hAnsi="Arial"/>
          <w:sz w:val="19"/>
          <w:szCs w:val="19"/>
          <w:color w:val="auto"/>
        </w:rPr>
        <w:t>In consideration of [*CTR] pursuant to Letter Agreement 6-1162-TRW-0664R2 as further described in Supplemental Agreement No. 11, at the time of execution of this Letter Agreement, Boeing will [*CTR].</w:t>
      </w:r>
    </w:p>
    <w:p>
      <w:pPr>
        <w:spacing w:after="0" w:line="143" w:lineRule="exact"/>
        <w:rPr>
          <w:sz w:val="20"/>
          <w:szCs w:val="20"/>
          <w:color w:val="auto"/>
        </w:rPr>
      </w:pPr>
    </w:p>
    <w:p>
      <w:pPr>
        <w:ind w:left="286" w:hanging="286"/>
        <w:spacing w:after="0"/>
        <w:tabs>
          <w:tab w:leader="none" w:pos="286"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787 [*CTR]</w:t>
      </w:r>
      <w:r>
        <w:rPr>
          <w:rFonts w:ascii="Arial" w:cs="Arial" w:eastAsia="Arial" w:hAnsi="Arial"/>
          <w:sz w:val="19"/>
          <w:szCs w:val="19"/>
          <w:color w:val="auto"/>
        </w:rPr>
        <w:t>.</w:t>
      </w:r>
    </w:p>
    <w:p>
      <w:pPr>
        <w:spacing w:after="0" w:line="242" w:lineRule="exact"/>
        <w:rPr>
          <w:sz w:val="20"/>
          <w:szCs w:val="20"/>
          <w:color w:val="auto"/>
        </w:rPr>
      </w:pPr>
    </w:p>
    <w:p>
      <w:pPr>
        <w:ind w:left="566"/>
        <w:spacing w:after="0"/>
        <w:rPr>
          <w:sz w:val="20"/>
          <w:szCs w:val="20"/>
          <w:color w:val="auto"/>
        </w:rPr>
      </w:pPr>
      <w:r>
        <w:rPr>
          <w:rFonts w:ascii="Arial" w:cs="Arial" w:eastAsia="Arial" w:hAnsi="Arial"/>
          <w:sz w:val="17"/>
          <w:szCs w:val="17"/>
          <w:color w:val="auto"/>
        </w:rPr>
        <w:t>In consideration of Customer’s [*CTR] pursuant to Letter Agreement 6-1162-TRW-0664R2 as further described in Supplemental Agreement No.</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9"/>
          <w:szCs w:val="19"/>
          <w:color w:val="auto"/>
        </w:rPr>
        <w:t>11, Boeing will [*CTR] the following:</w:t>
      </w:r>
    </w:p>
    <w:p>
      <w:pPr>
        <w:spacing w:after="0" w:line="210" w:lineRule="exact"/>
        <w:rPr>
          <w:sz w:val="20"/>
          <w:szCs w:val="20"/>
          <w:color w:val="auto"/>
        </w:rPr>
      </w:pPr>
    </w:p>
    <w:p>
      <w:pPr>
        <w:ind w:left="566"/>
        <w:spacing w:after="0"/>
        <w:tabs>
          <w:tab w:leader="none" w:pos="946"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color w:val="auto"/>
        </w:rPr>
        <w:t>At time of execution of this Letter Agreement, [*CTR] by Customer. This [*CTR]. [*CTR].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660" w:type="dxa"/>
            <w:vAlign w:val="bottom"/>
          </w:tcPr>
          <w:p>
            <w:pPr>
              <w:spacing w:after="0"/>
              <w:rPr>
                <w:sz w:val="20"/>
                <w:szCs w:val="20"/>
                <w:color w:val="auto"/>
              </w:rPr>
            </w:pPr>
            <w:r>
              <w:rPr>
                <w:rFonts w:ascii="Arial" w:cs="Arial" w:eastAsia="Arial" w:hAnsi="Arial"/>
                <w:sz w:val="16"/>
                <w:szCs w:val="16"/>
                <w:color w:val="auto"/>
              </w:rPr>
              <w:t>P.A. No. 3219</w:t>
            </w:r>
          </w:p>
        </w:tc>
        <w:tc>
          <w:tcPr>
            <w:tcW w:w="800" w:type="dxa"/>
            <w:vAlign w:val="bottom"/>
          </w:tcPr>
          <w:p>
            <w:pPr>
              <w:ind w:left="140"/>
              <w:spacing w:after="0"/>
              <w:rPr>
                <w:sz w:val="20"/>
                <w:szCs w:val="20"/>
                <w:color w:val="auto"/>
              </w:rPr>
            </w:pPr>
            <w:r>
              <w:rPr>
                <w:rFonts w:ascii="Arial" w:cs="Arial" w:eastAsia="Arial" w:hAnsi="Arial"/>
                <w:sz w:val="16"/>
                <w:szCs w:val="16"/>
                <w:color w:val="auto"/>
              </w:rPr>
              <w:t>SA-11</w:t>
            </w:r>
          </w:p>
        </w:tc>
        <w:tc>
          <w:tcPr>
            <w:tcW w:w="1900" w:type="dxa"/>
            <w:vAlign w:val="bottom"/>
          </w:tcPr>
          <w:p>
            <w:pPr>
              <w:ind w:left="260"/>
              <w:spacing w:after="0"/>
              <w:rPr>
                <w:sz w:val="20"/>
                <w:szCs w:val="20"/>
                <w:color w:val="auto"/>
              </w:rPr>
            </w:pPr>
            <w:r>
              <w:rPr>
                <w:rFonts w:ascii="Arial" w:cs="Arial" w:eastAsia="Arial" w:hAnsi="Arial"/>
                <w:sz w:val="16"/>
                <w:szCs w:val="16"/>
                <w:color w:val="auto"/>
                <w:w w:val="89"/>
              </w:rPr>
              <w:t>L.A.6-1162-TRW-0674R4</w:t>
            </w:r>
          </w:p>
        </w:tc>
      </w:t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3"/>
              </w:rPr>
              <w:t>Business Considerations</w:t>
            </w:r>
          </w:p>
        </w:tc>
        <w:tc>
          <w:tcPr>
            <w:tcW w:w="800" w:type="dxa"/>
            <w:vAlign w:val="bottom"/>
          </w:tcPr>
          <w:p>
            <w:pPr>
              <w:spacing w:after="0"/>
              <w:rPr>
                <w:sz w:val="17"/>
                <w:szCs w:val="17"/>
                <w:color w:val="auto"/>
              </w:rPr>
            </w:pPr>
          </w:p>
        </w:tc>
        <w:tc>
          <w:tcPr>
            <w:tcW w:w="1900" w:type="dxa"/>
            <w:vAlign w:val="bottom"/>
          </w:tcPr>
          <w:p>
            <w:pPr>
              <w:ind w:left="740"/>
              <w:spacing w:after="0"/>
              <w:rPr>
                <w:sz w:val="20"/>
                <w:szCs w:val="20"/>
                <w:color w:val="auto"/>
              </w:rPr>
            </w:pPr>
            <w:r>
              <w:rPr>
                <w:rFonts w:ascii="Arial" w:cs="Arial" w:eastAsia="Arial" w:hAnsi="Arial"/>
                <w:sz w:val="16"/>
                <w:szCs w:val="16"/>
                <w:color w:val="auto"/>
              </w:rPr>
              <w:t>Page 3</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834" w:right="219" w:bottom="1440" w:gutter="0" w:footer="0" w:header="0"/>
        </w:sectPr>
      </w:pPr>
    </w:p>
    <w:bookmarkStart w:id="166" w:name="page167"/>
    <w:bookmarkEnd w:id="166"/>
    <w:p>
      <w:pPr>
        <w:jc w:val="both"/>
        <w:ind w:left="6" w:firstLine="561"/>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 xml:space="preserve">9.2 At the time of execution of this Letter Agreement, Boeing will [*CTR] Aircraft ([*CTR]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 [*CTR]. The [*CTR]. At the delivery of each [*CTR] Aircraft, Boeing [*CTR]. The [*CTR] of the applicable Aircraft in accordance with the provisions of the [*CTR] as such provisions have been applied to the [*CTR]. Such [*CTR].</w:t>
      </w:r>
    </w:p>
    <w:p>
      <w:pPr>
        <w:spacing w:after="0" w:line="154" w:lineRule="exact"/>
        <w:rPr>
          <w:sz w:val="20"/>
          <w:szCs w:val="20"/>
          <w:color w:val="auto"/>
        </w:rPr>
      </w:pPr>
    </w:p>
    <w:p>
      <w:pPr>
        <w:ind w:left="386" w:hanging="386"/>
        <w:spacing w:after="0"/>
        <w:tabs>
          <w:tab w:leader="none" w:pos="386"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[*CTR]</w:t>
      </w:r>
      <w:r>
        <w:rPr>
          <w:rFonts w:ascii="Arial" w:cs="Arial" w:eastAsia="Arial" w:hAnsi="Arial"/>
          <w:sz w:val="19"/>
          <w:szCs w:val="19"/>
          <w:b w:val="1"/>
          <w:bCs w:val="1"/>
          <w:color w:val="auto"/>
        </w:rPr>
        <w:t>.</w:t>
      </w:r>
    </w:p>
    <w:p>
      <w:pPr>
        <w:spacing w:after="0" w:line="113"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6" w:hanging="386"/>
        <w:spacing w:after="0"/>
        <w:tabs>
          <w:tab w:leader="none" w:pos="386"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 Treatment</w:t>
      </w:r>
      <w:r>
        <w:rPr>
          <w:rFonts w:ascii="Arial" w:cs="Arial" w:eastAsia="Arial" w:hAnsi="Arial"/>
          <w:sz w:val="19"/>
          <w:szCs w:val="19"/>
          <w:b w:val="1"/>
          <w:bCs w:val="1"/>
          <w:color w:val="auto"/>
        </w:rPr>
        <w:t>.</w:t>
      </w:r>
    </w:p>
    <w:p>
      <w:pPr>
        <w:spacing w:after="0" w:line="207" w:lineRule="exact"/>
        <w:rPr>
          <w:sz w:val="20"/>
          <w:szCs w:val="20"/>
          <w:color w:val="auto"/>
        </w:rPr>
      </w:pPr>
    </w:p>
    <w:p>
      <w:pPr>
        <w:jc w:val="both"/>
        <w:ind w:left="6" w:firstLine="561"/>
        <w:spacing w:after="0" w:line="262" w:lineRule="auto"/>
        <w:rPr>
          <w:sz w:val="20"/>
          <w:szCs w:val="20"/>
          <w:color w:val="auto"/>
        </w:rPr>
      </w:pPr>
      <w:r>
        <w:rPr>
          <w:rFonts w:ascii="Arial" w:cs="Arial" w:eastAsia="Arial" w:hAnsi="Arial"/>
          <w:sz w:val="18"/>
          <w:szCs w:val="18"/>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and or the Purchase Agreement. Customer and Boeing will limit the disclosure of its contents to employees of Customer or Boeing, as applicable, with a need to know the contents for purposes of helping the applicable party perform its obligations under the Purchase Agreement and who understand they are not to disclose its contents to any other person or entity without the prior written consent of the other party. Subject to the terms and conditions of Letter Agreement 6-1162-TRW-0673R1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 either party may disclose the information contained herein without the consent of the other party when and to the extent required by any law applicable to such party or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660" w:type="dxa"/>
            <w:vAlign w:val="bottom"/>
          </w:tcPr>
          <w:p>
            <w:pPr>
              <w:spacing w:after="0"/>
              <w:rPr>
                <w:sz w:val="20"/>
                <w:szCs w:val="20"/>
                <w:color w:val="auto"/>
              </w:rPr>
            </w:pPr>
            <w:r>
              <w:rPr>
                <w:rFonts w:ascii="Arial" w:cs="Arial" w:eastAsia="Arial" w:hAnsi="Arial"/>
                <w:sz w:val="16"/>
                <w:szCs w:val="16"/>
                <w:color w:val="auto"/>
              </w:rPr>
              <w:t>P.A. No. 3219</w:t>
            </w:r>
          </w:p>
        </w:tc>
        <w:tc>
          <w:tcPr>
            <w:tcW w:w="800" w:type="dxa"/>
            <w:vAlign w:val="bottom"/>
          </w:tcPr>
          <w:p>
            <w:pPr>
              <w:ind w:left="140"/>
              <w:spacing w:after="0"/>
              <w:rPr>
                <w:sz w:val="20"/>
                <w:szCs w:val="20"/>
                <w:color w:val="auto"/>
              </w:rPr>
            </w:pPr>
            <w:r>
              <w:rPr>
                <w:rFonts w:ascii="Arial" w:cs="Arial" w:eastAsia="Arial" w:hAnsi="Arial"/>
                <w:sz w:val="16"/>
                <w:szCs w:val="16"/>
                <w:color w:val="auto"/>
              </w:rPr>
              <w:t>SA-11</w:t>
            </w:r>
          </w:p>
        </w:tc>
        <w:tc>
          <w:tcPr>
            <w:tcW w:w="1900" w:type="dxa"/>
            <w:vAlign w:val="bottom"/>
          </w:tcPr>
          <w:p>
            <w:pPr>
              <w:ind w:left="260"/>
              <w:spacing w:after="0"/>
              <w:rPr>
                <w:sz w:val="20"/>
                <w:szCs w:val="20"/>
                <w:color w:val="auto"/>
              </w:rPr>
            </w:pPr>
            <w:r>
              <w:rPr>
                <w:rFonts w:ascii="Arial" w:cs="Arial" w:eastAsia="Arial" w:hAnsi="Arial"/>
                <w:sz w:val="16"/>
                <w:szCs w:val="16"/>
                <w:color w:val="auto"/>
                <w:w w:val="89"/>
              </w:rPr>
              <w:t>L.A.6-1162-TRW-0674R4</w:t>
            </w:r>
          </w:p>
        </w:tc>
      </w:t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3"/>
              </w:rPr>
              <w:t>Business Considerations</w:t>
            </w:r>
          </w:p>
        </w:tc>
        <w:tc>
          <w:tcPr>
            <w:tcW w:w="800" w:type="dxa"/>
            <w:vAlign w:val="bottom"/>
          </w:tcPr>
          <w:p>
            <w:pPr>
              <w:spacing w:after="0"/>
              <w:rPr>
                <w:sz w:val="17"/>
                <w:szCs w:val="17"/>
                <w:color w:val="auto"/>
              </w:rPr>
            </w:pPr>
          </w:p>
        </w:tc>
        <w:tc>
          <w:tcPr>
            <w:tcW w:w="1900" w:type="dxa"/>
            <w:vAlign w:val="bottom"/>
          </w:tcPr>
          <w:p>
            <w:pPr>
              <w:ind w:left="740"/>
              <w:spacing w:after="0"/>
              <w:rPr>
                <w:sz w:val="20"/>
                <w:szCs w:val="20"/>
                <w:color w:val="auto"/>
              </w:rPr>
            </w:pPr>
            <w:r>
              <w:rPr>
                <w:rFonts w:ascii="Arial" w:cs="Arial" w:eastAsia="Arial" w:hAnsi="Arial"/>
                <w:sz w:val="16"/>
                <w:szCs w:val="16"/>
                <w:color w:val="auto"/>
              </w:rPr>
              <w:t>Page 4</w:t>
            </w:r>
          </w:p>
        </w:tc>
      </w:tr>
    </w:tbl>
    <w:p>
      <w:pPr>
        <w:jc w:val="center"/>
        <w:ind w:right="-5"/>
        <w:spacing w:after="0" w:line="237" w:lineRule="auto"/>
        <w:rPr>
          <w:sz w:val="20"/>
          <w:szCs w:val="20"/>
          <w:color w:val="auto"/>
        </w:rPr>
      </w:pPr>
      <w:r>
        <w:rPr>
          <w:rFonts w:ascii="Arial" w:cs="Arial" w:eastAsia="Arial" w:hAnsi="Arial"/>
          <w:sz w:val="16"/>
          <w:szCs w:val="16"/>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834" w:right="21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BOEING COMPANY</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166687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1666875" cy="7620"/>
                    </a:xfrm>
                    <a:prstGeom prst="rect">
                      <a:avLst/>
                    </a:prstGeom>
                    <a:noFill/>
                  </pic:spPr>
                </pic:pic>
              </a:graphicData>
            </a:graphic>
          </wp:anchor>
        </w:drawing>
      </w:r>
    </w:p>
    <w:p>
      <w:pPr>
        <w:spacing w:after="0" w:line="206" w:lineRule="exact"/>
        <w:rPr>
          <w:sz w:val="20"/>
          <w:szCs w:val="20"/>
          <w:color w:val="auto"/>
        </w:rPr>
      </w:pPr>
    </w:p>
    <w:p>
      <w:pPr>
        <w:spacing w:after="0" w:line="219" w:lineRule="exact"/>
        <w:tabs>
          <w:tab w:leader="none" w:pos="76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145224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TO this</w:t>
      </w:r>
    </w:p>
    <w:p>
      <w:pPr>
        <w:spacing w:after="0" w:line="226"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92773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927735" cy="762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13830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1383030"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Its: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160718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1607185" cy="76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60" w:type="dxa"/>
            <w:vAlign w:val="bottom"/>
          </w:tcPr>
          <w:p>
            <w:pPr>
              <w:spacing w:after="0"/>
              <w:rPr>
                <w:sz w:val="20"/>
                <w:szCs w:val="20"/>
                <w:color w:val="auto"/>
              </w:rPr>
            </w:pPr>
            <w:r>
              <w:rPr>
                <w:rFonts w:ascii="Arial" w:cs="Arial" w:eastAsia="Arial" w:hAnsi="Arial"/>
                <w:sz w:val="16"/>
                <w:szCs w:val="16"/>
                <w:color w:val="auto"/>
              </w:rPr>
              <w:t>P.A. No. 3219</w:t>
            </w:r>
          </w:p>
        </w:tc>
        <w:tc>
          <w:tcPr>
            <w:tcW w:w="800" w:type="dxa"/>
            <w:vAlign w:val="bottom"/>
          </w:tcPr>
          <w:p>
            <w:pPr>
              <w:ind w:left="140"/>
              <w:spacing w:after="0"/>
              <w:rPr>
                <w:sz w:val="20"/>
                <w:szCs w:val="20"/>
                <w:color w:val="auto"/>
              </w:rPr>
            </w:pPr>
            <w:r>
              <w:rPr>
                <w:rFonts w:ascii="Arial" w:cs="Arial" w:eastAsia="Arial" w:hAnsi="Arial"/>
                <w:sz w:val="16"/>
                <w:szCs w:val="16"/>
                <w:color w:val="auto"/>
              </w:rPr>
              <w:t>SA-11</w:t>
            </w:r>
          </w:p>
        </w:tc>
        <w:tc>
          <w:tcPr>
            <w:tcW w:w="1900" w:type="dxa"/>
            <w:vAlign w:val="bottom"/>
          </w:tcPr>
          <w:p>
            <w:pPr>
              <w:ind w:left="260"/>
              <w:spacing w:after="0"/>
              <w:rPr>
                <w:sz w:val="20"/>
                <w:szCs w:val="20"/>
                <w:color w:val="auto"/>
              </w:rPr>
            </w:pPr>
            <w:r>
              <w:rPr>
                <w:rFonts w:ascii="Arial" w:cs="Arial" w:eastAsia="Arial" w:hAnsi="Arial"/>
                <w:sz w:val="16"/>
                <w:szCs w:val="16"/>
                <w:color w:val="auto"/>
                <w:w w:val="89"/>
              </w:rPr>
              <w:t>L.A.6-1162-TRW-0674R4</w:t>
            </w:r>
          </w:p>
        </w:tc>
      </w:t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3"/>
              </w:rPr>
              <w:t>Business Considerations</w:t>
            </w:r>
          </w:p>
        </w:tc>
        <w:tc>
          <w:tcPr>
            <w:tcW w:w="800" w:type="dxa"/>
            <w:vAlign w:val="bottom"/>
          </w:tcPr>
          <w:p>
            <w:pPr>
              <w:spacing w:after="0"/>
              <w:rPr>
                <w:sz w:val="17"/>
                <w:szCs w:val="17"/>
                <w:color w:val="auto"/>
              </w:rPr>
            </w:pPr>
          </w:p>
        </w:tc>
        <w:tc>
          <w:tcPr>
            <w:tcW w:w="1900" w:type="dxa"/>
            <w:vAlign w:val="bottom"/>
          </w:tcPr>
          <w:p>
            <w:pPr>
              <w:ind w:left="740"/>
              <w:spacing w:after="0"/>
              <w:rPr>
                <w:sz w:val="20"/>
                <w:szCs w:val="20"/>
                <w:color w:val="auto"/>
              </w:rPr>
            </w:pPr>
            <w:r>
              <w:rPr>
                <w:rFonts w:ascii="Arial" w:cs="Arial" w:eastAsia="Arial" w:hAnsi="Arial"/>
                <w:sz w:val="16"/>
                <w:szCs w:val="16"/>
                <w:color w:val="auto"/>
              </w:rPr>
              <w:t>Page 1</w:t>
            </w:r>
          </w:p>
        </w:tc>
      </w:tr>
    </w:tbl>
    <w:p>
      <w:pPr>
        <w:jc w:val="right"/>
        <w:ind w:right="3619"/>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0219"/>
          </w:cols>
          <w:pgMar w:left="240" w:top="1021" w:right="1440" w:bottom="1440" w:gutter="0" w:footer="0" w:header="0"/>
        </w:sectPr>
      </w:pPr>
    </w:p>
    <w:bookmarkStart w:id="168" w:name="page169"/>
    <w:bookmarkEnd w:id="168"/>
    <w:p>
      <w:pPr>
        <w:ind w:left="5046"/>
        <w:spacing w:after="0"/>
        <w:rPr>
          <w:sz w:val="20"/>
          <w:szCs w:val="20"/>
          <w:color w:val="auto"/>
        </w:rPr>
      </w:pPr>
      <w:r>
        <w:rPr>
          <w:sz w:val="1"/>
          <w:szCs w:val="1"/>
          <w:color w:val="auto"/>
        </w:rPr>
        <w:drawing>
          <wp:inline distT="0" distB="0" distL="0" distR="0">
            <wp:extent cx="1396365" cy="31178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9"/>
          <w:szCs w:val="19"/>
          <w:color w:val="auto"/>
        </w:rPr>
        <w:t>AAL-PA-3219-LA-08836R2</w:t>
      </w:r>
    </w:p>
    <w:p>
      <w:pPr>
        <w:spacing w:after="0" w:line="285"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Texas 75261-9616</w:t>
      </w:r>
    </w:p>
    <w:p>
      <w:pPr>
        <w:sectPr>
          <w:pgSz w:w="11900" w:h="16838" w:orient="portrait"/>
          <w:cols w:equalWidth="0" w:num="1">
            <w:col w:w="11446"/>
          </w:cols>
          <w:pgMar w:left="234" w:top="139" w:right="219" w:bottom="1440" w:gutter="0" w:footer="0" w:header="0"/>
        </w:sectPr>
      </w:pPr>
    </w:p>
    <w:p>
      <w:pPr>
        <w:spacing w:after="0" w:line="269" w:lineRule="exact"/>
        <w:rPr>
          <w:sz w:val="20"/>
          <w:szCs w:val="20"/>
          <w:color w:val="auto"/>
        </w:rPr>
      </w:pPr>
    </w:p>
    <w:p>
      <w:pPr>
        <w:ind w:left="6"/>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sectPr>
          <w:pgSz w:w="11900" w:h="16838" w:orient="portrait"/>
          <w:cols w:equalWidth="0" w:num="2">
            <w:col w:w="606" w:space="520"/>
            <w:col w:w="10320"/>
          </w:cols>
          <w:pgMar w:left="234" w:top="139" w:right="21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Arial" w:cs="Arial" w:eastAsia="Arial" w:hAnsi="Arial"/>
          <w:sz w:val="19"/>
          <w:szCs w:val="19"/>
          <w:color w:val="auto"/>
        </w:rPr>
        <w:t>Purchase Agreement No. 3219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806" w:space="320"/>
            <w:col w:w="10320"/>
          </w:cols>
          <w:pgMar w:left="234" w:top="139" w:right="219" w:bottom="1440" w:gutter="0" w:footer="0" w:header="0"/>
          <w:type w:val="continuous"/>
        </w:sectPr>
      </w:pPr>
    </w:p>
    <w:p>
      <w:pPr>
        <w:spacing w:after="0" w:line="41" w:lineRule="exact"/>
        <w:rPr>
          <w:sz w:val="20"/>
          <w:szCs w:val="20"/>
          <w:color w:val="auto"/>
        </w:rPr>
      </w:pPr>
    </w:p>
    <w:p>
      <w:pPr>
        <w:ind w:left="6"/>
        <w:spacing w:after="0" w:line="266"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have the same meaning as in the Purchase Agreement.</w:t>
      </w:r>
    </w:p>
    <w:p>
      <w:pPr>
        <w:spacing w:after="0" w:line="147"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Boeing recognizes that performance retention within reasonable limits is essential to maintain the economy of operation of the Aircraft. Therefore the parties hereto agree as follows with respect to performance retention.</w:t>
      </w:r>
    </w:p>
    <w:p>
      <w:pPr>
        <w:spacing w:after="0" w:line="147" w:lineRule="exact"/>
        <w:rPr>
          <w:sz w:val="20"/>
          <w:szCs w:val="20"/>
          <w:color w:val="auto"/>
        </w:rPr>
      </w:pPr>
    </w:p>
    <w:p>
      <w:pPr>
        <w:ind w:left="766" w:hanging="766"/>
        <w:spacing w:after="0"/>
        <w:tabs>
          <w:tab w:leader="none" w:pos="76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Aircraft Commitment.</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 xml:space="preserve">For the purposes of this Letter Agreement, the </w:t>
      </w:r>
      <w:r>
        <w:rPr>
          <w:rFonts w:ascii="Arial" w:cs="Arial" w:eastAsia="Arial" w:hAnsi="Arial"/>
          <w:sz w:val="19"/>
          <w:szCs w:val="19"/>
          <w:b w:val="1"/>
          <w:bCs w:val="1"/>
          <w:i w:val="1"/>
          <w:iCs w:val="1"/>
          <w:color w:val="auto"/>
        </w:rPr>
        <w:t>Covered Aircraft</w:t>
      </w:r>
      <w:r>
        <w:rPr>
          <w:rFonts w:ascii="Arial" w:cs="Arial" w:eastAsia="Arial" w:hAnsi="Arial"/>
          <w:sz w:val="19"/>
          <w:szCs w:val="19"/>
          <w:color w:val="auto"/>
        </w:rPr>
        <w:t xml:space="preserve"> shall be defined as a [*CTR].</w:t>
      </w:r>
    </w:p>
    <w:p>
      <w:pPr>
        <w:spacing w:after="0" w:line="191"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Boeing commits to Customer that, [*CTR], as defined in Attachment A, during the Performance Retention Term, as defined in Paragraph 2 below, will not exceed the levels shown in the table below (</w:t>
      </w:r>
      <w:r>
        <w:rPr>
          <w:rFonts w:ascii="Arial" w:cs="Arial" w:eastAsia="Arial" w:hAnsi="Arial"/>
          <w:sz w:val="19"/>
          <w:szCs w:val="19"/>
          <w:b w:val="1"/>
          <w:bCs w:val="1"/>
          <w:i w:val="1"/>
          <w:iCs w:val="1"/>
          <w:color w:val="auto"/>
        </w:rPr>
        <w:t>Aircraft Commitment</w:t>
      </w:r>
      <w:r>
        <w:rPr>
          <w:rFonts w:ascii="Arial" w:cs="Arial" w:eastAsia="Arial" w:hAnsi="Arial"/>
          <w:sz w:val="19"/>
          <w:szCs w:val="19"/>
          <w:color w:val="auto"/>
        </w:rPr>
        <w:t>).</w:t>
      </w:r>
    </w:p>
    <w:p>
      <w:pPr>
        <w:spacing w:after="0" w:line="252" w:lineRule="exact"/>
        <w:rPr>
          <w:sz w:val="20"/>
          <w:szCs w:val="20"/>
          <w:color w:val="auto"/>
        </w:rPr>
      </w:pPr>
    </w:p>
    <w:tbl>
      <w:tblPr>
        <w:tblLayout w:type="fixed"/>
        <w:tblInd w:w="16" w:type="dxa"/>
        <w:tblCellMar>
          <w:top w:w="0" w:type="dxa"/>
          <w:left w:w="0" w:type="dxa"/>
          <w:bottom w:w="0" w:type="dxa"/>
          <w:right w:w="0" w:type="dxa"/>
        </w:tblCellMar>
      </w:tblPr>
      <w:tr>
        <w:trPr>
          <w:trHeight w:val="227"/>
        </w:trPr>
        <w:tc>
          <w:tcPr>
            <w:tcW w:w="760" w:type="dxa"/>
            <w:vAlign w:val="bottom"/>
            <w:tcBorders>
              <w:top w:val="single" w:sz="8" w:color="auto"/>
              <w:left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9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9"/>
                <w:szCs w:val="19"/>
                <w:color w:val="auto"/>
              </w:rPr>
              <w:t>Time After Delivery of the First Covered Aircraft</w:t>
            </w:r>
          </w:p>
        </w:tc>
        <w:tc>
          <w:tcPr>
            <w:tcW w:w="3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Cumulative Fleet Average Fuel Mileage</w:t>
            </w:r>
          </w:p>
        </w:tc>
      </w:tr>
      <w:tr>
        <w:trPr>
          <w:trHeight w:val="246"/>
        </w:trPr>
        <w:tc>
          <w:tcPr>
            <w:tcW w:w="76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Deterioration Commitment (%)</w:t>
            </w:r>
          </w:p>
        </w:tc>
      </w:tr>
      <w:tr>
        <w:trPr>
          <w:trHeight w:val="249"/>
        </w:trPr>
        <w:tc>
          <w:tcPr>
            <w:tcW w:w="7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49"/>
        </w:trPr>
        <w:tc>
          <w:tcPr>
            <w:tcW w:w="7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249"/>
        </w:trPr>
        <w:tc>
          <w:tcPr>
            <w:tcW w:w="7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9"/>
                <w:szCs w:val="19"/>
                <w:color w:val="auto"/>
              </w:rPr>
              <w:t>[*CTR]</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[*CTR]</w:t>
            </w:r>
          </w:p>
        </w:tc>
      </w:tr>
      <w:tr>
        <w:trPr>
          <w:trHeight w:val="417"/>
        </w:trPr>
        <w:tc>
          <w:tcPr>
            <w:tcW w:w="760" w:type="dxa"/>
            <w:vAlign w:val="bottom"/>
          </w:tcPr>
          <w:p>
            <w:pPr>
              <w:spacing w:after="0"/>
              <w:rPr>
                <w:sz w:val="20"/>
                <w:szCs w:val="20"/>
                <w:color w:val="auto"/>
              </w:rPr>
            </w:pPr>
            <w:r>
              <w:rPr>
                <w:rFonts w:ascii="Arial" w:cs="Arial" w:eastAsia="Arial" w:hAnsi="Arial"/>
                <w:sz w:val="19"/>
                <w:szCs w:val="19"/>
                <w:color w:val="auto"/>
              </w:rPr>
              <w:t>[*CTR]</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7"/>
        </w:trPr>
        <w:tc>
          <w:tcPr>
            <w:tcW w:w="760" w:type="dxa"/>
            <w:vAlign w:val="bottom"/>
          </w:tcPr>
          <w:p>
            <w:pPr>
              <w:spacing w:after="0"/>
              <w:rPr>
                <w:sz w:val="20"/>
                <w:szCs w:val="20"/>
                <w:color w:val="auto"/>
              </w:rPr>
            </w:pPr>
            <w:r>
              <w:rPr>
                <w:rFonts w:ascii="Arial" w:cs="Arial" w:eastAsia="Arial" w:hAnsi="Arial"/>
                <w:sz w:val="19"/>
                <w:szCs w:val="19"/>
                <w:color w:val="auto"/>
              </w:rPr>
              <w:t>2.</w:t>
            </w:r>
          </w:p>
        </w:tc>
        <w:tc>
          <w:tcPr>
            <w:tcW w:w="7260" w:type="dxa"/>
            <w:vAlign w:val="bottom"/>
            <w:gridSpan w:val="4"/>
          </w:tcPr>
          <w:p>
            <w:pPr>
              <w:spacing w:after="0"/>
              <w:rPr>
                <w:sz w:val="20"/>
                <w:szCs w:val="20"/>
                <w:color w:val="auto"/>
              </w:rPr>
            </w:pPr>
            <w:r>
              <w:rPr>
                <w:rFonts w:ascii="Arial" w:cs="Arial" w:eastAsia="Arial" w:hAnsi="Arial"/>
                <w:sz w:val="19"/>
                <w:szCs w:val="19"/>
                <w:color w:val="auto"/>
              </w:rPr>
              <w:t>Applicability and Performance Retention Term.</w:t>
            </w:r>
          </w:p>
        </w:tc>
        <w:tc>
          <w:tcPr>
            <w:tcW w:w="3440" w:type="dxa"/>
            <w:vAlign w:val="bottom"/>
          </w:tcPr>
          <w:p>
            <w:pPr>
              <w:spacing w:after="0"/>
              <w:rPr>
                <w:sz w:val="24"/>
                <w:szCs w:val="24"/>
                <w:color w:val="auto"/>
              </w:rPr>
            </w:pPr>
          </w:p>
        </w:tc>
      </w:tr>
      <w:tr>
        <w:trPr>
          <w:trHeight w:val="434"/>
        </w:trPr>
        <w:tc>
          <w:tcPr>
            <w:tcW w:w="760" w:type="dxa"/>
            <w:vAlign w:val="bottom"/>
          </w:tcPr>
          <w:p>
            <w:pPr>
              <w:spacing w:after="0"/>
              <w:rPr>
                <w:sz w:val="20"/>
                <w:szCs w:val="20"/>
                <w:color w:val="auto"/>
              </w:rPr>
            </w:pPr>
            <w:r>
              <w:rPr>
                <w:rFonts w:ascii="Arial" w:cs="Arial" w:eastAsia="Arial" w:hAnsi="Arial"/>
                <w:sz w:val="19"/>
                <w:szCs w:val="19"/>
                <w:color w:val="auto"/>
              </w:rPr>
              <w:t>[*CTR]</w:t>
            </w:r>
          </w:p>
        </w:tc>
        <w:tc>
          <w:tcPr>
            <w:tcW w:w="4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44"/>
        </w:trPr>
        <w:tc>
          <w:tcPr>
            <w:tcW w:w="1200" w:type="dxa"/>
            <w:vAlign w:val="bottom"/>
            <w:gridSpan w:val="2"/>
          </w:tcPr>
          <w:p>
            <w:pPr>
              <w:spacing w:after="0"/>
              <w:rPr>
                <w:sz w:val="20"/>
                <w:szCs w:val="20"/>
                <w:color w:val="auto"/>
              </w:rPr>
            </w:pPr>
            <w:r>
              <w:rPr>
                <w:rFonts w:ascii="Arial" w:cs="Arial" w:eastAsia="Arial" w:hAnsi="Arial"/>
                <w:sz w:val="14"/>
                <w:szCs w:val="14"/>
                <w:color w:val="auto"/>
              </w:rPr>
              <w:t>P.A. No. 3219</w:t>
            </w:r>
          </w:p>
        </w:tc>
        <w:tc>
          <w:tcPr>
            <w:tcW w:w="860" w:type="dxa"/>
            <w:vAlign w:val="bottom"/>
          </w:tcPr>
          <w:p>
            <w:pPr>
              <w:ind w:left="420"/>
              <w:spacing w:after="0"/>
              <w:rPr>
                <w:sz w:val="20"/>
                <w:szCs w:val="20"/>
                <w:color w:val="auto"/>
              </w:rPr>
            </w:pPr>
            <w:r>
              <w:rPr>
                <w:rFonts w:ascii="Arial" w:cs="Arial" w:eastAsia="Arial" w:hAnsi="Arial"/>
                <w:sz w:val="14"/>
                <w:szCs w:val="14"/>
                <w:color w:val="auto"/>
              </w:rPr>
              <w:t>SA-11</w:t>
            </w:r>
          </w:p>
        </w:tc>
        <w:tc>
          <w:tcPr>
            <w:tcW w:w="5960" w:type="dxa"/>
            <w:vAlign w:val="bottom"/>
            <w:gridSpan w:val="2"/>
          </w:tcPr>
          <w:p>
            <w:pPr>
              <w:ind w:left="520"/>
              <w:spacing w:after="0"/>
              <w:rPr>
                <w:sz w:val="20"/>
                <w:szCs w:val="20"/>
                <w:color w:val="auto"/>
              </w:rPr>
            </w:pPr>
            <w:r>
              <w:rPr>
                <w:rFonts w:ascii="Arial" w:cs="Arial" w:eastAsia="Arial" w:hAnsi="Arial"/>
                <w:sz w:val="14"/>
                <w:szCs w:val="14"/>
                <w:color w:val="auto"/>
              </w:rPr>
              <w:t>AAL-PA-3219-LA-08836R2</w:t>
            </w:r>
          </w:p>
        </w:tc>
        <w:tc>
          <w:tcPr>
            <w:tcW w:w="3440" w:type="dxa"/>
            <w:vAlign w:val="bottom"/>
          </w:tcPr>
          <w:p>
            <w:pPr>
              <w:spacing w:after="0"/>
              <w:rPr>
                <w:sz w:val="24"/>
                <w:szCs w:val="24"/>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4"/>
                <w:szCs w:val="14"/>
                <w:color w:val="auto"/>
              </w:rPr>
              <w:t>[*CTR]</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60" w:type="dxa"/>
            <w:vAlign w:val="bottom"/>
            <w:gridSpan w:val="2"/>
          </w:tcPr>
          <w:p>
            <w:pPr>
              <w:ind w:left="160"/>
              <w:spacing w:after="0"/>
              <w:rPr>
                <w:sz w:val="20"/>
                <w:szCs w:val="20"/>
                <w:color w:val="auto"/>
              </w:rPr>
            </w:pPr>
            <w:r>
              <w:rPr>
                <w:rFonts w:ascii="Arial" w:cs="Arial" w:eastAsia="Arial" w:hAnsi="Arial"/>
                <w:sz w:val="14"/>
                <w:szCs w:val="14"/>
                <w:color w:val="auto"/>
              </w:rPr>
              <w:t>Page 1</w:t>
            </w:r>
          </w:p>
        </w:tc>
        <w:tc>
          <w:tcPr>
            <w:tcW w:w="3440" w:type="dxa"/>
            <w:vAlign w:val="bottom"/>
          </w:tcPr>
          <w:p>
            <w:pPr>
              <w:spacing w:after="0"/>
              <w:rPr>
                <w:sz w:val="15"/>
                <w:szCs w:val="15"/>
                <w:color w:val="auto"/>
              </w:rPr>
            </w:pP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type w:val="continuous"/>
        </w:sectPr>
      </w:pPr>
    </w:p>
    <w:bookmarkStart w:id="169" w:name="page170"/>
    <w:bookmarkEnd w:id="169"/>
    <w:p>
      <w:pPr>
        <w:ind w:left="7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2.1</w:t>
      </w:r>
      <w:r>
        <w:rPr>
          <w:rFonts w:ascii="Arial" w:cs="Arial" w:eastAsia="Arial" w:hAnsi="Arial"/>
          <w:sz w:val="18"/>
          <w:szCs w:val="18"/>
          <w:u w:val="single" w:color="auto"/>
          <w:color w:val="auto"/>
        </w:rPr>
        <w:t>Delivery Schedule for Covered Aircraft.</w:t>
      </w:r>
    </w:p>
    <w:p>
      <w:pPr>
        <w:spacing w:after="0" w:line="202" w:lineRule="exact"/>
        <w:rPr>
          <w:sz w:val="20"/>
          <w:szCs w:val="20"/>
          <w:color w:val="auto"/>
        </w:rPr>
      </w:pPr>
    </w:p>
    <w:p>
      <w:pPr>
        <w:jc w:val="both"/>
        <w:ind w:left="6" w:firstLine="772"/>
        <w:spacing w:after="0" w:line="255" w:lineRule="auto"/>
        <w:rPr>
          <w:sz w:val="20"/>
          <w:szCs w:val="20"/>
          <w:color w:val="auto"/>
        </w:rPr>
      </w:pPr>
      <w:r>
        <w:rPr>
          <w:rFonts w:ascii="Arial" w:cs="Arial" w:eastAsia="Arial" w:hAnsi="Arial"/>
          <w:sz w:val="19"/>
          <w:szCs w:val="19"/>
          <w:color w:val="auto"/>
        </w:rPr>
        <w:t>For the purposes of this Letter Agreement, it is anticipated that Boeing will deliver the Covered Aircraft to Customer in accordance with the following delivery schedule set forth in Attachment C. If the fleet size and delivery schedule is significantly different, the Aircraft Commitment may be appropriately adjusted to reflect such changes.</w:t>
      </w:r>
    </w:p>
    <w:p>
      <w:pPr>
        <w:spacing w:after="0" w:line="251" w:lineRule="exact"/>
        <w:rPr>
          <w:sz w:val="20"/>
          <w:szCs w:val="20"/>
          <w:color w:val="auto"/>
        </w:rPr>
      </w:pPr>
    </w:p>
    <w:p>
      <w:pPr>
        <w:ind w:left="766"/>
        <w:spacing w:after="0"/>
        <w:rPr>
          <w:sz w:val="20"/>
          <w:szCs w:val="20"/>
          <w:color w:val="auto"/>
        </w:rPr>
      </w:pPr>
      <w:r>
        <w:rPr>
          <w:rFonts w:ascii="Arial" w:cs="Arial" w:eastAsia="Arial" w:hAnsi="Arial"/>
          <w:sz w:val="16"/>
          <w:szCs w:val="16"/>
          <w:color w:val="auto"/>
        </w:rPr>
        <w:t>2.2</w:t>
      </w:r>
      <w:r>
        <w:rPr>
          <w:rFonts w:ascii="Arial" w:cs="Arial" w:eastAsia="Arial" w:hAnsi="Arial"/>
          <w:sz w:val="18"/>
          <w:szCs w:val="18"/>
          <w:u w:val="single" w:color="auto"/>
          <w:color w:val="auto"/>
        </w:rPr>
        <w:t>Performance Retention Term.</w:t>
      </w:r>
    </w:p>
    <w:p>
      <w:pPr>
        <w:spacing w:after="0" w:line="202"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Conditions.</w:t>
      </w:r>
    </w:p>
    <w:p>
      <w:pPr>
        <w:spacing w:after="0" w:line="190" w:lineRule="exact"/>
        <w:rPr>
          <w:rFonts w:ascii="Arial" w:cs="Arial" w:eastAsia="Arial" w:hAnsi="Arial"/>
          <w:sz w:val="19"/>
          <w:szCs w:val="19"/>
          <w:color w:val="auto"/>
        </w:rPr>
      </w:pPr>
    </w:p>
    <w:p>
      <w:pPr>
        <w:ind w:left="766"/>
        <w:spacing w:after="0"/>
        <w:rPr>
          <w:rFonts w:ascii="Arial" w:cs="Arial" w:eastAsia="Arial" w:hAnsi="Arial"/>
          <w:sz w:val="19"/>
          <w:szCs w:val="19"/>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Operation and Maintenance.</w:t>
      </w:r>
    </w:p>
    <w:p>
      <w:pPr>
        <w:spacing w:after="0" w:line="191" w:lineRule="exact"/>
        <w:rPr>
          <w:sz w:val="20"/>
          <w:szCs w:val="20"/>
          <w:color w:val="auto"/>
        </w:rPr>
      </w:pPr>
    </w:p>
    <w:p>
      <w:pPr>
        <w:jc w:val="both"/>
        <w:ind w:left="6" w:firstLine="760"/>
        <w:spacing w:after="0" w:line="228" w:lineRule="exact"/>
        <w:rPr>
          <w:sz w:val="20"/>
          <w:szCs w:val="20"/>
          <w:color w:val="auto"/>
        </w:rPr>
      </w:pPr>
      <w:r>
        <w:rPr>
          <w:rFonts w:ascii="Arial" w:cs="Arial" w:eastAsia="Arial" w:hAnsi="Arial"/>
          <w:sz w:val="18"/>
          <w:szCs w:val="18"/>
          <w:color w:val="auto"/>
        </w:rPr>
        <w:t>Customer shall operate and maintain the Covered Aircraft in accordance with Customer’s FAA</w:t>
      </w:r>
      <w:r>
        <w:rPr>
          <w:rFonts w:ascii="MS PGothic" w:cs="MS PGothic" w:eastAsia="MS PGothic" w:hAnsi="MS PGothic"/>
          <w:sz w:val="18"/>
          <w:szCs w:val="18"/>
          <w:color w:val="auto"/>
        </w:rPr>
        <w:t>‑</w:t>
      </w:r>
      <w:r>
        <w:rPr>
          <w:rFonts w:ascii="Arial" w:cs="Arial" w:eastAsia="Arial" w:hAnsi="Arial"/>
          <w:sz w:val="18"/>
          <w:szCs w:val="18"/>
          <w:color w:val="auto"/>
        </w:rPr>
        <w:t>approved operations and maintenance programs. Customer shall operate and maintain the engines in accordance with the Operation and Maintenance Manuals and Customer's Maintenance Program and an Engine Management Program mutually defined and agreed to by the Engine Manufacturer and Customer.</w:t>
      </w:r>
    </w:p>
    <w:p>
      <w:pPr>
        <w:spacing w:after="0" w:line="171" w:lineRule="exact"/>
        <w:rPr>
          <w:sz w:val="20"/>
          <w:szCs w:val="20"/>
          <w:color w:val="auto"/>
        </w:rPr>
      </w:pPr>
    </w:p>
    <w:p>
      <w:pPr>
        <w:ind w:left="766"/>
        <w:spacing w:after="0"/>
        <w:tabs>
          <w:tab w:leader="none" w:pos="1286"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6"/>
          <w:szCs w:val="16"/>
          <w:u w:val="single" w:color="auto"/>
          <w:color w:val="auto"/>
        </w:rPr>
        <w:t>Powerback.</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226"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Flight Cycle Utilization and Derate.</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Determination of Fuel Mileage Deterioration.</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1" w:lineRule="exact"/>
        <w:rPr>
          <w:sz w:val="20"/>
          <w:szCs w:val="20"/>
          <w:color w:val="auto"/>
        </w:rPr>
      </w:pPr>
    </w:p>
    <w:p>
      <w:pPr>
        <w:ind w:left="6" w:right="20"/>
        <w:spacing w:after="0" w:line="326" w:lineRule="auto"/>
        <w:rPr>
          <w:sz w:val="20"/>
          <w:szCs w:val="20"/>
          <w:color w:val="auto"/>
        </w:rPr>
      </w:pPr>
      <w:r>
        <w:rPr>
          <w:rFonts w:ascii="Arial" w:cs="Arial" w:eastAsia="Arial" w:hAnsi="Arial"/>
          <w:sz w:val="17"/>
          <w:szCs w:val="17"/>
          <w:color w:val="auto"/>
        </w:rPr>
        <w:t>Following the delivery of each Covered Aircraft to Customer by Boeing, and continuing until expiration of the Performance Retention Term, Customer shall record, analyze, and forward to Boeing cruise fuel mileage data obtained on such Covered Aircraft as specified in Attachment B (</w:t>
      </w:r>
      <w:r>
        <w:rPr>
          <w:rFonts w:ascii="Arial" w:cs="Arial" w:eastAsia="Arial" w:hAnsi="Arial"/>
          <w:sz w:val="17"/>
          <w:szCs w:val="17"/>
          <w:b w:val="1"/>
          <w:bCs w:val="1"/>
          <w:i w:val="1"/>
          <w:iCs w:val="1"/>
          <w:color w:val="auto"/>
        </w:rPr>
        <w:t>Basic Data</w:t>
      </w:r>
      <w:r>
        <w:rPr>
          <w:rFonts w:ascii="Arial" w:cs="Arial" w:eastAsia="Arial" w:hAnsi="Arial"/>
          <w:sz w:val="17"/>
          <w:szCs w:val="17"/>
          <w:color w:val="auto"/>
        </w:rPr>
        <w:t>).</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Notice of Performance Deterioration.</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400"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200" w:type="dxa"/>
            <w:vAlign w:val="bottom"/>
          </w:tcPr>
          <w:p>
            <w:pPr>
              <w:spacing w:after="0"/>
              <w:rPr>
                <w:sz w:val="20"/>
                <w:szCs w:val="20"/>
                <w:color w:val="auto"/>
              </w:rPr>
            </w:pPr>
            <w:r>
              <w:rPr>
                <w:rFonts w:ascii="Arial" w:cs="Arial" w:eastAsia="Arial" w:hAnsi="Arial"/>
                <w:sz w:val="14"/>
                <w:szCs w:val="14"/>
                <w:color w:val="auto"/>
              </w:rPr>
              <w:t>P.A. No. 3219</w:t>
            </w:r>
          </w:p>
        </w:tc>
        <w:tc>
          <w:tcPr>
            <w:tcW w:w="900" w:type="dxa"/>
            <w:vAlign w:val="bottom"/>
          </w:tcPr>
          <w:p>
            <w:pPr>
              <w:ind w:left="420"/>
              <w:spacing w:after="0"/>
              <w:rPr>
                <w:sz w:val="20"/>
                <w:szCs w:val="20"/>
                <w:color w:val="auto"/>
              </w:rPr>
            </w:pPr>
            <w:r>
              <w:rPr>
                <w:rFonts w:ascii="Arial" w:cs="Arial" w:eastAsia="Arial" w:hAnsi="Arial"/>
                <w:sz w:val="14"/>
                <w:szCs w:val="14"/>
                <w:color w:val="auto"/>
              </w:rPr>
              <w:t>SA-11</w:t>
            </w:r>
          </w:p>
        </w:tc>
        <w:tc>
          <w:tcPr>
            <w:tcW w:w="2120" w:type="dxa"/>
            <w:vAlign w:val="bottom"/>
          </w:tcPr>
          <w:p>
            <w:pPr>
              <w:ind w:left="480"/>
              <w:spacing w:after="0"/>
              <w:rPr>
                <w:sz w:val="20"/>
                <w:szCs w:val="20"/>
                <w:color w:val="auto"/>
              </w:rPr>
            </w:pPr>
            <w:r>
              <w:rPr>
                <w:rFonts w:ascii="Arial" w:cs="Arial" w:eastAsia="Arial" w:hAnsi="Arial"/>
                <w:sz w:val="14"/>
                <w:szCs w:val="14"/>
                <w:color w:val="auto"/>
                <w:w w:val="95"/>
              </w:rPr>
              <w:t>AAL-PA-3219-LA-08836R2</w:t>
            </w:r>
          </w:p>
        </w:tc>
      </w:tr>
      <w:tr>
        <w:trPr>
          <w:trHeight w:val="176"/>
        </w:trPr>
        <w:tc>
          <w:tcPr>
            <w:tcW w:w="1200" w:type="dxa"/>
            <w:vAlign w:val="bottom"/>
          </w:tcPr>
          <w:p>
            <w:pPr>
              <w:spacing w:after="0"/>
              <w:rPr>
                <w:sz w:val="20"/>
                <w:szCs w:val="20"/>
                <w:color w:val="auto"/>
              </w:rPr>
            </w:pPr>
            <w:r>
              <w:rPr>
                <w:rFonts w:ascii="Arial" w:cs="Arial" w:eastAsia="Arial" w:hAnsi="Arial"/>
                <w:sz w:val="14"/>
                <w:szCs w:val="14"/>
                <w:color w:val="auto"/>
              </w:rPr>
              <w:t>[*CTR]</w:t>
            </w:r>
          </w:p>
        </w:tc>
        <w:tc>
          <w:tcPr>
            <w:tcW w:w="90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2</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70" w:name="page171"/>
    <w:bookmarkEnd w:id="170"/>
    <w:p>
      <w:pPr>
        <w:ind w:left="766" w:hanging="766"/>
        <w:spacing w:after="0"/>
        <w:tabs>
          <w:tab w:leader="none" w:pos="76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Election of Actions</w:t>
      </w:r>
      <w:r>
        <w:rPr>
          <w:rFonts w:ascii="Arial" w:cs="Arial" w:eastAsia="Arial" w:hAnsi="Arial"/>
          <w:sz w:val="19"/>
          <w:szCs w:val="19"/>
          <w:color w:val="auto"/>
        </w:rPr>
        <w:t>.</w:t>
      </w:r>
    </w:p>
    <w:p>
      <w:pPr>
        <w:spacing w:after="0" w:line="191"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9"/>
          <w:szCs w:val="19"/>
          <w:color w:val="auto"/>
        </w:rPr>
        <w:t>Upon Boeing's receipt of any notice that the Cumulative Fleet Average Fuel Mileage Deterioration exceeds, or is likely to exceed the Aircraft Commitment, Boeing and Customer, as appropriate, will take the following actions:</w:t>
      </w:r>
    </w:p>
    <w:p>
      <w:pPr>
        <w:spacing w:after="0" w:line="147"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6"/>
          <w:szCs w:val="16"/>
          <w:u w:val="single" w:color="auto"/>
          <w:color w:val="auto"/>
        </w:rPr>
        <w:t>Data.</w:t>
      </w:r>
    </w:p>
    <w:p>
      <w:pPr>
        <w:spacing w:after="0" w:line="191" w:lineRule="exact"/>
        <w:rPr>
          <w:sz w:val="20"/>
          <w:szCs w:val="20"/>
          <w:color w:val="auto"/>
        </w:rPr>
      </w:pPr>
    </w:p>
    <w:p>
      <w:pPr>
        <w:jc w:val="both"/>
        <w:ind w:left="6" w:firstLine="772"/>
        <w:spacing w:after="0" w:line="262" w:lineRule="auto"/>
        <w:rPr>
          <w:sz w:val="20"/>
          <w:szCs w:val="20"/>
          <w:color w:val="auto"/>
        </w:rPr>
      </w:pPr>
      <w:r>
        <w:rPr>
          <w:rFonts w:ascii="Arial" w:cs="Arial" w:eastAsia="Arial" w:hAnsi="Arial"/>
          <w:sz w:val="18"/>
          <w:szCs w:val="18"/>
          <w:color w:val="auto"/>
        </w:rPr>
        <w:t>Boeing will evaluate the Basic Data. At its option, Boeing may accomplish such evaluation by analysis of Customer’s raw ACMS data or by obtaining additional performance data on such Covered Aircraft in accordance with Attachment B. Such additional data may include data acquired during revenue service with Boeing personnel aboard as observers. The Basic Data and any additional data obtained by Boeing in its evaluation shall be appropriately adjusted to reflect any material changes elected by Customer to the Covered Aircraft which have occurred subsequent to delivery of the Covered Aircraft, including any replacement of one or more of the engines installed on a Covered Aircraft. Additionally, adjustments will be applied for any relevant factors as agreed by Customer and Boeing (e.g., inaccuracies in flight deck instrumentation, a sudden increase in deterioration that is attributed to a foreign object damage event such as severe hail and the additional rate of deterioration for Aircraft used for pilot training). If Boeing and Customer are in disagreement as to such evaluation of the Basic Data, such disagreement shall be resolved by good faith technical negotiation between the parties including, as necessary, the Engine Manufacturer.</w:t>
      </w:r>
    </w:p>
    <w:p>
      <w:pPr>
        <w:spacing w:after="0" w:line="154" w:lineRule="exact"/>
        <w:rPr>
          <w:sz w:val="20"/>
          <w:szCs w:val="20"/>
          <w:color w:val="auto"/>
        </w:rPr>
      </w:pPr>
    </w:p>
    <w:p>
      <w:pPr>
        <w:ind w:left="766"/>
        <w:spacing w:after="0"/>
        <w:tabs>
          <w:tab w:leader="none" w:pos="116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6"/>
          <w:szCs w:val="16"/>
          <w:u w:val="single" w:color="auto"/>
          <w:color w:val="auto"/>
        </w:rPr>
        <w:t>Surveys.</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166"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7"/>
          <w:szCs w:val="17"/>
          <w:u w:val="single" w:color="auto"/>
          <w:color w:val="auto"/>
        </w:rPr>
        <w:t>Weight.</w:t>
      </w:r>
    </w:p>
    <w:p>
      <w:pPr>
        <w:spacing w:after="0" w:line="191" w:lineRule="exact"/>
        <w:rPr>
          <w:sz w:val="20"/>
          <w:szCs w:val="20"/>
          <w:color w:val="auto"/>
        </w:rPr>
      </w:pPr>
    </w:p>
    <w:p>
      <w:pPr>
        <w:jc w:val="both"/>
        <w:ind w:left="6" w:firstLine="772"/>
        <w:spacing w:after="0" w:line="266" w:lineRule="auto"/>
        <w:rPr>
          <w:sz w:val="20"/>
          <w:szCs w:val="20"/>
          <w:color w:val="auto"/>
        </w:rPr>
      </w:pPr>
      <w:r>
        <w:rPr>
          <w:rFonts w:ascii="Arial" w:cs="Arial" w:eastAsia="Arial" w:hAnsi="Arial"/>
          <w:sz w:val="19"/>
          <w:szCs w:val="19"/>
          <w:color w:val="auto"/>
        </w:rPr>
        <w:t>Boeing may request that Customer weigh such Covered Aircraft, in which event Customer agrees to weigh such Covered Aircraft in conjunction with its normally scheduled maintenance and will report its findings to Boeing.</w:t>
      </w:r>
    </w:p>
    <w:p>
      <w:pPr>
        <w:spacing w:after="0" w:line="147" w:lineRule="exact"/>
        <w:rPr>
          <w:sz w:val="20"/>
          <w:szCs w:val="20"/>
          <w:color w:val="auto"/>
        </w:rPr>
      </w:pPr>
    </w:p>
    <w:p>
      <w:pPr>
        <w:ind w:left="766"/>
        <w:spacing w:after="0"/>
        <w:tabs>
          <w:tab w:leader="none" w:pos="1286"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7"/>
          <w:szCs w:val="17"/>
          <w:u w:val="single" w:color="auto"/>
          <w:color w:val="auto"/>
        </w:rPr>
        <w:t>Corrective Actions.</w:t>
      </w:r>
    </w:p>
    <w:p>
      <w:pPr>
        <w:spacing w:after="0" w:line="191" w:lineRule="exact"/>
        <w:rPr>
          <w:sz w:val="20"/>
          <w:szCs w:val="20"/>
          <w:color w:val="auto"/>
        </w:rPr>
      </w:pPr>
    </w:p>
    <w:p>
      <w:pPr>
        <w:jc w:val="both"/>
        <w:ind w:left="6" w:firstLine="760"/>
        <w:spacing w:after="0" w:line="225" w:lineRule="exact"/>
        <w:rPr>
          <w:sz w:val="20"/>
          <w:szCs w:val="20"/>
          <w:color w:val="auto"/>
        </w:rPr>
      </w:pPr>
      <w:r>
        <w:rPr>
          <w:rFonts w:ascii="Arial" w:cs="Arial" w:eastAsia="Arial" w:hAnsi="Arial"/>
          <w:sz w:val="19"/>
          <w:szCs w:val="19"/>
          <w:color w:val="auto"/>
        </w:rPr>
        <w:t xml:space="preserve">Boeing shall promptly make such recommendations to Customer that Boeing believes would result in improvement of the cruise fuel mileage performance of such Covered Aircraft based on analysis of the surveys and available data pursuant to Paragraphs 6.1 </w:t>
      </w:r>
      <w:r>
        <w:rPr>
          <w:rFonts w:ascii="MS PGothic" w:cs="MS PGothic" w:eastAsia="MS PGothic" w:hAnsi="MS PGothic"/>
          <w:sz w:val="19"/>
          <w:szCs w:val="19"/>
          <w:color w:val="auto"/>
        </w:rPr>
        <w:t>‑</w:t>
      </w:r>
      <w:r>
        <w:rPr>
          <w:rFonts w:ascii="Arial" w:cs="Arial" w:eastAsia="Arial" w:hAnsi="Arial"/>
          <w:sz w:val="19"/>
          <w:szCs w:val="19"/>
          <w:color w:val="auto"/>
        </w:rPr>
        <w:t xml:space="preserve"> 6.3. Boeing, Engine Manufacturer and Customer shall thereafter mutually agree on the appropriate corrective action to be taken based on any such recommendations. Corrective actions, which involve maintenance and/or refurbishment, as described in Paragraph 6.2, both on</w:t>
      </w:r>
      <w:r>
        <w:rPr>
          <w:rFonts w:ascii="MS PGothic" w:cs="MS PGothic" w:eastAsia="MS PGothic" w:hAnsi="MS PGothic"/>
          <w:sz w:val="19"/>
          <w:szCs w:val="19"/>
          <w:color w:val="auto"/>
        </w:rPr>
        <w:t>‑</w:t>
      </w:r>
      <w:r>
        <w:rPr>
          <w:rFonts w:ascii="Arial" w:cs="Arial" w:eastAsia="Arial" w:hAnsi="Arial"/>
          <w:sz w:val="19"/>
          <w:szCs w:val="19"/>
          <w:color w:val="auto"/>
        </w:rPr>
        <w:t>wing and off</w:t>
      </w:r>
      <w:r>
        <w:rPr>
          <w:rFonts w:ascii="MS PGothic" w:cs="MS PGothic" w:eastAsia="MS PGothic" w:hAnsi="MS PGothic"/>
          <w:sz w:val="19"/>
          <w:szCs w:val="19"/>
          <w:color w:val="auto"/>
        </w:rPr>
        <w:t>‑</w:t>
      </w:r>
      <w:r>
        <w:rPr>
          <w:rFonts w:ascii="Arial" w:cs="Arial" w:eastAsia="Arial" w:hAnsi="Arial"/>
          <w:sz w:val="19"/>
          <w:szCs w:val="19"/>
          <w:color w:val="auto"/>
        </w:rPr>
        <w:t>wing, shall be performed at no cost to Boeing and/or Engine Manufacturer.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200" w:type="dxa"/>
            <w:vAlign w:val="bottom"/>
          </w:tcPr>
          <w:p>
            <w:pPr>
              <w:spacing w:after="0"/>
              <w:rPr>
                <w:sz w:val="20"/>
                <w:szCs w:val="20"/>
                <w:color w:val="auto"/>
              </w:rPr>
            </w:pPr>
            <w:r>
              <w:rPr>
                <w:rFonts w:ascii="Arial" w:cs="Arial" w:eastAsia="Arial" w:hAnsi="Arial"/>
                <w:sz w:val="14"/>
                <w:szCs w:val="14"/>
                <w:color w:val="auto"/>
              </w:rPr>
              <w:t>P.A. No. 3219</w:t>
            </w:r>
          </w:p>
        </w:tc>
        <w:tc>
          <w:tcPr>
            <w:tcW w:w="900" w:type="dxa"/>
            <w:vAlign w:val="bottom"/>
          </w:tcPr>
          <w:p>
            <w:pPr>
              <w:ind w:left="420"/>
              <w:spacing w:after="0"/>
              <w:rPr>
                <w:sz w:val="20"/>
                <w:szCs w:val="20"/>
                <w:color w:val="auto"/>
              </w:rPr>
            </w:pPr>
            <w:r>
              <w:rPr>
                <w:rFonts w:ascii="Arial" w:cs="Arial" w:eastAsia="Arial" w:hAnsi="Arial"/>
                <w:sz w:val="14"/>
                <w:szCs w:val="14"/>
                <w:color w:val="auto"/>
              </w:rPr>
              <w:t>SA-11</w:t>
            </w:r>
          </w:p>
        </w:tc>
        <w:tc>
          <w:tcPr>
            <w:tcW w:w="2120" w:type="dxa"/>
            <w:vAlign w:val="bottom"/>
          </w:tcPr>
          <w:p>
            <w:pPr>
              <w:ind w:left="480"/>
              <w:spacing w:after="0"/>
              <w:rPr>
                <w:sz w:val="20"/>
                <w:szCs w:val="20"/>
                <w:color w:val="auto"/>
              </w:rPr>
            </w:pPr>
            <w:r>
              <w:rPr>
                <w:rFonts w:ascii="Arial" w:cs="Arial" w:eastAsia="Arial" w:hAnsi="Arial"/>
                <w:sz w:val="14"/>
                <w:szCs w:val="14"/>
                <w:color w:val="auto"/>
                <w:w w:val="95"/>
              </w:rPr>
              <w:t>AAL-PA-3219-LA-08836R2</w:t>
            </w:r>
          </w:p>
        </w:tc>
      </w:tr>
      <w:tr>
        <w:trPr>
          <w:trHeight w:val="176"/>
        </w:trPr>
        <w:tc>
          <w:tcPr>
            <w:tcW w:w="1200" w:type="dxa"/>
            <w:vAlign w:val="bottom"/>
          </w:tcPr>
          <w:p>
            <w:pPr>
              <w:spacing w:after="0"/>
              <w:rPr>
                <w:sz w:val="20"/>
                <w:szCs w:val="20"/>
                <w:color w:val="auto"/>
              </w:rPr>
            </w:pPr>
            <w:r>
              <w:rPr>
                <w:rFonts w:ascii="Arial" w:cs="Arial" w:eastAsia="Arial" w:hAnsi="Arial"/>
                <w:sz w:val="14"/>
                <w:szCs w:val="14"/>
                <w:color w:val="auto"/>
              </w:rPr>
              <w:t>[*CTR]</w:t>
            </w:r>
          </w:p>
        </w:tc>
        <w:tc>
          <w:tcPr>
            <w:tcW w:w="90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3</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71" w:name="page172"/>
    <w:bookmarkEnd w:id="171"/>
    <w:p>
      <w:pPr>
        <w:ind w:left="766"/>
        <w:spacing w:after="0"/>
        <w:tabs>
          <w:tab w:leader="none" w:pos="1166"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6.5</w:t>
      </w:r>
      <w:r>
        <w:rPr>
          <w:sz w:val="20"/>
          <w:szCs w:val="20"/>
          <w:color w:val="auto"/>
        </w:rPr>
        <w:tab/>
      </w:r>
      <w:r>
        <w:rPr>
          <w:rFonts w:ascii="Arial" w:cs="Arial" w:eastAsia="Arial" w:hAnsi="Arial"/>
          <w:sz w:val="16"/>
          <w:szCs w:val="16"/>
          <w:u w:val="single" w:color="auto"/>
          <w:color w:val="auto"/>
        </w:rPr>
        <w:t>Improvement Parts and Engine Refurbishment.</w:t>
      </w:r>
    </w:p>
    <w:p>
      <w:pPr>
        <w:spacing w:after="0" w:line="238" w:lineRule="exact"/>
        <w:rPr>
          <w:sz w:val="20"/>
          <w:szCs w:val="20"/>
          <w:color w:val="auto"/>
        </w:rPr>
      </w:pPr>
    </w:p>
    <w:p>
      <w:pPr>
        <w:ind w:left="766"/>
        <w:spacing w:after="0"/>
        <w:rPr>
          <w:sz w:val="20"/>
          <w:szCs w:val="20"/>
          <w:color w:val="auto"/>
        </w:rPr>
      </w:pPr>
      <w:r>
        <w:rPr>
          <w:rFonts w:ascii="Arial" w:cs="Arial" w:eastAsia="Arial" w:hAnsi="Arial"/>
          <w:sz w:val="19"/>
          <w:szCs w:val="19"/>
          <w:color w:val="auto"/>
        </w:rPr>
        <w:t>Following the completion of any corrective action pursuant to Paragraph 6.4, if subsequent Basic Data show that the [*CTR].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1126" w:right="7560" w:hanging="351"/>
        <w:spacing w:after="0" w:line="472" w:lineRule="auto"/>
        <w:rPr>
          <w:rFonts w:ascii="Arial" w:cs="Arial" w:eastAsia="Arial" w:hAnsi="Arial"/>
          <w:sz w:val="19"/>
          <w:szCs w:val="19"/>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Annual Excess Fuel Burn Amount.</w:t>
      </w:r>
      <w:r>
        <w:rPr>
          <w:rFonts w:ascii="Arial" w:cs="Arial" w:eastAsia="Arial" w:hAnsi="Arial"/>
          <w:sz w:val="19"/>
          <w:szCs w:val="19"/>
          <w:color w:val="auto"/>
        </w:rPr>
        <w:t xml:space="preserve"> [*CTR]:</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166"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7"/>
          <w:szCs w:val="17"/>
          <w:u w:val="single" w:color="auto"/>
          <w:color w:val="auto"/>
        </w:rPr>
        <w:t>Credit Memorandum</w:t>
      </w:r>
      <w:r>
        <w:rPr>
          <w:rFonts w:ascii="Arial" w:cs="Arial" w:eastAsia="Arial" w:hAnsi="Arial"/>
          <w:sz w:val="17"/>
          <w:szCs w:val="17"/>
          <w:color w:val="auto"/>
        </w:rPr>
        <w:t>.</w:t>
      </w:r>
    </w:p>
    <w:p>
      <w:pPr>
        <w:spacing w:after="0" w:line="191"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226"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u w:val="single" w:color="auto"/>
          <w:color w:val="auto"/>
        </w:rPr>
        <w:t>Credit Adjustments</w:t>
      </w:r>
      <w:r>
        <w:rPr>
          <w:rFonts w:ascii="Arial" w:cs="Arial" w:eastAsia="Arial" w:hAnsi="Arial"/>
          <w:sz w:val="17"/>
          <w:szCs w:val="17"/>
          <w:color w:val="auto"/>
        </w:rPr>
        <w:t>.</w:t>
      </w:r>
    </w:p>
    <w:p>
      <w:pPr>
        <w:spacing w:after="0" w:line="191"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spacing w:after="0"/>
        <w:tabs>
          <w:tab w:leader="none" w:pos="1166"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7"/>
          <w:szCs w:val="17"/>
          <w:u w:val="single" w:color="auto"/>
          <w:color w:val="auto"/>
        </w:rPr>
        <w:t>Limitation on Amount of Credits.</w:t>
      </w:r>
    </w:p>
    <w:p>
      <w:pPr>
        <w:spacing w:after="0" w:line="191"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766" w:hanging="766"/>
        <w:spacing w:after="0"/>
        <w:tabs>
          <w:tab w:leader="none" w:pos="766"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Duplication of Benefits</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766" w:hanging="766"/>
        <w:spacing w:after="0"/>
        <w:tabs>
          <w:tab w:leader="none" w:pos="766"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Assignment Prohibited</w:t>
      </w:r>
      <w:r>
        <w:rPr>
          <w:rFonts w:ascii="Arial" w:cs="Arial" w:eastAsia="Arial" w:hAnsi="Arial"/>
          <w:sz w:val="19"/>
          <w:szCs w:val="19"/>
          <w:color w:val="auto"/>
        </w:rPr>
        <w:t>.</w:t>
      </w:r>
    </w:p>
    <w:p>
      <w:pPr>
        <w:spacing w:after="0" w:line="191" w:lineRule="exact"/>
        <w:rPr>
          <w:sz w:val="20"/>
          <w:szCs w:val="20"/>
          <w:color w:val="auto"/>
        </w:rPr>
      </w:pPr>
    </w:p>
    <w:p>
      <w:pPr>
        <w:jc w:val="both"/>
        <w:ind w:left="6"/>
        <w:spacing w:after="0" w:line="255"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58" w:lineRule="exact"/>
        <w:rPr>
          <w:sz w:val="20"/>
          <w:szCs w:val="20"/>
          <w:color w:val="auto"/>
        </w:rPr>
      </w:pPr>
    </w:p>
    <w:p>
      <w:pPr>
        <w:ind w:left="766" w:hanging="766"/>
        <w:spacing w:after="0"/>
        <w:tabs>
          <w:tab w:leader="none" w:pos="76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400"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200" w:type="dxa"/>
            <w:vAlign w:val="bottom"/>
          </w:tcPr>
          <w:p>
            <w:pPr>
              <w:spacing w:after="0"/>
              <w:rPr>
                <w:sz w:val="20"/>
                <w:szCs w:val="20"/>
                <w:color w:val="auto"/>
              </w:rPr>
            </w:pPr>
            <w:r>
              <w:rPr>
                <w:rFonts w:ascii="Arial" w:cs="Arial" w:eastAsia="Arial" w:hAnsi="Arial"/>
                <w:sz w:val="14"/>
                <w:szCs w:val="14"/>
                <w:color w:val="auto"/>
              </w:rPr>
              <w:t>P.A. No. 3219</w:t>
            </w:r>
          </w:p>
        </w:tc>
        <w:tc>
          <w:tcPr>
            <w:tcW w:w="900" w:type="dxa"/>
            <w:vAlign w:val="bottom"/>
          </w:tcPr>
          <w:p>
            <w:pPr>
              <w:ind w:left="420"/>
              <w:spacing w:after="0"/>
              <w:rPr>
                <w:sz w:val="20"/>
                <w:szCs w:val="20"/>
                <w:color w:val="auto"/>
              </w:rPr>
            </w:pPr>
            <w:r>
              <w:rPr>
                <w:rFonts w:ascii="Arial" w:cs="Arial" w:eastAsia="Arial" w:hAnsi="Arial"/>
                <w:sz w:val="14"/>
                <w:szCs w:val="14"/>
                <w:color w:val="auto"/>
              </w:rPr>
              <w:t>SA-11</w:t>
            </w:r>
          </w:p>
        </w:tc>
        <w:tc>
          <w:tcPr>
            <w:tcW w:w="2120" w:type="dxa"/>
            <w:vAlign w:val="bottom"/>
          </w:tcPr>
          <w:p>
            <w:pPr>
              <w:ind w:left="480"/>
              <w:spacing w:after="0"/>
              <w:rPr>
                <w:sz w:val="20"/>
                <w:szCs w:val="20"/>
                <w:color w:val="auto"/>
              </w:rPr>
            </w:pPr>
            <w:r>
              <w:rPr>
                <w:rFonts w:ascii="Arial" w:cs="Arial" w:eastAsia="Arial" w:hAnsi="Arial"/>
                <w:sz w:val="14"/>
                <w:szCs w:val="14"/>
                <w:color w:val="auto"/>
                <w:w w:val="95"/>
              </w:rPr>
              <w:t>AAL-PA-3219-LA-08836R2</w:t>
            </w:r>
          </w:p>
        </w:tc>
      </w:tr>
      <w:tr>
        <w:trPr>
          <w:trHeight w:val="176"/>
        </w:trPr>
        <w:tc>
          <w:tcPr>
            <w:tcW w:w="1200" w:type="dxa"/>
            <w:vAlign w:val="bottom"/>
          </w:tcPr>
          <w:p>
            <w:pPr>
              <w:spacing w:after="0"/>
              <w:rPr>
                <w:sz w:val="20"/>
                <w:szCs w:val="20"/>
                <w:color w:val="auto"/>
              </w:rPr>
            </w:pPr>
            <w:r>
              <w:rPr>
                <w:rFonts w:ascii="Arial" w:cs="Arial" w:eastAsia="Arial" w:hAnsi="Arial"/>
                <w:sz w:val="14"/>
                <w:szCs w:val="14"/>
                <w:color w:val="auto"/>
              </w:rPr>
              <w:t>[*CTR]</w:t>
            </w:r>
          </w:p>
        </w:tc>
        <w:tc>
          <w:tcPr>
            <w:tcW w:w="90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4</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26"/>
          </w:cols>
          <w:pgMar w:left="234" w:top="1021" w:right="239" w:bottom="1440" w:gutter="0" w:footer="0" w:header="0"/>
        </w:sectPr>
      </w:pPr>
    </w:p>
    <w:bookmarkStart w:id="172" w:name="page173"/>
    <w:bookmarkEnd w:id="172"/>
    <w:p>
      <w:pPr>
        <w:ind w:left="766" w:hanging="766"/>
        <w:spacing w:after="0"/>
        <w:tabs>
          <w:tab w:leader="none" w:pos="76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Confidential Treatment</w:t>
      </w:r>
      <w:r>
        <w:rPr>
          <w:rFonts w:ascii="Arial" w:cs="Arial" w:eastAsia="Arial" w:hAnsi="Arial"/>
          <w:sz w:val="19"/>
          <w:szCs w:val="19"/>
          <w:color w:val="auto"/>
        </w:rPr>
        <w:t>.</w:t>
      </w:r>
    </w:p>
    <w:p>
      <w:pPr>
        <w:spacing w:after="0" w:line="191" w:lineRule="exact"/>
        <w:rPr>
          <w:sz w:val="20"/>
          <w:szCs w:val="20"/>
          <w:color w:val="auto"/>
        </w:rPr>
      </w:pPr>
    </w:p>
    <w:p>
      <w:pPr>
        <w:jc w:val="both"/>
        <w:ind w:left="6"/>
        <w:spacing w:after="0" w:line="267"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 either party may disclose the information contained herein without the consent of the other party when and to the extent required by any law applicable to such party or by a Governmental Authority.</w:t>
      </w:r>
    </w:p>
    <w:p>
      <w:pPr>
        <w:spacing w:after="0" w:line="360"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200" w:type="dxa"/>
            <w:vAlign w:val="bottom"/>
          </w:tcPr>
          <w:p>
            <w:pPr>
              <w:spacing w:after="0"/>
              <w:rPr>
                <w:sz w:val="20"/>
                <w:szCs w:val="20"/>
                <w:color w:val="auto"/>
              </w:rPr>
            </w:pPr>
            <w:r>
              <w:rPr>
                <w:rFonts w:ascii="Arial" w:cs="Arial" w:eastAsia="Arial" w:hAnsi="Arial"/>
                <w:sz w:val="14"/>
                <w:szCs w:val="14"/>
                <w:color w:val="auto"/>
              </w:rPr>
              <w:t>P.A. No. 3219</w:t>
            </w:r>
          </w:p>
        </w:tc>
        <w:tc>
          <w:tcPr>
            <w:tcW w:w="900" w:type="dxa"/>
            <w:vAlign w:val="bottom"/>
          </w:tcPr>
          <w:p>
            <w:pPr>
              <w:ind w:left="420"/>
              <w:spacing w:after="0"/>
              <w:rPr>
                <w:sz w:val="20"/>
                <w:szCs w:val="20"/>
                <w:color w:val="auto"/>
              </w:rPr>
            </w:pPr>
            <w:r>
              <w:rPr>
                <w:rFonts w:ascii="Arial" w:cs="Arial" w:eastAsia="Arial" w:hAnsi="Arial"/>
                <w:sz w:val="14"/>
                <w:szCs w:val="14"/>
                <w:color w:val="auto"/>
              </w:rPr>
              <w:t>SA-11</w:t>
            </w:r>
          </w:p>
        </w:tc>
        <w:tc>
          <w:tcPr>
            <w:tcW w:w="2120" w:type="dxa"/>
            <w:vAlign w:val="bottom"/>
          </w:tcPr>
          <w:p>
            <w:pPr>
              <w:ind w:left="480"/>
              <w:spacing w:after="0"/>
              <w:rPr>
                <w:sz w:val="20"/>
                <w:szCs w:val="20"/>
                <w:color w:val="auto"/>
              </w:rPr>
            </w:pPr>
            <w:r>
              <w:rPr>
                <w:rFonts w:ascii="Arial" w:cs="Arial" w:eastAsia="Arial" w:hAnsi="Arial"/>
                <w:sz w:val="14"/>
                <w:szCs w:val="14"/>
                <w:color w:val="auto"/>
                <w:w w:val="95"/>
              </w:rPr>
              <w:t>AAL-PA-3219-LA-08836R2</w:t>
            </w:r>
          </w:p>
        </w:tc>
      </w:tr>
      <w:tr>
        <w:trPr>
          <w:trHeight w:val="176"/>
        </w:trPr>
        <w:tc>
          <w:tcPr>
            <w:tcW w:w="1200" w:type="dxa"/>
            <w:vAlign w:val="bottom"/>
          </w:tcPr>
          <w:p>
            <w:pPr>
              <w:spacing w:after="0"/>
              <w:rPr>
                <w:sz w:val="20"/>
                <w:szCs w:val="20"/>
                <w:color w:val="auto"/>
              </w:rPr>
            </w:pPr>
            <w:r>
              <w:rPr>
                <w:rFonts w:ascii="Arial" w:cs="Arial" w:eastAsia="Arial" w:hAnsi="Arial"/>
                <w:sz w:val="14"/>
                <w:szCs w:val="14"/>
                <w:color w:val="auto"/>
              </w:rPr>
              <w:t>[*CTR]</w:t>
            </w:r>
          </w:p>
        </w:tc>
        <w:tc>
          <w:tcPr>
            <w:tcW w:w="90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5</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73" w:name="page174"/>
    <w:bookmarkEnd w:id="173"/>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Very truly yours,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BOEING COMPANY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-14605</wp:posOffset>
            </wp:positionV>
            <wp:extent cx="160782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line="219" w:lineRule="exact"/>
        <w:tabs>
          <w:tab w:leader="none" w:pos="66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-14605</wp:posOffset>
            </wp:positionV>
            <wp:extent cx="145224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If the foregoing correctly sets forth your understanding of our agreement with respect to the matters treated above, please indicate your acceptance and approval.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20" w:type="dxa"/>
            <w:vAlign w:val="bottom"/>
            <w:gridSpan w:val="4"/>
          </w:tcPr>
          <w:p>
            <w:pPr>
              <w:spacing w:after="0"/>
              <w:rPr>
                <w:sz w:val="20"/>
                <w:szCs w:val="20"/>
                <w:color w:val="auto"/>
              </w:rPr>
            </w:pPr>
            <w:r>
              <w:rPr>
                <w:rFonts w:ascii="Arial" w:cs="Arial" w:eastAsia="Arial" w:hAnsi="Arial"/>
                <w:sz w:val="19"/>
                <w:szCs w:val="19"/>
                <w:color w:val="auto"/>
              </w:rPr>
              <w:t>ACCEPTED AND AGREED TO this  6th  day of April</w:t>
            </w:r>
          </w:p>
        </w:tc>
        <w:tc>
          <w:tcPr>
            <w:tcW w:w="720" w:type="dxa"/>
            <w:vAlign w:val="bottom"/>
            <w:gridSpan w:val="2"/>
          </w:tcPr>
          <w:p>
            <w:pPr>
              <w:ind w:left="40"/>
              <w:spacing w:after="0"/>
              <w:rPr>
                <w:sz w:val="20"/>
                <w:szCs w:val="20"/>
                <w:color w:val="auto"/>
              </w:rPr>
            </w:pPr>
            <w:r>
              <w:rPr>
                <w:rFonts w:ascii="Arial" w:cs="Arial" w:eastAsia="Arial" w:hAnsi="Arial"/>
                <w:sz w:val="19"/>
                <w:szCs w:val="19"/>
                <w:color w:val="auto"/>
              </w:rPr>
              <w:t>of 2018</w:t>
            </w:r>
          </w:p>
        </w:tc>
      </w:tr>
      <w:tr>
        <w:trPr>
          <w:trHeight w:val="20"/>
        </w:trPr>
        <w:tc>
          <w:tcPr>
            <w:tcW w:w="2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369"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By:</w:t>
        <w:tab/>
        <w:t>/s/ American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14389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1438910" cy="762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Its: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149034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149034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0" w:type="dxa"/>
            <w:vAlign w:val="bottom"/>
          </w:tcPr>
          <w:p>
            <w:pPr>
              <w:spacing w:after="0"/>
              <w:rPr>
                <w:sz w:val="20"/>
                <w:szCs w:val="20"/>
                <w:color w:val="auto"/>
              </w:rPr>
            </w:pPr>
            <w:r>
              <w:rPr>
                <w:rFonts w:ascii="Arial" w:cs="Arial" w:eastAsia="Arial" w:hAnsi="Arial"/>
                <w:sz w:val="14"/>
                <w:szCs w:val="14"/>
                <w:color w:val="auto"/>
              </w:rPr>
              <w:t>P.A. No. 3219</w:t>
            </w:r>
          </w:p>
        </w:tc>
        <w:tc>
          <w:tcPr>
            <w:tcW w:w="900" w:type="dxa"/>
            <w:vAlign w:val="bottom"/>
          </w:tcPr>
          <w:p>
            <w:pPr>
              <w:ind w:left="420"/>
              <w:spacing w:after="0"/>
              <w:rPr>
                <w:sz w:val="20"/>
                <w:szCs w:val="20"/>
                <w:color w:val="auto"/>
              </w:rPr>
            </w:pPr>
            <w:r>
              <w:rPr>
                <w:rFonts w:ascii="Arial" w:cs="Arial" w:eastAsia="Arial" w:hAnsi="Arial"/>
                <w:sz w:val="14"/>
                <w:szCs w:val="14"/>
                <w:color w:val="auto"/>
              </w:rPr>
              <w:t>SA-11</w:t>
            </w:r>
          </w:p>
        </w:tc>
        <w:tc>
          <w:tcPr>
            <w:tcW w:w="2120" w:type="dxa"/>
            <w:vAlign w:val="bottom"/>
          </w:tcPr>
          <w:p>
            <w:pPr>
              <w:ind w:left="480"/>
              <w:spacing w:after="0"/>
              <w:rPr>
                <w:sz w:val="20"/>
                <w:szCs w:val="20"/>
                <w:color w:val="auto"/>
              </w:rPr>
            </w:pPr>
            <w:r>
              <w:rPr>
                <w:rFonts w:ascii="Arial" w:cs="Arial" w:eastAsia="Arial" w:hAnsi="Arial"/>
                <w:sz w:val="14"/>
                <w:szCs w:val="14"/>
                <w:color w:val="auto"/>
                <w:w w:val="95"/>
              </w:rPr>
              <w:t>AAL-PA-3219-LA-08836R2</w:t>
            </w:r>
          </w:p>
        </w:tc>
      </w:tr>
      <w:tr>
        <w:trPr>
          <w:trHeight w:val="176"/>
        </w:trPr>
        <w:tc>
          <w:tcPr>
            <w:tcW w:w="1200" w:type="dxa"/>
            <w:vAlign w:val="bottom"/>
          </w:tcPr>
          <w:p>
            <w:pPr>
              <w:spacing w:after="0"/>
              <w:rPr>
                <w:sz w:val="20"/>
                <w:szCs w:val="20"/>
                <w:color w:val="auto"/>
              </w:rPr>
            </w:pPr>
            <w:r>
              <w:rPr>
                <w:rFonts w:ascii="Arial" w:cs="Arial" w:eastAsia="Arial" w:hAnsi="Arial"/>
                <w:sz w:val="14"/>
                <w:szCs w:val="14"/>
                <w:color w:val="auto"/>
              </w:rPr>
              <w:t>[*CTR]</w:t>
            </w:r>
          </w:p>
        </w:tc>
        <w:tc>
          <w:tcPr>
            <w:tcW w:w="90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6</w:t>
            </w:r>
          </w:p>
        </w:tc>
      </w:tr>
    </w:tbl>
    <w:p>
      <w:pPr>
        <w:ind w:left="4900"/>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280"/>
          </w:cols>
          <w:pgMar w:left="240" w:top="1440" w:right="379" w:bottom="1440" w:gutter="0" w:footer="0" w:header="0"/>
        </w:sectPr>
      </w:pPr>
    </w:p>
    <w:bookmarkStart w:id="174" w:name="page175"/>
    <w:bookmarkEnd w:id="174"/>
    <w:p>
      <w:pPr>
        <w:jc w:val="center"/>
        <w:ind w:right="-5"/>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A: Determination of Cumulative Fleet Average Fuel Mileage Deterioration</w:t>
      </w:r>
    </w:p>
    <w:p>
      <w:pPr>
        <w:spacing w:after="0" w:line="191" w:lineRule="exact"/>
        <w:rPr>
          <w:sz w:val="20"/>
          <w:szCs w:val="20"/>
          <w:color w:val="auto"/>
        </w:rPr>
      </w:pPr>
    </w:p>
    <w:p>
      <w:pPr>
        <w:jc w:val="both"/>
        <w:ind w:left="6"/>
        <w:spacing w:after="0" w:line="276" w:lineRule="auto"/>
        <w:rPr>
          <w:sz w:val="20"/>
          <w:szCs w:val="20"/>
          <w:color w:val="auto"/>
        </w:rPr>
      </w:pPr>
      <w:r>
        <w:rPr>
          <w:rFonts w:ascii="Arial" w:cs="Arial" w:eastAsia="Arial" w:hAnsi="Arial"/>
          <w:sz w:val="18"/>
          <w:szCs w:val="18"/>
          <w:color w:val="auto"/>
        </w:rPr>
        <w:t>For purposes of this Letter Agreement, the “Cumulative Fleet Average Fuel Mileage Deterioration” is the average cruise fuel mileage deterioration of the Covered Aircraft. The determination of the Fleet Average Mileage Deterioration will be based on fuel mileage deterioration of individual Covered Aircraft relative to their Baseline Performance Level cruise fuel mileage performance as defined below.</w:t>
      </w:r>
    </w:p>
    <w:p>
      <w:pPr>
        <w:spacing w:after="0" w:line="140" w:lineRule="exact"/>
        <w:rPr>
          <w:sz w:val="20"/>
          <w:szCs w:val="20"/>
          <w:color w:val="auto"/>
        </w:rPr>
      </w:pPr>
    </w:p>
    <w:p>
      <w:pPr>
        <w:jc w:val="both"/>
        <w:ind w:left="6" w:hanging="6"/>
        <w:spacing w:after="0" w:line="255" w:lineRule="auto"/>
        <w:tabs>
          <w:tab w:leader="none" w:pos="41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Boeing will provide Customer with the Boeing Airplane Performance Monitoring Program (</w:t>
      </w:r>
      <w:r>
        <w:rPr>
          <w:rFonts w:ascii="Arial" w:cs="Arial" w:eastAsia="Arial" w:hAnsi="Arial"/>
          <w:sz w:val="19"/>
          <w:szCs w:val="19"/>
          <w:b w:val="1"/>
          <w:bCs w:val="1"/>
          <w:i w:val="1"/>
          <w:iCs w:val="1"/>
          <w:color w:val="auto"/>
        </w:rPr>
        <w:t>APM</w:t>
      </w:r>
      <w:r>
        <w:rPr>
          <w:rFonts w:ascii="Arial" w:cs="Arial" w:eastAsia="Arial" w:hAnsi="Arial"/>
          <w:sz w:val="19"/>
          <w:szCs w:val="19"/>
          <w:color w:val="auto"/>
        </w:rPr>
        <w:t>), in effect at the time of delivery of the first Covered Aircraft, that shall be used for data analysis during the Performance Retention Term. For purposes of this Letter Agreement, the Model Reference Level cruise fuel mileage performance for the Covered Aircraft shall be as set forth in the APM.</w:t>
      </w:r>
    </w:p>
    <w:p>
      <w:pPr>
        <w:spacing w:after="0" w:line="157" w:lineRule="exact"/>
        <w:rPr>
          <w:rFonts w:ascii="Arial" w:cs="Arial" w:eastAsia="Arial" w:hAnsi="Arial"/>
          <w:sz w:val="19"/>
          <w:szCs w:val="19"/>
          <w:color w:val="auto"/>
        </w:rPr>
      </w:pPr>
    </w:p>
    <w:p>
      <w:pPr>
        <w:ind w:left="326" w:hanging="326"/>
        <w:spacing w:after="0"/>
        <w:tabs>
          <w:tab w:leader="none" w:pos="32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326" w:hanging="326"/>
        <w:spacing w:after="0"/>
        <w:tabs>
          <w:tab w:leader="none" w:pos="32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ind w:left="6" w:right="120" w:hanging="6"/>
        <w:spacing w:after="0" w:line="266" w:lineRule="auto"/>
        <w:tabs>
          <w:tab w:leader="none" w:pos="33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Current Deterioration</w:t>
      </w:r>
      <w:r>
        <w:rPr>
          <w:rFonts w:ascii="Arial" w:cs="Arial" w:eastAsia="Arial" w:hAnsi="Arial"/>
          <w:sz w:val="19"/>
          <w:szCs w:val="19"/>
          <w:color w:val="auto"/>
        </w:rPr>
        <w:t xml:space="preserve"> (expressed as a percentage) for each Covered Aircraft is the difference between the Current Performance Level and the Baseline Performance Level.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460" w:type="dxa"/>
            <w:vAlign w:val="bottom"/>
          </w:tcPr>
          <w:p>
            <w:pPr>
              <w:spacing w:after="0"/>
              <w:rPr>
                <w:sz w:val="20"/>
                <w:szCs w:val="20"/>
                <w:color w:val="auto"/>
              </w:rPr>
            </w:pPr>
            <w:r>
              <w:rPr>
                <w:rFonts w:ascii="Arial" w:cs="Arial" w:eastAsia="Arial" w:hAnsi="Arial"/>
                <w:sz w:val="14"/>
                <w:szCs w:val="14"/>
                <w:color w:val="auto"/>
              </w:rPr>
              <w:t>P.A. No. 3219</w:t>
            </w:r>
          </w:p>
        </w:tc>
        <w:tc>
          <w:tcPr>
            <w:tcW w:w="840" w:type="dxa"/>
            <w:vAlign w:val="bottom"/>
          </w:tcPr>
          <w:p>
            <w:pPr>
              <w:ind w:left="160"/>
              <w:spacing w:after="0"/>
              <w:rPr>
                <w:sz w:val="20"/>
                <w:szCs w:val="20"/>
                <w:color w:val="auto"/>
              </w:rPr>
            </w:pPr>
            <w:r>
              <w:rPr>
                <w:rFonts w:ascii="Arial" w:cs="Arial" w:eastAsia="Arial" w:hAnsi="Arial"/>
                <w:sz w:val="14"/>
                <w:szCs w:val="14"/>
                <w:color w:val="auto"/>
              </w:rPr>
              <w:t>SA-11</w:t>
            </w:r>
          </w:p>
        </w:tc>
        <w:tc>
          <w:tcPr>
            <w:tcW w:w="1980" w:type="dxa"/>
            <w:vAlign w:val="bottom"/>
          </w:tcPr>
          <w:p>
            <w:pPr>
              <w:ind w:left="360"/>
              <w:spacing w:after="0"/>
              <w:rPr>
                <w:sz w:val="20"/>
                <w:szCs w:val="20"/>
                <w:color w:val="auto"/>
              </w:rPr>
            </w:pPr>
            <w:r>
              <w:rPr>
                <w:rFonts w:ascii="Arial" w:cs="Arial" w:eastAsia="Arial" w:hAnsi="Arial"/>
                <w:sz w:val="14"/>
                <w:szCs w:val="14"/>
                <w:color w:val="auto"/>
                <w:w w:val="94"/>
              </w:rPr>
              <w:t>AAL-PA-3219-LA-08836R2</w:t>
            </w: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[*CTR]- Attachment A</w:t>
            </w:r>
          </w:p>
        </w:tc>
        <w:tc>
          <w:tcPr>
            <w:tcW w:w="840" w:type="dxa"/>
            <w:vAlign w:val="bottom"/>
          </w:tcPr>
          <w:p>
            <w:pPr>
              <w:spacing w:after="0"/>
              <w:rPr>
                <w:sz w:val="15"/>
                <w:szCs w:val="15"/>
                <w:color w:val="auto"/>
              </w:rPr>
            </w:pPr>
          </w:p>
        </w:tc>
        <w:tc>
          <w:tcPr>
            <w:tcW w:w="1980" w:type="dxa"/>
            <w:vAlign w:val="bottom"/>
          </w:tcPr>
          <w:p>
            <w:pPr>
              <w:ind w:left="320"/>
              <w:spacing w:after="0"/>
              <w:rPr>
                <w:sz w:val="20"/>
                <w:szCs w:val="20"/>
                <w:color w:val="auto"/>
              </w:rPr>
            </w:pPr>
            <w:r>
              <w:rPr>
                <w:rFonts w:ascii="Arial" w:cs="Arial" w:eastAsia="Arial" w:hAnsi="Arial"/>
                <w:sz w:val="14"/>
                <w:szCs w:val="14"/>
                <w:color w:val="auto"/>
              </w:rPr>
              <w:t>Page 1</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021" w:right="219" w:bottom="1440" w:gutter="0" w:footer="0" w:header="0"/>
        </w:sectPr>
      </w:pPr>
    </w:p>
    <w:bookmarkStart w:id="175" w:name="page176"/>
    <w:bookmarkEnd w:id="175"/>
    <w:p>
      <w:pPr>
        <w:ind w:left="6"/>
        <w:spacing w:after="0"/>
        <w:tabs>
          <w:tab w:leader="none" w:pos="1246" w:val="left"/>
        </w:tabs>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A:</w:t>
      </w:r>
      <w:r>
        <w:rPr>
          <w:sz w:val="20"/>
          <w:szCs w:val="20"/>
          <w:color w:val="auto"/>
        </w:rPr>
        <w:tab/>
      </w:r>
      <w:r>
        <w:rPr>
          <w:rFonts w:ascii="Arial" w:cs="Arial" w:eastAsia="Arial" w:hAnsi="Arial"/>
          <w:sz w:val="17"/>
          <w:szCs w:val="17"/>
          <w:u w:val="single" w:color="auto"/>
          <w:color w:val="auto"/>
        </w:rPr>
        <w:t>Determination of Cumulative Fleet Average Fuel Mileage Deterioration, continued</w:t>
      </w:r>
    </w:p>
    <w:p>
      <w:pPr>
        <w:spacing w:after="0" w:line="191" w:lineRule="exact"/>
        <w:rPr>
          <w:sz w:val="20"/>
          <w:szCs w:val="20"/>
          <w:color w:val="auto"/>
        </w:rPr>
      </w:pPr>
    </w:p>
    <w:p>
      <w:pPr>
        <w:ind w:left="326" w:hanging="326"/>
        <w:spacing w:after="0"/>
        <w:tabs>
          <w:tab w:leader="none" w:pos="32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[*CTR].</w:t>
      </w:r>
    </w:p>
    <w:p>
      <w:pPr>
        <w:spacing w:after="0" w:line="190" w:lineRule="exact"/>
        <w:rPr>
          <w:rFonts w:ascii="Arial" w:cs="Arial" w:eastAsia="Arial" w:hAnsi="Arial"/>
          <w:sz w:val="19"/>
          <w:szCs w:val="19"/>
          <w:color w:val="auto"/>
        </w:rPr>
      </w:pPr>
    </w:p>
    <w:p>
      <w:pPr>
        <w:jc w:val="both"/>
        <w:ind w:left="6" w:hanging="6"/>
        <w:spacing w:after="0" w:line="255" w:lineRule="auto"/>
        <w:tabs>
          <w:tab w:leader="none" w:pos="3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Cumulative Fleet Average Fuel Mileage Deterioration</w:t>
      </w:r>
      <w:r>
        <w:rPr>
          <w:rFonts w:ascii="Arial" w:cs="Arial" w:eastAsia="Arial" w:hAnsi="Arial"/>
          <w:sz w:val="19"/>
          <w:szCs w:val="19"/>
          <w:color w:val="auto"/>
        </w:rPr>
        <w:t xml:space="preserve"> (expressed as a percentage) will be determined for each Subsequent Monitoring Period by summing the Fleet Average Fuel Mileage Deterioration values as determined in Paragraph 5 for each calendar month according to the following equation:</w:t>
      </w:r>
    </w:p>
    <w:p>
      <w:pPr>
        <w:spacing w:after="0" w:line="158" w:lineRule="exact"/>
        <w:rPr>
          <w:sz w:val="20"/>
          <w:szCs w:val="20"/>
          <w:color w:val="auto"/>
        </w:rPr>
      </w:pPr>
    </w:p>
    <w:p>
      <w:pPr>
        <w:ind w:left="156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326" w:hanging="326"/>
        <w:spacing w:after="0"/>
        <w:tabs>
          <w:tab w:leader="none" w:pos="32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388"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1460" w:type="dxa"/>
            <w:vAlign w:val="bottom"/>
          </w:tcPr>
          <w:p>
            <w:pPr>
              <w:spacing w:after="0"/>
              <w:rPr>
                <w:sz w:val="20"/>
                <w:szCs w:val="20"/>
                <w:color w:val="auto"/>
              </w:rPr>
            </w:pPr>
            <w:r>
              <w:rPr>
                <w:rFonts w:ascii="Arial" w:cs="Arial" w:eastAsia="Arial" w:hAnsi="Arial"/>
                <w:sz w:val="14"/>
                <w:szCs w:val="14"/>
                <w:color w:val="auto"/>
              </w:rPr>
              <w:t>P.A. No. 3219</w:t>
            </w:r>
          </w:p>
        </w:tc>
        <w:tc>
          <w:tcPr>
            <w:tcW w:w="840" w:type="dxa"/>
            <w:vAlign w:val="bottom"/>
          </w:tcPr>
          <w:p>
            <w:pPr>
              <w:ind w:left="160"/>
              <w:spacing w:after="0"/>
              <w:rPr>
                <w:sz w:val="20"/>
                <w:szCs w:val="20"/>
                <w:color w:val="auto"/>
              </w:rPr>
            </w:pPr>
            <w:r>
              <w:rPr>
                <w:rFonts w:ascii="Arial" w:cs="Arial" w:eastAsia="Arial" w:hAnsi="Arial"/>
                <w:sz w:val="14"/>
                <w:szCs w:val="14"/>
                <w:color w:val="auto"/>
              </w:rPr>
              <w:t>SA-11</w:t>
            </w:r>
          </w:p>
        </w:tc>
        <w:tc>
          <w:tcPr>
            <w:tcW w:w="1980" w:type="dxa"/>
            <w:vAlign w:val="bottom"/>
          </w:tcPr>
          <w:p>
            <w:pPr>
              <w:ind w:left="360"/>
              <w:spacing w:after="0"/>
              <w:rPr>
                <w:sz w:val="20"/>
                <w:szCs w:val="20"/>
                <w:color w:val="auto"/>
              </w:rPr>
            </w:pPr>
            <w:r>
              <w:rPr>
                <w:rFonts w:ascii="Arial" w:cs="Arial" w:eastAsia="Arial" w:hAnsi="Arial"/>
                <w:sz w:val="14"/>
                <w:szCs w:val="14"/>
                <w:color w:val="auto"/>
                <w:w w:val="94"/>
              </w:rPr>
              <w:t>AAL-PA-3219-LA-08836R2</w:t>
            </w: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[*CTR]- Attachment A</w:t>
            </w:r>
          </w:p>
        </w:tc>
        <w:tc>
          <w:tcPr>
            <w:tcW w:w="840" w:type="dxa"/>
            <w:vAlign w:val="bottom"/>
          </w:tcPr>
          <w:p>
            <w:pPr>
              <w:spacing w:after="0"/>
              <w:rPr>
                <w:sz w:val="15"/>
                <w:szCs w:val="15"/>
                <w:color w:val="auto"/>
              </w:rPr>
            </w:pPr>
          </w:p>
        </w:tc>
        <w:tc>
          <w:tcPr>
            <w:tcW w:w="1980" w:type="dxa"/>
            <w:vAlign w:val="bottom"/>
          </w:tcPr>
          <w:p>
            <w:pPr>
              <w:ind w:left="320"/>
              <w:spacing w:after="0"/>
              <w:rPr>
                <w:sz w:val="20"/>
                <w:szCs w:val="20"/>
                <w:color w:val="auto"/>
              </w:rPr>
            </w:pPr>
            <w:r>
              <w:rPr>
                <w:rFonts w:ascii="Arial" w:cs="Arial" w:eastAsia="Arial" w:hAnsi="Arial"/>
                <w:sz w:val="14"/>
                <w:szCs w:val="14"/>
                <w:color w:val="auto"/>
              </w:rPr>
              <w:t>Page 2</w:t>
            </w:r>
          </w:p>
        </w:tc>
      </w:tr>
    </w:tbl>
    <w:p>
      <w:pPr>
        <w:ind w:left="4906"/>
        <w:spacing w:after="0"/>
        <w:rPr>
          <w:sz w:val="20"/>
          <w:szCs w:val="20"/>
          <w:color w:val="auto"/>
        </w:rPr>
      </w:pPr>
      <w:r>
        <w:rPr>
          <w:rFonts w:ascii="Arial" w:cs="Arial" w:eastAsia="Arial" w:hAnsi="Arial"/>
          <w:sz w:val="14"/>
          <w:szCs w:val="14"/>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431"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B: Cruise Fuel Mileage Performance Determination</w:t>
      </w:r>
    </w:p>
    <w:p>
      <w:pPr>
        <w:spacing w:after="0" w:line="191" w:lineRule="exact"/>
        <w:rPr>
          <w:sz w:val="20"/>
          <w:szCs w:val="20"/>
          <w:color w:val="auto"/>
        </w:rPr>
      </w:pPr>
    </w:p>
    <w:p>
      <w:pPr>
        <w:jc w:val="both"/>
        <w:ind w:left="560"/>
        <w:spacing w:after="0" w:line="251" w:lineRule="auto"/>
        <w:rPr>
          <w:sz w:val="20"/>
          <w:szCs w:val="20"/>
          <w:color w:val="auto"/>
        </w:rPr>
      </w:pPr>
      <w:r>
        <w:rPr>
          <w:rFonts w:ascii="Arial" w:cs="Arial" w:eastAsia="Arial" w:hAnsi="Arial"/>
          <w:sz w:val="19"/>
          <w:szCs w:val="19"/>
          <w:color w:val="auto"/>
        </w:rPr>
        <w:t>Customer shall obtain cruise fuel mileage performance data in revenue service using the Airplane Condition Monitoring System (ACMS). This data will be recorded during level flight cruise in steady state conditions. Data shall be obtained in accordance with the then current revision of the Airplane Performance Monitoring Software User Guide (APM User Guide) and shall include the parameters defined in the airplane model specific appendix during each such data recording (Data Events).</w:t>
      </w:r>
    </w:p>
    <w:p>
      <w:pPr>
        <w:spacing w:after="0" w:line="162" w:lineRule="exact"/>
        <w:rPr>
          <w:sz w:val="20"/>
          <w:szCs w:val="20"/>
          <w:color w:val="auto"/>
        </w:rPr>
      </w:pPr>
    </w:p>
    <w:p>
      <w:pPr>
        <w:jc w:val="both"/>
        <w:ind w:left="560"/>
        <w:spacing w:after="0" w:line="299" w:lineRule="auto"/>
        <w:rPr>
          <w:sz w:val="20"/>
          <w:szCs w:val="20"/>
          <w:color w:val="auto"/>
        </w:rPr>
      </w:pPr>
      <w:r>
        <w:rPr>
          <w:rFonts w:ascii="Arial" w:cs="Arial" w:eastAsia="Arial" w:hAnsi="Arial"/>
          <w:sz w:val="17"/>
          <w:szCs w:val="17"/>
          <w:color w:val="auto"/>
        </w:rPr>
        <w:t>Boeing will provide Customer with the Boeing Airplane Performance Monitoring Software for data analysis. Customer shall reduce and analyze data obtained from the Data Events. Such analysis shall be in accordance with the methods set forth in the APM User Guide. Customer’s analysis shall include the determination of the fuel mileage, thrust required and fuel flow required relative to the Model Reference Level.</w:t>
      </w:r>
    </w:p>
    <w:p>
      <w:pPr>
        <w:spacing w:after="0" w:line="123" w:lineRule="exact"/>
        <w:rPr>
          <w:sz w:val="20"/>
          <w:szCs w:val="20"/>
          <w:color w:val="auto"/>
        </w:rPr>
      </w:pPr>
    </w:p>
    <w:p>
      <w:pPr>
        <w:jc w:val="both"/>
        <w:ind w:left="560"/>
        <w:spacing w:after="0" w:line="270" w:lineRule="auto"/>
        <w:rPr>
          <w:sz w:val="20"/>
          <w:szCs w:val="20"/>
          <w:color w:val="auto"/>
        </w:rPr>
      </w:pPr>
      <w:r>
        <w:rPr>
          <w:rFonts w:ascii="Arial" w:cs="Arial" w:eastAsia="Arial" w:hAnsi="Arial"/>
          <w:sz w:val="18"/>
          <w:szCs w:val="18"/>
          <w:color w:val="auto"/>
        </w:rPr>
        <w:t>Customer will maintain records of factors relating to fuel mileage deterioration. These factors will include (a) engine history, cockpit instrumentation history and airframe history and condition of such Covered Aircraft, (b) pertinent Covered Aircraft maintenance and operational procedures used by Customer, (c) drag effects of any post delivery airframe and/or engine changes incorporated in such Covered Aircraft, (d) sudden shifts in engine EGT condition monitoring data, and (e) any other relevant factors.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P.A. No. 3219</w:t>
            </w:r>
          </w:p>
        </w:tc>
        <w:tc>
          <w:tcPr>
            <w:tcW w:w="640" w:type="dxa"/>
            <w:vAlign w:val="bottom"/>
          </w:tcPr>
          <w:p>
            <w:pPr>
              <w:ind w:left="140"/>
              <w:spacing w:after="0"/>
              <w:rPr>
                <w:sz w:val="20"/>
                <w:szCs w:val="20"/>
                <w:color w:val="auto"/>
              </w:rPr>
            </w:pPr>
            <w:r>
              <w:rPr>
                <w:rFonts w:ascii="Arial" w:cs="Arial" w:eastAsia="Arial" w:hAnsi="Arial"/>
                <w:sz w:val="14"/>
                <w:szCs w:val="14"/>
                <w:color w:val="auto"/>
              </w:rPr>
              <w:t>SA-11</w:t>
            </w:r>
          </w:p>
        </w:tc>
        <w:tc>
          <w:tcPr>
            <w:tcW w:w="2120" w:type="dxa"/>
            <w:vAlign w:val="bottom"/>
          </w:tcPr>
          <w:p>
            <w:pPr>
              <w:ind w:left="500"/>
              <w:spacing w:after="0"/>
              <w:rPr>
                <w:sz w:val="20"/>
                <w:szCs w:val="20"/>
                <w:color w:val="auto"/>
              </w:rPr>
            </w:pPr>
            <w:r>
              <w:rPr>
                <w:rFonts w:ascii="Arial" w:cs="Arial" w:eastAsia="Arial" w:hAnsi="Arial"/>
                <w:sz w:val="14"/>
                <w:szCs w:val="14"/>
                <w:color w:val="auto"/>
                <w:w w:val="94"/>
              </w:rPr>
              <w:t>AAL-PA-3219-LA-08836R2</w:t>
            </w:r>
          </w:p>
        </w:tc>
      </w:tr>
      <w:tr>
        <w:trPr>
          <w:trHeight w:val="176"/>
        </w:trPr>
        <w:tc>
          <w:tcPr>
            <w:tcW w:w="1480" w:type="dxa"/>
            <w:vAlign w:val="bottom"/>
          </w:tcPr>
          <w:p>
            <w:pPr>
              <w:spacing w:after="0"/>
              <w:rPr>
                <w:sz w:val="20"/>
                <w:szCs w:val="20"/>
                <w:color w:val="auto"/>
              </w:rPr>
            </w:pPr>
            <w:r>
              <w:rPr>
                <w:rFonts w:ascii="Arial" w:cs="Arial" w:eastAsia="Arial" w:hAnsi="Arial"/>
                <w:sz w:val="14"/>
                <w:szCs w:val="14"/>
                <w:color w:val="auto"/>
              </w:rPr>
              <w:t>[*CTR] - Attachment B</w:t>
            </w:r>
          </w:p>
        </w:tc>
        <w:tc>
          <w:tcPr>
            <w:tcW w:w="640" w:type="dxa"/>
            <w:vAlign w:val="bottom"/>
          </w:tcPr>
          <w:p>
            <w:pPr>
              <w:spacing w:after="0"/>
              <w:rPr>
                <w:sz w:val="15"/>
                <w:szCs w:val="15"/>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Page 1</w:t>
            </w:r>
          </w:p>
        </w:tc>
      </w:tr>
    </w:tbl>
    <w:p>
      <w:pPr>
        <w:jc w:val="center"/>
        <w:spacing w:after="0" w:line="230" w:lineRule="auto"/>
        <w:rPr>
          <w:sz w:val="20"/>
          <w:szCs w:val="20"/>
          <w:color w:val="auto"/>
        </w:rPr>
      </w:pPr>
      <w:r>
        <w:rPr>
          <w:rFonts w:ascii="Arial" w:cs="Arial" w:eastAsia="Arial" w:hAnsi="Arial"/>
          <w:sz w:val="14"/>
          <w:szCs w:val="14"/>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1021" w:right="219" w:bottom="1440" w:gutter="0" w:footer="0" w:header="0"/>
        </w:sectPr>
      </w:pPr>
    </w:p>
    <w:bookmarkStart w:id="177" w:name="page178"/>
    <w:bookmarkEnd w:id="177"/>
    <w:p>
      <w:pPr>
        <w:ind w:left="3660"/>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C: Delivery Schedule for Covered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40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r>
              <w:rPr>
                <w:rFonts w:ascii="Arial" w:cs="Arial" w:eastAsia="Arial" w:hAnsi="Arial"/>
                <w:sz w:val="19"/>
                <w:szCs w:val="19"/>
                <w:color w:val="auto"/>
              </w:rPr>
              <w:t>Aircraft</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w w:val="92"/>
              </w:rPr>
              <w:t>Delivery Date</w:t>
            </w:r>
          </w:p>
        </w:tc>
      </w:tr>
      <w:tr>
        <w:trPr>
          <w:trHeight w:val="269"/>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r>
        <w:trPr>
          <w:trHeight w:val="257"/>
        </w:trPr>
        <w:tc>
          <w:tcPr>
            <w:tcW w:w="1040" w:type="dxa"/>
            <w:vAlign w:val="bottom"/>
          </w:tcPr>
          <w:p>
            <w:pPr>
              <w:spacing w:after="0"/>
              <w:rPr>
                <w:sz w:val="20"/>
                <w:szCs w:val="20"/>
                <w:color w:val="auto"/>
              </w:rPr>
            </w:pPr>
            <w:r>
              <w:rPr>
                <w:rFonts w:ascii="Arial" w:cs="Arial" w:eastAsia="Arial" w:hAnsi="Arial"/>
                <w:sz w:val="19"/>
                <w:szCs w:val="19"/>
                <w:color w:val="auto"/>
              </w:rPr>
              <w:t>[*CTR]</w:t>
            </w:r>
          </w:p>
        </w:tc>
        <w:tc>
          <w:tcPr>
            <w:tcW w:w="1520" w:type="dxa"/>
            <w:vAlign w:val="bottom"/>
          </w:tcPr>
          <w:p>
            <w:pPr>
              <w:jc w:val="center"/>
              <w:ind w:left="366"/>
              <w:spacing w:after="0"/>
              <w:rPr>
                <w:sz w:val="20"/>
                <w:szCs w:val="20"/>
                <w:color w:val="auto"/>
              </w:rPr>
            </w:pPr>
            <w:r>
              <w:rPr>
                <w:rFonts w:ascii="Arial" w:cs="Arial" w:eastAsia="Arial" w:hAnsi="Arial"/>
                <w:sz w:val="19"/>
                <w:szCs w:val="19"/>
                <w:color w:val="auto"/>
              </w:rPr>
              <w:t>[*CTR]</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P.A. No. 3219</w:t>
            </w:r>
          </w:p>
        </w:tc>
        <w:tc>
          <w:tcPr>
            <w:tcW w:w="760" w:type="dxa"/>
            <w:vAlign w:val="bottom"/>
          </w:tcPr>
          <w:p>
            <w:pPr>
              <w:ind w:left="140"/>
              <w:spacing w:after="0"/>
              <w:rPr>
                <w:sz w:val="20"/>
                <w:szCs w:val="20"/>
                <w:color w:val="auto"/>
              </w:rPr>
            </w:pPr>
            <w:r>
              <w:rPr>
                <w:rFonts w:ascii="Arial" w:cs="Arial" w:eastAsia="Arial" w:hAnsi="Arial"/>
                <w:sz w:val="14"/>
                <w:szCs w:val="14"/>
                <w:color w:val="auto"/>
              </w:rPr>
              <w:t>SA-11</w:t>
            </w:r>
          </w:p>
        </w:tc>
        <w:tc>
          <w:tcPr>
            <w:tcW w:w="1860" w:type="dxa"/>
            <w:vAlign w:val="bottom"/>
          </w:tcPr>
          <w:p>
            <w:pPr>
              <w:ind w:left="240"/>
              <w:spacing w:after="0"/>
              <w:rPr>
                <w:sz w:val="20"/>
                <w:szCs w:val="20"/>
                <w:color w:val="auto"/>
              </w:rPr>
            </w:pPr>
            <w:r>
              <w:rPr>
                <w:rFonts w:ascii="Arial" w:cs="Arial" w:eastAsia="Arial" w:hAnsi="Arial"/>
                <w:sz w:val="14"/>
                <w:szCs w:val="14"/>
                <w:color w:val="auto"/>
                <w:w w:val="94"/>
              </w:rPr>
              <w:t>AAL-PA-3219-LA-08836R2</w:t>
            </w:r>
          </w:p>
        </w:tc>
      </w:tr>
      <w:tr>
        <w:trPr>
          <w:trHeight w:val="166"/>
        </w:trPr>
        <w:tc>
          <w:tcPr>
            <w:tcW w:w="1480" w:type="dxa"/>
            <w:vAlign w:val="bottom"/>
          </w:tcPr>
          <w:p>
            <w:pPr>
              <w:spacing w:after="0"/>
              <w:rPr>
                <w:sz w:val="20"/>
                <w:szCs w:val="20"/>
                <w:color w:val="auto"/>
              </w:rPr>
            </w:pPr>
            <w:r>
              <w:rPr>
                <w:rFonts w:ascii="Arial" w:cs="Arial" w:eastAsia="Arial" w:hAnsi="Arial"/>
                <w:sz w:val="14"/>
                <w:szCs w:val="14"/>
                <w:color w:val="auto"/>
              </w:rPr>
              <w:t>[*CTR] - Attachment C</w:t>
            </w:r>
          </w:p>
        </w:tc>
        <w:tc>
          <w:tcPr>
            <w:tcW w:w="7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4"/>
                <w:szCs w:val="14"/>
                <w:color w:val="auto"/>
              </w:rPr>
              <w:t>Page 1</w:t>
            </w:r>
          </w:p>
        </w:tc>
      </w:tr>
    </w:tbl>
    <w:p>
      <w:pPr>
        <w:ind w:left="5000"/>
        <w:spacing w:after="0"/>
        <w:rPr>
          <w:sz w:val="20"/>
          <w:szCs w:val="20"/>
          <w:color w:val="auto"/>
        </w:rPr>
      </w:pPr>
      <w:r>
        <w:rPr>
          <w:rFonts w:ascii="Arial" w:cs="Arial" w:eastAsia="Arial" w:hAnsi="Arial"/>
          <w:sz w:val="12"/>
          <w:szCs w:val="12"/>
          <w:b w:val="1"/>
          <w:bCs w:val="1"/>
          <w:color w:val="auto"/>
        </w:rPr>
        <w:t>BOEING PROPRIETARY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1021" w:right="1440" w:bottom="1440" w:gutter="0" w:footer="0" w:header="0"/>
        </w:sectPr>
      </w:pPr>
    </w:p>
    <w:bookmarkStart w:id="178" w:name="page179"/>
    <w:bookmarkEnd w:id="178"/>
    <w:p>
      <w:pPr>
        <w:ind w:left="4400"/>
        <w:spacing w:after="0"/>
        <w:tabs>
          <w:tab w:leader="none" w:pos="612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[*CTR]</w:t>
      </w:r>
      <w:r>
        <w:rPr>
          <w:sz w:val="20"/>
          <w:szCs w:val="20"/>
          <w:color w:val="auto"/>
        </w:rPr>
        <w:tab/>
      </w:r>
      <w:r>
        <w:rPr>
          <w:rFonts w:ascii="Arial" w:cs="Arial" w:eastAsia="Arial" w:hAnsi="Arial"/>
          <w:sz w:val="19"/>
          <w:szCs w:val="19"/>
          <w:color w:val="auto"/>
        </w:rPr>
        <w:t>[*CTR]</w:t>
      </w:r>
    </w:p>
    <w:p>
      <w:pPr>
        <w:spacing w:after="0" w:line="39" w:lineRule="exact"/>
        <w:rPr>
          <w:sz w:val="20"/>
          <w:szCs w:val="20"/>
          <w:color w:val="auto"/>
        </w:rPr>
      </w:pPr>
    </w:p>
    <w:p>
      <w:pPr>
        <w:ind w:left="4400"/>
        <w:spacing w:after="0"/>
        <w:tabs>
          <w:tab w:leader="none" w:pos="6120"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39" w:lineRule="exact"/>
        <w:rPr>
          <w:sz w:val="20"/>
          <w:szCs w:val="20"/>
          <w:color w:val="auto"/>
        </w:rPr>
      </w:pPr>
    </w:p>
    <w:p>
      <w:pPr>
        <w:ind w:left="4400"/>
        <w:spacing w:after="0"/>
        <w:tabs>
          <w:tab w:leader="none" w:pos="6120"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39" w:lineRule="exact"/>
        <w:rPr>
          <w:sz w:val="20"/>
          <w:szCs w:val="20"/>
          <w:color w:val="auto"/>
        </w:rPr>
      </w:pPr>
    </w:p>
    <w:p>
      <w:pPr>
        <w:ind w:left="4400"/>
        <w:spacing w:after="0"/>
        <w:tabs>
          <w:tab w:leader="none" w:pos="6120"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39" w:lineRule="exact"/>
        <w:rPr>
          <w:sz w:val="20"/>
          <w:szCs w:val="20"/>
          <w:color w:val="auto"/>
        </w:rPr>
      </w:pPr>
    </w:p>
    <w:p>
      <w:pPr>
        <w:ind w:left="4400"/>
        <w:spacing w:after="0"/>
        <w:tabs>
          <w:tab w:leader="none" w:pos="6120"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P.A. No. 3219</w:t>
            </w:r>
          </w:p>
        </w:tc>
        <w:tc>
          <w:tcPr>
            <w:tcW w:w="760" w:type="dxa"/>
            <w:vAlign w:val="bottom"/>
          </w:tcPr>
          <w:p>
            <w:pPr>
              <w:ind w:left="140"/>
              <w:spacing w:after="0"/>
              <w:rPr>
                <w:sz w:val="20"/>
                <w:szCs w:val="20"/>
                <w:color w:val="auto"/>
              </w:rPr>
            </w:pPr>
            <w:r>
              <w:rPr>
                <w:rFonts w:ascii="Arial" w:cs="Arial" w:eastAsia="Arial" w:hAnsi="Arial"/>
                <w:sz w:val="14"/>
                <w:szCs w:val="14"/>
                <w:color w:val="auto"/>
              </w:rPr>
              <w:t>SA-11</w:t>
            </w:r>
          </w:p>
        </w:tc>
        <w:tc>
          <w:tcPr>
            <w:tcW w:w="1860" w:type="dxa"/>
            <w:vAlign w:val="bottom"/>
          </w:tcPr>
          <w:p>
            <w:pPr>
              <w:ind w:left="240"/>
              <w:spacing w:after="0"/>
              <w:rPr>
                <w:sz w:val="20"/>
                <w:szCs w:val="20"/>
                <w:color w:val="auto"/>
              </w:rPr>
            </w:pPr>
            <w:r>
              <w:rPr>
                <w:rFonts w:ascii="Arial" w:cs="Arial" w:eastAsia="Arial" w:hAnsi="Arial"/>
                <w:sz w:val="14"/>
                <w:szCs w:val="14"/>
                <w:color w:val="auto"/>
                <w:w w:val="94"/>
              </w:rPr>
              <w:t>AAL-PA-3219-LA-08836R2</w:t>
            </w:r>
          </w:p>
        </w:tc>
      </w:tr>
      <w:tr>
        <w:trPr>
          <w:trHeight w:val="166"/>
        </w:trPr>
        <w:tc>
          <w:tcPr>
            <w:tcW w:w="1480" w:type="dxa"/>
            <w:vAlign w:val="bottom"/>
          </w:tcPr>
          <w:p>
            <w:pPr>
              <w:spacing w:after="0"/>
              <w:rPr>
                <w:sz w:val="20"/>
                <w:szCs w:val="20"/>
                <w:color w:val="auto"/>
              </w:rPr>
            </w:pPr>
            <w:r>
              <w:rPr>
                <w:rFonts w:ascii="Arial" w:cs="Arial" w:eastAsia="Arial" w:hAnsi="Arial"/>
                <w:sz w:val="14"/>
                <w:szCs w:val="14"/>
                <w:color w:val="auto"/>
              </w:rPr>
              <w:t>[*CTR] - Attachment C</w:t>
            </w:r>
          </w:p>
        </w:tc>
        <w:tc>
          <w:tcPr>
            <w:tcW w:w="7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4"/>
                <w:szCs w:val="14"/>
                <w:color w:val="auto"/>
              </w:rPr>
              <w:t>Page 2</w:t>
            </w:r>
          </w:p>
        </w:tc>
      </w:tr>
    </w:tbl>
    <w:p>
      <w:pPr>
        <w:ind w:left="5000"/>
        <w:spacing w:after="0"/>
        <w:rPr>
          <w:sz w:val="20"/>
          <w:szCs w:val="20"/>
          <w:color w:val="auto"/>
        </w:rPr>
      </w:pPr>
      <w:r>
        <w:rPr>
          <w:rFonts w:ascii="Arial" w:cs="Arial" w:eastAsia="Arial" w:hAnsi="Arial"/>
          <w:sz w:val="12"/>
          <w:szCs w:val="12"/>
          <w:b w:val="1"/>
          <w:bCs w:val="1"/>
          <w:color w:val="auto"/>
        </w:rPr>
        <w:t>BOEING PROPRIETARY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963" w:right="1440" w:bottom="1440" w:gutter="0" w:footer="0" w:header="0"/>
        </w:sectPr>
      </w:pPr>
    </w:p>
    <w:bookmarkStart w:id="179" w:name="page180"/>
    <w:bookmarkEnd w:id="179"/>
    <w:p>
      <w:pPr>
        <w:ind w:left="3066"/>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D: ANNUAL LIMITATION ADJUSTMENT EQUATION</w:t>
      </w:r>
    </w:p>
    <w:p>
      <w:pPr>
        <w:spacing w:after="0" w:line="200" w:lineRule="exact"/>
        <w:rPr>
          <w:sz w:val="20"/>
          <w:szCs w:val="20"/>
          <w:color w:val="auto"/>
        </w:rPr>
      </w:pPr>
    </w:p>
    <w:p>
      <w:pPr>
        <w:spacing w:after="0" w:line="225" w:lineRule="exact"/>
        <w:rPr>
          <w:sz w:val="20"/>
          <w:szCs w:val="20"/>
          <w:color w:val="auto"/>
        </w:rPr>
      </w:pPr>
    </w:p>
    <w:p>
      <w:pPr>
        <w:ind w:left="48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CALENDAR YEARS 2015 AND ON</w:t>
      </w:r>
      <w:r>
        <w:rPr>
          <w:rFonts w:ascii="Arial" w:cs="Arial" w:eastAsia="Arial" w:hAnsi="Arial"/>
          <w:sz w:val="19"/>
          <w:szCs w:val="19"/>
          <w:color w:val="auto"/>
        </w:rPr>
        <w:t>)</w:t>
      </w:r>
    </w:p>
    <w:p>
      <w:pPr>
        <w:spacing w:after="0" w:line="226" w:lineRule="exact"/>
        <w:rPr>
          <w:sz w:val="20"/>
          <w:szCs w:val="20"/>
          <w:color w:val="auto"/>
        </w:rPr>
      </w:pPr>
    </w:p>
    <w:p>
      <w:pPr>
        <w:ind w:left="846" w:hanging="846"/>
        <w:spacing w:after="0"/>
        <w:tabs>
          <w:tab w:leader="none" w:pos="8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ind w:left="1966"/>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46" w:hanging="846"/>
        <w:spacing w:after="0"/>
        <w:tabs>
          <w:tab w:leader="none" w:pos="84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140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248"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pacing w:after="0" w:line="226"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ectPr>
          <w:pgSz w:w="11900" w:h="16838" w:orient="portrait"/>
          <w:cols w:equalWidth="0" w:num="1">
            <w:col w:w="10226"/>
          </w:cols>
          <w:pgMar w:left="234" w:top="834" w:right="1440" w:bottom="1440" w:gutter="0" w:footer="0" w:header="0"/>
        </w:sectPr>
      </w:pPr>
    </w:p>
    <w:p>
      <w:pPr>
        <w:spacing w:after="0" w:line="226" w:lineRule="exact"/>
        <w:rPr>
          <w:sz w:val="20"/>
          <w:szCs w:val="20"/>
          <w:color w:val="auto"/>
        </w:rPr>
      </w:pPr>
    </w:p>
    <w:p>
      <w:pPr>
        <w:ind w:left="6"/>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[*CTR]:</w:t>
      </w:r>
    </w:p>
    <w:p>
      <w:pPr>
        <w:spacing w:after="0" w:line="200" w:lineRule="exact"/>
        <w:rPr>
          <w:sz w:val="20"/>
          <w:szCs w:val="20"/>
          <w:color w:val="auto"/>
        </w:rPr>
      </w:pPr>
    </w:p>
    <w:p>
      <w:pPr>
        <w:sectPr>
          <w:pgSz w:w="11900" w:h="16838" w:orient="portrait"/>
          <w:cols w:equalWidth="0" w:num="2">
            <w:col w:w="206" w:space="640"/>
            <w:col w:w="9379"/>
          </w:cols>
          <w:pgMar w:left="234" w:top="834" w:right="1440" w:bottom="1440" w:gutter="0" w:footer="0" w:header="0"/>
          <w:type w:val="continuous"/>
        </w:sectPr>
      </w:pPr>
    </w:p>
    <w:p>
      <w:pPr>
        <w:spacing w:after="0" w:line="248" w:lineRule="exact"/>
        <w:rPr>
          <w:sz w:val="20"/>
          <w:szCs w:val="20"/>
          <w:color w:val="auto"/>
        </w:rPr>
      </w:pPr>
    </w:p>
    <w:p>
      <w:pPr>
        <w:ind w:left="2346"/>
        <w:spacing w:after="0"/>
        <w:tabs>
          <w:tab w:leader="none" w:pos="2686" w:val="left"/>
        </w:tabs>
        <w:rPr>
          <w:sz w:val="20"/>
          <w:szCs w:val="20"/>
          <w:color w:val="auto"/>
        </w:rPr>
      </w:pPr>
      <w:r>
        <w:rPr>
          <w:rFonts w:ascii="Arial" w:cs="Arial" w:eastAsia="Arial" w:hAnsi="Arial"/>
          <w:sz w:val="19"/>
          <w:szCs w:val="19"/>
          <w:color w:val="auto"/>
        </w:rPr>
        <w:t>(i)</w:t>
        <w:tab/>
        <w:t>[*CTR]</w:t>
      </w:r>
    </w:p>
    <w:p>
      <w:pPr>
        <w:sectPr>
          <w:pgSz w:w="11900" w:h="16838" w:orient="portrait"/>
          <w:cols w:equalWidth="0" w:num="1">
            <w:col w:w="10226"/>
          </w:cols>
          <w:pgMar w:left="234" w:top="834" w:right="1440" w:bottom="1440" w:gutter="0" w:footer="0" w:header="0"/>
          <w:type w:val="continuous"/>
        </w:sectPr>
      </w:pPr>
    </w:p>
    <w:p>
      <w:pPr>
        <w:spacing w:after="0" w:line="400"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P.A. No. 3219 [*CTR] - Attachment 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color w:val="auto"/>
        </w:rPr>
        <w:t>SA-11</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AAL-PA-3219-LA-08836R2</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Page 1</w:t>
      </w:r>
    </w:p>
    <w:p>
      <w:pPr>
        <w:spacing w:after="0" w:line="6" w:lineRule="exact"/>
        <w:rPr>
          <w:sz w:val="20"/>
          <w:szCs w:val="20"/>
          <w:color w:val="auto"/>
        </w:rPr>
      </w:pPr>
    </w:p>
    <w:p>
      <w:pPr>
        <w:sectPr>
          <w:pgSz w:w="11900" w:h="16838" w:orient="portrait"/>
          <w:cols w:equalWidth="0" w:num="3">
            <w:col w:w="1346" w:space="280"/>
            <w:col w:w="360" w:space="600"/>
            <w:col w:w="7639"/>
          </w:cols>
          <w:pgMar w:left="234" w:top="834" w:right="1440" w:bottom="1440" w:gutter="0" w:footer="0" w:header="0"/>
          <w:type w:val="continuous"/>
        </w:sectPr>
      </w:pPr>
    </w:p>
    <w:p>
      <w:pPr>
        <w:ind w:left="4906"/>
        <w:spacing w:after="0" w:line="226" w:lineRule="auto"/>
        <w:rPr>
          <w:sz w:val="20"/>
          <w:szCs w:val="20"/>
          <w:color w:val="auto"/>
        </w:rPr>
      </w:pPr>
      <w:r>
        <w:rPr>
          <w:rFonts w:ascii="Arial" w:cs="Arial" w:eastAsia="Arial" w:hAnsi="Arial"/>
          <w:sz w:val="14"/>
          <w:szCs w:val="14"/>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26"/>
          </w:cols>
          <w:pgMar w:left="234" w:top="834" w:right="1440" w:bottom="1440" w:gutter="0" w:footer="0" w:header="0"/>
          <w:type w:val="continuous"/>
        </w:sectPr>
      </w:pPr>
    </w:p>
    <w:bookmarkStart w:id="180" w:name="page181"/>
    <w:bookmarkEnd w:id="180"/>
    <w:p>
      <w:pPr>
        <w:ind w:left="2640"/>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D: ANNUAL LIMITATION ADJUSTMENT EQUATION, continued</w:t>
      </w:r>
    </w:p>
    <w:p>
      <w:pPr>
        <w:spacing w:after="0" w:line="226" w:lineRule="exact"/>
        <w:rPr>
          <w:sz w:val="20"/>
          <w:szCs w:val="20"/>
          <w:color w:val="auto"/>
        </w:rPr>
      </w:pPr>
    </w:p>
    <w:p>
      <w:pPr>
        <w:ind w:left="2740" w:hanging="407"/>
        <w:spacing w:after="0"/>
        <w:tabs>
          <w:tab w:leader="none" w:pos="27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rFonts w:ascii="Arial" w:cs="Arial" w:eastAsia="Arial" w:hAnsi="Arial"/>
          <w:sz w:val="19"/>
          <w:szCs w:val="19"/>
          <w:color w:val="auto"/>
        </w:rPr>
      </w:pPr>
    </w:p>
    <w:p>
      <w:pPr>
        <w:ind w:left="2800" w:hanging="467"/>
        <w:spacing w:after="0"/>
        <w:tabs>
          <w:tab w:leader="none" w:pos="28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[*CTR].</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NOTE:</w:t>
        <w:tab/>
        <w:t>[*CTR].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P.A. No. 3219</w:t>
            </w:r>
          </w:p>
        </w:tc>
        <w:tc>
          <w:tcPr>
            <w:tcW w:w="800" w:type="dxa"/>
            <w:vAlign w:val="bottom"/>
          </w:tcPr>
          <w:p>
            <w:pPr>
              <w:ind w:left="140"/>
              <w:spacing w:after="0"/>
              <w:rPr>
                <w:sz w:val="20"/>
                <w:szCs w:val="20"/>
                <w:color w:val="auto"/>
              </w:rPr>
            </w:pPr>
            <w:r>
              <w:rPr>
                <w:rFonts w:ascii="Arial" w:cs="Arial" w:eastAsia="Arial" w:hAnsi="Arial"/>
                <w:sz w:val="14"/>
                <w:szCs w:val="14"/>
                <w:color w:val="auto"/>
              </w:rPr>
              <w:t>SA-11</w:t>
            </w:r>
          </w:p>
        </w:tc>
        <w:tc>
          <w:tcPr>
            <w:tcW w:w="1920" w:type="dxa"/>
            <w:vAlign w:val="bottom"/>
          </w:tcPr>
          <w:p>
            <w:pPr>
              <w:ind w:left="300"/>
              <w:spacing w:after="0"/>
              <w:rPr>
                <w:sz w:val="20"/>
                <w:szCs w:val="20"/>
                <w:color w:val="auto"/>
              </w:rPr>
            </w:pPr>
            <w:r>
              <w:rPr>
                <w:rFonts w:ascii="Arial" w:cs="Arial" w:eastAsia="Arial" w:hAnsi="Arial"/>
                <w:sz w:val="14"/>
                <w:szCs w:val="14"/>
                <w:color w:val="auto"/>
                <w:w w:val="94"/>
              </w:rPr>
              <w:t>AAL-PA-3219-LA-08836R2</w:t>
            </w:r>
          </w:p>
        </w:tc>
      </w:tr>
      <w:tr>
        <w:trPr>
          <w:trHeight w:val="176"/>
        </w:trPr>
        <w:tc>
          <w:tcPr>
            <w:tcW w:w="1480" w:type="dxa"/>
            <w:vAlign w:val="bottom"/>
          </w:tcPr>
          <w:p>
            <w:pPr>
              <w:spacing w:after="0"/>
              <w:rPr>
                <w:sz w:val="20"/>
                <w:szCs w:val="20"/>
                <w:color w:val="auto"/>
              </w:rPr>
            </w:pPr>
            <w:r>
              <w:rPr>
                <w:rFonts w:ascii="Arial" w:cs="Arial" w:eastAsia="Arial" w:hAnsi="Arial"/>
                <w:sz w:val="14"/>
                <w:szCs w:val="14"/>
                <w:color w:val="auto"/>
              </w:rPr>
              <w:t>[*CTR] - Attachment D</w:t>
            </w:r>
          </w:p>
        </w:tc>
        <w:tc>
          <w:tcPr>
            <w:tcW w:w="800" w:type="dxa"/>
            <w:vAlign w:val="bottom"/>
          </w:tcPr>
          <w:p>
            <w:pPr>
              <w:spacing w:after="0"/>
              <w:rPr>
                <w:sz w:val="15"/>
                <w:szCs w:val="15"/>
                <w:color w:val="auto"/>
              </w:rPr>
            </w:pPr>
          </w:p>
        </w:tc>
        <w:tc>
          <w:tcPr>
            <w:tcW w:w="1920" w:type="dxa"/>
            <w:vAlign w:val="bottom"/>
          </w:tcPr>
          <w:p>
            <w:pPr>
              <w:ind w:left="560"/>
              <w:spacing w:after="0"/>
              <w:rPr>
                <w:sz w:val="20"/>
                <w:szCs w:val="20"/>
                <w:color w:val="auto"/>
              </w:rPr>
            </w:pPr>
            <w:r>
              <w:rPr>
                <w:rFonts w:ascii="Arial" w:cs="Arial" w:eastAsia="Arial" w:hAnsi="Arial"/>
                <w:sz w:val="14"/>
                <w:szCs w:val="14"/>
                <w:color w:val="auto"/>
              </w:rPr>
              <w:t>Page 2</w:t>
            </w:r>
          </w:p>
        </w:tc>
      </w:tr>
    </w:tbl>
    <w:p>
      <w:pPr>
        <w:ind w:left="4900"/>
        <w:spacing w:after="0" w:line="230" w:lineRule="auto"/>
        <w:rPr>
          <w:sz w:val="20"/>
          <w:szCs w:val="20"/>
          <w:color w:val="auto"/>
        </w:rPr>
      </w:pPr>
      <w:r>
        <w:rPr>
          <w:rFonts w:ascii="Arial" w:cs="Arial" w:eastAsia="Arial" w:hAnsi="Arial"/>
          <w:sz w:val="14"/>
          <w:szCs w:val="14"/>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0219"/>
          </w:cols>
          <w:pgMar w:left="240" w:top="1244" w:right="1440" w:bottom="1440" w:gutter="0" w:footer="0" w:header="0"/>
        </w:sectPr>
      </w:pPr>
    </w:p>
    <w:bookmarkStart w:id="181" w:name="page182"/>
    <w:bookmarkEnd w:id="181"/>
    <w:p>
      <w:pPr>
        <w:ind w:left="5046"/>
        <w:spacing w:after="0"/>
        <w:rPr>
          <w:sz w:val="20"/>
          <w:szCs w:val="20"/>
          <w:color w:val="auto"/>
        </w:rPr>
      </w:pPr>
      <w:r>
        <w:rPr>
          <w:sz w:val="1"/>
          <w:szCs w:val="1"/>
          <w:color w:val="auto"/>
        </w:rPr>
        <w:drawing>
          <wp:inline distT="0" distB="0" distL="0" distR="0">
            <wp:extent cx="1396365" cy="31178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9"/>
          <w:szCs w:val="9"/>
          <w:color w:val="auto"/>
        </w:rPr>
        <w:t>The Boeing Company</w:t>
      </w:r>
    </w:p>
    <w:p>
      <w:pPr>
        <w:spacing w:after="0" w:line="28"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679450</wp:posOffset>
            </wp:positionV>
            <wp:extent cx="7290435"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AAL</w:t>
      </w:r>
      <w:r>
        <w:rPr>
          <w:rFonts w:ascii="MS PGothic" w:cs="MS PGothic" w:eastAsia="MS PGothic" w:hAnsi="MS PGothic"/>
          <w:sz w:val="19"/>
          <w:szCs w:val="19"/>
          <w:color w:val="auto"/>
        </w:rPr>
        <w:t>‑</w:t>
      </w:r>
      <w:r>
        <w:rPr>
          <w:rFonts w:ascii="Arial" w:cs="Arial" w:eastAsia="Arial" w:hAnsi="Arial"/>
          <w:sz w:val="19"/>
          <w:szCs w:val="19"/>
          <w:color w:val="auto"/>
        </w:rPr>
        <w:t>PA</w:t>
      </w:r>
      <w:r>
        <w:rPr>
          <w:rFonts w:ascii="MS PGothic" w:cs="MS PGothic" w:eastAsia="MS PGothic" w:hAnsi="MS PGothic"/>
          <w:sz w:val="19"/>
          <w:szCs w:val="19"/>
          <w:color w:val="auto"/>
        </w:rPr>
        <w:t>‑</w:t>
      </w:r>
      <w:r>
        <w:rPr>
          <w:rFonts w:ascii="Arial" w:cs="Arial" w:eastAsia="Arial" w:hAnsi="Arial"/>
          <w:sz w:val="19"/>
          <w:szCs w:val="19"/>
          <w:color w:val="auto"/>
        </w:rPr>
        <w:t>03219</w:t>
      </w:r>
      <w:r>
        <w:rPr>
          <w:rFonts w:ascii="MS PGothic" w:cs="MS PGothic" w:eastAsia="MS PGothic" w:hAnsi="MS PGothic"/>
          <w:sz w:val="19"/>
          <w:szCs w:val="19"/>
          <w:color w:val="auto"/>
        </w:rPr>
        <w:t>‑</w:t>
      </w:r>
      <w:r>
        <w:rPr>
          <w:rFonts w:ascii="Arial" w:cs="Arial" w:eastAsia="Arial" w:hAnsi="Arial"/>
          <w:sz w:val="19"/>
          <w:szCs w:val="19"/>
          <w:color w:val="auto"/>
        </w:rPr>
        <w:t>LA</w:t>
      </w:r>
      <w:r>
        <w:rPr>
          <w:rFonts w:ascii="MS PGothic" w:cs="MS PGothic" w:eastAsia="MS PGothic" w:hAnsi="MS PGothic"/>
          <w:sz w:val="19"/>
          <w:szCs w:val="19"/>
          <w:color w:val="auto"/>
        </w:rPr>
        <w:t>‑</w:t>
      </w:r>
      <w:r>
        <w:rPr>
          <w:rFonts w:ascii="Arial" w:cs="Arial" w:eastAsia="Arial" w:hAnsi="Arial"/>
          <w:sz w:val="19"/>
          <w:szCs w:val="19"/>
          <w:color w:val="auto"/>
        </w:rPr>
        <w:t>1804779</w:t>
      </w:r>
    </w:p>
    <w:p>
      <w:pPr>
        <w:spacing w:after="0" w:line="285"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Dallas</w:t>
      </w:r>
      <w:r>
        <w:rPr>
          <w:rFonts w:ascii="MS PGothic" w:cs="MS PGothic" w:eastAsia="MS PGothic" w:hAnsi="MS PGothic"/>
          <w:sz w:val="19"/>
          <w:szCs w:val="19"/>
          <w:color w:val="auto"/>
        </w:rPr>
        <w:t>‑</w:t>
      </w:r>
      <w:r>
        <w:rPr>
          <w:rFonts w:ascii="Arial" w:cs="Arial" w:eastAsia="Arial" w:hAnsi="Arial"/>
          <w:sz w:val="19"/>
          <w:szCs w:val="19"/>
          <w:color w:val="auto"/>
        </w:rPr>
        <w:t>Fort Worth Airport, Texas 75261</w:t>
      </w:r>
      <w:r>
        <w:rPr>
          <w:rFonts w:ascii="MS PGothic" w:cs="MS PGothic" w:eastAsia="MS PGothic" w:hAnsi="MS PGothic"/>
          <w:sz w:val="19"/>
          <w:szCs w:val="19"/>
          <w:color w:val="auto"/>
        </w:rPr>
        <w:t>‑</w:t>
      </w:r>
      <w:r>
        <w:rPr>
          <w:rFonts w:ascii="Arial" w:cs="Arial" w:eastAsia="Arial" w:hAnsi="Arial"/>
          <w:sz w:val="19"/>
          <w:szCs w:val="19"/>
          <w:color w:val="auto"/>
        </w:rPr>
        <w:t>9616</w:t>
      </w:r>
    </w:p>
    <w:p>
      <w:pPr>
        <w:sectPr>
          <w:pgSz w:w="11900" w:h="16838" w:orient="portrait"/>
          <w:cols w:equalWidth="0" w:num="1">
            <w:col w:w="11446"/>
          </w:cols>
          <w:pgMar w:left="234" w:top="140" w:right="219" w:bottom="1440" w:gutter="0" w:footer="0" w:header="0"/>
        </w:sectPr>
      </w:pPr>
    </w:p>
    <w:p>
      <w:pPr>
        <w:spacing w:after="0" w:line="28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Subject: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80" w:lineRule="exact"/>
        <w:rPr>
          <w:sz w:val="20"/>
          <w:szCs w:val="20"/>
          <w:color w:val="auto"/>
        </w:rPr>
      </w:pPr>
    </w:p>
    <w:p>
      <w:pPr>
        <w:sectPr>
          <w:pgSz w:w="11900" w:h="16838" w:orient="portrait"/>
          <w:cols w:equalWidth="0" w:num="2">
            <w:col w:w="666" w:space="660"/>
            <w:col w:w="10120"/>
          </w:cols>
          <w:pgMar w:left="234" w:top="140" w:right="219" w:bottom="1440" w:gutter="0" w:footer="0" w:header="0"/>
          <w:type w:val="continuous"/>
        </w:sectPr>
      </w:pP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ind w:hanging="15"/>
        <w:spacing w:after="0" w:line="275" w:lineRule="auto"/>
        <w:rPr>
          <w:sz w:val="20"/>
          <w:szCs w:val="20"/>
          <w:color w:val="auto"/>
        </w:rPr>
      </w:pPr>
      <w:r>
        <w:rPr>
          <w:rFonts w:ascii="Arial" w:cs="Arial" w:eastAsia="Arial" w:hAnsi="Arial"/>
          <w:sz w:val="19"/>
          <w:szCs w:val="19"/>
          <w:color w:val="auto"/>
        </w:rPr>
        <w:t>Purchase Agreement No. 03219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131" w:lineRule="exact"/>
        <w:rPr>
          <w:sz w:val="20"/>
          <w:szCs w:val="20"/>
          <w:color w:val="auto"/>
        </w:rPr>
      </w:pPr>
    </w:p>
    <w:p>
      <w:pPr>
        <w:sectPr>
          <w:pgSz w:w="11900" w:h="16838" w:orient="portrait"/>
          <w:cols w:equalWidth="0" w:num="2">
            <w:col w:w="906" w:space="440"/>
            <w:col w:w="10100"/>
          </w:cols>
          <w:pgMar w:left="234" w:top="140" w:right="219" w:bottom="1440" w:gutter="0" w:footer="0" w:header="0"/>
          <w:type w:val="continuous"/>
        </w:sectPr>
      </w:pPr>
    </w:p>
    <w:p>
      <w:pPr>
        <w:ind w:left="6"/>
        <w:spacing w:after="0" w:line="27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shall have the same meaning as in the Purchase Agreement.</w:t>
      </w:r>
    </w:p>
    <w:p>
      <w:pPr>
        <w:spacing w:after="0" w:line="153" w:lineRule="exact"/>
        <w:rPr>
          <w:sz w:val="20"/>
          <w:szCs w:val="20"/>
          <w:color w:val="auto"/>
        </w:rPr>
      </w:pPr>
    </w:p>
    <w:p>
      <w:pPr>
        <w:ind w:left="1106" w:hanging="1106"/>
        <w:spacing w:after="0"/>
        <w:tabs>
          <w:tab w:leader="none" w:pos="110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Right to [*CTR] Aircraft</w:t>
      </w:r>
      <w:r>
        <w:rPr>
          <w:rFonts w:ascii="Arial" w:cs="Arial" w:eastAsia="Arial" w:hAnsi="Arial"/>
          <w:sz w:val="19"/>
          <w:szCs w:val="19"/>
          <w:color w:val="auto"/>
        </w:rPr>
        <w:t>.</w:t>
      </w:r>
    </w:p>
    <w:p>
      <w:pPr>
        <w:spacing w:after="0" w:line="191" w:lineRule="exact"/>
        <w:rPr>
          <w:sz w:val="20"/>
          <w:szCs w:val="20"/>
          <w:color w:val="auto"/>
        </w:rPr>
      </w:pPr>
    </w:p>
    <w:p>
      <w:pPr>
        <w:ind w:left="1126" w:right="20" w:firstLine="562"/>
        <w:spacing w:after="0" w:line="251" w:lineRule="auto"/>
        <w:rPr>
          <w:sz w:val="20"/>
          <w:szCs w:val="20"/>
          <w:color w:val="auto"/>
        </w:rPr>
      </w:pPr>
      <w:r>
        <w:rPr>
          <w:rFonts w:ascii="Arial" w:cs="Arial" w:eastAsia="Arial" w:hAnsi="Arial"/>
          <w:sz w:val="19"/>
          <w:szCs w:val="19"/>
          <w:color w:val="auto"/>
        </w:rPr>
        <w:t>Subject to the terms and conditions contained in this Letter Agreement, in [*CTR] to the Aircraft described in Table 1(R7) and Table 5 to the Purchase Agreement as of the date of execution of this Letter Agreement, [*CTR].</w:t>
      </w:r>
    </w:p>
    <w:p>
      <w:pPr>
        <w:spacing w:after="0" w:line="175" w:lineRule="exact"/>
        <w:rPr>
          <w:sz w:val="20"/>
          <w:szCs w:val="20"/>
          <w:color w:val="auto"/>
        </w:rPr>
      </w:pPr>
    </w:p>
    <w:p>
      <w:pPr>
        <w:ind w:left="366" w:hanging="366"/>
        <w:spacing w:after="0"/>
        <w:tabs>
          <w:tab w:leader="none" w:pos="36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w:t>
      </w:r>
    </w:p>
    <w:p>
      <w:pPr>
        <w:spacing w:after="0" w:line="191" w:lineRule="exact"/>
        <w:rPr>
          <w:sz w:val="20"/>
          <w:szCs w:val="20"/>
          <w:color w:val="auto"/>
        </w:rPr>
      </w:pPr>
    </w:p>
    <w:p>
      <w:pPr>
        <w:jc w:val="both"/>
        <w:ind w:left="1126" w:right="20" w:firstLine="562"/>
        <w:spacing w:after="0" w:line="247" w:lineRule="auto"/>
        <w:rPr>
          <w:sz w:val="20"/>
          <w:szCs w:val="20"/>
          <w:color w:val="auto"/>
        </w:rPr>
      </w:pPr>
      <w:r>
        <w:rPr>
          <w:rFonts w:ascii="Arial" w:cs="Arial" w:eastAsia="Arial" w:hAnsi="Arial"/>
          <w:sz w:val="19"/>
          <w:szCs w:val="19"/>
          <w:color w:val="auto"/>
        </w:rPr>
        <w:t>The number of initial [*CTR] are listed in Attachment A to this Letter Agreement. No later than [*CTR] in each calendar year as listed in Attachment A to this Letter Agreement, Boeing will provide written notice [*CTR] in such calendar year. Such [*CTR] will constitute an amendment to Attachment A.</w:t>
      </w:r>
    </w:p>
    <w:p>
      <w:pPr>
        <w:spacing w:after="0" w:line="214" w:lineRule="exact"/>
        <w:rPr>
          <w:sz w:val="20"/>
          <w:szCs w:val="20"/>
          <w:color w:val="auto"/>
        </w:rPr>
      </w:pPr>
    </w:p>
    <w:p>
      <w:pPr>
        <w:ind w:left="366" w:hanging="366"/>
        <w:spacing w:after="0"/>
        <w:tabs>
          <w:tab w:leader="none" w:pos="366"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191" w:lineRule="exact"/>
        <w:rPr>
          <w:sz w:val="20"/>
          <w:szCs w:val="20"/>
          <w:color w:val="auto"/>
        </w:rPr>
      </w:pPr>
    </w:p>
    <w:p>
      <w:pPr>
        <w:jc w:val="both"/>
        <w:ind w:left="6" w:firstLine="561"/>
        <w:spacing w:after="0" w:line="247" w:lineRule="auto"/>
        <w:rPr>
          <w:sz w:val="20"/>
          <w:szCs w:val="20"/>
          <w:color w:val="auto"/>
        </w:rPr>
      </w:pPr>
      <w:r>
        <w:rPr>
          <w:rFonts w:ascii="Arial" w:cs="Arial" w:eastAsia="Arial" w:hAnsi="Arial"/>
          <w:sz w:val="19"/>
          <w:szCs w:val="19"/>
          <w:color w:val="auto"/>
        </w:rPr>
        <w:t>3.1 Customer may [*CTR] by giving written notice to Boeing [*CTR] on or before the date that is the later of [*CTR]. Upon the giving of such [*CTR] referenced in such [*CTR] shall be deemed an Aircraft for all purposes of the Purchase Agreement and an [</w:t>
      </w:r>
      <w:r>
        <w:rPr>
          <w:rFonts w:ascii="Arial" w:cs="Arial" w:eastAsia="Arial" w:hAnsi="Arial"/>
          <w:sz w:val="19"/>
          <w:szCs w:val="19"/>
          <w:b w:val="1"/>
          <w:bCs w:val="1"/>
          <w:i w:val="1"/>
          <w:iCs w:val="1"/>
          <w:color w:val="auto"/>
        </w:rPr>
        <w:t>*CTR</w:t>
      </w:r>
      <w:r>
        <w:rPr>
          <w:rFonts w:ascii="Arial" w:cs="Arial" w:eastAsia="Arial" w:hAnsi="Arial"/>
          <w:sz w:val="19"/>
          <w:szCs w:val="19"/>
          <w:color w:val="auto"/>
        </w:rPr>
        <w:t>] for the purposes of this Letter Agreement.</w:t>
      </w:r>
    </w:p>
    <w:p>
      <w:pPr>
        <w:spacing w:after="0" w:line="179" w:lineRule="exact"/>
        <w:rPr>
          <w:sz w:val="20"/>
          <w:szCs w:val="20"/>
          <w:color w:val="auto"/>
        </w:rPr>
      </w:pPr>
    </w:p>
    <w:p>
      <w:pPr>
        <w:jc w:val="both"/>
        <w:ind w:left="6" w:firstLine="632"/>
        <w:spacing w:after="0" w:line="264" w:lineRule="auto"/>
        <w:rPr>
          <w:sz w:val="20"/>
          <w:szCs w:val="20"/>
          <w:color w:val="auto"/>
        </w:rPr>
      </w:pPr>
      <w:r>
        <w:rPr>
          <w:rFonts w:ascii="Arial" w:cs="Arial" w:eastAsia="Arial" w:hAnsi="Arial"/>
          <w:sz w:val="19"/>
          <w:szCs w:val="19"/>
          <w:color w:val="auto"/>
        </w:rPr>
        <w:t>3.2 If Boeing must [*CTR], subject to Customer's agreement. Such [*CTR]. If Boeing [*CTR]. If within [*CTR]. If the parties are [*CTR]. Immediately upon the [*CTR] to Customer by Boeing. When making any such [*CTR] to other customers.</w:t>
      </w:r>
    </w:p>
    <w:p>
      <w:pPr>
        <w:spacing w:after="0" w:line="163" w:lineRule="exact"/>
        <w:rPr>
          <w:sz w:val="20"/>
          <w:szCs w:val="20"/>
          <w:color w:val="auto"/>
        </w:rPr>
      </w:pPr>
    </w:p>
    <w:p>
      <w:pPr>
        <w:ind w:left="306" w:hanging="306"/>
        <w:spacing w:after="0"/>
        <w:tabs>
          <w:tab w:leader="none" w:pos="30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109" w:lineRule="exact"/>
        <w:rPr>
          <w:sz w:val="20"/>
          <w:szCs w:val="20"/>
          <w:color w:val="auto"/>
        </w:rPr>
      </w:pPr>
    </w:p>
    <w:p>
      <w:pPr>
        <w:ind w:left="566"/>
        <w:spacing w:after="0"/>
        <w:rPr>
          <w:sz w:val="20"/>
          <w:szCs w:val="20"/>
          <w:color w:val="auto"/>
        </w:rPr>
      </w:pPr>
      <w:r>
        <w:rPr>
          <w:rFonts w:ascii="Arial" w:cs="Arial" w:eastAsia="Arial" w:hAnsi="Arial"/>
          <w:sz w:val="19"/>
          <w:szCs w:val="19"/>
          <w:color w:val="auto"/>
        </w:rPr>
        <w:t>Customer will have the [*CTR], subject to the following terms:</w:t>
      </w:r>
    </w:p>
    <w:p>
      <w:pPr>
        <w:sectPr>
          <w:pgSz w:w="11900" w:h="16838" w:orient="portrait"/>
          <w:cols w:equalWidth="0" w:num="1">
            <w:col w:w="11446"/>
          </w:cols>
          <w:pgMar w:left="234" w:top="140" w:right="219" w:bottom="1440" w:gutter="0" w:footer="0" w:header="0"/>
          <w:type w:val="continuous"/>
        </w:sectPr>
      </w:pPr>
    </w:p>
    <w:p>
      <w:pPr>
        <w:spacing w:after="0" w:line="397" w:lineRule="exact"/>
        <w:rPr>
          <w:sz w:val="20"/>
          <w:szCs w:val="20"/>
          <w:color w:val="auto"/>
        </w:rPr>
      </w:pPr>
    </w:p>
    <w:p>
      <w:pPr>
        <w:ind w:left="6"/>
        <w:spacing w:after="0" w:line="161" w:lineRule="exact"/>
        <w:rPr>
          <w:sz w:val="20"/>
          <w:szCs w:val="20"/>
          <w:color w:val="auto"/>
        </w:rPr>
      </w:pPr>
      <w:r>
        <w:rPr>
          <w:rFonts w:ascii="Arial" w:cs="Arial" w:eastAsia="Arial" w:hAnsi="Arial"/>
          <w:sz w:val="14"/>
          <w:szCs w:val="14"/>
          <w:color w:val="auto"/>
        </w:rPr>
        <w:t>AAL</w:t>
      </w:r>
      <w:r>
        <w:rPr>
          <w:rFonts w:ascii="MS PGothic" w:cs="MS PGothic" w:eastAsia="MS PGothic" w:hAnsi="MS PGothic"/>
          <w:sz w:val="14"/>
          <w:szCs w:val="14"/>
          <w:color w:val="auto"/>
        </w:rPr>
        <w:t>‑</w:t>
      </w:r>
      <w:r>
        <w:rPr>
          <w:rFonts w:ascii="Arial" w:cs="Arial" w:eastAsia="Arial" w:hAnsi="Arial"/>
          <w:sz w:val="14"/>
          <w:szCs w:val="14"/>
          <w:color w:val="auto"/>
        </w:rPr>
        <w:t>PA</w:t>
      </w:r>
      <w:r>
        <w:rPr>
          <w:rFonts w:ascii="MS PGothic" w:cs="MS PGothic" w:eastAsia="MS PGothic" w:hAnsi="MS PGothic"/>
          <w:sz w:val="14"/>
          <w:szCs w:val="14"/>
          <w:color w:val="auto"/>
        </w:rPr>
        <w:t>‑</w:t>
      </w:r>
      <w:r>
        <w:rPr>
          <w:rFonts w:ascii="Arial" w:cs="Arial" w:eastAsia="Arial" w:hAnsi="Arial"/>
          <w:sz w:val="14"/>
          <w:szCs w:val="14"/>
          <w:color w:val="auto"/>
        </w:rPr>
        <w:t>03219</w:t>
      </w:r>
      <w:r>
        <w:rPr>
          <w:rFonts w:ascii="MS PGothic" w:cs="MS PGothic" w:eastAsia="MS PGothic" w:hAnsi="MS PGothic"/>
          <w:sz w:val="14"/>
          <w:szCs w:val="14"/>
          <w:color w:val="auto"/>
        </w:rPr>
        <w:t>‑</w:t>
      </w:r>
      <w:r>
        <w:rPr>
          <w:rFonts w:ascii="Arial" w:cs="Arial" w:eastAsia="Arial" w:hAnsi="Arial"/>
          <w:sz w:val="14"/>
          <w:szCs w:val="14"/>
          <w:color w:val="auto"/>
        </w:rPr>
        <w:t>LA</w:t>
      </w:r>
      <w:r>
        <w:rPr>
          <w:rFonts w:ascii="MS PGothic" w:cs="MS PGothic" w:eastAsia="MS PGothic" w:hAnsi="MS PGothic"/>
          <w:sz w:val="14"/>
          <w:szCs w:val="14"/>
          <w:color w:val="auto"/>
        </w:rPr>
        <w:t>‑</w:t>
      </w:r>
      <w:r>
        <w:rPr>
          <w:rFonts w:ascii="Arial" w:cs="Arial" w:eastAsia="Arial" w:hAnsi="Arial"/>
          <w:sz w:val="14"/>
          <w:szCs w:val="14"/>
          <w:color w:val="auto"/>
        </w:rPr>
        <w:t>1804779</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19" w:lineRule="exact"/>
        <w:rPr>
          <w:sz w:val="20"/>
          <w:szCs w:val="20"/>
          <w:color w:val="auto"/>
        </w:rPr>
      </w:pPr>
    </w:p>
    <w:p>
      <w:pPr>
        <w:sectPr>
          <w:pgSz w:w="11900" w:h="16838" w:orient="portrait"/>
          <w:cols w:equalWidth="0" w:num="2">
            <w:col w:w="2146" w:space="720"/>
            <w:col w:w="8580"/>
          </w:cols>
          <w:pgMar w:left="234" w:top="140"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1 of 5</w:t>
      </w:r>
    </w:p>
    <w:p>
      <w:pPr>
        <w:spacing w:after="0" w:line="3" w:lineRule="exact"/>
        <w:rPr>
          <w:sz w:val="20"/>
          <w:szCs w:val="20"/>
          <w:color w:val="auto"/>
        </w:rPr>
      </w:pPr>
    </w:p>
    <w:p>
      <w:pPr>
        <w:sectPr>
          <w:pgSz w:w="11900" w:h="16838" w:orient="portrait"/>
          <w:cols w:equalWidth="0" w:num="2">
            <w:col w:w="1246" w:space="720"/>
            <w:col w:w="9480"/>
          </w:cols>
          <w:pgMar w:left="234" w:top="140" w:right="219" w:bottom="1440" w:gutter="0" w:footer="0" w:header="0"/>
          <w:type w:val="continuous"/>
        </w:sectPr>
      </w:pPr>
    </w:p>
    <w:p>
      <w:pPr>
        <w:jc w:val="center"/>
        <w:ind w:right="-5"/>
        <w:spacing w:after="0"/>
        <w:rPr>
          <w:sz w:val="20"/>
          <w:szCs w:val="20"/>
          <w:color w:val="auto"/>
        </w:rPr>
      </w:pPr>
      <w:r>
        <w:rPr>
          <w:rFonts w:ascii="Arial" w:cs="Arial" w:eastAsia="Arial" w:hAnsi="Arial"/>
          <w:sz w:val="14"/>
          <w:szCs w:val="14"/>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40" w:right="219" w:bottom="1440" w:gutter="0" w:footer="0" w:header="0"/>
          <w:type w:val="continuous"/>
        </w:sectPr>
      </w:pPr>
    </w:p>
    <w:bookmarkStart w:id="182" w:name="page183"/>
    <w:bookmarkEnd w:id="182"/>
    <w:p>
      <w:pPr>
        <w:ind w:left="626"/>
        <w:spacing w:after="0"/>
        <w:tabs>
          <w:tab w:leader="none" w:pos="1066"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4.1</w:t>
        <w:tab/>
        <w:t>The [*CTR] are shown in Attachments A and B to this Letter Agreement are [*CTR], subject to the provisions in Section 4.2</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9"/>
          <w:szCs w:val="19"/>
          <w:color w:val="auto"/>
        </w:rPr>
        <w:t>below.</w:t>
      </w:r>
    </w:p>
    <w:p>
      <w:pPr>
        <w:spacing w:after="0" w:line="97" w:lineRule="exact"/>
        <w:rPr>
          <w:sz w:val="20"/>
          <w:szCs w:val="20"/>
          <w:color w:val="auto"/>
        </w:rPr>
      </w:pPr>
    </w:p>
    <w:p>
      <w:pPr>
        <w:jc w:val="both"/>
        <w:ind w:left="66" w:firstLine="491"/>
        <w:spacing w:after="0" w:line="251" w:lineRule="auto"/>
        <w:rPr>
          <w:sz w:val="20"/>
          <w:szCs w:val="20"/>
          <w:color w:val="auto"/>
        </w:rPr>
      </w:pPr>
      <w:r>
        <w:rPr>
          <w:rFonts w:ascii="Arial" w:cs="Arial" w:eastAsia="Arial" w:hAnsi="Arial"/>
          <w:sz w:val="19"/>
          <w:szCs w:val="19"/>
          <w:color w:val="auto"/>
        </w:rPr>
        <w:t>4.2 For each of the [*CTR] indicated in Attachment A to this Letter Agreement. Customer may [*CTR]. By way of example, if an [*CTR].</w:t>
      </w:r>
    </w:p>
    <w:p>
      <w:pPr>
        <w:spacing w:after="0" w:line="210" w:lineRule="exact"/>
        <w:rPr>
          <w:sz w:val="20"/>
          <w:szCs w:val="20"/>
          <w:color w:val="auto"/>
        </w:rPr>
      </w:pPr>
    </w:p>
    <w:p>
      <w:pPr>
        <w:jc w:val="both"/>
        <w:ind w:left="66" w:right="20" w:firstLine="561"/>
        <w:spacing w:after="0" w:line="246" w:lineRule="auto"/>
        <w:rPr>
          <w:sz w:val="20"/>
          <w:szCs w:val="20"/>
          <w:color w:val="auto"/>
        </w:rPr>
      </w:pPr>
      <w:r>
        <w:rPr>
          <w:rFonts w:ascii="Arial" w:cs="Arial" w:eastAsia="Arial" w:hAnsi="Arial"/>
          <w:sz w:val="19"/>
          <w:szCs w:val="19"/>
          <w:color w:val="auto"/>
        </w:rPr>
        <w:t>4.2.1 Notwithstanding the foregoing, Customer may [*CTR] in Attachment A to this Letter Agreement by giving Boeing written notice of such [*CTR] in the event of any of the following: (i) an [*CTR] in accordance with Section 3.2 above, (ii) such [*CTR] in accordance with Section 3.2 above, or (iii) a [*CTR], in accordance with Section 2 of Letter Agreement No. AAL-PA-03219-LA-1802262, entitled “[</w:t>
      </w: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16" w:lineRule="exact"/>
        <w:rPr>
          <w:sz w:val="20"/>
          <w:szCs w:val="20"/>
          <w:color w:val="auto"/>
        </w:rPr>
      </w:pPr>
    </w:p>
    <w:p>
      <w:pPr>
        <w:ind w:left="1126"/>
        <w:spacing w:after="0"/>
        <w:tabs>
          <w:tab w:leader="none" w:pos="1726" w:val="left"/>
        </w:tabs>
        <w:rPr>
          <w:sz w:val="20"/>
          <w:szCs w:val="20"/>
          <w:color w:val="auto"/>
        </w:rPr>
      </w:pPr>
      <w:r>
        <w:rPr>
          <w:rFonts w:ascii="Arial" w:cs="Arial" w:eastAsia="Arial" w:hAnsi="Arial"/>
          <w:sz w:val="19"/>
          <w:szCs w:val="19"/>
          <w:color w:val="auto"/>
        </w:rPr>
        <w:t>4.2.2</w:t>
      </w:r>
      <w:r>
        <w:rPr>
          <w:sz w:val="20"/>
          <w:szCs w:val="20"/>
          <w:color w:val="auto"/>
        </w:rPr>
        <w:tab/>
      </w:r>
      <w:r>
        <w:rPr>
          <w:rFonts w:ascii="Arial" w:cs="Arial" w:eastAsia="Arial" w:hAnsi="Arial"/>
          <w:sz w:val="18"/>
          <w:szCs w:val="18"/>
          <w:color w:val="auto"/>
        </w:rPr>
        <w:t>If Customer provides Boeing with an [*CTR]. If Boeing [*CTR] as set forth on Attachment B to this Letter Agreement.</w:t>
      </w:r>
    </w:p>
    <w:p>
      <w:pPr>
        <w:spacing w:after="0" w:line="226" w:lineRule="exact"/>
        <w:rPr>
          <w:sz w:val="20"/>
          <w:szCs w:val="20"/>
          <w:color w:val="auto"/>
        </w:rPr>
      </w:pPr>
    </w:p>
    <w:p>
      <w:pPr>
        <w:ind w:left="1126"/>
        <w:spacing w:after="0"/>
        <w:tabs>
          <w:tab w:leader="none" w:pos="1726" w:val="left"/>
        </w:tabs>
        <w:rPr>
          <w:sz w:val="20"/>
          <w:szCs w:val="20"/>
          <w:color w:val="auto"/>
        </w:rPr>
      </w:pPr>
      <w:r>
        <w:rPr>
          <w:rFonts w:ascii="Arial" w:cs="Arial" w:eastAsia="Arial" w:hAnsi="Arial"/>
          <w:sz w:val="19"/>
          <w:szCs w:val="19"/>
          <w:color w:val="auto"/>
        </w:rPr>
        <w:t>4.2.3</w:t>
      </w:r>
      <w:r>
        <w:rPr>
          <w:sz w:val="20"/>
          <w:szCs w:val="20"/>
          <w:color w:val="auto"/>
        </w:rPr>
        <w:tab/>
      </w:r>
      <w:r>
        <w:rPr>
          <w:rFonts w:ascii="Arial" w:cs="Arial" w:eastAsia="Arial" w:hAnsi="Arial"/>
          <w:sz w:val="18"/>
          <w:szCs w:val="18"/>
          <w:color w:val="auto"/>
        </w:rPr>
        <w:t>If Boeing is [*CTR] set forth on Attachment B to this Letter Agreement, then Boeing shall [*CTR]. If Customer [*CTR].</w:t>
      </w:r>
    </w:p>
    <w:p>
      <w:pPr>
        <w:spacing w:after="0" w:line="226" w:lineRule="exact"/>
        <w:rPr>
          <w:sz w:val="20"/>
          <w:szCs w:val="20"/>
          <w:color w:val="auto"/>
        </w:rPr>
      </w:pPr>
    </w:p>
    <w:p>
      <w:pPr>
        <w:ind w:left="6" w:right="20" w:firstLine="1123"/>
        <w:spacing w:after="0" w:line="251" w:lineRule="auto"/>
        <w:rPr>
          <w:sz w:val="20"/>
          <w:szCs w:val="20"/>
          <w:color w:val="auto"/>
        </w:rPr>
      </w:pPr>
      <w:r>
        <w:rPr>
          <w:rFonts w:ascii="Arial" w:cs="Arial" w:eastAsia="Arial" w:hAnsi="Arial"/>
          <w:sz w:val="19"/>
          <w:szCs w:val="19"/>
          <w:color w:val="auto"/>
        </w:rPr>
        <w:t>4.2.4 [*CTR] in accordance with Section 4.2.3 shall be [*CTR] until the Limited Scope Supplemental Agreement is executed by the parties.</w:t>
      </w:r>
    </w:p>
    <w:p>
      <w:pPr>
        <w:spacing w:after="0" w:line="81"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8"/>
          <w:szCs w:val="18"/>
          <w:color w:val="auto"/>
        </w:rPr>
        <w:t>A [*CTR], as follows:</w:t>
      </w:r>
    </w:p>
    <w:p>
      <w:pPr>
        <w:spacing w:after="0" w:line="203" w:lineRule="exact"/>
        <w:rPr>
          <w:sz w:val="20"/>
          <w:szCs w:val="20"/>
          <w:color w:val="auto"/>
        </w:rPr>
      </w:pPr>
    </w:p>
    <w:p>
      <w:pPr>
        <w:ind w:left="1126"/>
        <w:spacing w:after="0"/>
        <w:rPr>
          <w:sz w:val="20"/>
          <w:szCs w:val="20"/>
          <w:color w:val="auto"/>
        </w:rPr>
      </w:pPr>
      <w:r>
        <w:rPr>
          <w:rFonts w:ascii="Arial" w:cs="Arial" w:eastAsia="Arial" w:hAnsi="Arial"/>
          <w:sz w:val="19"/>
          <w:szCs w:val="19"/>
          <w:color w:val="auto"/>
        </w:rPr>
        <w:t>4.3.1 Upon the [*CTR] as set forth on Attachment B of this Letter Agreement; or</w:t>
      </w:r>
    </w:p>
    <w:p>
      <w:pPr>
        <w:spacing w:after="0" w:line="97" w:lineRule="exact"/>
        <w:rPr>
          <w:sz w:val="20"/>
          <w:szCs w:val="20"/>
          <w:color w:val="auto"/>
        </w:rPr>
      </w:pPr>
    </w:p>
    <w:p>
      <w:pPr>
        <w:ind w:left="1126"/>
        <w:spacing w:after="0"/>
        <w:rPr>
          <w:sz w:val="20"/>
          <w:szCs w:val="20"/>
          <w:color w:val="auto"/>
        </w:rPr>
      </w:pPr>
      <w:r>
        <w:rPr>
          <w:rFonts w:ascii="Arial" w:cs="Arial" w:eastAsia="Arial" w:hAnsi="Arial"/>
          <w:sz w:val="19"/>
          <w:szCs w:val="19"/>
          <w:color w:val="auto"/>
        </w:rPr>
        <w:t>4.3.2 Upon Customer’s [*CTR] as set forth on Attachment B of this Letter Agreement and [*CTR].</w:t>
      </w:r>
    </w:p>
    <w:p>
      <w:pPr>
        <w:spacing w:after="0" w:line="97"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color w:val="auto"/>
        </w:rPr>
        <w:t>For avoidance of doubt, all [*CTR].</w:t>
      </w:r>
    </w:p>
    <w:p>
      <w:pPr>
        <w:spacing w:after="0" w:line="296" w:lineRule="exact"/>
        <w:rPr>
          <w:sz w:val="20"/>
          <w:szCs w:val="20"/>
          <w:color w:val="auto"/>
        </w:rPr>
      </w:pPr>
    </w:p>
    <w:p>
      <w:pPr>
        <w:ind w:left="306" w:hanging="306"/>
        <w:spacing w:after="0"/>
        <w:tabs>
          <w:tab w:leader="none" w:pos="30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03"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color w:val="auto"/>
        </w:rPr>
        <w:t>Subject to the provisions of Section 5.2, below, the [*CTR] shown in Attachment A to this Letter Agreement.</w:t>
      </w:r>
    </w:p>
    <w:p>
      <w:pPr>
        <w:spacing w:after="0" w:line="203"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color w:val="auto"/>
        </w:rPr>
        <w:t>Boeing [*CTR] pursuant to the provisions of Section 5.1 at [*CTR] to Customer.</w:t>
      </w:r>
    </w:p>
    <w:p>
      <w:pPr>
        <w:spacing w:after="0" w:line="203" w:lineRule="exact"/>
        <w:rPr>
          <w:sz w:val="20"/>
          <w:szCs w:val="20"/>
          <w:color w:val="auto"/>
        </w:rPr>
      </w:pPr>
    </w:p>
    <w:p>
      <w:pPr>
        <w:ind w:left="306" w:hanging="306"/>
        <w:spacing w:after="0"/>
        <w:tabs>
          <w:tab w:leader="none" w:pos="30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03" w:lineRule="exact"/>
        <w:rPr>
          <w:sz w:val="20"/>
          <w:szCs w:val="20"/>
          <w:color w:val="auto"/>
        </w:rPr>
      </w:pPr>
    </w:p>
    <w:p>
      <w:pPr>
        <w:ind w:left="6" w:right="20" w:firstLine="561"/>
        <w:spacing w:after="0" w:line="264" w:lineRule="auto"/>
        <w:rPr>
          <w:sz w:val="20"/>
          <w:szCs w:val="20"/>
          <w:color w:val="auto"/>
        </w:rPr>
      </w:pPr>
      <w:r>
        <w:rPr>
          <w:rFonts w:ascii="Arial" w:cs="Arial" w:eastAsia="Arial" w:hAnsi="Arial"/>
          <w:sz w:val="19"/>
          <w:szCs w:val="19"/>
          <w:color w:val="auto"/>
        </w:rPr>
        <w:t>6.1 The [*CTR] are identified in Attachment A to this Letter Agreement. The [*CTR] are identified in Attachment B to this Letter Agreement.</w:t>
      </w:r>
    </w:p>
    <w:p>
      <w:pPr>
        <w:spacing w:after="0" w:line="163"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The [*CTR] in accordance with the terms set forth in [*CTR] as such provisions have been applied to the [*CTR].</w:t>
      </w:r>
    </w:p>
    <w:p>
      <w:pPr>
        <w:sectPr>
          <w:pgSz w:w="11900" w:h="16838" w:orient="portrait"/>
          <w:cols w:equalWidth="0" w:num="1">
            <w:col w:w="11446"/>
          </w:cols>
          <w:pgMar w:left="234" w:top="941" w:right="2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
        <w:spacing w:after="0" w:line="161" w:lineRule="exact"/>
        <w:rPr>
          <w:sz w:val="20"/>
          <w:szCs w:val="20"/>
          <w:color w:val="auto"/>
        </w:rPr>
      </w:pPr>
      <w:r>
        <w:rPr>
          <w:rFonts w:ascii="Arial" w:cs="Arial" w:eastAsia="Arial" w:hAnsi="Arial"/>
          <w:sz w:val="14"/>
          <w:szCs w:val="14"/>
          <w:color w:val="auto"/>
        </w:rPr>
        <w:t>AAL</w:t>
      </w:r>
      <w:r>
        <w:rPr>
          <w:rFonts w:ascii="MS PGothic" w:cs="MS PGothic" w:eastAsia="MS PGothic" w:hAnsi="MS PGothic"/>
          <w:sz w:val="14"/>
          <w:szCs w:val="14"/>
          <w:color w:val="auto"/>
        </w:rPr>
        <w:t>‑</w:t>
      </w:r>
      <w:r>
        <w:rPr>
          <w:rFonts w:ascii="Arial" w:cs="Arial" w:eastAsia="Arial" w:hAnsi="Arial"/>
          <w:sz w:val="14"/>
          <w:szCs w:val="14"/>
          <w:color w:val="auto"/>
        </w:rPr>
        <w:t>PA</w:t>
      </w:r>
      <w:r>
        <w:rPr>
          <w:rFonts w:ascii="MS PGothic" w:cs="MS PGothic" w:eastAsia="MS PGothic" w:hAnsi="MS PGothic"/>
          <w:sz w:val="14"/>
          <w:szCs w:val="14"/>
          <w:color w:val="auto"/>
        </w:rPr>
        <w:t>‑</w:t>
      </w:r>
      <w:r>
        <w:rPr>
          <w:rFonts w:ascii="Arial" w:cs="Arial" w:eastAsia="Arial" w:hAnsi="Arial"/>
          <w:sz w:val="14"/>
          <w:szCs w:val="14"/>
          <w:color w:val="auto"/>
        </w:rPr>
        <w:t>03219</w:t>
      </w:r>
      <w:r>
        <w:rPr>
          <w:rFonts w:ascii="MS PGothic" w:cs="MS PGothic" w:eastAsia="MS PGothic" w:hAnsi="MS PGothic"/>
          <w:sz w:val="14"/>
          <w:szCs w:val="14"/>
          <w:color w:val="auto"/>
        </w:rPr>
        <w:t>‑</w:t>
      </w:r>
      <w:r>
        <w:rPr>
          <w:rFonts w:ascii="Arial" w:cs="Arial" w:eastAsia="Arial" w:hAnsi="Arial"/>
          <w:sz w:val="14"/>
          <w:szCs w:val="14"/>
          <w:color w:val="auto"/>
        </w:rPr>
        <w:t>LA</w:t>
      </w:r>
      <w:r>
        <w:rPr>
          <w:rFonts w:ascii="MS PGothic" w:cs="MS PGothic" w:eastAsia="MS PGothic" w:hAnsi="MS PGothic"/>
          <w:sz w:val="14"/>
          <w:szCs w:val="14"/>
          <w:color w:val="auto"/>
        </w:rPr>
        <w:t>‑</w:t>
      </w:r>
      <w:r>
        <w:rPr>
          <w:rFonts w:ascii="Arial" w:cs="Arial" w:eastAsia="Arial" w:hAnsi="Arial"/>
          <w:sz w:val="14"/>
          <w:szCs w:val="14"/>
          <w:color w:val="auto"/>
        </w:rPr>
        <w:t>1804779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19" w:lineRule="exact"/>
        <w:rPr>
          <w:sz w:val="20"/>
          <w:szCs w:val="20"/>
          <w:color w:val="auto"/>
        </w:rPr>
      </w:pPr>
    </w:p>
    <w:p>
      <w:pPr>
        <w:sectPr>
          <w:pgSz w:w="11900" w:h="16838" w:orient="portrait"/>
          <w:cols w:equalWidth="0" w:num="2">
            <w:col w:w="2146" w:space="720"/>
            <w:col w:w="8580"/>
          </w:cols>
          <w:pgMar w:left="234" w:top="941"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2 of 5</w:t>
      </w:r>
    </w:p>
    <w:p>
      <w:pPr>
        <w:spacing w:after="0" w:line="3" w:lineRule="exact"/>
        <w:rPr>
          <w:sz w:val="20"/>
          <w:szCs w:val="20"/>
          <w:color w:val="auto"/>
        </w:rPr>
      </w:pPr>
    </w:p>
    <w:p>
      <w:pPr>
        <w:sectPr>
          <w:pgSz w:w="11900" w:h="16838" w:orient="portrait"/>
          <w:cols w:equalWidth="0" w:num="2">
            <w:col w:w="1246" w:space="720"/>
            <w:col w:w="9480"/>
          </w:cols>
          <w:pgMar w:left="234" w:top="941" w:right="219" w:bottom="1440" w:gutter="0" w:footer="0" w:header="0"/>
          <w:type w:val="continuous"/>
        </w:sectPr>
      </w:pPr>
    </w:p>
    <w:p>
      <w:pPr>
        <w:jc w:val="center"/>
        <w:ind w:right="-5"/>
        <w:spacing w:after="0"/>
        <w:rPr>
          <w:sz w:val="20"/>
          <w:szCs w:val="20"/>
          <w:color w:val="auto"/>
        </w:rPr>
      </w:pPr>
      <w:r>
        <w:rPr>
          <w:rFonts w:ascii="Arial" w:cs="Arial" w:eastAsia="Arial" w:hAnsi="Arial"/>
          <w:sz w:val="14"/>
          <w:szCs w:val="14"/>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941" w:right="219" w:bottom="1440" w:gutter="0" w:footer="0" w:header="0"/>
          <w:type w:val="continuous"/>
        </w:sectPr>
      </w:pPr>
    </w:p>
    <w:bookmarkStart w:id="183" w:name="page184"/>
    <w:bookmarkEnd w:id="183"/>
    <w:p>
      <w:pPr>
        <w:jc w:val="both"/>
        <w:ind w:firstLine="561"/>
        <w:spacing w:after="0" w:line="26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6.3 At the time of execution of each Limited Scope Supplemental Agreement, the [*CTR] in accordance with the terms of the Purchase Agreement.</w:t>
      </w:r>
    </w:p>
    <w:p>
      <w:pPr>
        <w:spacing w:after="0" w:line="198"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 Boeing will [*CTR] to Customer:</w:t>
      </w:r>
    </w:p>
    <w:p>
      <w:pPr>
        <w:spacing w:after="0" w:line="191"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9"/>
          <w:szCs w:val="19"/>
          <w:color w:val="auto"/>
        </w:rPr>
        <w:t>6.4.1</w:t>
      </w:r>
      <w:r>
        <w:rPr>
          <w:sz w:val="20"/>
          <w:szCs w:val="20"/>
          <w:color w:val="auto"/>
        </w:rPr>
        <w:tab/>
      </w:r>
      <w:r>
        <w:rPr>
          <w:rFonts w:ascii="Arial" w:cs="Arial" w:eastAsia="Arial" w:hAnsi="Arial"/>
          <w:sz w:val="18"/>
          <w:szCs w:val="18"/>
          <w:u w:val="single" w:color="auto"/>
          <w:color w:val="auto"/>
        </w:rPr>
        <w:t>[*CTR]</w:t>
      </w:r>
      <w:r>
        <w:rPr>
          <w:rFonts w:ascii="Arial" w:cs="Arial" w:eastAsia="Arial" w:hAnsi="Arial"/>
          <w:sz w:val="18"/>
          <w:szCs w:val="18"/>
          <w:color w:val="auto"/>
        </w:rPr>
        <w:t>. Boeing will [*CTR] to Customer at the [*CTR]. The [*CTR] is:</w:t>
      </w:r>
    </w:p>
    <w:p>
      <w:pPr>
        <w:spacing w:after="0" w:line="191"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u w:val="single" w:color="auto"/>
          <w:color w:val="auto"/>
        </w:rPr>
        <w:t>[*CTR]</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*CTR]</w:t>
      </w:r>
    </w:p>
    <w:p>
      <w:pPr>
        <w:spacing w:after="0" w:line="4"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[*CTR]</w:t>
      </w:r>
      <w:r>
        <w:rPr>
          <w:sz w:val="20"/>
          <w:szCs w:val="20"/>
          <w:color w:val="auto"/>
        </w:rPr>
        <w:tab/>
      </w:r>
      <w:r>
        <w:rPr>
          <w:rFonts w:ascii="Arial" w:cs="Arial" w:eastAsia="Arial" w:hAnsi="Arial"/>
          <w:sz w:val="19"/>
          <w:szCs w:val="19"/>
          <w:color w:val="auto"/>
        </w:rPr>
        <w:t>[*CTR]</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Each such [*CTR] as such provisions have been applied to the [*CTR].</w:t>
      </w:r>
    </w:p>
    <w:p>
      <w:pPr>
        <w:spacing w:after="0" w:line="191" w:lineRule="exact"/>
        <w:rPr>
          <w:sz w:val="20"/>
          <w:szCs w:val="20"/>
          <w:color w:val="auto"/>
        </w:rPr>
      </w:pPr>
    </w:p>
    <w:p>
      <w:pPr>
        <w:jc w:val="both"/>
        <w:ind w:right="20" w:firstLine="561"/>
        <w:spacing w:after="0" w:line="251" w:lineRule="auto"/>
        <w:rPr>
          <w:sz w:val="20"/>
          <w:szCs w:val="20"/>
          <w:color w:val="auto"/>
        </w:rPr>
      </w:pPr>
      <w:r>
        <w:rPr>
          <w:rFonts w:ascii="Arial" w:cs="Arial" w:eastAsia="Arial" w:hAnsi="Arial"/>
          <w:sz w:val="19"/>
          <w:szCs w:val="19"/>
          <w:color w:val="auto"/>
        </w:rPr>
        <w:t xml:space="preserve">6.4.2 </w:t>
      </w:r>
      <w:r>
        <w:rPr>
          <w:rFonts w:ascii="Arial" w:cs="Arial" w:eastAsia="Arial" w:hAnsi="Arial"/>
          <w:sz w:val="19"/>
          <w:szCs w:val="19"/>
          <w:u w:val="single" w:color="auto"/>
          <w:color w:val="auto"/>
        </w:rPr>
        <w:t>[*CTR].</w:t>
      </w:r>
      <w:r>
        <w:rPr>
          <w:rFonts w:ascii="Arial" w:cs="Arial" w:eastAsia="Arial" w:hAnsi="Arial"/>
          <w:sz w:val="19"/>
          <w:szCs w:val="19"/>
          <w:color w:val="auto"/>
        </w:rPr>
        <w:t xml:space="preserve"> Boeing will [*CTR] to Customer at the [*CTR]. The [*CTR] in accordance with the provisions of the [*CTR] as such provisions have been applied to the [*CTR]. Such [*CTR].</w:t>
      </w:r>
    </w:p>
    <w:p>
      <w:pPr>
        <w:spacing w:after="0" w:line="175" w:lineRule="exact"/>
        <w:rPr>
          <w:sz w:val="20"/>
          <w:szCs w:val="20"/>
          <w:color w:val="auto"/>
        </w:rPr>
      </w:pPr>
    </w:p>
    <w:p>
      <w:pPr>
        <w:jc w:val="both"/>
        <w:ind w:right="20" w:firstLine="561"/>
        <w:spacing w:after="0" w:line="251" w:lineRule="auto"/>
        <w:rPr>
          <w:sz w:val="20"/>
          <w:szCs w:val="20"/>
          <w:color w:val="auto"/>
        </w:rPr>
      </w:pPr>
      <w:r>
        <w:rPr>
          <w:rFonts w:ascii="Arial" w:cs="Arial" w:eastAsia="Arial" w:hAnsi="Arial"/>
          <w:sz w:val="19"/>
          <w:szCs w:val="19"/>
          <w:color w:val="auto"/>
        </w:rPr>
        <w:t xml:space="preserve">6.4.3 </w:t>
      </w:r>
      <w:r>
        <w:rPr>
          <w:rFonts w:ascii="Arial" w:cs="Arial" w:eastAsia="Arial" w:hAnsi="Arial"/>
          <w:sz w:val="19"/>
          <w:szCs w:val="19"/>
          <w:u w:val="single" w:color="auto"/>
          <w:color w:val="auto"/>
        </w:rPr>
        <w:t>[*CTR]</w:t>
      </w:r>
      <w:r>
        <w:rPr>
          <w:rFonts w:ascii="Arial" w:cs="Arial" w:eastAsia="Arial" w:hAnsi="Arial"/>
          <w:sz w:val="19"/>
          <w:szCs w:val="19"/>
          <w:color w:val="auto"/>
        </w:rPr>
        <w:t>. Boeing will [*CTR] to Customer at the [*CTR]. The [*CTR] in accordance with the provisions of the [*CTR] as such provisions have been applied to the [*CTR]. Such [*CTR].</w:t>
      </w:r>
    </w:p>
    <w:p>
      <w:pPr>
        <w:spacing w:after="0" w:line="210" w:lineRule="exact"/>
        <w:rPr>
          <w:sz w:val="20"/>
          <w:szCs w:val="20"/>
          <w:color w:val="auto"/>
        </w:rPr>
      </w:pPr>
    </w:p>
    <w:p>
      <w:pPr>
        <w:jc w:val="both"/>
        <w:ind w:firstLine="1123"/>
        <w:spacing w:after="0" w:line="247" w:lineRule="auto"/>
        <w:rPr>
          <w:sz w:val="20"/>
          <w:szCs w:val="20"/>
          <w:color w:val="auto"/>
        </w:rPr>
      </w:pPr>
      <w:r>
        <w:rPr>
          <w:rFonts w:ascii="Arial" w:cs="Arial" w:eastAsia="Arial" w:hAnsi="Arial"/>
          <w:sz w:val="19"/>
          <w:szCs w:val="19"/>
          <w:color w:val="auto"/>
        </w:rPr>
        <w:t xml:space="preserve">6.4.4 </w:t>
      </w:r>
      <w:r>
        <w:rPr>
          <w:rFonts w:ascii="Arial" w:cs="Arial" w:eastAsia="Arial" w:hAnsi="Arial"/>
          <w:sz w:val="19"/>
          <w:szCs w:val="19"/>
          <w:u w:val="single" w:color="auto"/>
          <w:color w:val="auto"/>
        </w:rPr>
        <w:t>[*CTR]</w:t>
      </w:r>
      <w:r>
        <w:rPr>
          <w:rFonts w:ascii="Arial" w:cs="Arial" w:eastAsia="Arial" w:hAnsi="Arial"/>
          <w:sz w:val="19"/>
          <w:szCs w:val="19"/>
          <w:color w:val="auto"/>
        </w:rPr>
        <w:t>. In recognition of Customer [*CTR] per this Letter Agreement, Boeing will [*CTR] to Customer up to [*CTR]. The [*CTR] in accordance with the provisions of the [*CTR] as such provisions have been applied to the [*CTR]. Except as set forth below in this Section 6.4.4, the [*CTR]. Each [*CTR].</w:t>
      </w:r>
    </w:p>
    <w:p>
      <w:pPr>
        <w:spacing w:after="0" w:line="214" w:lineRule="exact"/>
        <w:rPr>
          <w:sz w:val="20"/>
          <w:szCs w:val="20"/>
          <w:color w:val="auto"/>
        </w:rPr>
      </w:pPr>
    </w:p>
    <w:p>
      <w:pPr>
        <w:jc w:val="both"/>
        <w:ind w:firstLine="1685"/>
        <w:spacing w:after="0" w:line="251" w:lineRule="auto"/>
        <w:rPr>
          <w:sz w:val="20"/>
          <w:szCs w:val="20"/>
          <w:color w:val="auto"/>
        </w:rPr>
      </w:pPr>
      <w:r>
        <w:rPr>
          <w:rFonts w:ascii="Arial" w:cs="Arial" w:eastAsia="Arial" w:hAnsi="Arial"/>
          <w:sz w:val="19"/>
          <w:szCs w:val="19"/>
          <w:color w:val="auto"/>
        </w:rPr>
        <w:t>6.4.4.1 If (i) Customer [*CTR] or (ii) the [*CTR]. The [*CTR] in accordance with the provisions of the [*CTR] Letter Agreement, as such provisions have been applied to the [*CTR]. The [*CTR]; provided that:</w:t>
      </w:r>
    </w:p>
    <w:p>
      <w:pPr>
        <w:spacing w:after="0" w:line="210" w:lineRule="exact"/>
        <w:rPr>
          <w:sz w:val="20"/>
          <w:szCs w:val="20"/>
          <w:color w:val="auto"/>
        </w:rPr>
      </w:pPr>
    </w:p>
    <w:p>
      <w:pPr>
        <w:ind w:left="2620" w:hanging="380"/>
        <w:spacing w:after="0"/>
        <w:tabs>
          <w:tab w:leader="none" w:pos="26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[*CTR];</w:t>
      </w:r>
    </w:p>
    <w:p>
      <w:pPr>
        <w:spacing w:after="0" w:line="226" w:lineRule="exact"/>
        <w:rPr>
          <w:rFonts w:ascii="Arial" w:cs="Arial" w:eastAsia="Arial" w:hAnsi="Arial"/>
          <w:sz w:val="19"/>
          <w:szCs w:val="19"/>
          <w:color w:val="auto"/>
        </w:rPr>
      </w:pPr>
    </w:p>
    <w:p>
      <w:pPr>
        <w:ind w:left="2660" w:hanging="420"/>
        <w:spacing w:after="0"/>
        <w:tabs>
          <w:tab w:leader="none" w:pos="26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[*CTR];</w:t>
      </w:r>
    </w:p>
    <w:p>
      <w:pPr>
        <w:spacing w:after="0" w:line="226" w:lineRule="exact"/>
        <w:rPr>
          <w:rFonts w:ascii="Arial" w:cs="Arial" w:eastAsia="Arial" w:hAnsi="Arial"/>
          <w:sz w:val="19"/>
          <w:szCs w:val="19"/>
          <w:color w:val="auto"/>
        </w:rPr>
      </w:pPr>
    </w:p>
    <w:p>
      <w:pPr>
        <w:ind w:left="2540" w:hanging="300"/>
        <w:spacing w:after="0"/>
        <w:tabs>
          <w:tab w:leader="none" w:pos="25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[*CTR];</w:t>
      </w:r>
    </w:p>
    <w:p>
      <w:pPr>
        <w:spacing w:after="0" w:line="226" w:lineRule="exact"/>
        <w:rPr>
          <w:rFonts w:ascii="Arial" w:cs="Arial" w:eastAsia="Arial" w:hAnsi="Arial"/>
          <w:sz w:val="19"/>
          <w:szCs w:val="19"/>
          <w:color w:val="auto"/>
        </w:rPr>
      </w:pPr>
    </w:p>
    <w:p>
      <w:pPr>
        <w:ind w:left="2560" w:hanging="320"/>
        <w:spacing w:after="0"/>
        <w:tabs>
          <w:tab w:leader="none" w:pos="25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[*CTR].</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Such [*CTR].</w:t>
      </w:r>
    </w:p>
    <w:p>
      <w:pPr>
        <w:sectPr>
          <w:pgSz w:w="11900" w:h="16838" w:orient="portrait"/>
          <w:cols w:equalWidth="0" w:num="1">
            <w:col w:w="11440"/>
          </w:cols>
          <w:pgMar w:left="240" w:top="1035" w:right="219" w:bottom="1440" w:gutter="0" w:footer="0" w:header="0"/>
        </w:sectPr>
      </w:pPr>
    </w:p>
    <w:p>
      <w:pPr>
        <w:spacing w:after="0" w:line="39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AAL</w:t>
      </w:r>
      <w:r>
        <w:rPr>
          <w:rFonts w:ascii="MS PGothic" w:cs="MS PGothic" w:eastAsia="MS PGothic" w:hAnsi="MS PGothic"/>
          <w:sz w:val="14"/>
          <w:szCs w:val="14"/>
          <w:color w:val="auto"/>
        </w:rPr>
        <w:t>‑</w:t>
      </w:r>
      <w:r>
        <w:rPr>
          <w:rFonts w:ascii="Arial" w:cs="Arial" w:eastAsia="Arial" w:hAnsi="Arial"/>
          <w:sz w:val="14"/>
          <w:szCs w:val="14"/>
          <w:color w:val="auto"/>
        </w:rPr>
        <w:t>PA</w:t>
      </w:r>
      <w:r>
        <w:rPr>
          <w:rFonts w:ascii="MS PGothic" w:cs="MS PGothic" w:eastAsia="MS PGothic" w:hAnsi="MS PGothic"/>
          <w:sz w:val="14"/>
          <w:szCs w:val="14"/>
          <w:color w:val="auto"/>
        </w:rPr>
        <w:t>‑</w:t>
      </w:r>
      <w:r>
        <w:rPr>
          <w:rFonts w:ascii="Arial" w:cs="Arial" w:eastAsia="Arial" w:hAnsi="Arial"/>
          <w:sz w:val="14"/>
          <w:szCs w:val="14"/>
          <w:color w:val="auto"/>
        </w:rPr>
        <w:t>03219</w:t>
      </w:r>
      <w:r>
        <w:rPr>
          <w:rFonts w:ascii="MS PGothic" w:cs="MS PGothic" w:eastAsia="MS PGothic" w:hAnsi="MS PGothic"/>
          <w:sz w:val="14"/>
          <w:szCs w:val="14"/>
          <w:color w:val="auto"/>
        </w:rPr>
        <w:t>‑</w:t>
      </w:r>
      <w:r>
        <w:rPr>
          <w:rFonts w:ascii="Arial" w:cs="Arial" w:eastAsia="Arial" w:hAnsi="Arial"/>
          <w:sz w:val="14"/>
          <w:szCs w:val="14"/>
          <w:color w:val="auto"/>
        </w:rPr>
        <w:t>LA</w:t>
      </w:r>
      <w:r>
        <w:rPr>
          <w:rFonts w:ascii="MS PGothic" w:cs="MS PGothic" w:eastAsia="MS PGothic" w:hAnsi="MS PGothic"/>
          <w:sz w:val="14"/>
          <w:szCs w:val="14"/>
          <w:color w:val="auto"/>
        </w:rPr>
        <w:t>‑</w:t>
      </w:r>
      <w:r>
        <w:rPr>
          <w:rFonts w:ascii="Arial" w:cs="Arial" w:eastAsia="Arial" w:hAnsi="Arial"/>
          <w:sz w:val="14"/>
          <w:szCs w:val="14"/>
          <w:color w:val="auto"/>
        </w:rPr>
        <w:t>1804779</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19" w:lineRule="exact"/>
        <w:rPr>
          <w:sz w:val="20"/>
          <w:szCs w:val="20"/>
          <w:color w:val="auto"/>
        </w:rPr>
      </w:pPr>
    </w:p>
    <w:p>
      <w:pPr>
        <w:sectPr>
          <w:pgSz w:w="11900" w:h="16838" w:orient="portrait"/>
          <w:cols w:equalWidth="0" w:num="2">
            <w:col w:w="2140" w:space="720"/>
            <w:col w:w="8580"/>
          </w:cols>
          <w:pgMar w:left="240" w:top="1035" w:right="219" w:bottom="1440" w:gutter="0" w:footer="0" w:header="0"/>
          <w:type w:val="continuous"/>
        </w:sectPr>
      </w:pPr>
    </w:p>
    <w:p>
      <w:pPr>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3 of 5</w:t>
      </w:r>
    </w:p>
    <w:p>
      <w:pPr>
        <w:spacing w:after="0" w:line="3" w:lineRule="exact"/>
        <w:rPr>
          <w:sz w:val="20"/>
          <w:szCs w:val="20"/>
          <w:color w:val="auto"/>
        </w:rPr>
      </w:pPr>
    </w:p>
    <w:p>
      <w:pPr>
        <w:sectPr>
          <w:pgSz w:w="11900" w:h="16838" w:orient="portrait"/>
          <w:cols w:equalWidth="0" w:num="2">
            <w:col w:w="1240" w:space="720"/>
            <w:col w:w="9480"/>
          </w:cols>
          <w:pgMar w:left="240" w:top="1035" w:right="2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BOEING PROPRIETARY</w:t>
      </w:r>
    </w:p>
    <w:p>
      <w:pPr>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0"/>
          </w:cols>
          <w:pgMar w:left="240" w:top="1035" w:right="219" w:bottom="1440" w:gutter="0" w:footer="0" w:header="0"/>
          <w:type w:val="continuous"/>
        </w:sectPr>
      </w:pPr>
    </w:p>
    <w:bookmarkStart w:id="184" w:name="page185"/>
    <w:bookmarkEnd w:id="18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ind w:left="206" w:hanging="206"/>
        <w:spacing w:after="0"/>
        <w:tabs>
          <w:tab w:leader="none" w:pos="206"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191"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color w:val="auto"/>
        </w:rPr>
        <w:t>Customer will [*CTR], on the date of execution of this Letter Agreement. If Customer [*CTR]. If Customer [*CTR].</w:t>
      </w:r>
    </w:p>
    <w:p>
      <w:pPr>
        <w:spacing w:after="0" w:line="203"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8"/>
          <w:szCs w:val="18"/>
          <w:color w:val="auto"/>
        </w:rPr>
        <w:t>Customer shall [*CTR]. For the avoidance of doubt, there shall be no [*CTR].</w:t>
      </w:r>
    </w:p>
    <w:p>
      <w:pPr>
        <w:spacing w:after="0" w:line="200" w:lineRule="exact"/>
        <w:rPr>
          <w:sz w:val="20"/>
          <w:szCs w:val="20"/>
          <w:color w:val="auto"/>
        </w:rPr>
      </w:pPr>
    </w:p>
    <w:p>
      <w:pPr>
        <w:spacing w:after="0" w:line="225"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8"/>
          <w:szCs w:val="18"/>
          <w:color w:val="auto"/>
        </w:rPr>
        <w:t>Notwithstanding the amount shown in Attachment A, the [*CTR]. Upon execution of this Letter Agreement, [*CTR].</w:t>
      </w:r>
    </w:p>
    <w:p>
      <w:pPr>
        <w:spacing w:after="0" w:line="238" w:lineRule="exact"/>
        <w:rPr>
          <w:sz w:val="20"/>
          <w:szCs w:val="20"/>
          <w:color w:val="auto"/>
        </w:rPr>
      </w:pPr>
    </w:p>
    <w:p>
      <w:pPr>
        <w:jc w:val="both"/>
        <w:ind w:left="6" w:firstLine="561"/>
        <w:spacing w:after="0" w:line="246" w:lineRule="auto"/>
        <w:rPr>
          <w:sz w:val="20"/>
          <w:szCs w:val="20"/>
          <w:color w:val="auto"/>
        </w:rPr>
      </w:pPr>
      <w:r>
        <w:rPr>
          <w:rFonts w:ascii="Arial" w:cs="Arial" w:eastAsia="Arial" w:hAnsi="Arial"/>
          <w:sz w:val="19"/>
          <w:szCs w:val="19"/>
          <w:color w:val="auto"/>
        </w:rPr>
        <w:t>7.4 Upon execution of a Limited Scope Supplemental Agreement [*CTR] as specified in Section 1.4.2 of Letter Agreement 6-1162-CLO-1047R4, entitled “[</w:t>
      </w:r>
      <w:r>
        <w:rPr>
          <w:rFonts w:ascii="Arial" w:cs="Arial" w:eastAsia="Arial" w:hAnsi="Arial"/>
          <w:sz w:val="19"/>
          <w:szCs w:val="19"/>
          <w:u w:val="single" w:color="auto"/>
          <w:color w:val="auto"/>
        </w:rPr>
        <w:t>*CTR]</w:t>
      </w:r>
      <w:r>
        <w:rPr>
          <w:rFonts w:ascii="Arial" w:cs="Arial" w:eastAsia="Arial" w:hAnsi="Arial"/>
          <w:sz w:val="19"/>
          <w:szCs w:val="19"/>
          <w:color w:val="auto"/>
        </w:rPr>
        <w:t>” of the Purchase Agreement. The remainder of the [*CTR] in accordance with the provisions of the Purchase Agreement. For the avoidance of doubt, [*CTR] until the applicable Limited Scope Supplemental Agreement has been entered into by the parties.</w:t>
      </w:r>
    </w:p>
    <w:p>
      <w:pPr>
        <w:spacing w:after="0" w:line="18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8"/>
          <w:szCs w:val="18"/>
          <w:u w:val="single" w:color="auto"/>
          <w:color w:val="auto"/>
        </w:rPr>
        <w:t>[</w:t>
      </w:r>
      <w:r>
        <w:rPr>
          <w:rFonts w:ascii="Arial" w:cs="Arial" w:eastAsia="Arial" w:hAnsi="Arial"/>
          <w:sz w:val="18"/>
          <w:szCs w:val="18"/>
          <w:color w:val="auto"/>
        </w:rPr>
        <w:t>*CTR</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03" w:lineRule="exact"/>
        <w:rPr>
          <w:sz w:val="20"/>
          <w:szCs w:val="20"/>
          <w:color w:val="auto"/>
        </w:rPr>
      </w:pPr>
    </w:p>
    <w:p>
      <w:pPr>
        <w:jc w:val="both"/>
        <w:ind w:left="6" w:firstLine="561"/>
        <w:spacing w:after="0" w:line="245" w:lineRule="auto"/>
        <w:rPr>
          <w:sz w:val="20"/>
          <w:szCs w:val="20"/>
          <w:color w:val="auto"/>
        </w:rPr>
      </w:pPr>
      <w:r>
        <w:rPr>
          <w:rFonts w:ascii="Arial" w:cs="Arial" w:eastAsia="Arial" w:hAnsi="Arial"/>
          <w:sz w:val="19"/>
          <w:szCs w:val="19"/>
          <w:color w:val="auto"/>
        </w:rPr>
        <w:t>Upon Customer’s [*CTR], Boeing and Customer will enter into a Supplemental Agreement with respect to each [*CTR], the scope and purpose of which shall be limited to [*CTR] into the Purchase Agreement as an [*CTR] into this Letter Agreement as an [*CTR] (</w:t>
      </w:r>
      <w:r>
        <w:rPr>
          <w:rFonts w:ascii="Arial" w:cs="Arial" w:eastAsia="Arial" w:hAnsi="Arial"/>
          <w:sz w:val="19"/>
          <w:szCs w:val="19"/>
          <w:b w:val="1"/>
          <w:bCs w:val="1"/>
          <w:color w:val="auto"/>
        </w:rPr>
        <w:t>Limited Scope Supplemental Agreement</w:t>
      </w:r>
      <w:r>
        <w:rPr>
          <w:rFonts w:ascii="Arial" w:cs="Arial" w:eastAsia="Arial" w:hAnsi="Arial"/>
          <w:sz w:val="19"/>
          <w:szCs w:val="19"/>
          <w:color w:val="auto"/>
        </w:rPr>
        <w:t>). The Limited Scope Supplemental Agreement will incorporate the provisions of the Purchase Agreement as modified to reflect the provisions of this Letter Agreement (including, but not limited to, modifications to Attachment A to this Letter Agreement to reflect the addition of new [*CTR] and modifications to Attachment A to Letter Agreement AAL-PA-03219-LA-1802262 entitled “[</w:t>
      </w:r>
      <w:r>
        <w:rPr>
          <w:rFonts w:ascii="Arial" w:cs="Arial" w:eastAsia="Arial" w:hAnsi="Arial"/>
          <w:sz w:val="19"/>
          <w:szCs w:val="19"/>
          <w:u w:val="single" w:color="auto"/>
          <w:color w:val="auto"/>
        </w:rPr>
        <w:t>*CTR]</w:t>
      </w:r>
      <w:r>
        <w:rPr>
          <w:rFonts w:ascii="Arial" w:cs="Arial" w:eastAsia="Arial" w:hAnsi="Arial"/>
          <w:sz w:val="19"/>
          <w:szCs w:val="19"/>
          <w:color w:val="auto"/>
        </w:rPr>
        <w:t>” to reflect the addition of the new Aircraft).</w:t>
      </w:r>
    </w:p>
    <w:p>
      <w:pPr>
        <w:spacing w:after="0" w:line="183" w:lineRule="exact"/>
        <w:rPr>
          <w:sz w:val="20"/>
          <w:szCs w:val="20"/>
          <w:color w:val="auto"/>
        </w:rPr>
      </w:pPr>
    </w:p>
    <w:p>
      <w:pPr>
        <w:ind w:left="206" w:hanging="206"/>
        <w:spacing w:after="0"/>
        <w:tabs>
          <w:tab w:leader="none" w:pos="206"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191" w:lineRule="exact"/>
        <w:rPr>
          <w:sz w:val="20"/>
          <w:szCs w:val="20"/>
          <w:color w:val="auto"/>
        </w:rPr>
      </w:pPr>
    </w:p>
    <w:p>
      <w:pPr>
        <w:jc w:val="both"/>
        <w:ind w:left="6" w:right="20" w:firstLine="561"/>
        <w:spacing w:after="0" w:line="247"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ectPr>
          <w:pgSz w:w="11900" w:h="16838" w:orient="portrait"/>
          <w:cols w:equalWidth="0" w:num="1">
            <w:col w:w="11446"/>
          </w:cols>
          <w:pgMar w:left="234" w:top="1440" w:right="219" w:bottom="1440" w:gutter="0" w:footer="0" w:header="0"/>
        </w:sectPr>
      </w:pPr>
    </w:p>
    <w:p>
      <w:pPr>
        <w:spacing w:after="0" w:line="386" w:lineRule="exact"/>
        <w:rPr>
          <w:sz w:val="20"/>
          <w:szCs w:val="20"/>
          <w:color w:val="auto"/>
        </w:rPr>
      </w:pPr>
    </w:p>
    <w:p>
      <w:pPr>
        <w:ind w:left="6"/>
        <w:spacing w:after="0" w:line="161" w:lineRule="exact"/>
        <w:rPr>
          <w:sz w:val="20"/>
          <w:szCs w:val="20"/>
          <w:color w:val="auto"/>
        </w:rPr>
      </w:pPr>
      <w:r>
        <w:rPr>
          <w:rFonts w:ascii="Arial" w:cs="Arial" w:eastAsia="Arial" w:hAnsi="Arial"/>
          <w:sz w:val="14"/>
          <w:szCs w:val="14"/>
          <w:color w:val="auto"/>
        </w:rPr>
        <w:t>AAL</w:t>
      </w:r>
      <w:r>
        <w:rPr>
          <w:rFonts w:ascii="MS PGothic" w:cs="MS PGothic" w:eastAsia="MS PGothic" w:hAnsi="MS PGothic"/>
          <w:sz w:val="14"/>
          <w:szCs w:val="14"/>
          <w:color w:val="auto"/>
        </w:rPr>
        <w:t>‑</w:t>
      </w:r>
      <w:r>
        <w:rPr>
          <w:rFonts w:ascii="Arial" w:cs="Arial" w:eastAsia="Arial" w:hAnsi="Arial"/>
          <w:sz w:val="14"/>
          <w:szCs w:val="14"/>
          <w:color w:val="auto"/>
        </w:rPr>
        <w:t>PA</w:t>
      </w:r>
      <w:r>
        <w:rPr>
          <w:rFonts w:ascii="MS PGothic" w:cs="MS PGothic" w:eastAsia="MS PGothic" w:hAnsi="MS PGothic"/>
          <w:sz w:val="14"/>
          <w:szCs w:val="14"/>
          <w:color w:val="auto"/>
        </w:rPr>
        <w:t>‑</w:t>
      </w:r>
      <w:r>
        <w:rPr>
          <w:rFonts w:ascii="Arial" w:cs="Arial" w:eastAsia="Arial" w:hAnsi="Arial"/>
          <w:sz w:val="14"/>
          <w:szCs w:val="14"/>
          <w:color w:val="auto"/>
        </w:rPr>
        <w:t>03219</w:t>
      </w:r>
      <w:r>
        <w:rPr>
          <w:rFonts w:ascii="MS PGothic" w:cs="MS PGothic" w:eastAsia="MS PGothic" w:hAnsi="MS PGothic"/>
          <w:sz w:val="14"/>
          <w:szCs w:val="14"/>
          <w:color w:val="auto"/>
        </w:rPr>
        <w:t>‑</w:t>
      </w:r>
      <w:r>
        <w:rPr>
          <w:rFonts w:ascii="Arial" w:cs="Arial" w:eastAsia="Arial" w:hAnsi="Arial"/>
          <w:sz w:val="14"/>
          <w:szCs w:val="14"/>
          <w:color w:val="auto"/>
        </w:rPr>
        <w:t>LA</w:t>
      </w:r>
      <w:r>
        <w:rPr>
          <w:rFonts w:ascii="MS PGothic" w:cs="MS PGothic" w:eastAsia="MS PGothic" w:hAnsi="MS PGothic"/>
          <w:sz w:val="14"/>
          <w:szCs w:val="14"/>
          <w:color w:val="auto"/>
        </w:rPr>
        <w:t>‑</w:t>
      </w:r>
      <w:r>
        <w:rPr>
          <w:rFonts w:ascii="Arial" w:cs="Arial" w:eastAsia="Arial" w:hAnsi="Arial"/>
          <w:sz w:val="14"/>
          <w:szCs w:val="14"/>
          <w:color w:val="auto"/>
        </w:rPr>
        <w:t>1804779</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19" w:lineRule="exact"/>
        <w:rPr>
          <w:sz w:val="20"/>
          <w:szCs w:val="20"/>
          <w:color w:val="auto"/>
        </w:rPr>
      </w:pPr>
    </w:p>
    <w:p>
      <w:pPr>
        <w:sectPr>
          <w:pgSz w:w="11900" w:h="16838" w:orient="portrait"/>
          <w:cols w:equalWidth="0" w:num="2">
            <w:col w:w="2146" w:space="720"/>
            <w:col w:w="8580"/>
          </w:cols>
          <w:pgMar w:left="234" w:top="1440"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4 of 5</w:t>
      </w:r>
    </w:p>
    <w:p>
      <w:pPr>
        <w:spacing w:after="0" w:line="3" w:lineRule="exact"/>
        <w:rPr>
          <w:sz w:val="20"/>
          <w:szCs w:val="20"/>
          <w:color w:val="auto"/>
        </w:rPr>
      </w:pPr>
    </w:p>
    <w:p>
      <w:pPr>
        <w:sectPr>
          <w:pgSz w:w="11900" w:h="16838" w:orient="portrait"/>
          <w:cols w:equalWidth="0" w:num="2">
            <w:col w:w="1246" w:space="720"/>
            <w:col w:w="9480"/>
          </w:cols>
          <w:pgMar w:left="234" w:top="1440" w:right="219" w:bottom="1440" w:gutter="0" w:footer="0" w:header="0"/>
          <w:type w:val="continuous"/>
        </w:sectPr>
      </w:pPr>
    </w:p>
    <w:p>
      <w:pPr>
        <w:jc w:val="center"/>
        <w:ind w:right="-5"/>
        <w:spacing w:after="0"/>
        <w:rPr>
          <w:sz w:val="20"/>
          <w:szCs w:val="20"/>
          <w:color w:val="auto"/>
        </w:rPr>
      </w:pPr>
      <w:r>
        <w:rPr>
          <w:rFonts w:ascii="Arial" w:cs="Arial" w:eastAsia="Arial" w:hAnsi="Arial"/>
          <w:sz w:val="14"/>
          <w:szCs w:val="14"/>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440" w:right="219" w:bottom="1440" w:gutter="0" w:footer="0" w:header="0"/>
          <w:type w:val="continuous"/>
        </w:sectPr>
      </w:pPr>
    </w:p>
    <w:bookmarkStart w:id="185" w:name="page186"/>
    <w:bookmarkEnd w:id="185"/>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ind w:left="406" w:hanging="406"/>
        <w:spacing w:after="0"/>
        <w:tabs>
          <w:tab w:leader="none" w:pos="40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Confidential Treatment.</w:t>
      </w:r>
    </w:p>
    <w:p>
      <w:pPr>
        <w:spacing w:after="0" w:line="203" w:lineRule="exact"/>
        <w:rPr>
          <w:sz w:val="20"/>
          <w:szCs w:val="20"/>
          <w:color w:val="auto"/>
        </w:rPr>
      </w:pPr>
    </w:p>
    <w:p>
      <w:pPr>
        <w:jc w:val="both"/>
        <w:ind w:left="6"/>
        <w:spacing w:after="0" w:line="245"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 either party may disclose the information contained herein without the consent of the other party when and to the extent required by any law applicable to such party or by a Governmental Authority.</w:t>
      </w:r>
    </w:p>
    <w:p>
      <w:pPr>
        <w:spacing w:after="0" w:line="276" w:lineRule="exact"/>
        <w:rPr>
          <w:sz w:val="20"/>
          <w:szCs w:val="20"/>
          <w:color w:val="auto"/>
        </w:rPr>
      </w:pPr>
    </w:p>
    <w:p>
      <w:pPr>
        <w:ind w:left="6"/>
        <w:spacing w:after="0"/>
        <w:rPr>
          <w:sz w:val="20"/>
          <w:szCs w:val="20"/>
          <w:color w:val="auto"/>
        </w:rPr>
      </w:pPr>
      <w:r>
        <w:rPr>
          <w:rFonts w:ascii="Arial" w:cs="Arial" w:eastAsia="Arial" w:hAnsi="Arial"/>
          <w:sz w:val="19"/>
          <w:szCs w:val="19"/>
          <w:color w:val="auto"/>
        </w:rPr>
        <w:t>Very truly yours,</w:t>
      </w:r>
    </w:p>
    <w:p>
      <w:pPr>
        <w:spacing w:after="0" w:line="333" w:lineRule="exact"/>
        <w:rPr>
          <w:sz w:val="20"/>
          <w:szCs w:val="20"/>
          <w:color w:val="auto"/>
        </w:rPr>
      </w:pPr>
    </w:p>
    <w:p>
      <w:pPr>
        <w:ind w:left="86"/>
        <w:spacing w:after="0"/>
        <w:rPr>
          <w:sz w:val="20"/>
          <w:szCs w:val="20"/>
          <w:color w:val="auto"/>
        </w:rPr>
      </w:pPr>
      <w:r>
        <w:rPr>
          <w:rFonts w:ascii="Arial" w:cs="Arial" w:eastAsia="Arial" w:hAnsi="Arial"/>
          <w:sz w:val="19"/>
          <w:szCs w:val="19"/>
          <w:b w:val="1"/>
          <w:bCs w:val="1"/>
          <w:color w:val="auto"/>
        </w:rPr>
        <w:t>THE BOEING COMPANY</w:t>
      </w:r>
    </w:p>
    <w:p>
      <w:pPr>
        <w:spacing w:after="0" w:line="318" w:lineRule="exact"/>
        <w:rPr>
          <w:sz w:val="20"/>
          <w:szCs w:val="20"/>
          <w:color w:val="auto"/>
        </w:rPr>
      </w:pPr>
    </w:p>
    <w:tbl>
      <w:tblPr>
        <w:tblLayout w:type="fixed"/>
        <w:tblInd w:w="86" w:type="dxa"/>
        <w:tblCellMar>
          <w:top w:w="0" w:type="dxa"/>
          <w:left w:w="0" w:type="dxa"/>
          <w:bottom w:w="0" w:type="dxa"/>
          <w:right w:w="0" w:type="dxa"/>
        </w:tblCellMar>
      </w:tblPr>
      <w:tr>
        <w:trPr>
          <w:trHeight w:val="232"/>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The Boeing Company</w:t>
            </w:r>
          </w:p>
        </w:tc>
      </w:tr>
      <w:tr>
        <w:trPr>
          <w:trHeight w:val="495"/>
        </w:trPr>
        <w:tc>
          <w:tcPr>
            <w:tcW w:w="800" w:type="dxa"/>
            <w:vAlign w:val="bottom"/>
          </w:tcPr>
          <w:p>
            <w:pPr>
              <w:spacing w:after="0"/>
              <w:rPr>
                <w:sz w:val="20"/>
                <w:szCs w:val="20"/>
                <w:color w:val="auto"/>
              </w:rPr>
            </w:pPr>
            <w:r>
              <w:rPr>
                <w:rFonts w:ascii="Arial" w:cs="Arial" w:eastAsia="Arial" w:hAnsi="Arial"/>
                <w:sz w:val="19"/>
                <w:szCs w:val="19"/>
                <w:color w:val="auto"/>
              </w:rPr>
              <w:t>Its:</w:t>
            </w:r>
          </w:p>
        </w:tc>
        <w:tc>
          <w:tcPr>
            <w:tcW w:w="5320" w:type="dxa"/>
            <w:vAlign w:val="bottom"/>
            <w:tcBorders>
              <w:bottom w:val="single" w:sz="8" w:color="auto"/>
            </w:tcBorders>
            <w:gridSpan w:val="2"/>
          </w:tcPr>
          <w:p>
            <w:pPr>
              <w:ind w:left="20"/>
              <w:spacing w:after="0" w:line="219" w:lineRule="exact"/>
              <w:rPr>
                <w:sz w:val="20"/>
                <w:szCs w:val="20"/>
                <w:color w:val="auto"/>
              </w:rPr>
            </w:pP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tc>
      </w:tr>
      <w:tr>
        <w:trPr>
          <w:trHeight w:val="862"/>
        </w:trPr>
        <w:tc>
          <w:tcPr>
            <w:tcW w:w="6120" w:type="dxa"/>
            <w:vAlign w:val="bottom"/>
            <w:gridSpan w:val="3"/>
          </w:tcPr>
          <w:p>
            <w:pPr>
              <w:spacing w:after="0"/>
              <w:rPr>
                <w:sz w:val="20"/>
                <w:szCs w:val="20"/>
                <w:color w:val="auto"/>
              </w:rPr>
            </w:pPr>
            <w:r>
              <w:rPr>
                <w:rFonts w:ascii="Arial" w:cs="Arial" w:eastAsia="Arial" w:hAnsi="Arial"/>
                <w:sz w:val="19"/>
                <w:szCs w:val="19"/>
                <w:color w:val="auto"/>
              </w:rPr>
              <w:t>ACCEPTED AND AGREED TO this</w:t>
            </w:r>
          </w:p>
        </w:tc>
      </w:tr>
      <w:tr>
        <w:trPr>
          <w:trHeight w:val="545"/>
        </w:trPr>
        <w:tc>
          <w:tcPr>
            <w:tcW w:w="800" w:type="dxa"/>
            <w:vAlign w:val="bottom"/>
          </w:tcPr>
          <w:p>
            <w:pPr>
              <w:spacing w:after="0"/>
              <w:rPr>
                <w:sz w:val="20"/>
                <w:szCs w:val="20"/>
                <w:color w:val="auto"/>
              </w:rPr>
            </w:pPr>
            <w:r>
              <w:rPr>
                <w:rFonts w:ascii="Arial" w:cs="Arial" w:eastAsia="Arial" w:hAnsi="Arial"/>
                <w:sz w:val="19"/>
                <w:szCs w:val="19"/>
                <w:color w:val="auto"/>
              </w:rPr>
              <w:t>Date:</w:t>
            </w:r>
          </w:p>
        </w:tc>
        <w:tc>
          <w:tcPr>
            <w:tcW w:w="1140" w:type="dxa"/>
            <w:vAlign w:val="bottom"/>
          </w:tcPr>
          <w:p>
            <w:pPr>
              <w:spacing w:after="0"/>
              <w:rPr>
                <w:sz w:val="24"/>
                <w:szCs w:val="24"/>
                <w:color w:val="auto"/>
              </w:rPr>
            </w:pP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April 6, 2018</w:t>
            </w:r>
          </w:p>
        </w:tc>
      </w:tr>
      <w:tr>
        <w:trPr>
          <w:trHeight w:val="862"/>
        </w:trPr>
        <w:tc>
          <w:tcPr>
            <w:tcW w:w="6120" w:type="dxa"/>
            <w:vAlign w:val="bottom"/>
            <w:gridSpan w:val="3"/>
          </w:tcPr>
          <w:p>
            <w:pPr>
              <w:spacing w:after="0"/>
              <w:rPr>
                <w:sz w:val="20"/>
                <w:szCs w:val="20"/>
                <w:color w:val="auto"/>
              </w:rPr>
            </w:pPr>
            <w:r>
              <w:rPr>
                <w:rFonts w:ascii="Arial" w:cs="Arial" w:eastAsia="Arial" w:hAnsi="Arial"/>
                <w:sz w:val="19"/>
                <w:szCs w:val="19"/>
                <w:b w:val="1"/>
                <w:bCs w:val="1"/>
                <w:color w:val="auto"/>
              </w:rPr>
              <w:t>AMERICAN AIRLINES, INC.</w:t>
            </w:r>
          </w:p>
        </w:tc>
      </w:tr>
      <w:tr>
        <w:trPr>
          <w:trHeight w:val="522"/>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American Airlines, Inc.</w:t>
            </w:r>
          </w:p>
        </w:tc>
      </w:tr>
      <w:tr>
        <w:trPr>
          <w:trHeight w:val="495"/>
        </w:trPr>
        <w:tc>
          <w:tcPr>
            <w:tcW w:w="800" w:type="dxa"/>
            <w:vAlign w:val="bottom"/>
          </w:tcPr>
          <w:p>
            <w:pPr>
              <w:spacing w:after="0"/>
              <w:rPr>
                <w:sz w:val="20"/>
                <w:szCs w:val="20"/>
                <w:color w:val="auto"/>
              </w:rPr>
            </w:pPr>
            <w:r>
              <w:rPr>
                <w:rFonts w:ascii="Arial" w:cs="Arial" w:eastAsia="Arial" w:hAnsi="Arial"/>
                <w:sz w:val="19"/>
                <w:szCs w:val="19"/>
                <w:color w:val="auto"/>
              </w:rPr>
              <w:t>Its:</w:t>
            </w: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Vice President and Treasurer</w:t>
            </w:r>
          </w:p>
        </w:tc>
      </w:tr>
    </w:tbl>
    <w:p>
      <w:pPr>
        <w:spacing w:after="0" w:line="200" w:lineRule="exact"/>
        <w:rPr>
          <w:sz w:val="20"/>
          <w:szCs w:val="20"/>
          <w:color w:val="auto"/>
        </w:rPr>
      </w:pPr>
    </w:p>
    <w:p>
      <w:pPr>
        <w:sectPr>
          <w:pgSz w:w="11900" w:h="16838" w:orient="portrait"/>
          <w:cols w:equalWidth="0" w:num="1">
            <w:col w:w="11446"/>
          </w:cols>
          <w:pgMar w:left="234" w:top="1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
        <w:spacing w:after="0" w:line="161" w:lineRule="exact"/>
        <w:rPr>
          <w:sz w:val="20"/>
          <w:szCs w:val="20"/>
          <w:color w:val="auto"/>
        </w:rPr>
      </w:pPr>
      <w:r>
        <w:rPr>
          <w:rFonts w:ascii="Arial" w:cs="Arial" w:eastAsia="Arial" w:hAnsi="Arial"/>
          <w:sz w:val="14"/>
          <w:szCs w:val="14"/>
          <w:color w:val="auto"/>
        </w:rPr>
        <w:t>AAL</w:t>
      </w:r>
      <w:r>
        <w:rPr>
          <w:rFonts w:ascii="MS PGothic" w:cs="MS PGothic" w:eastAsia="MS PGothic" w:hAnsi="MS PGothic"/>
          <w:sz w:val="14"/>
          <w:szCs w:val="14"/>
          <w:color w:val="auto"/>
        </w:rPr>
        <w:t>‑</w:t>
      </w:r>
      <w:r>
        <w:rPr>
          <w:rFonts w:ascii="Arial" w:cs="Arial" w:eastAsia="Arial" w:hAnsi="Arial"/>
          <w:sz w:val="14"/>
          <w:szCs w:val="14"/>
          <w:color w:val="auto"/>
        </w:rPr>
        <w:t>PA</w:t>
      </w:r>
      <w:r>
        <w:rPr>
          <w:rFonts w:ascii="MS PGothic" w:cs="MS PGothic" w:eastAsia="MS PGothic" w:hAnsi="MS PGothic"/>
          <w:sz w:val="14"/>
          <w:szCs w:val="14"/>
          <w:color w:val="auto"/>
        </w:rPr>
        <w:t>‑</w:t>
      </w:r>
      <w:r>
        <w:rPr>
          <w:rFonts w:ascii="Arial" w:cs="Arial" w:eastAsia="Arial" w:hAnsi="Arial"/>
          <w:sz w:val="14"/>
          <w:szCs w:val="14"/>
          <w:color w:val="auto"/>
        </w:rPr>
        <w:t>03219</w:t>
      </w:r>
      <w:r>
        <w:rPr>
          <w:rFonts w:ascii="MS PGothic" w:cs="MS PGothic" w:eastAsia="MS PGothic" w:hAnsi="MS PGothic"/>
          <w:sz w:val="14"/>
          <w:szCs w:val="14"/>
          <w:color w:val="auto"/>
        </w:rPr>
        <w:t>‑</w:t>
      </w:r>
      <w:r>
        <w:rPr>
          <w:rFonts w:ascii="Arial" w:cs="Arial" w:eastAsia="Arial" w:hAnsi="Arial"/>
          <w:sz w:val="14"/>
          <w:szCs w:val="14"/>
          <w:color w:val="auto"/>
        </w:rPr>
        <w:t>LA</w:t>
      </w:r>
      <w:r>
        <w:rPr>
          <w:rFonts w:ascii="MS PGothic" w:cs="MS PGothic" w:eastAsia="MS PGothic" w:hAnsi="MS PGothic"/>
          <w:sz w:val="14"/>
          <w:szCs w:val="14"/>
          <w:color w:val="auto"/>
        </w:rPr>
        <w:t>‑</w:t>
      </w:r>
      <w:r>
        <w:rPr>
          <w:rFonts w:ascii="Arial" w:cs="Arial" w:eastAsia="Arial" w:hAnsi="Arial"/>
          <w:sz w:val="14"/>
          <w:szCs w:val="14"/>
          <w:color w:val="auto"/>
        </w:rPr>
        <w:t>1804779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19" w:lineRule="exact"/>
        <w:rPr>
          <w:sz w:val="20"/>
          <w:szCs w:val="20"/>
          <w:color w:val="auto"/>
        </w:rPr>
      </w:pPr>
    </w:p>
    <w:p>
      <w:pPr>
        <w:sectPr>
          <w:pgSz w:w="11900" w:h="16838" w:orient="portrait"/>
          <w:cols w:equalWidth="0" w:num="2">
            <w:col w:w="2146" w:space="720"/>
            <w:col w:w="8580"/>
          </w:cols>
          <w:pgMar w:left="234" w:top="1440"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5 of 5</w:t>
      </w:r>
    </w:p>
    <w:p>
      <w:pPr>
        <w:spacing w:after="0" w:line="3" w:lineRule="exact"/>
        <w:rPr>
          <w:sz w:val="20"/>
          <w:szCs w:val="20"/>
          <w:color w:val="auto"/>
        </w:rPr>
      </w:pPr>
    </w:p>
    <w:p>
      <w:pPr>
        <w:sectPr>
          <w:pgSz w:w="11900" w:h="16838" w:orient="portrait"/>
          <w:cols w:equalWidth="0" w:num="2">
            <w:col w:w="1246" w:space="720"/>
            <w:col w:w="9480"/>
          </w:cols>
          <w:pgMar w:left="234" w:top="1440" w:right="219" w:bottom="1440" w:gutter="0" w:footer="0" w:header="0"/>
          <w:type w:val="continuous"/>
        </w:sectPr>
      </w:pPr>
    </w:p>
    <w:p>
      <w:pPr>
        <w:jc w:val="center"/>
        <w:ind w:right="-5"/>
        <w:spacing w:after="0"/>
        <w:rPr>
          <w:sz w:val="20"/>
          <w:szCs w:val="20"/>
          <w:color w:val="auto"/>
        </w:rPr>
      </w:pPr>
      <w:r>
        <w:rPr>
          <w:rFonts w:ascii="Arial" w:cs="Arial" w:eastAsia="Arial" w:hAnsi="Arial"/>
          <w:sz w:val="14"/>
          <w:szCs w:val="14"/>
          <w:b w:val="1"/>
          <w:bCs w:val="1"/>
          <w:color w:val="auto"/>
        </w:rPr>
        <w:t>BOEING PROPRIETARY</w:t>
      </w:r>
    </w:p>
    <w:p>
      <w:pPr>
        <w:ind w:left="6"/>
        <w:spacing w:after="0"/>
        <w:rPr>
          <w:sz w:val="20"/>
          <w:szCs w:val="20"/>
          <w:color w:val="auto"/>
        </w:rPr>
      </w:pPr>
      <w:r>
        <w:rPr>
          <w:rFonts w:ascii="Arial" w:cs="Arial" w:eastAsia="Arial" w:hAnsi="Arial"/>
          <w:sz w:val="12"/>
          <w:szCs w:val="12"/>
          <w:color w:val="auto"/>
        </w:rPr>
        <w:t>[*CTR]=[CONFIDENTIAL PORTION OMITTED AND FILED SEPARATELY WITH THE COMMISSION PURSUANT TO A REQUEST FOR CONFIDENTIAL TREATMENT]</w:t>
      </w:r>
    </w:p>
    <w:p>
      <w:pPr>
        <w:sectPr>
          <w:pgSz w:w="11900" w:h="16838" w:orient="portrait"/>
          <w:cols w:equalWidth="0" w:num="1">
            <w:col w:w="11446"/>
          </w:cols>
          <w:pgMar w:left="234" w:top="1440" w:right="219" w:bottom="1440" w:gutter="0" w:footer="0" w:header="0"/>
          <w:type w:val="continuous"/>
        </w:sectPr>
      </w:pPr>
    </w:p>
    <w:bookmarkStart w:id="186" w:name="page187"/>
    <w:bookmarkEnd w:id="186"/>
    <w:p>
      <w:pPr>
        <w:jc w:val="center"/>
        <w:ind w:right="-279"/>
        <w:spacing w:after="0"/>
        <w:rPr>
          <w:sz w:val="20"/>
          <w:szCs w:val="20"/>
          <w:color w:val="auto"/>
        </w:rPr>
      </w:pPr>
      <w:r>
        <w:rPr>
          <w:rFonts w:ascii="Arial" w:cs="Arial" w:eastAsia="Arial" w:hAnsi="Arial"/>
          <w:sz w:val="19"/>
          <w:szCs w:val="19"/>
          <w:b w:val="1"/>
          <w:bCs w:val="1"/>
          <w:color w:val="auto"/>
        </w:rPr>
        <w:t>Attachment A To</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Letter Agreement No. AAL-03219-LA-1804779</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[*CTR] Aircraft Delivery, Description, Price and Advance Payments</w:t>
      </w:r>
    </w:p>
    <w:p>
      <w:pPr>
        <w:spacing w:after="0" w:line="200" w:lineRule="exact"/>
        <w:rPr>
          <w:sz w:val="20"/>
          <w:szCs w:val="20"/>
          <w:color w:val="auto"/>
        </w:rPr>
      </w:pPr>
    </w:p>
    <w:p>
      <w:pPr>
        <w:spacing w:after="0" w:line="340" w:lineRule="exact"/>
        <w:rPr>
          <w:sz w:val="20"/>
          <w:szCs w:val="20"/>
          <w:color w:val="auto"/>
        </w:rPr>
      </w:pPr>
    </w:p>
    <w:tbl>
      <w:tblPr>
        <w:tblLayout w:type="fixed"/>
        <w:tblInd w:w="230" w:type="dxa"/>
        <w:tblCellMar>
          <w:top w:w="0" w:type="dxa"/>
          <w:left w:w="0" w:type="dxa"/>
          <w:bottom w:w="0" w:type="dxa"/>
          <w:right w:w="0" w:type="dxa"/>
        </w:tblCellMar>
      </w:tblPr>
      <w:tr>
        <w:trPr>
          <w:trHeight w:val="191"/>
        </w:trPr>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4"/>
                <w:szCs w:val="14"/>
                <w:b w:val="1"/>
                <w:bCs w:val="1"/>
                <w:color w:val="auto"/>
              </w:rPr>
              <w:t>irframe</w:t>
            </w:r>
          </w:p>
        </w:tc>
        <w:tc>
          <w:tcPr>
            <w:tcW w:w="60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787-9</w:t>
            </w:r>
          </w:p>
        </w:tc>
        <w:tc>
          <w:tcPr>
            <w:tcW w:w="140" w:type="dxa"/>
            <w:vAlign w:val="bottom"/>
          </w:tcPr>
          <w:p>
            <w:pPr>
              <w:spacing w:after="0"/>
              <w:rPr>
                <w:sz w:val="16"/>
                <w:szCs w:val="16"/>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2"/>
                <w:szCs w:val="12"/>
                <w:color w:val="auto"/>
                <w:w w:val="93"/>
              </w:rPr>
              <w:t>[</w:t>
            </w:r>
            <w:r>
              <w:rPr>
                <w:rFonts w:ascii="Arial" w:cs="Arial" w:eastAsia="Arial" w:hAnsi="Arial"/>
                <w:sz w:val="14"/>
                <w:szCs w:val="14"/>
                <w:color w:val="auto"/>
                <w:w w:val="93"/>
              </w:rPr>
              <w:t>*CTR</w:t>
            </w:r>
            <w:r>
              <w:rPr>
                <w:rFonts w:ascii="Arial" w:cs="Arial" w:eastAsia="Arial" w:hAnsi="Arial"/>
                <w:sz w:val="12"/>
                <w:szCs w:val="12"/>
                <w:color w:val="auto"/>
                <w:w w:val="93"/>
              </w:rPr>
              <w:t>] pounds</w:t>
            </w:r>
          </w:p>
        </w:tc>
        <w:tc>
          <w:tcPr>
            <w:tcW w:w="100" w:type="dxa"/>
            <w:vAlign w:val="bottom"/>
          </w:tcPr>
          <w:p>
            <w:pPr>
              <w:spacing w:after="0"/>
              <w:rPr>
                <w:sz w:val="16"/>
                <w:szCs w:val="16"/>
                <w:color w:val="auto"/>
              </w:rPr>
            </w:pPr>
          </w:p>
        </w:tc>
        <w:tc>
          <w:tcPr>
            <w:tcW w:w="1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Detail Specification:</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Model/MTOW:</w:t>
            </w:r>
          </w:p>
        </w:tc>
        <w:tc>
          <w:tcPr>
            <w:tcW w:w="6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740" w:type="dxa"/>
            <w:vAlign w:val="bottom"/>
            <w:gridSpan w:val="3"/>
          </w:tcPr>
          <w:p>
            <w:pPr>
              <w:ind w:left="180"/>
              <w:spacing w:after="0"/>
              <w:rPr>
                <w:sz w:val="20"/>
                <w:szCs w:val="20"/>
                <w:color w:val="auto"/>
              </w:rPr>
            </w:pPr>
            <w:r>
              <w:rPr>
                <w:rFonts w:ascii="Arial" w:cs="Arial" w:eastAsia="Arial" w:hAnsi="Arial"/>
                <w:sz w:val="12"/>
                <w:szCs w:val="12"/>
                <w:b w:val="1"/>
                <w:bCs w:val="1"/>
                <w:color w:val="auto"/>
              </w:rPr>
              <w:t>Engine Model/Thrust:</w:t>
            </w:r>
          </w:p>
        </w:tc>
        <w:tc>
          <w:tcPr>
            <w:tcW w:w="1360" w:type="dxa"/>
            <w:vAlign w:val="bottom"/>
            <w:gridSpan w:val="3"/>
          </w:tcPr>
          <w:p>
            <w:pPr>
              <w:ind w:left="20"/>
              <w:spacing w:after="0"/>
              <w:rPr>
                <w:sz w:val="20"/>
                <w:szCs w:val="20"/>
                <w:color w:val="auto"/>
              </w:rPr>
            </w:pPr>
            <w:r>
              <w:rPr>
                <w:rFonts w:ascii="Arial" w:cs="Arial" w:eastAsia="Arial" w:hAnsi="Arial"/>
                <w:sz w:val="12"/>
                <w:szCs w:val="12"/>
                <w:color w:val="auto"/>
              </w:rPr>
              <w:t>GENX-1B74/75</w:t>
            </w:r>
          </w:p>
        </w:tc>
        <w:tc>
          <w:tcPr>
            <w:tcW w:w="3960" w:type="dxa"/>
            <w:vAlign w:val="bottom"/>
            <w:gridSpan w:val="8"/>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 xml:space="preserve">] pounds  </w:t>
            </w:r>
            <w:r>
              <w:rPr>
                <w:rFonts w:ascii="Arial" w:cs="Arial" w:eastAsia="Arial" w:hAnsi="Arial"/>
                <w:sz w:val="12"/>
                <w:szCs w:val="12"/>
                <w:b w:val="1"/>
                <w:bCs w:val="1"/>
                <w:color w:val="auto"/>
              </w:rPr>
              <w:t>Airframe Price Base Year/Escalation Formula:</w:t>
            </w:r>
          </w:p>
        </w:tc>
        <w:tc>
          <w:tcPr>
            <w:tcW w:w="880" w:type="dxa"/>
            <w:vAlign w:val="bottom"/>
          </w:tcPr>
          <w:p>
            <w:pPr>
              <w:spacing w:after="0"/>
              <w:rPr>
                <w:sz w:val="19"/>
                <w:szCs w:val="19"/>
                <w:color w:val="auto"/>
              </w:rPr>
            </w:pPr>
          </w:p>
        </w:tc>
        <w:tc>
          <w:tcPr>
            <w:tcW w:w="15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4"/>
        </w:trPr>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Airframe Price:</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40" w:type="dxa"/>
            <w:vAlign w:val="bottom"/>
            <w:gridSpan w:val="7"/>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 xml:space="preserve">]  </w:t>
            </w:r>
            <w:r>
              <w:rPr>
                <w:rFonts w:ascii="Arial" w:cs="Arial" w:eastAsia="Arial" w:hAnsi="Arial"/>
                <w:sz w:val="12"/>
                <w:szCs w:val="12"/>
                <w:b w:val="1"/>
                <w:bCs w:val="1"/>
                <w:color w:val="auto"/>
              </w:rPr>
              <w:t>Engine Price Base Year/Escalation Formula:</w:t>
            </w:r>
          </w:p>
        </w:tc>
        <w:tc>
          <w:tcPr>
            <w:tcW w:w="8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4"/>
        </w:trPr>
        <w:tc>
          <w:tcPr>
            <w:tcW w:w="1740" w:type="dxa"/>
            <w:vAlign w:val="bottom"/>
            <w:gridSpan w:val="3"/>
          </w:tcPr>
          <w:p>
            <w:pPr>
              <w:ind w:left="180"/>
              <w:spacing w:after="0"/>
              <w:rPr>
                <w:sz w:val="20"/>
                <w:szCs w:val="20"/>
                <w:color w:val="auto"/>
              </w:rPr>
            </w:pPr>
            <w:r>
              <w:rPr>
                <w:rFonts w:ascii="Arial" w:cs="Arial" w:eastAsia="Arial" w:hAnsi="Arial"/>
                <w:sz w:val="12"/>
                <w:szCs w:val="12"/>
                <w:b w:val="1"/>
                <w:bCs w:val="1"/>
                <w:color w:val="auto"/>
              </w:rPr>
              <w:t>Optional Features: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w w:val="92"/>
              </w:rPr>
              <w:t>$[</w:t>
            </w:r>
            <w:r>
              <w:rPr>
                <w:rFonts w:ascii="Arial" w:cs="Arial" w:eastAsia="Arial" w:hAnsi="Arial"/>
                <w:sz w:val="14"/>
                <w:szCs w:val="14"/>
                <w:color w:val="auto"/>
                <w:w w:val="92"/>
              </w:rPr>
              <w:t>*CTR</w:t>
            </w:r>
            <w:r>
              <w:rPr>
                <w:rFonts w:ascii="Arial" w:cs="Arial" w:eastAsia="Arial" w:hAnsi="Arial"/>
                <w:sz w:val="12"/>
                <w:szCs w:val="12"/>
                <w:color w:val="auto"/>
                <w:w w:val="92"/>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00" w:type="dxa"/>
            <w:vAlign w:val="bottom"/>
            <w:gridSpan w:val="6"/>
          </w:tcPr>
          <w:p>
            <w:pPr>
              <w:ind w:left="180"/>
              <w:spacing w:after="0"/>
              <w:rPr>
                <w:sz w:val="20"/>
                <w:szCs w:val="20"/>
                <w:color w:val="auto"/>
              </w:rPr>
            </w:pPr>
            <w:r>
              <w:rPr>
                <w:rFonts w:ascii="Arial" w:cs="Arial" w:eastAsia="Arial" w:hAnsi="Arial"/>
                <w:sz w:val="12"/>
                <w:szCs w:val="12"/>
                <w:b w:val="1"/>
                <w:bCs w:val="1"/>
                <w:color w:val="auto"/>
              </w:rPr>
              <w:t>Sub-Total of Airframe and Features:</w:t>
            </w:r>
          </w:p>
        </w:tc>
        <w:tc>
          <w:tcPr>
            <w:tcW w:w="42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w w:val="92"/>
              </w:rPr>
              <w:t>$[</w:t>
            </w:r>
            <w:r>
              <w:rPr>
                <w:rFonts w:ascii="Arial" w:cs="Arial" w:eastAsia="Arial" w:hAnsi="Arial"/>
                <w:sz w:val="14"/>
                <w:szCs w:val="14"/>
                <w:color w:val="auto"/>
                <w:w w:val="92"/>
              </w:rPr>
              <w:t>*CTR</w:t>
            </w:r>
            <w:r>
              <w:rPr>
                <w:rFonts w:ascii="Arial" w:cs="Arial" w:eastAsia="Arial" w:hAnsi="Arial"/>
                <w:sz w:val="12"/>
                <w:szCs w:val="12"/>
                <w:color w:val="auto"/>
                <w:w w:val="92"/>
              </w:rPr>
              <w:t>]</w:t>
            </w:r>
          </w:p>
        </w:tc>
        <w:tc>
          <w:tcPr>
            <w:tcW w:w="100" w:type="dxa"/>
            <w:vAlign w:val="bottom"/>
          </w:tcPr>
          <w:p>
            <w:pPr>
              <w:spacing w:after="0"/>
              <w:rPr>
                <w:sz w:val="18"/>
                <w:szCs w:val="18"/>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5"/>
              </w:rPr>
              <w:t>Airframe Escalation Data:</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40" w:type="dxa"/>
            <w:vAlign w:val="bottom"/>
            <w:gridSpan w:val="3"/>
          </w:tcPr>
          <w:p>
            <w:pPr>
              <w:ind w:left="180"/>
              <w:spacing w:after="0"/>
              <w:rPr>
                <w:sz w:val="20"/>
                <w:szCs w:val="20"/>
                <w:color w:val="auto"/>
              </w:rPr>
            </w:pPr>
            <w:r>
              <w:rPr>
                <w:rFonts w:ascii="Arial" w:cs="Arial" w:eastAsia="Arial" w:hAnsi="Arial"/>
                <w:sz w:val="12"/>
                <w:szCs w:val="12"/>
                <w:b w:val="1"/>
                <w:bCs w:val="1"/>
                <w:color w:val="auto"/>
              </w:rPr>
              <w:t>Engine Price (Per Aircraft):</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80" w:type="dxa"/>
            <w:vAlign w:val="bottom"/>
            <w:gridSpan w:val="6"/>
          </w:tcPr>
          <w:p>
            <w:pPr>
              <w:jc w:val="center"/>
              <w:ind w:right="580"/>
              <w:spacing w:after="0"/>
              <w:rPr>
                <w:sz w:val="20"/>
                <w:szCs w:val="20"/>
                <w:color w:val="auto"/>
              </w:rPr>
            </w:pPr>
            <w:r>
              <w:rPr>
                <w:rFonts w:ascii="Arial" w:cs="Arial" w:eastAsia="Arial" w:hAnsi="Arial"/>
                <w:sz w:val="12"/>
                <w:szCs w:val="12"/>
                <w:color w:val="auto"/>
                <w:w w:val="99"/>
              </w:rPr>
              <w:t>$[</w:t>
            </w:r>
            <w:r>
              <w:rPr>
                <w:rFonts w:ascii="Arial" w:cs="Arial" w:eastAsia="Arial" w:hAnsi="Arial"/>
                <w:sz w:val="14"/>
                <w:szCs w:val="14"/>
                <w:color w:val="auto"/>
                <w:w w:val="99"/>
              </w:rPr>
              <w:t>*CTR</w:t>
            </w:r>
            <w:r>
              <w:rPr>
                <w:rFonts w:ascii="Arial" w:cs="Arial" w:eastAsia="Arial" w:hAnsi="Arial"/>
                <w:sz w:val="12"/>
                <w:szCs w:val="12"/>
                <w:color w:val="auto"/>
                <w:w w:val="99"/>
              </w:rPr>
              <w:t xml:space="preserve">  </w:t>
            </w:r>
            <w:r>
              <w:rPr>
                <w:rFonts w:ascii="Arial" w:cs="Arial" w:eastAsia="Arial" w:hAnsi="Arial"/>
                <w:sz w:val="12"/>
                <w:szCs w:val="12"/>
                <w:b w:val="1"/>
                <w:bCs w:val="1"/>
                <w:color w:val="auto"/>
                <w:w w:val="99"/>
              </w:rPr>
              <w:t>Base Year Index (ECI):</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gridSpan w:val="2"/>
          </w:tcPr>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100" w:type="dxa"/>
            <w:vAlign w:val="bottom"/>
            <w:gridSpan w:val="6"/>
          </w:tcPr>
          <w:p>
            <w:pPr>
              <w:ind w:left="180"/>
              <w:spacing w:after="0"/>
              <w:rPr>
                <w:sz w:val="20"/>
                <w:szCs w:val="20"/>
                <w:color w:val="auto"/>
              </w:rPr>
            </w:pPr>
            <w:r>
              <w:rPr>
                <w:rFonts w:ascii="Arial" w:cs="Arial" w:eastAsia="Arial" w:hAnsi="Arial"/>
                <w:sz w:val="12"/>
                <w:szCs w:val="12"/>
                <w:b w:val="1"/>
                <w:bCs w:val="1"/>
                <w:color w:val="auto"/>
              </w:rPr>
              <w:t>Aircraft Basic Price (Excluding BFE/SPE):</w:t>
            </w:r>
          </w:p>
        </w:tc>
        <w:tc>
          <w:tcPr>
            <w:tcW w:w="420" w:type="dxa"/>
            <w:vAlign w:val="bottom"/>
          </w:tcPr>
          <w:p>
            <w:pPr>
              <w:spacing w:after="0"/>
              <w:rPr>
                <w:sz w:val="17"/>
                <w:szCs w:val="17"/>
                <w:color w:val="auto"/>
              </w:rPr>
            </w:pPr>
          </w:p>
        </w:tc>
        <w:tc>
          <w:tcPr>
            <w:tcW w:w="2680" w:type="dxa"/>
            <w:vAlign w:val="bottom"/>
            <w:gridSpan w:val="6"/>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 xml:space="preserve">]  </w:t>
            </w:r>
            <w:r>
              <w:rPr>
                <w:rFonts w:ascii="Arial" w:cs="Arial" w:eastAsia="Arial" w:hAnsi="Arial"/>
                <w:sz w:val="12"/>
                <w:szCs w:val="12"/>
                <w:b w:val="1"/>
                <w:bCs w:val="1"/>
                <w:color w:val="auto"/>
              </w:rPr>
              <w:t>Base Year Index (CPI):</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2"/>
          </w:tcPr>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100" w:type="dxa"/>
            <w:vAlign w:val="bottom"/>
            <w:gridSpan w:val="6"/>
          </w:tcPr>
          <w:p>
            <w:pPr>
              <w:ind w:left="180"/>
              <w:spacing w:after="0" w:line="132" w:lineRule="exact"/>
              <w:rPr>
                <w:sz w:val="20"/>
                <w:szCs w:val="20"/>
                <w:color w:val="auto"/>
              </w:rPr>
            </w:pPr>
            <w:r>
              <w:rPr>
                <w:rFonts w:ascii="Arial" w:cs="Arial" w:eastAsia="Arial" w:hAnsi="Arial"/>
                <w:sz w:val="12"/>
                <w:szCs w:val="12"/>
                <w:b w:val="1"/>
                <w:bCs w:val="1"/>
                <w:color w:val="auto"/>
              </w:rPr>
              <w:t>Buyer Furnished Equipment (BFE) Estimate:</w:t>
            </w:r>
          </w:p>
        </w:tc>
        <w:tc>
          <w:tcPr>
            <w:tcW w:w="420" w:type="dxa"/>
            <w:vAlign w:val="bottom"/>
          </w:tcPr>
          <w:p>
            <w:pPr>
              <w:spacing w:after="0"/>
              <w:rPr>
                <w:sz w:val="12"/>
                <w:szCs w:val="12"/>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w w:val="92"/>
              </w:rPr>
              <w:t>$[</w:t>
            </w:r>
            <w:r>
              <w:rPr>
                <w:rFonts w:ascii="Arial" w:cs="Arial" w:eastAsia="Arial" w:hAnsi="Arial"/>
                <w:sz w:val="14"/>
                <w:szCs w:val="14"/>
                <w:color w:val="auto"/>
                <w:w w:val="92"/>
              </w:rPr>
              <w:t>*CTR</w:t>
            </w:r>
            <w:r>
              <w:rPr>
                <w:rFonts w:ascii="Arial" w:cs="Arial" w:eastAsia="Arial" w:hAnsi="Arial"/>
                <w:sz w:val="12"/>
                <w:szCs w:val="12"/>
                <w:color w:val="auto"/>
                <w:w w:val="92"/>
              </w:rPr>
              <w:t>]</w:t>
            </w:r>
          </w:p>
        </w:tc>
        <w:tc>
          <w:tcPr>
            <w:tcW w:w="100" w:type="dxa"/>
            <w:vAlign w:val="bottom"/>
          </w:tcPr>
          <w:p>
            <w:pPr>
              <w:spacing w:after="0"/>
              <w:rPr>
                <w:sz w:val="12"/>
                <w:szCs w:val="12"/>
                <w:color w:val="auto"/>
              </w:rPr>
            </w:pPr>
          </w:p>
        </w:tc>
        <w:tc>
          <w:tcPr>
            <w:tcW w:w="19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Engine Escalation Data:</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6"/>
            <w:vMerge w:val="restart"/>
          </w:tcPr>
          <w:p>
            <w:pPr>
              <w:ind w:left="180"/>
              <w:spacing w:after="0"/>
              <w:rPr>
                <w:sz w:val="20"/>
                <w:szCs w:val="20"/>
                <w:color w:val="auto"/>
              </w:rPr>
            </w:pPr>
            <w:r>
              <w:rPr>
                <w:rFonts w:ascii="Arial" w:cs="Arial" w:eastAsia="Arial" w:hAnsi="Arial"/>
                <w:sz w:val="12"/>
                <w:szCs w:val="12"/>
                <w:b w:val="1"/>
                <w:bCs w:val="1"/>
                <w:color w:val="auto"/>
              </w:rPr>
              <w:t>//Seller Purchased Equipment (SPE)/In-Flight</w:t>
            </w: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6"/>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 xml:space="preserve">]  </w:t>
            </w:r>
            <w:r>
              <w:rPr>
                <w:rFonts w:ascii="Arial" w:cs="Arial" w:eastAsia="Arial" w:hAnsi="Arial"/>
                <w:sz w:val="12"/>
                <w:szCs w:val="12"/>
                <w:b w:val="1"/>
                <w:bCs w:val="1"/>
                <w:color w:val="auto"/>
              </w:rPr>
              <w:t>Base Year Index (ECI):</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gridSpan w:val="2"/>
            <w:vMerge w:val="restart"/>
          </w:tcPr>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1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Entert</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80" w:type="dxa"/>
            <w:vAlign w:val="bottom"/>
            <w:gridSpan w:val="6"/>
            <w:vMerge w:val="continue"/>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1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100" w:type="dxa"/>
            <w:vAlign w:val="bottom"/>
            <w:gridSpan w:val="6"/>
          </w:tcPr>
          <w:p>
            <w:pPr>
              <w:ind w:left="180"/>
              <w:spacing w:after="0"/>
              <w:rPr>
                <w:sz w:val="20"/>
                <w:szCs w:val="20"/>
                <w:color w:val="auto"/>
              </w:rPr>
            </w:pPr>
            <w:r>
              <w:rPr>
                <w:rFonts w:ascii="Arial" w:cs="Arial" w:eastAsia="Arial" w:hAnsi="Arial"/>
                <w:sz w:val="12"/>
                <w:szCs w:val="12"/>
                <w:b w:val="1"/>
                <w:bCs w:val="1"/>
                <w:color w:val="auto"/>
              </w:rPr>
              <w:t>LIFT Seats Provided by Boeing (Estimate):</w:t>
            </w:r>
          </w:p>
        </w:tc>
        <w:tc>
          <w:tcPr>
            <w:tcW w:w="420" w:type="dxa"/>
            <w:vAlign w:val="bottom"/>
          </w:tcPr>
          <w:p>
            <w:pPr>
              <w:spacing w:after="0"/>
              <w:rPr>
                <w:sz w:val="17"/>
                <w:szCs w:val="17"/>
                <w:color w:val="auto"/>
              </w:rPr>
            </w:pPr>
          </w:p>
        </w:tc>
        <w:tc>
          <w:tcPr>
            <w:tcW w:w="2680" w:type="dxa"/>
            <w:vAlign w:val="bottom"/>
            <w:gridSpan w:val="6"/>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 xml:space="preserve">]  </w:t>
            </w:r>
            <w:r>
              <w:rPr>
                <w:rFonts w:ascii="Arial" w:cs="Arial" w:eastAsia="Arial" w:hAnsi="Arial"/>
                <w:sz w:val="12"/>
                <w:szCs w:val="12"/>
                <w:b w:val="1"/>
                <w:bCs w:val="1"/>
                <w:color w:val="auto"/>
              </w:rPr>
              <w:t>Base Year Index (CPI):</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2"/>
          </w:tcPr>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*CTR</w:t>
            </w:r>
            <w:r>
              <w:rPr>
                <w:rFonts w:ascii="Arial" w:cs="Arial" w:eastAsia="Arial" w:hAnsi="Arial"/>
                <w:sz w:val="12"/>
                <w:szCs w:val="12"/>
                <w:color w:val="auto"/>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6"/>
          </w:tcPr>
          <w:p>
            <w:pPr>
              <w:ind w:left="180"/>
              <w:spacing w:after="0"/>
              <w:rPr>
                <w:sz w:val="20"/>
                <w:szCs w:val="20"/>
                <w:color w:val="auto"/>
              </w:rPr>
            </w:pPr>
            <w:r>
              <w:rPr>
                <w:rFonts w:ascii="Arial" w:cs="Arial" w:eastAsia="Arial" w:hAnsi="Arial"/>
                <w:sz w:val="12"/>
                <w:szCs w:val="12"/>
                <w:b w:val="1"/>
                <w:bCs w:val="1"/>
                <w:color w:val="auto"/>
              </w:rPr>
              <w:t>Non-Refundable Deposit/Aircraft at Def Agreemt:</w:t>
            </w:r>
          </w:p>
        </w:tc>
        <w:tc>
          <w:tcPr>
            <w:tcW w:w="42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w w:val="92"/>
              </w:rPr>
              <w:t>$[</w:t>
            </w:r>
            <w:r>
              <w:rPr>
                <w:rFonts w:ascii="Arial" w:cs="Arial" w:eastAsia="Arial" w:hAnsi="Arial"/>
                <w:sz w:val="14"/>
                <w:szCs w:val="14"/>
                <w:color w:val="auto"/>
                <w:w w:val="92"/>
              </w:rPr>
              <w:t>*CTR</w:t>
            </w:r>
            <w:r>
              <w:rPr>
                <w:rFonts w:ascii="Arial" w:cs="Arial" w:eastAsia="Arial" w:hAnsi="Arial"/>
                <w:sz w:val="12"/>
                <w:szCs w:val="12"/>
                <w:color w:val="auto"/>
                <w:w w:val="92"/>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vMerge w:val="restart"/>
          </w:tcPr>
          <w:p>
            <w:pPr>
              <w:jc w:val="center"/>
              <w:ind w:right="18"/>
              <w:spacing w:after="0"/>
              <w:rPr>
                <w:sz w:val="20"/>
                <w:szCs w:val="20"/>
                <w:color w:val="auto"/>
              </w:rPr>
            </w:pPr>
            <w:r>
              <w:rPr>
                <w:rFonts w:ascii="Arial" w:cs="Arial" w:eastAsia="Arial" w:hAnsi="Arial"/>
                <w:sz w:val="14"/>
                <w:szCs w:val="14"/>
                <w:b w:val="1"/>
                <w:bCs w:val="1"/>
                <w:color w:val="auto"/>
                <w:w w:val="88"/>
              </w:rPr>
              <w:t>Escalation</w:t>
            </w: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Escalation</w:t>
            </w:r>
          </w:p>
        </w:tc>
        <w:tc>
          <w:tcPr>
            <w:tcW w:w="472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66"/>
        </w:trPr>
        <w:tc>
          <w:tcPr>
            <w:tcW w:w="108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right w:val="single" w:sz="8" w:color="auto"/>
            </w:tcBorders>
            <w:gridSpan w:val="2"/>
            <w:vMerge w:val="restart"/>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Number of</w:t>
            </w:r>
          </w:p>
        </w:tc>
        <w:tc>
          <w:tcPr>
            <w:tcW w:w="1180" w:type="dxa"/>
            <w:vAlign w:val="bottom"/>
            <w:tcBorders>
              <w:right w:val="single" w:sz="8" w:color="auto"/>
            </w:tcBorders>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Escalation Factor</w:t>
            </w:r>
          </w:p>
        </w:tc>
        <w:tc>
          <w:tcPr>
            <w:tcW w:w="102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Estimate Adv</w:t>
            </w:r>
          </w:p>
        </w:tc>
        <w:tc>
          <w:tcPr>
            <w:tcW w:w="8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At Signing</w:t>
            </w:r>
          </w:p>
        </w:tc>
        <w:tc>
          <w:tcPr>
            <w:tcW w:w="88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Borders>
              <w:right w:val="single" w:sz="8" w:color="auto"/>
            </w:tcBorders>
            <w:vMerge w:val="restart"/>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3"/>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Delivery Date</w:t>
            </w:r>
          </w:p>
        </w:tc>
        <w:tc>
          <w:tcPr>
            <w:tcW w:w="60" w:type="dxa"/>
            <w:vAlign w:val="bottom"/>
          </w:tcPr>
          <w:p>
            <w:pPr>
              <w:spacing w:after="0"/>
              <w:rPr>
                <w:sz w:val="7"/>
                <w:szCs w:val="7"/>
                <w:color w:val="auto"/>
              </w:rPr>
            </w:pPr>
          </w:p>
        </w:tc>
        <w:tc>
          <w:tcPr>
            <w:tcW w:w="780" w:type="dxa"/>
            <w:vAlign w:val="bottom"/>
            <w:tcBorders>
              <w:right w:val="single" w:sz="8" w:color="auto"/>
            </w:tcBorders>
            <w:gridSpan w:val="2"/>
            <w:vMerge w:val="continue"/>
          </w:tcPr>
          <w:p>
            <w:pPr>
              <w:spacing w:after="0"/>
              <w:rPr>
                <w:sz w:val="7"/>
                <w:szCs w:val="7"/>
                <w:color w:val="auto"/>
              </w:rPr>
            </w:pPr>
          </w:p>
        </w:tc>
        <w:tc>
          <w:tcPr>
            <w:tcW w:w="11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gridSpan w:val="2"/>
            <w:vMerge w:val="restart"/>
          </w:tcPr>
          <w:p>
            <w:pPr>
              <w:jc w:val="center"/>
              <w:ind w:right="38"/>
              <w:spacing w:after="0"/>
              <w:rPr>
                <w:sz w:val="20"/>
                <w:szCs w:val="20"/>
                <w:color w:val="auto"/>
              </w:rPr>
            </w:pPr>
            <w:r>
              <w:rPr>
                <w:rFonts w:ascii="Arial" w:cs="Arial" w:eastAsia="Arial" w:hAnsi="Arial"/>
                <w:sz w:val="14"/>
                <w:szCs w:val="14"/>
                <w:b w:val="1"/>
                <w:bCs w:val="1"/>
                <w:color w:val="auto"/>
                <w:w w:val="93"/>
              </w:rPr>
              <w:t>Factor</w:t>
            </w:r>
          </w:p>
        </w:tc>
        <w:tc>
          <w:tcPr>
            <w:tcW w:w="100" w:type="dxa"/>
            <w:vAlign w:val="bottom"/>
          </w:tcPr>
          <w:p>
            <w:pPr>
              <w:spacing w:after="0"/>
              <w:rPr>
                <w:sz w:val="7"/>
                <w:szCs w:val="7"/>
                <w:color w:val="auto"/>
              </w:rPr>
            </w:pPr>
          </w:p>
        </w:tc>
        <w:tc>
          <w:tcPr>
            <w:tcW w:w="900" w:type="dxa"/>
            <w:vAlign w:val="bottom"/>
            <w:tcBorders>
              <w:right w:val="single" w:sz="8" w:color="auto"/>
            </w:tcBorders>
            <w:vMerge w:val="restart"/>
          </w:tcPr>
          <w:p>
            <w:pPr>
              <w:jc w:val="center"/>
              <w:ind w:right="91"/>
              <w:spacing w:after="0"/>
              <w:rPr>
                <w:sz w:val="20"/>
                <w:szCs w:val="20"/>
                <w:color w:val="auto"/>
              </w:rPr>
            </w:pPr>
            <w:r>
              <w:rPr>
                <w:rFonts w:ascii="Arial" w:cs="Arial" w:eastAsia="Arial" w:hAnsi="Arial"/>
                <w:sz w:val="14"/>
                <w:szCs w:val="14"/>
                <w:b w:val="1"/>
                <w:bCs w:val="1"/>
                <w:color w:val="auto"/>
              </w:rPr>
              <w:t>[*CTR]</w:t>
            </w:r>
          </w:p>
        </w:tc>
        <w:tc>
          <w:tcPr>
            <w:tcW w:w="1080" w:type="dxa"/>
            <w:vAlign w:val="bottom"/>
            <w:tcBorders>
              <w:right w:val="single" w:sz="8" w:color="auto"/>
            </w:tcBorders>
            <w:gridSpan w:val="3"/>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left w:val="single" w:sz="8" w:color="auto"/>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rPr>
              <w:t>Aircraft</w:t>
            </w:r>
          </w:p>
        </w:tc>
        <w:tc>
          <w:tcPr>
            <w:tcW w:w="18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(Airframe)</w:t>
            </w:r>
          </w:p>
        </w:tc>
        <w:tc>
          <w:tcPr>
            <w:tcW w:w="102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Payment Base</w:t>
            </w:r>
          </w:p>
        </w:tc>
        <w:tc>
          <w:tcPr>
            <w:tcW w:w="8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240" w:type="dxa"/>
            <w:vAlign w:val="bottom"/>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080" w:type="dxa"/>
            <w:vAlign w:val="bottom"/>
            <w:tcBorders>
              <w:left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gridSpan w:val="2"/>
            <w:vMerge w:val="restart"/>
          </w:tcPr>
          <w:p>
            <w:pPr>
              <w:jc w:val="center"/>
              <w:ind w:right="38"/>
              <w:spacing w:after="0"/>
              <w:rPr>
                <w:sz w:val="20"/>
                <w:szCs w:val="20"/>
                <w:color w:val="auto"/>
              </w:rPr>
            </w:pPr>
            <w:r>
              <w:rPr>
                <w:rFonts w:ascii="Arial" w:cs="Arial" w:eastAsia="Arial" w:hAnsi="Arial"/>
                <w:sz w:val="14"/>
                <w:szCs w:val="14"/>
                <w:b w:val="1"/>
                <w:bCs w:val="1"/>
                <w:color w:val="auto"/>
                <w:w w:val="92"/>
              </w:rPr>
              <w:t>(Engine)</w:t>
            </w:r>
          </w:p>
        </w:tc>
        <w:tc>
          <w:tcPr>
            <w:tcW w:w="10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gridSpan w:val="3"/>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80" w:type="dxa"/>
            <w:vAlign w:val="bottom"/>
            <w:tcBorders>
              <w:left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Price Per A/P</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8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right w:val="single" w:sz="8" w:color="auto"/>
            </w:tcBorders>
            <w:vMerge w:val="restart"/>
          </w:tcPr>
          <w:p>
            <w:pPr>
              <w:jc w:val="center"/>
              <w:ind w:right="211"/>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117"/>
        </w:trPr>
        <w:tc>
          <w:tcPr>
            <w:tcW w:w="10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gridSpan w:val="3"/>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Pr>
          <w:p>
            <w:pPr>
              <w:spacing w:after="0"/>
              <w:rPr>
                <w:sz w:val="18"/>
                <w:szCs w:val="18"/>
                <w:color w:val="auto"/>
              </w:rPr>
            </w:pPr>
          </w:p>
        </w:tc>
        <w:tc>
          <w:tcPr>
            <w:tcW w:w="600" w:type="dxa"/>
            <w:vAlign w:val="bottom"/>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left w:val="single" w:sz="8" w:color="C0C0C0"/>
              <w:bottom w:val="single" w:sz="8" w:color="C0C0C0"/>
            </w:tcBorders>
            <w:shd w:val="clear" w:color="auto" w:fill="C0C0C0"/>
          </w:tcPr>
          <w:p>
            <w:pPr>
              <w:spacing w:after="0"/>
              <w:rPr>
                <w:sz w:val="18"/>
                <w:szCs w:val="18"/>
                <w:color w:val="auto"/>
              </w:rPr>
            </w:pPr>
          </w:p>
        </w:tc>
        <w:tc>
          <w:tcPr>
            <w:tcW w:w="900" w:type="dxa"/>
            <w:vAlign w:val="bottom"/>
            <w:tcBorders>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Pr>
          <w:p>
            <w:pPr>
              <w:spacing w:after="0"/>
              <w:rPr>
                <w:sz w:val="18"/>
                <w:szCs w:val="18"/>
                <w:color w:val="auto"/>
              </w:rPr>
            </w:pPr>
          </w:p>
        </w:tc>
        <w:tc>
          <w:tcPr>
            <w:tcW w:w="1460" w:type="dxa"/>
            <w:vAlign w:val="bottom"/>
            <w:tcBorders>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9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ind w:left="10"/>
              <w:spacing w:after="0"/>
              <w:rPr>
                <w:sz w:val="20"/>
                <w:szCs w:val="20"/>
                <w:color w:val="auto"/>
              </w:rPr>
            </w:pPr>
            <w:r>
              <w:rPr>
                <w:rFonts w:ascii="Arial" w:cs="Arial" w:eastAsia="Arial" w:hAnsi="Arial"/>
                <w:sz w:val="14"/>
                <w:szCs w:val="14"/>
                <w:color w:val="auto"/>
              </w:rPr>
              <w:t>[*CTR]</w:t>
            </w:r>
          </w:p>
        </w:tc>
        <w:tc>
          <w:tcPr>
            <w:tcW w:w="18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[*CTR]</w:t>
            </w:r>
          </w:p>
        </w:tc>
        <w:tc>
          <w:tcPr>
            <w:tcW w:w="1020" w:type="dxa"/>
            <w:vAlign w:val="bottom"/>
            <w:tcBorders>
              <w:top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color w:val="auto"/>
              </w:rPr>
              <w:t>[*CTR]</w:t>
            </w:r>
          </w:p>
        </w:tc>
        <w:tc>
          <w:tcPr>
            <w:tcW w:w="100" w:type="dxa"/>
            <w:vAlign w:val="bottom"/>
            <w:tcBorders>
              <w:top w:val="single" w:sz="8" w:color="auto"/>
              <w:left w:val="single" w:sz="8" w:color="C0C0C0"/>
              <w:bottom w:val="single" w:sz="8" w:color="C0C0C0"/>
            </w:tcBorders>
            <w:shd w:val="clear" w:color="auto" w:fill="C0C0C0"/>
          </w:tcPr>
          <w:p>
            <w:pPr>
              <w:spacing w:after="0"/>
              <w:rPr>
                <w:sz w:val="16"/>
                <w:szCs w:val="16"/>
                <w:color w:val="auto"/>
              </w:rPr>
            </w:pPr>
          </w:p>
        </w:tc>
        <w:tc>
          <w:tcPr>
            <w:tcW w:w="900" w:type="dxa"/>
            <w:vAlign w:val="bottom"/>
            <w:tcBorders>
              <w:top w:val="single" w:sz="8" w:color="auto"/>
              <w:bottom w:val="single" w:sz="8" w:color="C0C0C0"/>
              <w:right w:val="single" w:sz="8" w:color="auto"/>
            </w:tcBorders>
            <w:shd w:val="clear" w:color="auto" w:fill="C0C0C0"/>
          </w:tcPr>
          <w:p>
            <w:pPr>
              <w:jc w:val="center"/>
              <w:ind w:right="111"/>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ind w:right="211"/>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760" w:val="left"/>
          <w:tab w:leader="none" w:pos="5260" w:val="left"/>
        </w:tabs>
        <w:rPr>
          <w:sz w:val="20"/>
          <w:szCs w:val="20"/>
          <w:color w:val="auto"/>
        </w:rPr>
      </w:pPr>
      <w:r>
        <w:rPr>
          <w:rFonts w:ascii="Arial" w:cs="Arial" w:eastAsia="Arial" w:hAnsi="Arial"/>
          <w:sz w:val="14"/>
          <w:szCs w:val="14"/>
          <w:color w:val="auto"/>
        </w:rPr>
        <w:t>AAL-PA-1804779, Attach A, [*CTR], 108758-1O.txt</w:t>
      </w:r>
      <w:r>
        <w:rPr>
          <w:sz w:val="20"/>
          <w:szCs w:val="20"/>
          <w:color w:val="auto"/>
        </w:rPr>
        <w:tab/>
      </w:r>
      <w:r>
        <w:rPr>
          <w:rFonts w:ascii="Arial" w:cs="Arial" w:eastAsia="Arial" w:hAnsi="Arial"/>
          <w:sz w:val="14"/>
          <w:szCs w:val="14"/>
          <w:color w:val="auto"/>
        </w:rPr>
        <w:t>SA-11</w:t>
      </w:r>
      <w:r>
        <w:rPr>
          <w:sz w:val="20"/>
          <w:szCs w:val="20"/>
          <w:color w:val="auto"/>
        </w:rPr>
        <w:tab/>
      </w:r>
      <w:r>
        <w:rPr>
          <w:rFonts w:ascii="Arial" w:cs="Arial" w:eastAsia="Arial" w:hAnsi="Arial"/>
          <w:sz w:val="13"/>
          <w:szCs w:val="13"/>
          <w:color w:val="auto"/>
        </w:rPr>
        <w:t>Page 1</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40"/>
          </w:cols>
          <w:pgMar w:left="240" w:top="128" w:right="519" w:bottom="1440" w:gutter="0" w:footer="0" w:header="0"/>
        </w:sectPr>
      </w:pPr>
    </w:p>
    <w:bookmarkStart w:id="187" w:name="page188"/>
    <w:bookmarkEnd w:id="187"/>
    <w:p>
      <w:pPr>
        <w:jc w:val="center"/>
        <w:ind w:right="-479"/>
        <w:spacing w:after="0"/>
        <w:rPr>
          <w:sz w:val="20"/>
          <w:szCs w:val="20"/>
          <w:color w:val="auto"/>
        </w:rPr>
      </w:pPr>
      <w:r>
        <w:rPr>
          <w:rFonts w:ascii="Arial" w:cs="Arial" w:eastAsia="Arial" w:hAnsi="Arial"/>
          <w:sz w:val="19"/>
          <w:szCs w:val="19"/>
          <w:b w:val="1"/>
          <w:bCs w:val="1"/>
          <w:color w:val="auto"/>
        </w:rPr>
        <w:t>Attachment A To</w:t>
      </w:r>
    </w:p>
    <w:p>
      <w:pPr>
        <w:spacing w:after="0" w:line="24"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Letter Agreement No. AAL-03219-LA-1804779</w:t>
      </w:r>
    </w:p>
    <w:p>
      <w:pPr>
        <w:spacing w:after="0" w:line="15"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[*CTR] Aircraft Delivery, Description, Price and Advance Payments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 w:type="dxa"/>
            <w:vAlign w:val="bottom"/>
            <w:tcBorders>
              <w:right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4560" w:type="dxa"/>
            <w:vAlign w:val="bottom"/>
            <w:tcBorders>
              <w:top w:val="single" w:sz="8" w:color="auto"/>
              <w:bottom w:val="single" w:sz="8" w:color="auto"/>
              <w:right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8"/>
              </w:rPr>
              <w:t>Advance Payment Per Aircraft (Amts. Due/Mos. Prior to Delivery):</w:t>
            </w:r>
          </w:p>
        </w:tc>
        <w:tc>
          <w:tcPr>
            <w:tcW w:w="0" w:type="dxa"/>
            <w:vAlign w:val="bottom"/>
          </w:tcPr>
          <w:p>
            <w:pPr>
              <w:spacing w:after="0"/>
              <w:rPr>
                <w:sz w:val="1"/>
                <w:szCs w:val="1"/>
                <w:color w:val="auto"/>
              </w:rPr>
            </w:pPr>
          </w:p>
        </w:tc>
      </w:tr>
      <w:tr>
        <w:trPr>
          <w:trHeight w:val="66"/>
        </w:trPr>
        <w:tc>
          <w:tcPr>
            <w:tcW w:w="2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Delivery</w:t>
            </w:r>
          </w:p>
        </w:tc>
        <w:tc>
          <w:tcPr>
            <w:tcW w:w="9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Escalation Factor</w:t>
            </w:r>
          </w:p>
        </w:tc>
        <w:tc>
          <w:tcPr>
            <w:tcW w:w="96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Estimate Adv</w:t>
            </w:r>
          </w:p>
        </w:tc>
        <w:tc>
          <w:tcPr>
            <w:tcW w:w="9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At Signing</w:t>
            </w:r>
          </w:p>
        </w:tc>
        <w:tc>
          <w:tcPr>
            <w:tcW w:w="8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3"/>
        </w:trPr>
        <w:tc>
          <w:tcPr>
            <w:tcW w:w="2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80" w:type="dxa"/>
            <w:vAlign w:val="bottom"/>
          </w:tcPr>
          <w:p>
            <w:pPr>
              <w:spacing w:after="0"/>
              <w:rPr>
                <w:sz w:val="7"/>
                <w:szCs w:val="7"/>
                <w:color w:val="auto"/>
              </w:rPr>
            </w:pPr>
          </w:p>
        </w:tc>
        <w:tc>
          <w:tcPr>
            <w:tcW w:w="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[*CTR]</w:t>
            </w: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Aircraft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9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Payment Base</w:t>
            </w:r>
          </w:p>
        </w:tc>
        <w:tc>
          <w:tcPr>
            <w:tcW w:w="9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8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8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117"/>
        </w:trPr>
        <w:tc>
          <w:tcPr>
            <w:tcW w:w="2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60" w:type="dxa"/>
            <w:vAlign w:val="bottom"/>
            <w:tcBorders>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8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C0C0C0"/>
              <w:right w:val="single" w:sz="8" w:color="auto"/>
            </w:tcBorders>
            <w:shd w:val="clear" w:color="auto" w:fill="C0C0C0"/>
          </w:tcPr>
          <w:p>
            <w:pPr>
              <w:ind w:left="120"/>
              <w:spacing w:after="0"/>
              <w:rPr>
                <w:sz w:val="20"/>
                <w:szCs w:val="20"/>
                <w:color w:val="auto"/>
              </w:rPr>
            </w:pPr>
            <w:r>
              <w:rPr>
                <w:rFonts w:ascii="Arial" w:cs="Arial" w:eastAsia="Arial" w:hAnsi="Arial"/>
                <w:sz w:val="14"/>
                <w:szCs w:val="14"/>
                <w:color w:val="auto"/>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76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w w:val="94"/>
              </w:rPr>
              <w:t>Total:</w:t>
            </w:r>
          </w:p>
        </w:tc>
        <w:tc>
          <w:tcPr>
            <w:tcW w:w="9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60" w:type="dxa"/>
            <w:vAlign w:val="bottom"/>
          </w:tcPr>
          <w:p>
            <w:pPr>
              <w:spacing w:after="0"/>
              <w:rPr>
                <w:sz w:val="24"/>
                <w:szCs w:val="24"/>
                <w:color w:val="auto"/>
              </w:rPr>
            </w:pPr>
          </w:p>
        </w:tc>
        <w:tc>
          <w:tcPr>
            <w:tcW w:w="4060" w:type="dxa"/>
            <w:vAlign w:val="bottom"/>
            <w:gridSpan w:val="5"/>
          </w:tcPr>
          <w:p>
            <w:pPr>
              <w:ind w:left="20"/>
              <w:spacing w:after="0"/>
              <w:rPr>
                <w:sz w:val="20"/>
                <w:szCs w:val="20"/>
                <w:color w:val="auto"/>
              </w:rPr>
            </w:pPr>
            <w:r>
              <w:rPr>
                <w:rFonts w:ascii="Arial" w:cs="Arial" w:eastAsia="Arial" w:hAnsi="Arial"/>
                <w:sz w:val="16"/>
                <w:szCs w:val="16"/>
                <w:color w:val="auto"/>
              </w:rPr>
              <w:t xml:space="preserve">Note: Each </w:t>
            </w:r>
            <w:r>
              <w:rPr>
                <w:rFonts w:ascii="Arial" w:cs="Arial" w:eastAsia="Arial" w:hAnsi="Arial"/>
                <w:sz w:val="14"/>
                <w:szCs w:val="14"/>
                <w:color w:val="auto"/>
              </w:rPr>
              <w:t>[*CTR]</w:t>
            </w:r>
            <w:r>
              <w:rPr>
                <w:rFonts w:ascii="Arial" w:cs="Arial" w:eastAsia="Arial" w:hAnsi="Arial"/>
                <w:sz w:val="16"/>
                <w:szCs w:val="16"/>
                <w:color w:val="auto"/>
              </w:rPr>
              <w:t xml:space="preserve"> represents the </w:t>
            </w:r>
            <w:r>
              <w:rPr>
                <w:rFonts w:ascii="Arial" w:cs="Arial" w:eastAsia="Arial" w:hAnsi="Arial"/>
                <w:sz w:val="14"/>
                <w:szCs w:val="14"/>
                <w:color w:val="auto"/>
              </w:rPr>
              <w:t>[*CTR]</w:t>
            </w:r>
            <w:r>
              <w:rPr>
                <w:rFonts w:ascii="Arial" w:cs="Arial" w:eastAsia="Arial" w:hAnsi="Arial"/>
                <w:sz w:val="16"/>
                <w:szCs w:val="16"/>
                <w:color w:val="auto"/>
              </w:rPr>
              <w:t xml:space="preserve">: </w:t>
            </w:r>
            <w:r>
              <w:rPr>
                <w:rFonts w:ascii="Arial" w:cs="Arial" w:eastAsia="Arial" w:hAnsi="Arial"/>
                <w:sz w:val="14"/>
                <w:szCs w:val="14"/>
                <w:color w:val="auto"/>
              </w:rPr>
              <w:t>[*CTR]</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4060" w:type="dxa"/>
            <w:vAlign w:val="bottom"/>
            <w:gridSpan w:val="5"/>
          </w:tcPr>
          <w:p>
            <w:pPr>
              <w:ind w:left="20"/>
              <w:spacing w:after="0"/>
              <w:rPr>
                <w:sz w:val="20"/>
                <w:szCs w:val="20"/>
                <w:color w:val="auto"/>
              </w:rPr>
            </w:pPr>
            <w:r>
              <w:rPr>
                <w:rFonts w:ascii="Arial" w:cs="Arial" w:eastAsia="Arial" w:hAnsi="Arial"/>
                <w:sz w:val="16"/>
                <w:szCs w:val="16"/>
                <w:color w:val="auto"/>
                <w:w w:val="94"/>
              </w:rPr>
              <w:t xml:space="preserve">Note: The </w:t>
            </w:r>
            <w:r>
              <w:rPr>
                <w:rFonts w:ascii="Arial" w:cs="Arial" w:eastAsia="Arial" w:hAnsi="Arial"/>
                <w:sz w:val="14"/>
                <w:szCs w:val="14"/>
                <w:color w:val="auto"/>
                <w:w w:val="94"/>
              </w:rPr>
              <w:t>[*CTR]</w:t>
            </w:r>
            <w:r>
              <w:rPr>
                <w:rFonts w:ascii="Arial" w:cs="Arial" w:eastAsia="Arial" w:hAnsi="Arial"/>
                <w:sz w:val="16"/>
                <w:szCs w:val="16"/>
                <w:color w:val="auto"/>
                <w:w w:val="94"/>
              </w:rPr>
              <w:t xml:space="preserve"> includes the </w:t>
            </w:r>
            <w:r>
              <w:rPr>
                <w:rFonts w:ascii="Arial" w:cs="Arial" w:eastAsia="Arial" w:hAnsi="Arial"/>
                <w:sz w:val="14"/>
                <w:szCs w:val="14"/>
                <w:color w:val="auto"/>
                <w:w w:val="94"/>
              </w:rPr>
              <w:t>[*CTR]</w:t>
            </w:r>
            <w:r>
              <w:rPr>
                <w:rFonts w:ascii="Arial" w:cs="Arial" w:eastAsia="Arial" w:hAnsi="Arial"/>
                <w:sz w:val="16"/>
                <w:szCs w:val="16"/>
                <w:color w:val="auto"/>
                <w:w w:val="94"/>
              </w:rPr>
              <w:t xml:space="preserve"> selected for the Aircraft.</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3180" w:type="dxa"/>
            <w:vAlign w:val="bottom"/>
            <w:gridSpan w:val="4"/>
          </w:tcPr>
          <w:p>
            <w:pPr>
              <w:spacing w:after="0"/>
              <w:rPr>
                <w:sz w:val="20"/>
                <w:szCs w:val="20"/>
                <w:color w:val="auto"/>
              </w:rPr>
            </w:pPr>
            <w:r>
              <w:rPr>
                <w:rFonts w:ascii="Arial" w:cs="Arial" w:eastAsia="Arial" w:hAnsi="Arial"/>
                <w:sz w:val="14"/>
                <w:szCs w:val="14"/>
                <w:color w:val="auto"/>
                <w:w w:val="99"/>
              </w:rPr>
              <w:t>AAL-PA-1804779, Attach A, [*CTR], 108758-1O.txt</w:t>
            </w:r>
          </w:p>
        </w:tc>
        <w:tc>
          <w:tcPr>
            <w:tcW w:w="1140" w:type="dxa"/>
            <w:vAlign w:val="bottom"/>
            <w:gridSpan w:val="2"/>
          </w:tcPr>
          <w:p>
            <w:pPr>
              <w:ind w:left="600"/>
              <w:spacing w:after="0"/>
              <w:rPr>
                <w:sz w:val="20"/>
                <w:szCs w:val="20"/>
                <w:color w:val="auto"/>
              </w:rPr>
            </w:pPr>
            <w:r>
              <w:rPr>
                <w:rFonts w:ascii="Arial" w:cs="Arial" w:eastAsia="Arial" w:hAnsi="Arial"/>
                <w:sz w:val="14"/>
                <w:szCs w:val="14"/>
                <w:color w:val="auto"/>
              </w:rPr>
              <w:t>SA-11</w:t>
            </w:r>
          </w:p>
        </w:tc>
        <w:tc>
          <w:tcPr>
            <w:tcW w:w="88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Page 2</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479"/>
        <w:spacing w:after="0"/>
        <w:rPr>
          <w:sz w:val="20"/>
          <w:szCs w:val="20"/>
          <w:color w:val="auto"/>
        </w:rPr>
      </w:pPr>
      <w:r>
        <w:rPr>
          <w:rFonts w:ascii="Arial" w:cs="Arial" w:eastAsia="Arial" w:hAnsi="Arial"/>
          <w:sz w:val="16"/>
          <w:szCs w:val="16"/>
          <w:b w:val="1"/>
          <w:bCs w:val="1"/>
          <w:color w:val="auto"/>
        </w:rPr>
        <w:t>Boeing Proprietary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40"/>
          </w:cols>
          <w:pgMar w:left="240" w:top="128" w:right="719" w:bottom="1440" w:gutter="0" w:footer="0" w:header="0"/>
        </w:sectPr>
      </w:pPr>
    </w:p>
    <w:bookmarkStart w:id="188" w:name="page189"/>
    <w:bookmarkEnd w:id="188"/>
    <w:p>
      <w:pPr>
        <w:jc w:val="center"/>
        <w:ind w:right="-519"/>
        <w:spacing w:after="0"/>
        <w:rPr>
          <w:sz w:val="20"/>
          <w:szCs w:val="20"/>
          <w:color w:val="auto"/>
        </w:rPr>
      </w:pPr>
      <w:r>
        <w:rPr>
          <w:rFonts w:ascii="Arial" w:cs="Arial" w:eastAsia="Arial" w:hAnsi="Arial"/>
          <w:sz w:val="22"/>
          <w:szCs w:val="22"/>
          <w:b w:val="1"/>
          <w:bCs w:val="1"/>
          <w:color w:val="auto"/>
        </w:rPr>
        <w:t>Attachment B To</w:t>
      </w:r>
    </w:p>
    <w:p>
      <w:pPr>
        <w:spacing w:after="0" w:line="30"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Letter Agreement No. AAL-03219-LA-1804779</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0"/>
          <w:szCs w:val="20"/>
          <w:b w:val="1"/>
          <w:bCs w:val="1"/>
          <w:color w:val="auto"/>
        </w:rPr>
        <w:t>[*CTR] Aircraft Delivery, Description, Price and Advance Payments</w:t>
      </w:r>
    </w:p>
    <w:p>
      <w:pPr>
        <w:sectPr>
          <w:pgSz w:w="11900" w:h="16838" w:orient="portrait"/>
          <w:cols w:equalWidth="0" w:num="1">
            <w:col w:w="10900"/>
          </w:cols>
          <w:pgMar w:left="240" w:top="12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auto"/>
              </w:rPr>
              <w:t>Airframe</w:t>
            </w:r>
          </w:p>
        </w:tc>
        <w:tc>
          <w:tcPr>
            <w:tcW w:w="840" w:type="dxa"/>
            <w:vAlign w:val="bottom"/>
            <w:vMerge w:val="restart"/>
          </w:tcPr>
          <w:p>
            <w:pPr>
              <w:ind w:left="340"/>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109"/>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auto"/>
              </w:rPr>
              <w:t>Model/MTOW:</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Engine Model/Thrust:</w:t>
            </w:r>
          </w:p>
        </w:tc>
        <w:tc>
          <w:tcPr>
            <w:tcW w:w="840" w:type="dxa"/>
            <w:vAlign w:val="bottom"/>
          </w:tcPr>
          <w:p>
            <w:pPr>
              <w:ind w:left="340"/>
              <w:spacing w:after="0"/>
              <w:rPr>
                <w:sz w:val="20"/>
                <w:szCs w:val="20"/>
                <w:color w:val="auto"/>
              </w:rPr>
            </w:pPr>
            <w:r>
              <w:rPr>
                <w:rFonts w:ascii="Arial" w:cs="Arial" w:eastAsia="Arial" w:hAnsi="Arial"/>
                <w:sz w:val="14"/>
                <w:szCs w:val="14"/>
                <w:color w:val="auto"/>
              </w:rPr>
              <w:t>GENX-</w:t>
            </w:r>
          </w:p>
        </w:tc>
        <w:tc>
          <w:tcPr>
            <w:tcW w:w="0" w:type="dxa"/>
            <w:vAlign w:val="bottom"/>
          </w:tcPr>
          <w:p>
            <w:pPr>
              <w:spacing w:after="0"/>
              <w:rPr>
                <w:sz w:val="1"/>
                <w:szCs w:val="1"/>
                <w:color w:val="auto"/>
              </w:rPr>
            </w:pPr>
          </w:p>
        </w:tc>
      </w:tr>
      <w:tr>
        <w:trPr>
          <w:trHeight w:val="85"/>
        </w:trPr>
        <w:tc>
          <w:tcPr>
            <w:tcW w:w="1680" w:type="dxa"/>
            <w:vAlign w:val="bottom"/>
            <w:vMerge w:val="continue"/>
          </w:tcPr>
          <w:p>
            <w:pPr>
              <w:spacing w:after="0"/>
              <w:rPr>
                <w:sz w:val="7"/>
                <w:szCs w:val="7"/>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color w:val="auto"/>
                <w:w w:val="91"/>
              </w:rPr>
              <w:t>1B74/75</w:t>
            </w: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Optional Features: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Sub-Total of Airframe and Features: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Engine Price (Per Aircraft):</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Aircraft Basic Price (Excluding BFE/SPE):</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Buyer Furnished Equipment (BFE) Estimate:</w:t>
      </w:r>
    </w:p>
    <w:p>
      <w:pPr>
        <w:spacing w:after="0" w:line="84" w:lineRule="exact"/>
        <w:rPr>
          <w:sz w:val="20"/>
          <w:szCs w:val="20"/>
          <w:color w:val="auto"/>
        </w:rPr>
      </w:pPr>
    </w:p>
    <w:p>
      <w:pPr>
        <w:ind w:left="300"/>
        <w:spacing w:after="0" w:line="294" w:lineRule="auto"/>
        <w:rPr>
          <w:sz w:val="20"/>
          <w:szCs w:val="20"/>
          <w:color w:val="auto"/>
        </w:rPr>
      </w:pPr>
      <w:r>
        <w:rPr>
          <w:rFonts w:ascii="Arial" w:cs="Arial" w:eastAsia="Arial" w:hAnsi="Arial"/>
          <w:sz w:val="14"/>
          <w:szCs w:val="14"/>
          <w:b w:val="1"/>
          <w:bCs w:val="1"/>
          <w:color w:val="auto"/>
        </w:rPr>
        <w:t>//Seller Purchased Equipment (SPE)/In-Flight Entert</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LIFT Seats Provided by Boeing (Estimate):</w:t>
      </w:r>
    </w:p>
    <w:p>
      <w:pPr>
        <w:spacing w:after="0" w:line="84" w:lineRule="exact"/>
        <w:rPr>
          <w:sz w:val="20"/>
          <w:szCs w:val="20"/>
          <w:color w:val="auto"/>
        </w:rPr>
      </w:pPr>
    </w:p>
    <w:p>
      <w:pPr>
        <w:ind w:left="340" w:right="320"/>
        <w:spacing w:after="0" w:line="294" w:lineRule="auto"/>
        <w:rPr>
          <w:sz w:val="20"/>
          <w:szCs w:val="20"/>
          <w:color w:val="auto"/>
        </w:rPr>
      </w:pPr>
      <w:r>
        <w:rPr>
          <w:rFonts w:ascii="Arial" w:cs="Arial" w:eastAsia="Arial" w:hAnsi="Arial"/>
          <w:sz w:val="14"/>
          <w:szCs w:val="14"/>
          <w:b w:val="1"/>
          <w:bCs w:val="1"/>
          <w:color w:val="auto"/>
        </w:rPr>
        <w:t>Non-Refundable Deposit/Aircraft at Def Agreemt: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[*CTR] pounds</w:t>
      </w: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[*CTR] pounds</w:t>
      </w:r>
    </w:p>
    <w:p>
      <w:pPr>
        <w:spacing w:after="0" w:line="248"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$[*CTR]</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$[*CTR]</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$[*CTR]</w:t>
      </w:r>
    </w:p>
    <w:p>
      <w:pPr>
        <w:spacing w:after="0" w:line="120"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29210</wp:posOffset>
            </wp:positionV>
            <wp:extent cx="59436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594360" cy="762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-6985</wp:posOffset>
            </wp:positionV>
            <wp:extent cx="41084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410845" cy="7620"/>
                    </a:xfrm>
                    <a:prstGeom prst="rect">
                      <a:avLst/>
                    </a:prstGeom>
                    <a:noFill/>
                  </pic:spPr>
                </pic:pic>
              </a:graphicData>
            </a:graphic>
          </wp:anchor>
        </w:drawing>
      </w:r>
    </w:p>
    <w:p>
      <w:pPr>
        <w:spacing w:after="0" w:line="53"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143"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155"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155" w:lineRule="exact"/>
        <w:rPr>
          <w:sz w:val="20"/>
          <w:szCs w:val="20"/>
          <w:color w:val="auto"/>
        </w:rPr>
      </w:pPr>
    </w:p>
    <w:p>
      <w:pPr>
        <w:jc w:val="right"/>
        <w:ind w:right="620"/>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40" w:type="dxa"/>
            <w:vAlign w:val="bottom"/>
            <w:gridSpan w:val="3"/>
          </w:tcPr>
          <w:p>
            <w:pPr>
              <w:spacing w:after="0"/>
              <w:rPr>
                <w:sz w:val="20"/>
                <w:szCs w:val="20"/>
                <w:color w:val="auto"/>
              </w:rPr>
            </w:pPr>
            <w:r>
              <w:rPr>
                <w:rFonts w:ascii="Arial" w:cs="Arial" w:eastAsia="Arial" w:hAnsi="Arial"/>
                <w:sz w:val="16"/>
                <w:szCs w:val="16"/>
                <w:b w:val="1"/>
                <w:bCs w:val="1"/>
                <w:color w:val="auto"/>
              </w:rPr>
              <w:t>Detail Specification:</w:t>
            </w:r>
          </w:p>
        </w:tc>
        <w:tc>
          <w:tcPr>
            <w:tcW w:w="900" w:type="dxa"/>
            <w:vAlign w:val="bottom"/>
          </w:tcPr>
          <w:p>
            <w:pPr>
              <w:ind w:left="420"/>
              <w:spacing w:after="0"/>
              <w:rPr>
                <w:sz w:val="20"/>
                <w:szCs w:val="20"/>
                <w:color w:val="auto"/>
              </w:rPr>
            </w:pPr>
            <w:r>
              <w:rPr>
                <w:rFonts w:ascii="Arial" w:cs="Arial" w:eastAsia="Arial" w:hAnsi="Arial"/>
                <w:sz w:val="14"/>
                <w:szCs w:val="14"/>
                <w:color w:val="auto"/>
              </w:rPr>
              <w:t>[*CTR]</w:t>
            </w:r>
          </w:p>
        </w:tc>
        <w:tc>
          <w:tcPr>
            <w:tcW w:w="980" w:type="dxa"/>
            <w:vAlign w:val="bottom"/>
          </w:tcPr>
          <w:p>
            <w:pPr>
              <w:spacing w:after="0"/>
              <w:rPr>
                <w:sz w:val="17"/>
                <w:szCs w:val="17"/>
                <w:color w:val="auto"/>
              </w:rPr>
            </w:pPr>
          </w:p>
        </w:tc>
      </w:tr>
      <w:tr>
        <w:trPr>
          <w:trHeight w:val="398"/>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900" w:type="dxa"/>
            <w:vAlign w:val="bottom"/>
          </w:tcPr>
          <w:p>
            <w:pPr>
              <w:ind w:left="420"/>
              <w:spacing w:after="0"/>
              <w:rPr>
                <w:sz w:val="20"/>
                <w:szCs w:val="20"/>
                <w:color w:val="auto"/>
              </w:rPr>
            </w:pPr>
            <w:r>
              <w:rPr>
                <w:rFonts w:ascii="Arial" w:cs="Arial" w:eastAsia="Arial" w:hAnsi="Arial"/>
                <w:sz w:val="14"/>
                <w:szCs w:val="14"/>
                <w:color w:val="auto"/>
              </w:rPr>
              <w:t>[*CTR]</w:t>
            </w:r>
          </w:p>
        </w:tc>
        <w:tc>
          <w:tcPr>
            <w:tcW w:w="980" w:type="dxa"/>
            <w:vAlign w:val="bottom"/>
          </w:tcPr>
          <w:p>
            <w:pPr>
              <w:ind w:left="540"/>
              <w:spacing w:after="0"/>
              <w:rPr>
                <w:sz w:val="20"/>
                <w:szCs w:val="20"/>
                <w:color w:val="auto"/>
              </w:rPr>
            </w:pPr>
            <w:r>
              <w:rPr>
                <w:rFonts w:ascii="Arial" w:cs="Arial" w:eastAsia="Arial" w:hAnsi="Arial"/>
                <w:sz w:val="14"/>
                <w:szCs w:val="14"/>
                <w:color w:val="auto"/>
                <w:w w:val="99"/>
              </w:rPr>
              <w:t>[*CTR]</w:t>
            </w:r>
          </w:p>
        </w:tc>
      </w:tr>
      <w:tr>
        <w:trPr>
          <w:trHeight w:val="183"/>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Formula:</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Engine Price Base Year/Escalation</w:t>
            </w:r>
          </w:p>
        </w:tc>
        <w:tc>
          <w:tcPr>
            <w:tcW w:w="900" w:type="dxa"/>
            <w:vAlign w:val="bottom"/>
          </w:tcPr>
          <w:p>
            <w:pPr>
              <w:ind w:left="420"/>
              <w:spacing w:after="0"/>
              <w:rPr>
                <w:sz w:val="20"/>
                <w:szCs w:val="20"/>
                <w:color w:val="auto"/>
              </w:rPr>
            </w:pPr>
            <w:r>
              <w:rPr>
                <w:rFonts w:ascii="Arial" w:cs="Arial" w:eastAsia="Arial" w:hAnsi="Arial"/>
                <w:sz w:val="14"/>
                <w:szCs w:val="14"/>
                <w:color w:val="auto"/>
              </w:rPr>
              <w:t>[*CTR]</w:t>
            </w:r>
          </w:p>
        </w:tc>
        <w:tc>
          <w:tcPr>
            <w:tcW w:w="980" w:type="dxa"/>
            <w:vAlign w:val="bottom"/>
          </w:tcPr>
          <w:p>
            <w:pPr>
              <w:ind w:left="540"/>
              <w:spacing w:after="0"/>
              <w:rPr>
                <w:sz w:val="20"/>
                <w:szCs w:val="20"/>
                <w:color w:val="auto"/>
              </w:rPr>
            </w:pPr>
            <w:r>
              <w:rPr>
                <w:rFonts w:ascii="Arial" w:cs="Arial" w:eastAsia="Arial" w:hAnsi="Arial"/>
                <w:sz w:val="14"/>
                <w:szCs w:val="14"/>
                <w:color w:val="auto"/>
                <w:w w:val="99"/>
              </w:rPr>
              <w:t>[*CTR]</w:t>
            </w:r>
          </w:p>
        </w:tc>
      </w:tr>
      <w:tr>
        <w:trPr>
          <w:trHeight w:val="183"/>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Formula:</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4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Airframe Escalation Data:</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4"/>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Base Year Index (ECI):</w:t>
            </w: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[*CTR]</w:t>
            </w:r>
          </w:p>
        </w:tc>
      </w:tr>
      <w:tr>
        <w:trPr>
          <w:trHeight w:val="234"/>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90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[*CTR]</w:t>
            </w:r>
          </w:p>
        </w:tc>
      </w:tr>
      <w:tr>
        <w:trPr>
          <w:trHeight w:val="239"/>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Engine Escalation Data:</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4"/>
        </w:trPr>
        <w:tc>
          <w:tcPr>
            <w:tcW w:w="1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5"/>
              </w:rPr>
              <w:t>Base Year Index (ECI):</w:t>
            </w:r>
          </w:p>
        </w:tc>
        <w:tc>
          <w:tcPr>
            <w:tcW w:w="120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[*CTR]</w:t>
            </w:r>
          </w:p>
        </w:tc>
      </w:tr>
      <w:tr>
        <w:trPr>
          <w:trHeight w:val="398"/>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90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[*CTR]</w:t>
            </w:r>
          </w:p>
        </w:tc>
      </w:tr>
    </w:tbl>
    <w:p>
      <w:pPr>
        <w:spacing w:after="0" w:line="645" w:lineRule="exact"/>
        <w:rPr>
          <w:sz w:val="20"/>
          <w:szCs w:val="20"/>
          <w:color w:val="auto"/>
        </w:rPr>
      </w:pPr>
    </w:p>
    <w:p>
      <w:pPr>
        <w:sectPr>
          <w:pgSz w:w="11900" w:h="16838" w:orient="portrait"/>
          <w:cols w:equalWidth="0" w:num="3">
            <w:col w:w="3060" w:space="240"/>
            <w:col w:w="1480" w:space="720"/>
            <w:col w:w="5400"/>
          </w:cols>
          <w:pgMar w:left="240" w:top="120" w:right="759" w:bottom="1440" w:gutter="0" w:footer="0" w:header="0"/>
          <w:type w:val="continuous"/>
        </w:sectPr>
      </w:pPr>
    </w:p>
    <w:p>
      <w:pPr>
        <w:spacing w:after="0" w:line="100" w:lineRule="exact"/>
        <w:rPr>
          <w:sz w:val="20"/>
          <w:szCs w:val="20"/>
          <w:color w:val="auto"/>
        </w:rPr>
      </w:pPr>
    </w:p>
    <w:tbl>
      <w:tblPr>
        <w:tblLayout w:type="fixed"/>
        <w:tblInd w:w="270" w:type="dxa"/>
        <w:tblCellMar>
          <w:top w:w="0" w:type="dxa"/>
          <w:left w:w="0" w:type="dxa"/>
          <w:bottom w:w="0" w:type="dxa"/>
          <w:right w:w="0" w:type="dxa"/>
        </w:tblCellMar>
      </w:tblPr>
      <w:tr>
        <w:trPr>
          <w:trHeight w:val="210"/>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[*CTR]</w:t>
            </w: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454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7"/>
              </w:rPr>
              <w:t>Advance Payment Per Aircraft (Amts. Due/Mos. Prior to Delivery):</w:t>
            </w:r>
          </w:p>
        </w:tc>
        <w:tc>
          <w:tcPr>
            <w:tcW w:w="0" w:type="dxa"/>
            <w:vAlign w:val="bottom"/>
          </w:tcPr>
          <w:p>
            <w:pPr>
              <w:spacing w:after="0"/>
              <w:rPr>
                <w:sz w:val="1"/>
                <w:szCs w:val="1"/>
                <w:color w:val="auto"/>
              </w:rPr>
            </w:pPr>
          </w:p>
        </w:tc>
      </w:tr>
      <w:tr>
        <w:trPr>
          <w:trHeight w:val="59"/>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9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106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7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Escalation Factor</w:t>
            </w:r>
          </w:p>
        </w:tc>
        <w:tc>
          <w:tcPr>
            <w:tcW w:w="96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Estimate Adv</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At Signing</w:t>
            </w:r>
          </w:p>
        </w:tc>
        <w:tc>
          <w:tcPr>
            <w:tcW w:w="8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9"/>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9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0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780" w:type="dxa"/>
            <w:vAlign w:val="bottom"/>
            <w:tcBorders>
              <w:left w:val="single" w:sz="8" w:color="auto"/>
              <w:right w:val="single" w:sz="8" w:color="auto"/>
            </w:tcBorders>
            <w:vMerge w:val="continue"/>
          </w:tcPr>
          <w:p>
            <w:pPr>
              <w:spacing w:after="0"/>
              <w:rPr>
                <w:sz w:val="4"/>
                <w:szCs w:val="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Aircraft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960" w:type="dxa"/>
            <w:vAlign w:val="bottom"/>
            <w:tcBorders>
              <w:right w:val="single" w:sz="8" w:color="auto"/>
            </w:tcBorders>
            <w:vMerge w:val="continue"/>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Payment Base</w:t>
            </w:r>
          </w:p>
        </w:tc>
        <w:tc>
          <w:tcPr>
            <w:tcW w:w="96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5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80" w:type="dxa"/>
            <w:vAlign w:val="bottom"/>
            <w:tcBorders>
              <w:left w:val="single" w:sz="8" w:color="auto"/>
              <w:right w:val="single" w:sz="8" w:color="auto"/>
            </w:tcBorders>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Delivery</w:t>
            </w: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0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780" w:type="dxa"/>
            <w:vAlign w:val="bottom"/>
            <w:tcBorders>
              <w:left w:val="single" w:sz="8" w:color="auto"/>
              <w:right w:val="single" w:sz="8" w:color="auto"/>
            </w:tcBorders>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84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39"/>
        </w:trPr>
        <w:tc>
          <w:tcPr>
            <w:tcW w:w="780" w:type="dxa"/>
            <w:vAlign w:val="bottom"/>
            <w:tcBorders>
              <w:left w:val="single" w:sz="8" w:color="auto"/>
              <w:right w:val="single" w:sz="8" w:color="auto"/>
            </w:tcBorders>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780" w:type="dxa"/>
            <w:vAlign w:val="bottom"/>
            <w:tcBorders>
              <w:left w:val="single" w:sz="8" w:color="auto"/>
              <w:right w:val="single" w:sz="8" w:color="auto"/>
            </w:tcBorders>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780" w:type="dxa"/>
            <w:vAlign w:val="bottom"/>
            <w:tcBorders>
              <w:left w:val="single" w:sz="8" w:color="auto"/>
              <w:right w:val="single" w:sz="8" w:color="auto"/>
            </w:tcBorders>
            <w:vMerge w:val="continue"/>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bottom w:val="single" w:sz="8" w:color="C1C1C1"/>
              <w:right w:val="single" w:sz="8" w:color="auto"/>
            </w:tcBorders>
            <w:shd w:val="clear" w:color="auto" w:fill="C1C1C1"/>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6"/>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60" w:type="dxa"/>
            <w:vAlign w:val="bottom"/>
            <w:tcBorders>
              <w:top w:val="single" w:sz="8" w:color="auto"/>
              <w:bottom w:val="single" w:sz="8" w:color="C1C1C1"/>
              <w:right w:val="single" w:sz="8" w:color="auto"/>
            </w:tcBorders>
            <w:shd w:val="clear" w:color="auto" w:fill="C1C1C1"/>
          </w:tcPr>
          <w:p>
            <w:pPr>
              <w:spacing w:after="0"/>
              <w:rPr>
                <w:sz w:val="17"/>
                <w:szCs w:val="17"/>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960" w:val="left"/>
          <w:tab w:leader="none" w:pos="5440" w:val="left"/>
        </w:tabs>
        <w:rPr>
          <w:sz w:val="20"/>
          <w:szCs w:val="20"/>
          <w:color w:val="auto"/>
        </w:rPr>
      </w:pPr>
      <w:r>
        <w:rPr>
          <w:rFonts w:ascii="Arial" w:cs="Arial" w:eastAsia="Arial" w:hAnsi="Arial"/>
          <w:sz w:val="14"/>
          <w:szCs w:val="14"/>
          <w:color w:val="auto"/>
        </w:rPr>
        <w:t>AAL-PA-1804779, Attach B, [*CTR], 108758-1O.txt</w:t>
      </w:r>
      <w:r>
        <w:rPr>
          <w:sz w:val="20"/>
          <w:szCs w:val="20"/>
          <w:color w:val="auto"/>
        </w:rPr>
        <w:tab/>
      </w:r>
      <w:r>
        <w:rPr>
          <w:rFonts w:ascii="Arial" w:cs="Arial" w:eastAsia="Arial" w:hAnsi="Arial"/>
          <w:sz w:val="14"/>
          <w:szCs w:val="14"/>
          <w:color w:val="auto"/>
        </w:rPr>
        <w:t>SA-11</w:t>
      </w:r>
      <w:r>
        <w:rPr>
          <w:sz w:val="20"/>
          <w:szCs w:val="20"/>
          <w:color w:val="auto"/>
        </w:rPr>
        <w:tab/>
      </w:r>
      <w:r>
        <w:rPr>
          <w:rFonts w:ascii="Arial" w:cs="Arial" w:eastAsia="Arial" w:hAnsi="Arial"/>
          <w:sz w:val="13"/>
          <w:szCs w:val="13"/>
          <w:color w:val="auto"/>
        </w:rPr>
        <w:t>Page 1</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Boeing Proprietary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00"/>
          </w:cols>
          <w:pgMar w:left="240" w:top="120" w:right="759" w:bottom="1440" w:gutter="0" w:footer="0" w:header="0"/>
          <w:type w:val="continuous"/>
        </w:sectPr>
      </w:pPr>
    </w:p>
    <w:bookmarkStart w:id="189" w:name="page190"/>
    <w:bookmarkEnd w:id="189"/>
    <w:p>
      <w:pPr>
        <w:jc w:val="center"/>
        <w:ind w:right="-519"/>
        <w:spacing w:after="0"/>
        <w:rPr>
          <w:sz w:val="20"/>
          <w:szCs w:val="20"/>
          <w:color w:val="auto"/>
        </w:rPr>
      </w:pPr>
      <w:r>
        <w:rPr>
          <w:rFonts w:ascii="Arial" w:cs="Arial" w:eastAsia="Arial" w:hAnsi="Arial"/>
          <w:sz w:val="22"/>
          <w:szCs w:val="22"/>
          <w:b w:val="1"/>
          <w:bCs w:val="1"/>
          <w:color w:val="auto"/>
        </w:rPr>
        <w:t>Attachment B To</w:t>
      </w:r>
    </w:p>
    <w:p>
      <w:pPr>
        <w:spacing w:after="0" w:line="30"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Letter Agreement No. AAL-03219-LA-1804779</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52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0"/>
              </w:rPr>
              <w:t>Advance Payment Per Aircraft (Amts. Due/Mos. Prior to Delivery:</w:t>
            </w:r>
          </w:p>
        </w:tc>
        <w:tc>
          <w:tcPr>
            <w:tcW w:w="0" w:type="dxa"/>
            <w:vAlign w:val="bottom"/>
          </w:tcPr>
          <w:p>
            <w:pPr>
              <w:spacing w:after="0"/>
              <w:rPr>
                <w:sz w:val="1"/>
                <w:szCs w:val="1"/>
                <w:color w:val="auto"/>
              </w:rPr>
            </w:pPr>
          </w:p>
        </w:tc>
      </w:tr>
      <w:tr>
        <w:trPr>
          <w:trHeight w:val="63"/>
        </w:trPr>
        <w:tc>
          <w:tcPr>
            <w:tcW w:w="3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9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4"/>
              </w:rPr>
              <w:t>Escalation</w:t>
            </w:r>
          </w:p>
        </w:tc>
        <w:tc>
          <w:tcPr>
            <w:tcW w:w="66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Number of</w:t>
            </w:r>
          </w:p>
        </w:tc>
        <w:tc>
          <w:tcPr>
            <w:tcW w:w="1180" w:type="dxa"/>
            <w:vAlign w:val="bottom"/>
            <w:tcBorders>
              <w:right w:val="single" w:sz="8" w:color="auto"/>
            </w:tcBorders>
            <w:vMerge w:val="continue"/>
          </w:tcPr>
          <w:p>
            <w:pPr>
              <w:spacing w:after="0"/>
              <w:rPr>
                <w:sz w:val="17"/>
                <w:szCs w:val="17"/>
                <w:color w:val="auto"/>
              </w:rPr>
            </w:pPr>
          </w:p>
        </w:tc>
        <w:tc>
          <w:tcPr>
            <w:tcW w:w="980" w:type="dxa"/>
            <w:vAlign w:val="bottom"/>
            <w:tcBorders>
              <w:right w:val="single" w:sz="8" w:color="auto"/>
            </w:tcBorders>
            <w:vMerge w:val="continue"/>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At Signing</w:t>
            </w:r>
          </w:p>
        </w:tc>
        <w:tc>
          <w:tcPr>
            <w:tcW w:w="8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89"/>
        </w:trPr>
        <w:tc>
          <w:tcPr>
            <w:tcW w:w="3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Scheduled</w:t>
            </w:r>
          </w:p>
        </w:tc>
        <w:tc>
          <w:tcPr>
            <w:tcW w:w="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Aircraft</w:t>
            </w:r>
          </w:p>
        </w:tc>
        <w:tc>
          <w:tcPr>
            <w:tcW w:w="118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Factor</w:t>
            </w:r>
          </w:p>
        </w:tc>
        <w:tc>
          <w:tcPr>
            <w:tcW w:w="98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Factor</w:t>
            </w:r>
          </w:p>
        </w:tc>
        <w:tc>
          <w:tcPr>
            <w:tcW w:w="66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4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[*CTR]</w:t>
            </w:r>
          </w:p>
        </w:tc>
        <w:tc>
          <w:tcPr>
            <w:tcW w:w="1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(Engine)</w:t>
            </w:r>
          </w:p>
        </w:tc>
        <w:tc>
          <w:tcPr>
            <w:tcW w:w="66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8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03"/>
        </w:trPr>
        <w:tc>
          <w:tcPr>
            <w:tcW w:w="3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Quarter</w:t>
            </w:r>
          </w:p>
        </w:tc>
        <w:tc>
          <w:tcPr>
            <w:tcW w:w="9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00" w:type="dxa"/>
            <w:vAlign w:val="bottom"/>
            <w:tcBorders>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660" w:type="dxa"/>
            <w:vAlign w:val="bottom"/>
            <w:tcBorders>
              <w:bottom w:val="single" w:sz="8" w:color="C1C1C1"/>
            </w:tcBorders>
            <w:shd w:val="clear" w:color="auto" w:fill="C1C1C1"/>
          </w:tcPr>
          <w:p>
            <w:pPr>
              <w:spacing w:after="0"/>
              <w:rPr>
                <w:sz w:val="19"/>
                <w:szCs w:val="19"/>
                <w:color w:val="auto"/>
              </w:rPr>
            </w:pPr>
          </w:p>
        </w:tc>
        <w:tc>
          <w:tcPr>
            <w:tcW w:w="380" w:type="dxa"/>
            <w:vAlign w:val="bottom"/>
            <w:tcBorders>
              <w:bottom w:val="single" w:sz="8" w:color="C1C1C1"/>
              <w:right w:val="single" w:sz="8" w:color="auto"/>
            </w:tcBorders>
            <w:shd w:val="clear" w:color="auto" w:fill="C1C1C1"/>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72"/>
        </w:trPr>
        <w:tc>
          <w:tcPr>
            <w:tcW w:w="300" w:type="dxa"/>
            <w:vAlign w:val="bottom"/>
          </w:tcPr>
          <w:p>
            <w:pPr>
              <w:spacing w:after="0"/>
              <w:rPr>
                <w:sz w:val="23"/>
                <w:szCs w:val="23"/>
                <w:color w:val="auto"/>
              </w:rPr>
            </w:pPr>
          </w:p>
        </w:tc>
        <w:tc>
          <w:tcPr>
            <w:tcW w:w="7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84"/>
              </w:rPr>
              <w:t>Total:</w:t>
            </w:r>
          </w:p>
        </w:tc>
        <w:tc>
          <w:tcPr>
            <w:tcW w:w="9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14</w:t>
            </w:r>
          </w:p>
        </w:tc>
        <w:tc>
          <w:tcPr>
            <w:tcW w:w="1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6"/>
        </w:trPr>
        <w:tc>
          <w:tcPr>
            <w:tcW w:w="300" w:type="dxa"/>
            <w:vAlign w:val="bottom"/>
          </w:tcPr>
          <w:p>
            <w:pPr>
              <w:spacing w:after="0"/>
              <w:rPr>
                <w:sz w:val="24"/>
                <w:szCs w:val="24"/>
                <w:color w:val="auto"/>
              </w:rPr>
            </w:pPr>
          </w:p>
        </w:tc>
        <w:tc>
          <w:tcPr>
            <w:tcW w:w="4540" w:type="dxa"/>
            <w:vAlign w:val="bottom"/>
            <w:gridSpan w:val="5"/>
          </w:tcPr>
          <w:p>
            <w:pPr>
              <w:ind w:left="20"/>
              <w:spacing w:after="0"/>
              <w:rPr>
                <w:sz w:val="20"/>
                <w:szCs w:val="20"/>
                <w:color w:val="auto"/>
              </w:rPr>
            </w:pPr>
            <w:r>
              <w:rPr>
                <w:rFonts w:ascii="Arial" w:cs="Arial" w:eastAsia="Arial" w:hAnsi="Arial"/>
                <w:sz w:val="16"/>
                <w:szCs w:val="16"/>
                <w:color w:val="auto"/>
              </w:rPr>
              <w:t>Note: Each [*CTR] represents the [*CTR]: [*CTR]</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4540" w:type="dxa"/>
            <w:vAlign w:val="bottom"/>
            <w:gridSpan w:val="5"/>
          </w:tcPr>
          <w:p>
            <w:pPr>
              <w:ind w:left="20"/>
              <w:spacing w:after="0"/>
              <w:rPr>
                <w:sz w:val="20"/>
                <w:szCs w:val="20"/>
                <w:color w:val="auto"/>
              </w:rPr>
            </w:pPr>
            <w:r>
              <w:rPr>
                <w:rFonts w:ascii="Arial" w:cs="Arial" w:eastAsia="Arial" w:hAnsi="Arial"/>
                <w:sz w:val="16"/>
                <w:szCs w:val="16"/>
                <w:color w:val="auto"/>
              </w:rPr>
              <w:t>Note: The [*CTR] includes the [*CTR] selected for the Aircraft.</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3200" w:type="dxa"/>
            <w:vAlign w:val="bottom"/>
            <w:gridSpan w:val="4"/>
          </w:tcPr>
          <w:p>
            <w:pPr>
              <w:spacing w:after="0"/>
              <w:rPr>
                <w:sz w:val="20"/>
                <w:szCs w:val="20"/>
                <w:color w:val="auto"/>
              </w:rPr>
            </w:pPr>
            <w:r>
              <w:rPr>
                <w:rFonts w:ascii="Arial" w:cs="Arial" w:eastAsia="Arial" w:hAnsi="Arial"/>
                <w:sz w:val="14"/>
                <w:szCs w:val="14"/>
                <w:color w:val="auto"/>
              </w:rPr>
              <w:t>AAL-PA-1804779, Attach B, [*CTR], 108758-1O.txt</w:t>
            </w:r>
          </w:p>
        </w:tc>
        <w:tc>
          <w:tcPr>
            <w:tcW w:w="1640" w:type="dxa"/>
            <w:vAlign w:val="bottom"/>
            <w:gridSpan w:val="2"/>
          </w:tcPr>
          <w:p>
            <w:pPr>
              <w:ind w:left="780"/>
              <w:spacing w:after="0"/>
              <w:rPr>
                <w:sz w:val="20"/>
                <w:szCs w:val="20"/>
                <w:color w:val="auto"/>
              </w:rPr>
            </w:pPr>
            <w:r>
              <w:rPr>
                <w:rFonts w:ascii="Arial" w:cs="Arial" w:eastAsia="Arial" w:hAnsi="Arial"/>
                <w:sz w:val="14"/>
                <w:szCs w:val="14"/>
                <w:color w:val="auto"/>
              </w:rPr>
              <w:t>SA-11</w:t>
            </w:r>
          </w:p>
        </w:tc>
        <w:tc>
          <w:tcPr>
            <w:tcW w:w="38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Page 2</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w w:val="87"/>
              </w:rPr>
              <w:t>Boeing Proprietary</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00"/>
          </w:cols>
          <w:pgMar w:left="240" w:top="120" w:right="759" w:bottom="1440" w:gutter="0" w:footer="0" w:header="0"/>
        </w:sectPr>
      </w:pPr>
    </w:p>
    <w:bookmarkStart w:id="190" w:name="page191"/>
    <w:bookmarkEnd w:id="190"/>
    <w:p>
      <w:pPr>
        <w:ind w:left="5040"/>
        <w:spacing w:after="0"/>
        <w:rPr>
          <w:sz w:val="20"/>
          <w:szCs w:val="20"/>
          <w:color w:val="auto"/>
        </w:rPr>
      </w:pPr>
      <w:r>
        <w:rPr>
          <w:sz w:val="1"/>
          <w:szCs w:val="1"/>
          <w:color w:val="auto"/>
        </w:rPr>
        <w:drawing>
          <wp:inline distT="0" distB="0" distL="0" distR="0">
            <wp:extent cx="1396365" cy="31178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11"/>
          <w:szCs w:val="11"/>
          <w:color w:val="auto"/>
        </w:rPr>
        <w:t>The Boeing Company</w:t>
      </w:r>
    </w:p>
    <w:p>
      <w:pPr>
        <w:spacing w:after="0" w:line="24" w:lineRule="exact"/>
        <w:rPr>
          <w:sz w:val="20"/>
          <w:szCs w:val="20"/>
          <w:color w:val="auto"/>
        </w:rPr>
      </w:pPr>
    </w:p>
    <w:p>
      <w:pPr>
        <w:ind w:left="6740"/>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0"/>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560705</wp:posOffset>
            </wp:positionV>
            <wp:extent cx="7290435"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AAL-PA-03219-LA-1802262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Dallas-Fort Worth Airport, Texas 75261-9616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20"/>
        <w:spacing w:after="0"/>
        <w:tabs>
          <w:tab w:leader="none" w:pos="1980" w:val="left"/>
        </w:tabs>
        <w:rPr>
          <w:sz w:val="20"/>
          <w:szCs w:val="20"/>
          <w:color w:val="auto"/>
        </w:rPr>
      </w:pPr>
      <w:r>
        <w:rPr>
          <w:rFonts w:ascii="Arial" w:cs="Arial" w:eastAsia="Arial" w:hAnsi="Arial"/>
          <w:sz w:val="19"/>
          <w:szCs w:val="19"/>
          <w:color w:val="auto"/>
        </w:rPr>
        <w:t>Subject:</w:t>
        <w:tab/>
        <w:t>[*CTR]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line="275" w:lineRule="auto"/>
        <w:rPr>
          <w:sz w:val="20"/>
          <w:szCs w:val="20"/>
          <w:color w:val="auto"/>
        </w:rPr>
      </w:pPr>
      <w:r>
        <w:rPr>
          <w:rFonts w:ascii="Arial" w:cs="Arial" w:eastAsia="Arial" w:hAnsi="Arial"/>
          <w:sz w:val="19"/>
          <w:szCs w:val="19"/>
          <w:color w:val="auto"/>
        </w:rPr>
        <w:t>Reference: Purchase Agreement No. 03219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787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60" w:lineRule="exact"/>
        <w:rPr>
          <w:sz w:val="20"/>
          <w:szCs w:val="20"/>
          <w:color w:val="auto"/>
        </w:rPr>
      </w:pPr>
    </w:p>
    <w:p>
      <w:pPr>
        <w:ind w:left="1120" w:firstLine="562"/>
        <w:spacing w:after="0" w:line="27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shall have the same meaning as in the Purchase Agreement.</w:t>
      </w:r>
    </w:p>
    <w:p>
      <w:pPr>
        <w:spacing w:after="0" w:line="153" w:lineRule="exact"/>
        <w:rPr>
          <w:sz w:val="20"/>
          <w:szCs w:val="20"/>
          <w:color w:val="auto"/>
        </w:rPr>
      </w:pPr>
    </w:p>
    <w:p>
      <w:pPr>
        <w:ind w:left="1120" w:firstLine="562"/>
        <w:spacing w:after="0" w:line="251" w:lineRule="auto"/>
        <w:rPr>
          <w:sz w:val="20"/>
          <w:szCs w:val="20"/>
          <w:color w:val="auto"/>
        </w:rPr>
      </w:pPr>
      <w:r>
        <w:rPr>
          <w:rFonts w:ascii="Arial" w:cs="Arial" w:eastAsia="Arial" w:hAnsi="Arial"/>
          <w:sz w:val="19"/>
          <w:szCs w:val="19"/>
          <w:color w:val="auto"/>
        </w:rPr>
        <w:t>Boeing and Customer agree that Customer may substitute the purchase of a Boeing Model 787-8 aircraft in place of any 2018 Option Aircraft, as defined in article 1 below (</w:t>
      </w:r>
      <w:r>
        <w:rPr>
          <w:rFonts w:ascii="Arial" w:cs="Arial" w:eastAsia="Arial" w:hAnsi="Arial"/>
          <w:sz w:val="19"/>
          <w:szCs w:val="19"/>
          <w:b w:val="1"/>
          <w:bCs w:val="1"/>
          <w:i w:val="1"/>
          <w:iCs w:val="1"/>
          <w:color w:val="auto"/>
        </w:rPr>
        <w:t>Substitution Right</w:t>
      </w:r>
      <w:r>
        <w:rPr>
          <w:rFonts w:ascii="Arial" w:cs="Arial" w:eastAsia="Arial" w:hAnsi="Arial"/>
          <w:sz w:val="19"/>
          <w:szCs w:val="19"/>
          <w:color w:val="auto"/>
        </w:rPr>
        <w:t>), subject to the following terms and conditions:</w:t>
      </w:r>
    </w:p>
    <w:p>
      <w:pPr>
        <w:spacing w:after="0" w:line="397" w:lineRule="exact"/>
        <w:rPr>
          <w:sz w:val="20"/>
          <w:szCs w:val="20"/>
          <w:color w:val="auto"/>
        </w:rPr>
      </w:pPr>
    </w:p>
    <w:p>
      <w:pPr>
        <w:ind w:left="1840" w:hanging="723"/>
        <w:spacing w:after="0"/>
        <w:tabs>
          <w:tab w:leader="none" w:pos="1840"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300" w:lineRule="exact"/>
        <w:rPr>
          <w:sz w:val="20"/>
          <w:szCs w:val="20"/>
          <w:color w:val="auto"/>
        </w:rPr>
      </w:pPr>
    </w:p>
    <w:p>
      <w:pPr>
        <w:spacing w:after="0" w:line="234" w:lineRule="exact"/>
        <w:rPr>
          <w:sz w:val="20"/>
          <w:szCs w:val="20"/>
          <w:color w:val="auto"/>
        </w:rPr>
      </w:pPr>
      <w:r>
        <w:rPr>
          <w:rFonts w:ascii="Arial" w:cs="Arial" w:eastAsia="Arial" w:hAnsi="Arial"/>
          <w:sz w:val="19"/>
          <w:szCs w:val="19"/>
          <w:color w:val="auto"/>
        </w:rPr>
        <w:t>[*CTR]</w:t>
      </w:r>
      <w:r>
        <w:rPr>
          <w:rFonts w:ascii="Arial" w:cs="Arial" w:eastAsia="Arial" w:hAnsi="Arial"/>
          <w:sz w:val="19"/>
          <w:szCs w:val="19"/>
          <w:i w:val="1"/>
          <w:iCs w:val="1"/>
          <w:color w:val="auto"/>
        </w:rPr>
        <w:t>,</w:t>
      </w:r>
      <w:r>
        <w:rPr>
          <w:rFonts w:ascii="Arial" w:cs="Arial" w:eastAsia="Arial" w:hAnsi="Arial"/>
          <w:sz w:val="19"/>
          <w:szCs w:val="19"/>
          <w:color w:val="auto"/>
        </w:rPr>
        <w:t xml:space="preserve"> for purposes of this Letter Agreement, has the definition ascribed to such term in Section 1 of Letter Agreement AAL</w:t>
      </w:r>
      <w:r>
        <w:rPr>
          <w:rFonts w:ascii="MS PGothic" w:cs="MS PGothic" w:eastAsia="MS PGothic" w:hAnsi="MS PGothic"/>
          <w:sz w:val="19"/>
          <w:szCs w:val="19"/>
          <w:color w:val="auto"/>
        </w:rPr>
        <w:t>‑</w:t>
      </w:r>
      <w:r>
        <w:rPr>
          <w:rFonts w:ascii="Arial" w:cs="Arial" w:eastAsia="Arial" w:hAnsi="Arial"/>
          <w:sz w:val="19"/>
          <w:szCs w:val="19"/>
          <w:color w:val="auto"/>
        </w:rPr>
        <w:t>PA</w:t>
      </w:r>
      <w:r>
        <w:rPr>
          <w:rFonts w:ascii="MS PGothic" w:cs="MS PGothic" w:eastAsia="MS PGothic" w:hAnsi="MS PGothic"/>
          <w:sz w:val="19"/>
          <w:szCs w:val="19"/>
          <w:color w:val="auto"/>
        </w:rPr>
        <w:t>‑</w:t>
      </w:r>
      <w:r>
        <w:rPr>
          <w:rFonts w:ascii="Arial" w:cs="Arial" w:eastAsia="Arial" w:hAnsi="Arial"/>
          <w:sz w:val="19"/>
          <w:szCs w:val="19"/>
          <w:color w:val="auto"/>
        </w:rPr>
        <w:t>03219</w:t>
      </w:r>
      <w:r>
        <w:rPr>
          <w:rFonts w:ascii="MS PGothic" w:cs="MS PGothic" w:eastAsia="MS PGothic" w:hAnsi="MS PGothic"/>
          <w:sz w:val="19"/>
          <w:szCs w:val="19"/>
          <w:color w:val="auto"/>
        </w:rPr>
        <w:t>‑</w:t>
      </w:r>
      <w:r>
        <w:rPr>
          <w:rFonts w:ascii="Arial" w:cs="Arial" w:eastAsia="Arial" w:hAnsi="Arial"/>
          <w:sz w:val="19"/>
          <w:szCs w:val="19"/>
          <w:color w:val="auto"/>
        </w:rPr>
        <w:t>LA</w:t>
      </w:r>
      <w:r>
        <w:rPr>
          <w:rFonts w:ascii="MS PGothic" w:cs="MS PGothic" w:eastAsia="MS PGothic" w:hAnsi="MS PGothic"/>
          <w:sz w:val="19"/>
          <w:szCs w:val="19"/>
          <w:color w:val="auto"/>
        </w:rPr>
        <w:t>‑</w:t>
      </w:r>
      <w:r>
        <w:rPr>
          <w:rFonts w:ascii="Arial" w:cs="Arial" w:eastAsia="Arial" w:hAnsi="Arial"/>
          <w:sz w:val="19"/>
          <w:szCs w:val="19"/>
          <w:color w:val="auto"/>
        </w:rPr>
        <w:t>1804779 entitled “[*CTR</w:t>
      </w:r>
      <w:r>
        <w:rPr>
          <w:rFonts w:ascii="Arial" w:cs="Arial" w:eastAsia="Arial" w:hAnsi="Arial"/>
          <w:sz w:val="19"/>
          <w:szCs w:val="19"/>
          <w:u w:val="single" w:color="auto"/>
          <w:color w:val="auto"/>
        </w:rPr>
        <w:t>]</w:t>
      </w:r>
      <w:r>
        <w:rPr>
          <w:rFonts w:ascii="Arial" w:cs="Arial" w:eastAsia="Arial" w:hAnsi="Arial"/>
          <w:sz w:val="19"/>
          <w:szCs w:val="19"/>
          <w:color w:val="auto"/>
        </w:rPr>
        <w:t>” (the [*CTR]).</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[*CTR] for purposes of this Letter Agreement, means [*CTR].</w:t>
      </w:r>
    </w:p>
    <w:p>
      <w:pPr>
        <w:spacing w:after="0" w:line="191" w:lineRule="exact"/>
        <w:rPr>
          <w:sz w:val="20"/>
          <w:szCs w:val="20"/>
          <w:color w:val="auto"/>
        </w:rPr>
      </w:pPr>
    </w:p>
    <w:p>
      <w:pPr>
        <w:ind w:left="1420" w:hanging="303"/>
        <w:spacing w:after="0"/>
        <w:tabs>
          <w:tab w:leader="none" w:pos="142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Customer’s Written Notice</w:t>
      </w:r>
      <w:r>
        <w:rPr>
          <w:rFonts w:ascii="Arial" w:cs="Arial" w:eastAsia="Arial" w:hAnsi="Arial"/>
          <w:sz w:val="19"/>
          <w:szCs w:val="19"/>
          <w:color w:val="auto"/>
        </w:rPr>
        <w:t>.</w:t>
      </w:r>
    </w:p>
    <w:p>
      <w:pPr>
        <w:spacing w:after="0" w:line="203"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Customer shall provide written notice to Boeing [*CTR].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Such [*CTR].</w:t>
      </w:r>
    </w:p>
    <w:p>
      <w:pPr>
        <w:spacing w:after="0" w:line="191" w:lineRule="exact"/>
        <w:rPr>
          <w:sz w:val="20"/>
          <w:szCs w:val="20"/>
          <w:color w:val="auto"/>
        </w:rPr>
      </w:pPr>
    </w:p>
    <w:p>
      <w:pPr>
        <w:ind w:left="1420" w:hanging="303"/>
        <w:spacing w:after="0"/>
        <w:tabs>
          <w:tab w:leader="none" w:pos="142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Boeing’s [*CTR].</w:t>
      </w:r>
    </w:p>
    <w:p>
      <w:pPr>
        <w:spacing w:after="0" w:line="203" w:lineRule="exact"/>
        <w:rPr>
          <w:sz w:val="20"/>
          <w:szCs w:val="20"/>
          <w:color w:val="auto"/>
        </w:rPr>
      </w:pPr>
    </w:p>
    <w:p>
      <w:pPr>
        <w:ind w:left="1120"/>
        <w:spacing w:after="0"/>
        <w:tabs>
          <w:tab w:leader="none" w:pos="15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Customer’s [*CTR]. Within [*CTR], Boeing will provide a [*CTR].</w:t>
      </w:r>
    </w:p>
    <w:p>
      <w:pPr>
        <w:sectPr>
          <w:pgSz w:w="11900" w:h="16838" w:orient="portrait"/>
          <w:cols w:equalWidth="0" w:num="1">
            <w:col w:w="11420"/>
          </w:cols>
          <w:pgMar w:left="240" w:top="139"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AAL-PA-03219-LA-1802262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20" w:lineRule="exact"/>
        <w:rPr>
          <w:sz w:val="20"/>
          <w:szCs w:val="20"/>
          <w:color w:val="auto"/>
        </w:rPr>
      </w:pPr>
    </w:p>
    <w:p>
      <w:pPr>
        <w:sectPr>
          <w:pgSz w:w="11900" w:h="16838" w:orient="portrait"/>
          <w:cols w:equalWidth="0" w:num="2">
            <w:col w:w="2280" w:space="720"/>
            <w:col w:w="8420"/>
          </w:cols>
          <w:pgMar w:left="240" w:top="139" w:right="239" w:bottom="1440" w:gutter="0" w:footer="0" w:header="0"/>
          <w:type w:val="continuous"/>
        </w:sectPr>
      </w:pPr>
    </w:p>
    <w:p>
      <w:pPr>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1 of 5</w:t>
      </w:r>
    </w:p>
    <w:p>
      <w:pPr>
        <w:spacing w:after="0" w:line="3" w:lineRule="exact"/>
        <w:rPr>
          <w:sz w:val="20"/>
          <w:szCs w:val="20"/>
          <w:color w:val="auto"/>
        </w:rPr>
      </w:pPr>
    </w:p>
    <w:p>
      <w:pPr>
        <w:sectPr>
          <w:pgSz w:w="11900" w:h="16838" w:orient="portrait"/>
          <w:cols w:equalWidth="0" w:num="2">
            <w:col w:w="1380" w:space="720"/>
            <w:col w:w="9320"/>
          </w:cols>
          <w:pgMar w:left="240" w:top="139" w:right="239" w:bottom="1440" w:gutter="0" w:footer="0" w:header="0"/>
          <w:type w:val="continuous"/>
        </w:sectPr>
      </w:pPr>
    </w:p>
    <w:p>
      <w:pPr>
        <w:spacing w:after="0"/>
        <w:rPr>
          <w:sz w:val="20"/>
          <w:szCs w:val="20"/>
          <w:color w:val="auto"/>
        </w:rPr>
      </w:pPr>
      <w:r>
        <w:rPr>
          <w:rFonts w:ascii="Arial" w:cs="Arial" w:eastAsia="Arial" w:hAnsi="Arial"/>
          <w:sz w:val="13"/>
          <w:szCs w:val="13"/>
          <w:color w:val="auto"/>
        </w:rPr>
        <w:t>BOEING PROPRIETARY</w:t>
      </w:r>
    </w:p>
    <w:p>
      <w:pPr>
        <w:sectPr>
          <w:pgSz w:w="11900" w:h="16838" w:orient="portrait"/>
          <w:cols w:equalWidth="0" w:num="1">
            <w:col w:w="11420"/>
          </w:cols>
          <w:pgMar w:left="240" w:top="139"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20"/>
          </w:cols>
          <w:pgMar w:left="240" w:top="139" w:right="239" w:bottom="1440" w:gutter="0" w:footer="0" w:header="0"/>
          <w:type w:val="continuous"/>
        </w:sectPr>
      </w:pPr>
    </w:p>
    <w:bookmarkStart w:id="191" w:name="page192"/>
    <w:bookmarkEnd w:id="191"/>
    <w:p>
      <w:pPr>
        <w:ind w:left="1126"/>
        <w:spacing w:after="0"/>
        <w:tabs>
          <w:tab w:leader="none" w:pos="1526"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If Boeing is [*CTR]. Customer will have [*CTR].</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All of Boeing’s [*CTR]; however, such [*CTR].</w:t>
      </w:r>
    </w:p>
    <w:p>
      <w:pPr>
        <w:spacing w:after="0" w:line="238" w:lineRule="exact"/>
        <w:rPr>
          <w:sz w:val="20"/>
          <w:szCs w:val="20"/>
          <w:color w:val="auto"/>
        </w:rPr>
      </w:pPr>
    </w:p>
    <w:p>
      <w:pPr>
        <w:ind w:left="566"/>
        <w:spacing w:after="0"/>
        <w:tabs>
          <w:tab w:leader="none" w:pos="1006"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8"/>
          <w:szCs w:val="18"/>
          <w:color w:val="auto"/>
        </w:rPr>
        <w:t>If the [*CTR].</w:t>
      </w:r>
    </w:p>
    <w:p>
      <w:pPr>
        <w:spacing w:after="0" w:line="191" w:lineRule="exact"/>
        <w:rPr>
          <w:sz w:val="20"/>
          <w:szCs w:val="20"/>
          <w:color w:val="auto"/>
        </w:rPr>
      </w:pPr>
    </w:p>
    <w:p>
      <w:pPr>
        <w:ind w:left="466" w:hanging="466"/>
        <w:spacing w:after="0"/>
        <w:tabs>
          <w:tab w:leader="none" w:pos="466"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[*CTR] Limited Scope Supplemental Agreement</w:t>
      </w:r>
      <w:r>
        <w:rPr>
          <w:rFonts w:ascii="Arial" w:cs="Arial" w:eastAsia="Arial" w:hAnsi="Arial"/>
          <w:sz w:val="19"/>
          <w:szCs w:val="19"/>
          <w:color w:val="auto"/>
        </w:rPr>
        <w:t>.</w:t>
      </w:r>
    </w:p>
    <w:p>
      <w:pPr>
        <w:spacing w:after="0" w:line="203" w:lineRule="exact"/>
        <w:rPr>
          <w:sz w:val="20"/>
          <w:szCs w:val="20"/>
          <w:color w:val="auto"/>
        </w:rPr>
      </w:pPr>
    </w:p>
    <w:p>
      <w:pPr>
        <w:jc w:val="both"/>
        <w:ind w:left="1126" w:firstLine="562"/>
        <w:spacing w:after="0" w:line="245" w:lineRule="auto"/>
        <w:rPr>
          <w:sz w:val="20"/>
          <w:szCs w:val="20"/>
          <w:color w:val="auto"/>
        </w:rPr>
      </w:pPr>
      <w:r>
        <w:rPr>
          <w:rFonts w:ascii="Arial" w:cs="Arial" w:eastAsia="Arial" w:hAnsi="Arial"/>
          <w:sz w:val="19"/>
          <w:szCs w:val="19"/>
          <w:color w:val="auto"/>
        </w:rPr>
        <w:t>Upon Customer’s [*CTR], Boeing and Customer will enter into a supplemental agreement with respect to each [*CTR], the scope and purpose of which shall be limited to incorporating the [*CTR] into the Purchase Agreement as an [*CTR] ([</w:t>
      </w:r>
      <w:r>
        <w:rPr>
          <w:rFonts w:ascii="Arial" w:cs="Arial" w:eastAsia="Arial" w:hAnsi="Arial"/>
          <w:sz w:val="19"/>
          <w:szCs w:val="19"/>
          <w:b w:val="1"/>
          <w:bCs w:val="1"/>
          <w:i w:val="1"/>
          <w:iCs w:val="1"/>
          <w:color w:val="auto"/>
        </w:rPr>
        <w:t>*CTR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Limited Scope Supplemental Agreement</w:t>
      </w:r>
      <w:r>
        <w:rPr>
          <w:rFonts w:ascii="Arial" w:cs="Arial" w:eastAsia="Arial" w:hAnsi="Arial"/>
          <w:sz w:val="19"/>
          <w:szCs w:val="19"/>
          <w:color w:val="auto"/>
        </w:rPr>
        <w:t>). The [*CTR] Limited Scope Supplemental Agreement will incorporate the provisions of the Purchase Agreement as modified to reflect the provisions of this Letter Agreement (including, but not limited to, modifications to Attachment A to this Letter Agreement to reflect the addition of [*CTR]). Upon the execution and delivery of a [*CTR] Limited Scope Supplemental Agreement pursuant to this Section 4, the [*CTR] identified in such [*CTR] Limited Scope Supplemental Agreement shall be [*CTR] as defined in the Purchase Agreement and shall for all purposes be governed by the Purchase Agreement.</w:t>
      </w:r>
    </w:p>
    <w:p>
      <w:pPr>
        <w:spacing w:after="0" w:line="181" w:lineRule="exact"/>
        <w:rPr>
          <w:sz w:val="20"/>
          <w:szCs w:val="20"/>
          <w:color w:val="auto"/>
        </w:rPr>
      </w:pPr>
    </w:p>
    <w:p>
      <w:pPr>
        <w:ind w:left="466" w:hanging="466"/>
        <w:spacing w:after="0"/>
        <w:tabs>
          <w:tab w:leader="none" w:pos="46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109"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color w:val="auto"/>
        </w:rPr>
        <w:t>The [*CTR] for the [*CTR] are set forth in Attachment A to this Letter Agreement.</w:t>
      </w:r>
    </w:p>
    <w:p>
      <w:pPr>
        <w:spacing w:after="0" w:line="203" w:lineRule="exact"/>
        <w:rPr>
          <w:sz w:val="20"/>
          <w:szCs w:val="20"/>
          <w:color w:val="auto"/>
        </w:rPr>
      </w:pPr>
    </w:p>
    <w:p>
      <w:pPr>
        <w:jc w:val="both"/>
        <w:ind w:left="1126"/>
        <w:spacing w:after="0" w:line="264" w:lineRule="auto"/>
        <w:rPr>
          <w:sz w:val="20"/>
          <w:szCs w:val="20"/>
          <w:color w:val="auto"/>
        </w:rPr>
      </w:pPr>
      <w:r>
        <w:rPr>
          <w:rFonts w:ascii="Arial" w:cs="Arial" w:eastAsia="Arial" w:hAnsi="Arial"/>
          <w:sz w:val="19"/>
          <w:szCs w:val="19"/>
          <w:color w:val="auto"/>
        </w:rPr>
        <w:t>5.2 The [*CTR] for each of [*CTR] shall be [*CTR] in accordance with the terms set forth in [*CTR] as such provisions have been applied to the [*CTR].</w:t>
      </w:r>
    </w:p>
    <w:p>
      <w:pPr>
        <w:spacing w:after="0" w:line="16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color w:val="auto"/>
        </w:rPr>
        <w:t>At the time of execution of each [*CTR] Limited Scope Supplemental Agreement, the [*CTR].</w:t>
      </w:r>
    </w:p>
    <w:p>
      <w:pPr>
        <w:spacing w:after="0" w:line="296" w:lineRule="exact"/>
        <w:rPr>
          <w:sz w:val="20"/>
          <w:szCs w:val="20"/>
          <w:color w:val="auto"/>
        </w:rPr>
      </w:pPr>
    </w:p>
    <w:p>
      <w:pPr>
        <w:jc w:val="both"/>
        <w:ind w:left="1126"/>
        <w:spacing w:after="0" w:line="250" w:lineRule="auto"/>
        <w:rPr>
          <w:sz w:val="20"/>
          <w:szCs w:val="20"/>
          <w:color w:val="auto"/>
        </w:rPr>
      </w:pPr>
      <w:r>
        <w:rPr>
          <w:rFonts w:ascii="Arial" w:cs="Arial" w:eastAsia="Arial" w:hAnsi="Arial"/>
          <w:sz w:val="19"/>
          <w:szCs w:val="19"/>
          <w:color w:val="auto"/>
        </w:rPr>
        <w:t>5.4 Any [*CTR] made by Customer to Boeing with respect to an applicable [*CTR] Limited Scope Supplemental Agreement relating thereto. If the parties had previously entered into a Limited Scope Supplemental Agreement pursuant to the [*CTR] Limited Scope Supplemental Agreement had been entered into as of the as of the date the applicable Limited Scope Supplemental Agreement as defined in the [*CTR]. If the amount of any [*CTR], then [*CTR]. If the amount of the [*CTR].</w:t>
      </w:r>
    </w:p>
    <w:p>
      <w:pPr>
        <w:spacing w:after="0" w:line="178" w:lineRule="exact"/>
        <w:rPr>
          <w:sz w:val="20"/>
          <w:szCs w:val="20"/>
          <w:color w:val="auto"/>
        </w:rPr>
      </w:pPr>
    </w:p>
    <w:p>
      <w:pPr>
        <w:ind w:left="1126"/>
        <w:spacing w:after="0"/>
        <w:tabs>
          <w:tab w:leader="none" w:pos="1566" w:val="left"/>
          <w:tab w:leader="none" w:pos="2446" w:val="left"/>
        </w:tabs>
        <w:rPr>
          <w:sz w:val="20"/>
          <w:szCs w:val="20"/>
          <w:color w:val="auto"/>
        </w:rPr>
      </w:pPr>
      <w:r>
        <w:rPr>
          <w:rFonts w:ascii="Arial" w:cs="Arial" w:eastAsia="Arial" w:hAnsi="Arial"/>
          <w:sz w:val="19"/>
          <w:szCs w:val="19"/>
          <w:color w:val="auto"/>
        </w:rPr>
        <w:t>5.5</w:t>
        <w:tab/>
        <w:t>[*CTR</w:t>
      </w:r>
      <w:r>
        <w:rPr>
          <w:rFonts w:ascii="Arial" w:cs="Arial" w:eastAsia="Arial" w:hAnsi="Arial"/>
          <w:sz w:val="19"/>
          <w:szCs w:val="19"/>
          <w:u w:val="single" w:color="auto"/>
          <w:color w:val="auto"/>
        </w:rPr>
        <w:t>]</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At the time of [*CTR]:</w:t>
      </w:r>
    </w:p>
    <w:p>
      <w:pPr>
        <w:spacing w:after="0" w:line="203" w:lineRule="exact"/>
        <w:rPr>
          <w:sz w:val="20"/>
          <w:szCs w:val="20"/>
          <w:color w:val="auto"/>
        </w:rPr>
      </w:pPr>
    </w:p>
    <w:p>
      <w:pPr>
        <w:ind w:left="566"/>
        <w:spacing w:after="0"/>
        <w:rPr>
          <w:sz w:val="20"/>
          <w:szCs w:val="20"/>
          <w:color w:val="auto"/>
        </w:rPr>
      </w:pPr>
      <w:r>
        <w:rPr>
          <w:rFonts w:ascii="Arial" w:cs="Arial" w:eastAsia="Arial" w:hAnsi="Arial"/>
          <w:sz w:val="19"/>
          <w:szCs w:val="19"/>
          <w:color w:val="auto"/>
        </w:rPr>
        <w:t>5.5.1 In [*CTR] is:</w:t>
      </w:r>
    </w:p>
    <w:p>
      <w:pPr>
        <w:spacing w:after="0" w:line="191" w:lineRule="exact"/>
        <w:rPr>
          <w:sz w:val="20"/>
          <w:szCs w:val="20"/>
          <w:color w:val="auto"/>
        </w:rPr>
      </w:pPr>
    </w:p>
    <w:p>
      <w:pPr>
        <w:ind w:left="1126"/>
        <w:spacing w:after="0"/>
        <w:tabs>
          <w:tab w:leader="none" w:pos="2086" w:val="left"/>
        </w:tabs>
        <w:rPr>
          <w:sz w:val="20"/>
          <w:szCs w:val="20"/>
          <w:color w:val="auto"/>
        </w:rPr>
      </w:pPr>
      <w:r>
        <w:rPr>
          <w:rFonts w:ascii="Arial" w:cs="Arial" w:eastAsia="Arial" w:hAnsi="Arial"/>
          <w:sz w:val="19"/>
          <w:szCs w:val="19"/>
          <w:u w:val="single" w:color="auto"/>
          <w:color w:val="auto"/>
        </w:rPr>
        <w:t>[*CTR]</w:t>
      </w:r>
      <w:r>
        <w:rPr>
          <w:sz w:val="20"/>
          <w:szCs w:val="20"/>
          <w:color w:val="auto"/>
        </w:rPr>
        <w:tab/>
      </w:r>
      <w:r>
        <w:rPr>
          <w:rFonts w:ascii="Arial" w:cs="Arial" w:eastAsia="Arial" w:hAnsi="Arial"/>
          <w:sz w:val="19"/>
          <w:szCs w:val="19"/>
          <w:u w:val="single" w:color="auto"/>
          <w:color w:val="auto"/>
        </w:rPr>
        <w:t>[*CTR]</w:t>
      </w:r>
    </w:p>
    <w:p>
      <w:pPr>
        <w:sectPr>
          <w:pgSz w:w="11900" w:h="16838" w:orient="portrait"/>
          <w:cols w:equalWidth="0" w:num="1">
            <w:col w:w="11446"/>
          </w:cols>
          <w:pgMar w:left="234" w:top="103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3"/>
          <w:szCs w:val="13"/>
          <w:color w:val="auto"/>
        </w:rPr>
        <w:t>AAL-PA-03219-LA-1802262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20" w:lineRule="exact"/>
        <w:rPr>
          <w:sz w:val="20"/>
          <w:szCs w:val="20"/>
          <w:color w:val="auto"/>
        </w:rPr>
      </w:pPr>
    </w:p>
    <w:p>
      <w:pPr>
        <w:sectPr>
          <w:pgSz w:w="11900" w:h="16838" w:orient="portrait"/>
          <w:cols w:equalWidth="0" w:num="2">
            <w:col w:w="2286" w:space="720"/>
            <w:col w:w="8440"/>
          </w:cols>
          <w:pgMar w:left="234" w:top="1035"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2 of 5</w:t>
      </w:r>
    </w:p>
    <w:p>
      <w:pPr>
        <w:spacing w:after="0" w:line="3" w:lineRule="exact"/>
        <w:rPr>
          <w:sz w:val="20"/>
          <w:szCs w:val="20"/>
          <w:color w:val="auto"/>
        </w:rPr>
      </w:pPr>
    </w:p>
    <w:p>
      <w:pPr>
        <w:sectPr>
          <w:pgSz w:w="11900" w:h="16838" w:orient="portrait"/>
          <w:cols w:equalWidth="0" w:num="2">
            <w:col w:w="1386" w:space="720"/>
            <w:col w:w="9340"/>
          </w:cols>
          <w:pgMar w:left="234" w:top="1035" w:right="219" w:bottom="1440" w:gutter="0" w:footer="0" w:header="0"/>
          <w:type w:val="continuous"/>
        </w:sectPr>
      </w:pPr>
    </w:p>
    <w:p>
      <w:pPr>
        <w:ind w:left="6"/>
        <w:spacing w:after="0"/>
        <w:rPr>
          <w:sz w:val="20"/>
          <w:szCs w:val="20"/>
          <w:color w:val="auto"/>
        </w:rPr>
      </w:pPr>
      <w:r>
        <w:rPr>
          <w:rFonts w:ascii="Arial" w:cs="Arial" w:eastAsia="Arial" w:hAnsi="Arial"/>
          <w:sz w:val="13"/>
          <w:szCs w:val="13"/>
          <w:color w:val="auto"/>
        </w:rPr>
        <w:t>BOEING PROPRIETARY</w:t>
      </w:r>
    </w:p>
    <w:p>
      <w:pPr>
        <w:sectPr>
          <w:pgSz w:w="11900" w:h="16838" w:orient="portrait"/>
          <w:cols w:equalWidth="0" w:num="1">
            <w:col w:w="11446"/>
          </w:cols>
          <w:pgMar w:left="234" w:top="1035" w:right="219" w:bottom="1440" w:gutter="0" w:footer="0" w:header="0"/>
          <w:type w:val="continuous"/>
        </w:sectPr>
      </w:pPr>
    </w:p>
    <w:p>
      <w:pPr>
        <w:spacing w:after="0" w:line="14"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6"/>
          </w:cols>
          <w:pgMar w:left="234" w:top="1035" w:right="219" w:bottom="1440" w:gutter="0" w:footer="0" w:header="0"/>
          <w:type w:val="continuous"/>
        </w:sectPr>
      </w:pPr>
    </w:p>
    <w:bookmarkStart w:id="192" w:name="page193"/>
    <w:bookmarkEnd w:id="192"/>
    <w:p>
      <w:pPr>
        <w:ind w:left="566"/>
        <w:spacing w:after="0"/>
        <w:tabs>
          <w:tab w:leader="none" w:pos="2226"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[*CTR]</w:t>
      </w:r>
      <w:r>
        <w:rPr>
          <w:sz w:val="20"/>
          <w:szCs w:val="20"/>
          <w:color w:val="auto"/>
        </w:rPr>
        <w:tab/>
      </w:r>
      <w:r>
        <w:rPr>
          <w:rFonts w:ascii="Arial" w:cs="Arial" w:eastAsia="Arial" w:hAnsi="Arial"/>
          <w:sz w:val="19"/>
          <w:szCs w:val="19"/>
          <w:color w:val="auto"/>
        </w:rPr>
        <w:t>[*CTR]</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9"/>
          <w:szCs w:val="19"/>
          <w:color w:val="auto"/>
        </w:rPr>
        <w:t>Each such [*CTR].</w:t>
      </w:r>
    </w:p>
    <w:p>
      <w:pPr>
        <w:spacing w:after="0" w:line="226" w:lineRule="exact"/>
        <w:rPr>
          <w:sz w:val="20"/>
          <w:szCs w:val="20"/>
          <w:color w:val="auto"/>
        </w:rPr>
      </w:pPr>
    </w:p>
    <w:p>
      <w:pPr>
        <w:ind w:left="1126"/>
        <w:spacing w:after="0"/>
        <w:tabs>
          <w:tab w:leader="none" w:pos="1726" w:val="left"/>
        </w:tabs>
        <w:rPr>
          <w:sz w:val="20"/>
          <w:szCs w:val="20"/>
          <w:color w:val="auto"/>
        </w:rPr>
      </w:pPr>
      <w:r>
        <w:rPr>
          <w:rFonts w:ascii="Arial" w:cs="Arial" w:eastAsia="Arial" w:hAnsi="Arial"/>
          <w:sz w:val="19"/>
          <w:szCs w:val="19"/>
          <w:color w:val="auto"/>
        </w:rPr>
        <w:t>5.5.2</w:t>
      </w:r>
      <w:r>
        <w:rPr>
          <w:sz w:val="20"/>
          <w:szCs w:val="20"/>
          <w:color w:val="auto"/>
        </w:rPr>
        <w:tab/>
      </w:r>
      <w:r>
        <w:rPr>
          <w:rFonts w:ascii="Arial" w:cs="Arial" w:eastAsia="Arial" w:hAnsi="Arial"/>
          <w:sz w:val="18"/>
          <w:szCs w:val="18"/>
          <w:color w:val="auto"/>
        </w:rPr>
        <w:t>Boeing will [*CTR].</w:t>
      </w:r>
    </w:p>
    <w:p>
      <w:pPr>
        <w:spacing w:after="0" w:line="200" w:lineRule="exact"/>
        <w:rPr>
          <w:sz w:val="20"/>
          <w:szCs w:val="20"/>
          <w:color w:val="auto"/>
        </w:rPr>
      </w:pPr>
    </w:p>
    <w:p>
      <w:pPr>
        <w:spacing w:after="0" w:line="213" w:lineRule="exact"/>
        <w:rPr>
          <w:sz w:val="20"/>
          <w:szCs w:val="20"/>
          <w:color w:val="auto"/>
        </w:rPr>
      </w:pPr>
    </w:p>
    <w:p>
      <w:pPr>
        <w:ind w:left="306" w:hanging="306"/>
        <w:spacing w:after="0"/>
        <w:tabs>
          <w:tab w:leader="none" w:pos="306"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3" w:lineRule="exact"/>
        <w:rPr>
          <w:sz w:val="20"/>
          <w:szCs w:val="20"/>
          <w:color w:val="auto"/>
        </w:rPr>
      </w:pPr>
    </w:p>
    <w:p>
      <w:pPr>
        <w:jc w:val="both"/>
        <w:ind w:left="1126" w:firstLine="562"/>
        <w:spacing w:after="0" w:line="247"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consent of Boeing.</w:t>
      </w:r>
    </w:p>
    <w:p>
      <w:pPr>
        <w:spacing w:after="0" w:line="179" w:lineRule="exact"/>
        <w:rPr>
          <w:sz w:val="20"/>
          <w:szCs w:val="20"/>
          <w:color w:val="auto"/>
        </w:rPr>
      </w:pPr>
    </w:p>
    <w:p>
      <w:pPr>
        <w:ind w:left="306" w:hanging="306"/>
        <w:spacing w:after="0"/>
        <w:tabs>
          <w:tab w:leader="none" w:pos="30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Confidential Treatment</w:t>
      </w:r>
      <w:r>
        <w:rPr>
          <w:rFonts w:ascii="Arial" w:cs="Arial" w:eastAsia="Arial" w:hAnsi="Arial"/>
          <w:sz w:val="19"/>
          <w:szCs w:val="19"/>
          <w:color w:val="auto"/>
        </w:rPr>
        <w:t>.</w:t>
      </w:r>
    </w:p>
    <w:p>
      <w:pPr>
        <w:spacing w:after="0" w:line="109" w:lineRule="exact"/>
        <w:rPr>
          <w:sz w:val="20"/>
          <w:szCs w:val="20"/>
          <w:color w:val="auto"/>
        </w:rPr>
      </w:pPr>
    </w:p>
    <w:p>
      <w:pPr>
        <w:jc w:val="both"/>
        <w:ind w:left="1126" w:firstLine="562"/>
        <w:spacing w:after="0" w:line="245"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 either party may disclose the information contained herein without the consent of the other party when and to the extent required by any law applicable to such party or by a Governmental Authority.</w:t>
      </w:r>
    </w:p>
    <w:p>
      <w:pPr>
        <w:sectPr>
          <w:pgSz w:w="11900" w:h="16838" w:orient="portrait"/>
          <w:cols w:equalWidth="0" w:num="1">
            <w:col w:w="11446"/>
          </w:cols>
          <w:pgMar w:left="234" w:top="84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Arial" w:cs="Arial" w:eastAsia="Arial" w:hAnsi="Arial"/>
          <w:sz w:val="13"/>
          <w:szCs w:val="13"/>
          <w:color w:val="auto"/>
        </w:rPr>
        <w:t>AAL-PA-03219-LA-1802262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20" w:lineRule="exact"/>
        <w:rPr>
          <w:sz w:val="20"/>
          <w:szCs w:val="20"/>
          <w:color w:val="auto"/>
        </w:rPr>
      </w:pPr>
    </w:p>
    <w:p>
      <w:pPr>
        <w:sectPr>
          <w:pgSz w:w="11900" w:h="16838" w:orient="portrait"/>
          <w:cols w:equalWidth="0" w:num="2">
            <w:col w:w="2286" w:space="720"/>
            <w:col w:w="8440"/>
          </w:cols>
          <w:pgMar w:left="234" w:top="848"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3 of 5</w:t>
      </w:r>
    </w:p>
    <w:p>
      <w:pPr>
        <w:spacing w:after="0" w:line="3" w:lineRule="exact"/>
        <w:rPr>
          <w:sz w:val="20"/>
          <w:szCs w:val="20"/>
          <w:color w:val="auto"/>
        </w:rPr>
      </w:pPr>
    </w:p>
    <w:p>
      <w:pPr>
        <w:sectPr>
          <w:pgSz w:w="11900" w:h="16838" w:orient="portrait"/>
          <w:cols w:equalWidth="0" w:num="2">
            <w:col w:w="1386" w:space="720"/>
            <w:col w:w="9340"/>
          </w:cols>
          <w:pgMar w:left="234" w:top="848" w:right="219" w:bottom="1440" w:gutter="0" w:footer="0" w:header="0"/>
          <w:type w:val="continuous"/>
        </w:sectPr>
      </w:pPr>
    </w:p>
    <w:p>
      <w:pPr>
        <w:ind w:left="6"/>
        <w:spacing w:after="0"/>
        <w:rPr>
          <w:sz w:val="20"/>
          <w:szCs w:val="20"/>
          <w:color w:val="auto"/>
        </w:rPr>
      </w:pPr>
      <w:r>
        <w:rPr>
          <w:rFonts w:ascii="Arial" w:cs="Arial" w:eastAsia="Arial" w:hAnsi="Arial"/>
          <w:sz w:val="13"/>
          <w:szCs w:val="13"/>
          <w:color w:val="auto"/>
        </w:rPr>
        <w:t>BOEING PROPRIETARY</w:t>
      </w:r>
    </w:p>
    <w:p>
      <w:pPr>
        <w:sectPr>
          <w:pgSz w:w="11900" w:h="16838" w:orient="portrait"/>
          <w:cols w:equalWidth="0" w:num="1">
            <w:col w:w="11446"/>
          </w:cols>
          <w:pgMar w:left="234" w:top="848" w:right="219" w:bottom="1440" w:gutter="0" w:footer="0" w:header="0"/>
          <w:type w:val="continuous"/>
        </w:sectPr>
      </w:pPr>
    </w:p>
    <w:p>
      <w:pPr>
        <w:spacing w:after="0" w:line="14"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6"/>
          </w:cols>
          <w:pgMar w:left="234" w:top="848" w:right="219" w:bottom="1440" w:gutter="0" w:footer="0" w:header="0"/>
          <w:type w:val="continuous"/>
        </w:sectPr>
      </w:pPr>
    </w:p>
    <w:bookmarkStart w:id="193" w:name="page194"/>
    <w:bookmarkEnd w:id="193"/>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Very truly yours,</w:t>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THE BOEING COMPANY</w:t>
      </w:r>
    </w:p>
    <w:p>
      <w:pPr>
        <w:spacing w:after="0" w:line="296"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13335</wp:posOffset>
            </wp:positionV>
            <wp:extent cx="338709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3387090" cy="7620"/>
                    </a:xfrm>
                    <a:prstGeom prst="rect">
                      <a:avLst/>
                    </a:prstGeom>
                    <a:noFill/>
                  </pic:spPr>
                </pic:pic>
              </a:graphicData>
            </a:graphic>
          </wp:anchor>
        </w:drawing>
      </w:r>
    </w:p>
    <w:p>
      <w:pPr>
        <w:spacing w:after="0" w:line="276"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13335</wp:posOffset>
            </wp:positionV>
            <wp:extent cx="338709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387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ACCEPTED AND AGREED TO this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0" w:type="dxa"/>
            <w:vAlign w:val="bottom"/>
          </w:tcPr>
          <w:p>
            <w:pPr>
              <w:ind w:left="80"/>
              <w:spacing w:after="0"/>
              <w:rPr>
                <w:sz w:val="20"/>
                <w:szCs w:val="20"/>
                <w:color w:val="auto"/>
              </w:rPr>
            </w:pPr>
            <w:r>
              <w:rPr>
                <w:rFonts w:ascii="Arial" w:cs="Arial" w:eastAsia="Arial" w:hAnsi="Arial"/>
                <w:sz w:val="19"/>
                <w:szCs w:val="19"/>
                <w:color w:val="auto"/>
              </w:rPr>
              <w:t>Date:</w:t>
            </w:r>
          </w:p>
        </w:tc>
        <w:tc>
          <w:tcPr>
            <w:tcW w:w="1140" w:type="dxa"/>
            <w:vAlign w:val="bottom"/>
          </w:tcPr>
          <w:p>
            <w:pPr>
              <w:spacing w:after="0"/>
              <w:rPr>
                <w:sz w:val="20"/>
                <w:szCs w:val="20"/>
                <w:color w:val="auto"/>
              </w:rPr>
            </w:pP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April 6, 2018</w:t>
            </w:r>
          </w:p>
        </w:tc>
      </w:tr>
      <w:tr>
        <w:trPr>
          <w:trHeight w:val="862"/>
        </w:trPr>
        <w:tc>
          <w:tcPr>
            <w:tcW w:w="6200" w:type="dxa"/>
            <w:vAlign w:val="bottom"/>
            <w:gridSpan w:val="3"/>
          </w:tcPr>
          <w:p>
            <w:pPr>
              <w:ind w:left="80"/>
              <w:spacing w:after="0"/>
              <w:rPr>
                <w:sz w:val="20"/>
                <w:szCs w:val="20"/>
                <w:color w:val="auto"/>
              </w:rPr>
            </w:pPr>
            <w:r>
              <w:rPr>
                <w:rFonts w:ascii="Arial" w:cs="Arial" w:eastAsia="Arial" w:hAnsi="Arial"/>
                <w:sz w:val="19"/>
                <w:szCs w:val="19"/>
                <w:b w:val="1"/>
                <w:bCs w:val="1"/>
                <w:color w:val="auto"/>
              </w:rPr>
              <w:t>AMERICAN AIRLINES, INC.</w:t>
            </w:r>
          </w:p>
        </w:tc>
      </w:tr>
      <w:tr>
        <w:trPr>
          <w:trHeight w:val="522"/>
        </w:trPr>
        <w:tc>
          <w:tcPr>
            <w:tcW w:w="880" w:type="dxa"/>
            <w:vAlign w:val="bottom"/>
          </w:tcPr>
          <w:p>
            <w:pPr>
              <w:ind w:left="80"/>
              <w:spacing w:after="0"/>
              <w:rPr>
                <w:sz w:val="20"/>
                <w:szCs w:val="20"/>
                <w:color w:val="auto"/>
              </w:rPr>
            </w:pPr>
            <w:r>
              <w:rPr>
                <w:rFonts w:ascii="Arial" w:cs="Arial" w:eastAsia="Arial" w:hAnsi="Arial"/>
                <w:sz w:val="19"/>
                <w:szCs w:val="19"/>
                <w:color w:val="auto"/>
              </w:rPr>
              <w:t>By:</w:t>
            </w: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American Airlines, Inc.</w:t>
            </w:r>
          </w:p>
        </w:tc>
      </w:tr>
      <w:tr>
        <w:trPr>
          <w:trHeight w:val="495"/>
        </w:trPr>
        <w:tc>
          <w:tcPr>
            <w:tcW w:w="880" w:type="dxa"/>
            <w:vAlign w:val="bottom"/>
          </w:tcPr>
          <w:p>
            <w:pPr>
              <w:ind w:left="80"/>
              <w:spacing w:after="0"/>
              <w:rPr>
                <w:sz w:val="20"/>
                <w:szCs w:val="20"/>
                <w:color w:val="auto"/>
              </w:rPr>
            </w:pPr>
            <w:r>
              <w:rPr>
                <w:rFonts w:ascii="Arial" w:cs="Arial" w:eastAsia="Arial" w:hAnsi="Arial"/>
                <w:sz w:val="19"/>
                <w:szCs w:val="19"/>
                <w:color w:val="auto"/>
              </w:rPr>
              <w:t>Its:</w:t>
            </w: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Vice President and Treasurer</w:t>
            </w:r>
          </w:p>
        </w:tc>
      </w:tr>
      <w:tr>
        <w:trPr>
          <w:trHeight w:val="562"/>
        </w:trPr>
        <w:tc>
          <w:tcPr>
            <w:tcW w:w="2020" w:type="dxa"/>
            <w:vAlign w:val="bottom"/>
            <w:gridSpan w:val="2"/>
          </w:tcPr>
          <w:p>
            <w:pPr>
              <w:spacing w:after="0"/>
              <w:rPr>
                <w:sz w:val="20"/>
                <w:szCs w:val="20"/>
                <w:color w:val="auto"/>
              </w:rPr>
            </w:pPr>
            <w:r>
              <w:rPr>
                <w:rFonts w:ascii="Arial" w:cs="Arial" w:eastAsia="Arial" w:hAnsi="Arial"/>
                <w:sz w:val="14"/>
                <w:szCs w:val="14"/>
                <w:color w:val="auto"/>
              </w:rPr>
              <w:t>AAL-PA-03219-LA-1802262</w:t>
            </w:r>
          </w:p>
        </w:tc>
        <w:tc>
          <w:tcPr>
            <w:tcW w:w="4180" w:type="dxa"/>
            <w:vAlign w:val="bottom"/>
          </w:tcPr>
          <w:p>
            <w:pPr>
              <w:ind w:left="980"/>
              <w:spacing w:after="0"/>
              <w:rPr>
                <w:sz w:val="20"/>
                <w:szCs w:val="20"/>
                <w:color w:val="auto"/>
              </w:rPr>
            </w:pPr>
            <w:r>
              <w:rPr>
                <w:rFonts w:ascii="Arial" w:cs="Arial" w:eastAsia="Arial" w:hAnsi="Arial"/>
                <w:sz w:val="14"/>
                <w:szCs w:val="14"/>
                <w:color w:val="auto"/>
              </w:rPr>
              <w:t>SA-11</w:t>
            </w:r>
          </w:p>
        </w:tc>
      </w:tr>
      <w:tr>
        <w:trPr>
          <w:trHeight w:val="164"/>
        </w:trPr>
        <w:tc>
          <w:tcPr>
            <w:tcW w:w="880" w:type="dxa"/>
            <w:vAlign w:val="bottom"/>
          </w:tcPr>
          <w:p>
            <w:pPr>
              <w:spacing w:after="0"/>
              <w:rPr>
                <w:sz w:val="20"/>
                <w:szCs w:val="20"/>
                <w:color w:val="auto"/>
              </w:rPr>
            </w:pPr>
            <w:r>
              <w:rPr>
                <w:rFonts w:ascii="Arial" w:cs="Arial" w:eastAsia="Arial" w:hAnsi="Arial"/>
                <w:sz w:val="14"/>
                <w:szCs w:val="14"/>
                <w:color w:val="auto"/>
              </w:rPr>
              <w:t>[*CTR]</w:t>
            </w:r>
          </w:p>
        </w:tc>
        <w:tc>
          <w:tcPr>
            <w:tcW w:w="1140" w:type="dxa"/>
            <w:vAlign w:val="bottom"/>
          </w:tcPr>
          <w:p>
            <w:pPr>
              <w:spacing w:after="0"/>
              <w:rPr>
                <w:sz w:val="14"/>
                <w:szCs w:val="14"/>
                <w:color w:val="auto"/>
              </w:rPr>
            </w:pPr>
          </w:p>
        </w:tc>
        <w:tc>
          <w:tcPr>
            <w:tcW w:w="4180" w:type="dxa"/>
            <w:vAlign w:val="bottom"/>
          </w:tcPr>
          <w:p>
            <w:pPr>
              <w:ind w:left="80"/>
              <w:spacing w:after="0"/>
              <w:rPr>
                <w:sz w:val="20"/>
                <w:szCs w:val="20"/>
                <w:color w:val="auto"/>
              </w:rPr>
            </w:pPr>
            <w:r>
              <w:rPr>
                <w:rFonts w:ascii="Arial" w:cs="Arial" w:eastAsia="Arial" w:hAnsi="Arial"/>
                <w:sz w:val="14"/>
                <w:szCs w:val="14"/>
                <w:color w:val="auto"/>
              </w:rPr>
              <w:t>Page 4 of 5</w:t>
            </w:r>
          </w:p>
        </w:tc>
      </w:tr>
      <w:tr>
        <w:trPr>
          <w:trHeight w:val="164"/>
        </w:trPr>
        <w:tc>
          <w:tcPr>
            <w:tcW w:w="2020" w:type="dxa"/>
            <w:vAlign w:val="bottom"/>
            <w:gridSpan w:val="2"/>
          </w:tcPr>
          <w:p>
            <w:pPr>
              <w:spacing w:after="0"/>
              <w:rPr>
                <w:sz w:val="20"/>
                <w:szCs w:val="20"/>
                <w:color w:val="auto"/>
              </w:rPr>
            </w:pPr>
            <w:r>
              <w:rPr>
                <w:rFonts w:ascii="Arial" w:cs="Arial" w:eastAsia="Arial" w:hAnsi="Arial"/>
                <w:sz w:val="14"/>
                <w:szCs w:val="14"/>
                <w:color w:val="auto"/>
              </w:rPr>
              <w:t>BOEING PROPRIETARY</w:t>
            </w:r>
          </w:p>
        </w:tc>
        <w:tc>
          <w:tcPr>
            <w:tcW w:w="418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440" w:right="1139" w:bottom="1440" w:gutter="0" w:footer="0" w:header="0"/>
        </w:sectPr>
      </w:pPr>
    </w:p>
    <w:bookmarkStart w:id="194" w:name="page195"/>
    <w:bookmarkEnd w:id="194"/>
    <w:p>
      <w:pPr>
        <w:jc w:val="center"/>
        <w:ind w:right="-89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Attachment A</w:t>
      </w:r>
    </w:p>
    <w:p>
      <w:pPr>
        <w:spacing w:after="0" w:line="27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Airframe Price, Optional Features Prices, and Aircraft Basic Price for the 787-8</w:t>
      </w:r>
    </w:p>
    <w:p>
      <w:pPr>
        <w:sectPr>
          <w:pgSz w:w="11900" w:h="16838" w:orient="portrait"/>
          <w:cols w:equalWidth="0" w:num="1">
            <w:col w:w="10520"/>
          </w:cols>
          <w:pgMar w:left="240" w:top="1280" w:right="11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AAL-PA-03219-LA-1802262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SA-11</w:t>
      </w:r>
    </w:p>
    <w:p>
      <w:pPr>
        <w:spacing w:after="0" w:line="20" w:lineRule="exact"/>
        <w:rPr>
          <w:sz w:val="20"/>
          <w:szCs w:val="20"/>
          <w:color w:val="auto"/>
        </w:rPr>
      </w:pPr>
    </w:p>
    <w:p>
      <w:pPr>
        <w:sectPr>
          <w:pgSz w:w="11900" w:h="16838" w:orient="portrait"/>
          <w:cols w:equalWidth="0" w:num="2">
            <w:col w:w="2280" w:space="720"/>
            <w:col w:w="7520"/>
          </w:cols>
          <w:pgMar w:left="240" w:top="1280" w:right="1139" w:bottom="1440" w:gutter="0" w:footer="0" w:header="0"/>
          <w:type w:val="continuous"/>
        </w:sectPr>
      </w:pPr>
    </w:p>
    <w:p>
      <w:pPr>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5 of 5</w:t>
      </w:r>
    </w:p>
    <w:p>
      <w:pPr>
        <w:spacing w:after="0" w:line="3" w:lineRule="exact"/>
        <w:rPr>
          <w:sz w:val="20"/>
          <w:szCs w:val="20"/>
          <w:color w:val="auto"/>
        </w:rPr>
      </w:pPr>
    </w:p>
    <w:p>
      <w:pPr>
        <w:sectPr>
          <w:pgSz w:w="11900" w:h="16838" w:orient="portrait"/>
          <w:cols w:equalWidth="0" w:num="2">
            <w:col w:w="1380" w:space="720"/>
            <w:col w:w="8420"/>
          </w:cols>
          <w:pgMar w:left="240" w:top="1280" w:right="1139" w:bottom="1440" w:gutter="0" w:footer="0" w:header="0"/>
          <w:type w:val="continuous"/>
        </w:sectPr>
      </w:pPr>
    </w:p>
    <w:p>
      <w:pPr>
        <w:spacing w:after="0"/>
        <w:rPr>
          <w:sz w:val="20"/>
          <w:szCs w:val="20"/>
          <w:color w:val="auto"/>
        </w:rPr>
      </w:pPr>
      <w:r>
        <w:rPr>
          <w:rFonts w:ascii="Arial" w:cs="Arial" w:eastAsia="Arial" w:hAnsi="Arial"/>
          <w:sz w:val="13"/>
          <w:szCs w:val="13"/>
          <w:color w:val="auto"/>
        </w:rPr>
        <w:t>BOEING PROPRIETARY</w:t>
      </w:r>
    </w:p>
    <w:p>
      <w:pPr>
        <w:sectPr>
          <w:pgSz w:w="11900" w:h="16838" w:orient="portrait"/>
          <w:cols w:equalWidth="0" w:num="1">
            <w:col w:w="10520"/>
          </w:cols>
          <w:pgMar w:left="240" w:top="1280" w:right="11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280" w:right="1139" w:bottom="1440" w:gutter="0" w:footer="0" w:header="0"/>
          <w:type w:val="continuous"/>
        </w:sectPr>
      </w:pPr>
    </w:p>
    <w:bookmarkStart w:id="195" w:name="page196"/>
    <w:bookmarkEnd w:id="195"/>
    <w:p>
      <w:pPr>
        <w:jc w:val="center"/>
        <w:ind w:right="-519"/>
        <w:spacing w:after="0"/>
        <w:rPr>
          <w:sz w:val="20"/>
          <w:szCs w:val="20"/>
          <w:color w:val="auto"/>
        </w:rPr>
      </w:pPr>
      <w:r>
        <w:rPr>
          <w:rFonts w:ascii="Arial" w:cs="Arial" w:eastAsia="Arial" w:hAnsi="Arial"/>
          <w:sz w:val="22"/>
          <w:szCs w:val="22"/>
          <w:b w:val="1"/>
          <w:bCs w:val="1"/>
          <w:color w:val="auto"/>
        </w:rPr>
        <w:t>Attachment A To</w:t>
      </w:r>
    </w:p>
    <w:p>
      <w:pPr>
        <w:spacing w:after="0" w:line="30"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Letter Agreement No. AAL-03219-LA-1802262</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0"/>
          <w:szCs w:val="20"/>
          <w:b w:val="1"/>
          <w:bCs w:val="1"/>
          <w:color w:val="auto"/>
        </w:rPr>
        <w:t>[*CTR]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tabs>
          <w:tab w:leader="none" w:pos="2000" w:val="left"/>
          <w:tab w:leader="none" w:pos="2600" w:val="left"/>
          <w:tab w:leader="none" w:pos="3620" w:val="left"/>
          <w:tab w:leader="none" w:pos="4980" w:val="left"/>
        </w:tabs>
        <w:rPr>
          <w:sz w:val="20"/>
          <w:szCs w:val="20"/>
          <w:color w:val="auto"/>
        </w:rPr>
      </w:pPr>
      <w:r>
        <w:rPr>
          <w:rFonts w:ascii="Arial" w:cs="Arial" w:eastAsia="Arial" w:hAnsi="Arial"/>
          <w:sz w:val="14"/>
          <w:szCs w:val="14"/>
          <w:b w:val="1"/>
          <w:bCs w:val="1"/>
          <w:color w:val="auto"/>
        </w:rPr>
        <w:t>Airframe Model/MTOW:</w:t>
      </w:r>
      <w:r>
        <w:rPr>
          <w:sz w:val="20"/>
          <w:szCs w:val="20"/>
          <w:color w:val="auto"/>
        </w:rPr>
        <w:tab/>
      </w:r>
      <w:r>
        <w:rPr>
          <w:rFonts w:ascii="Arial" w:cs="Arial" w:eastAsia="Arial" w:hAnsi="Arial"/>
          <w:sz w:val="14"/>
          <w:szCs w:val="14"/>
          <w:color w:val="auto"/>
        </w:rPr>
        <w:t>787-8</w:t>
      </w:r>
      <w:r>
        <w:rPr>
          <w:sz w:val="20"/>
          <w:szCs w:val="20"/>
          <w:color w:val="auto"/>
        </w:rPr>
        <w:tab/>
      </w:r>
      <w:r>
        <w:rPr>
          <w:rFonts w:ascii="Arial" w:cs="Arial" w:eastAsia="Arial" w:hAnsi="Arial"/>
          <w:sz w:val="14"/>
          <w:szCs w:val="14"/>
          <w:color w:val="auto"/>
        </w:rPr>
        <w:t>[*CTR] pounds</w:t>
      </w:r>
      <w:r>
        <w:rPr>
          <w:sz w:val="20"/>
          <w:szCs w:val="20"/>
          <w:color w:val="auto"/>
        </w:rPr>
        <w:tab/>
      </w:r>
      <w:r>
        <w:rPr>
          <w:rFonts w:ascii="Arial" w:cs="Arial" w:eastAsia="Arial" w:hAnsi="Arial"/>
          <w:sz w:val="14"/>
          <w:szCs w:val="14"/>
          <w:b w:val="1"/>
          <w:bCs w:val="1"/>
          <w:color w:val="auto"/>
        </w:rPr>
        <w:t>Detail Specification:</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*CTR]</w:t>
      </w:r>
    </w:p>
    <w:p>
      <w:pPr>
        <w:sectPr>
          <w:pgSz w:w="11900" w:h="16838" w:orient="portrait"/>
          <w:cols w:equalWidth="0" w:num="1">
            <w:col w:w="10900"/>
          </w:cols>
          <w:pgMar w:left="240" w:top="120" w:right="7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00"/>
        <w:spacing w:after="0"/>
        <w:tabs>
          <w:tab w:leader="none" w:pos="2620" w:val="left"/>
        </w:tabs>
        <w:rPr>
          <w:sz w:val="20"/>
          <w:szCs w:val="20"/>
          <w:color w:val="auto"/>
        </w:rPr>
      </w:pPr>
      <w:r>
        <w:rPr>
          <w:rFonts w:ascii="Arial" w:cs="Arial" w:eastAsia="Arial" w:hAnsi="Arial"/>
          <w:sz w:val="14"/>
          <w:szCs w:val="14"/>
          <w:b w:val="1"/>
          <w:bCs w:val="1"/>
          <w:color w:val="auto"/>
        </w:rPr>
        <w:t>Engine Model/Thrust:</w:t>
      </w:r>
      <w:r>
        <w:rPr>
          <w:sz w:val="20"/>
          <w:szCs w:val="20"/>
          <w:color w:val="auto"/>
        </w:rPr>
        <w:tab/>
      </w:r>
      <w:r>
        <w:rPr>
          <w:rFonts w:ascii="Arial" w:cs="Arial" w:eastAsia="Arial" w:hAnsi="Arial"/>
          <w:sz w:val="13"/>
          <w:szCs w:val="13"/>
          <w:color w:val="auto"/>
        </w:rPr>
        <w:t>GENX-1B70</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Airframe Price: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Optional Features: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Sub-Total of Airframe and Features: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Engine Price (Per</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Aircraft):</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Aircraft Basic Price (Excluding BFE/SPE):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Buyer Furnished Equipment (BFE) Estimate:</w:t>
      </w:r>
    </w:p>
    <w:p>
      <w:pPr>
        <w:spacing w:after="0" w:line="73" w:lineRule="exact"/>
        <w:rPr>
          <w:sz w:val="20"/>
          <w:szCs w:val="20"/>
          <w:color w:val="auto"/>
        </w:rPr>
      </w:pPr>
    </w:p>
    <w:p>
      <w:pPr>
        <w:ind w:left="400" w:right="600"/>
        <w:spacing w:after="0" w:line="294" w:lineRule="auto"/>
        <w:rPr>
          <w:sz w:val="20"/>
          <w:szCs w:val="20"/>
          <w:color w:val="auto"/>
        </w:rPr>
      </w:pPr>
      <w:r>
        <w:rPr>
          <w:rFonts w:ascii="Arial" w:cs="Arial" w:eastAsia="Arial" w:hAnsi="Arial"/>
          <w:sz w:val="14"/>
          <w:szCs w:val="14"/>
          <w:b w:val="1"/>
          <w:bCs w:val="1"/>
          <w:color w:val="auto"/>
        </w:rPr>
        <w:t xml:space="preserve">//Seller Purchased Equipment (SPE)/In-Flight Enter </w:t>
      </w:r>
      <w:r>
        <w:rPr>
          <w:rFonts w:ascii="Arial" w:cs="Arial" w:eastAsia="Arial" w:hAnsi="Arial"/>
          <w:sz w:val="14"/>
          <w:szCs w:val="14"/>
          <w:color w:val="auto"/>
        </w:rPr>
        <w:t>$2,388,000</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LIFT Seats Provided by Boeing (Estimate):</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Deposit per Aircraft: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760" w:type="dxa"/>
            <w:vAlign w:val="bottom"/>
            <w:vMerge w:val="restart"/>
          </w:tcPr>
          <w:p>
            <w:pPr>
              <w:ind w:left="260"/>
              <w:spacing w:after="0"/>
              <w:rPr>
                <w:sz w:val="20"/>
                <w:szCs w:val="20"/>
                <w:color w:val="auto"/>
              </w:rPr>
            </w:pPr>
            <w:r>
              <w:rPr>
                <w:rFonts w:ascii="Arial" w:cs="Arial" w:eastAsia="Arial" w:hAnsi="Arial"/>
                <w:sz w:val="14"/>
                <w:szCs w:val="14"/>
                <w:color w:val="auto"/>
              </w:rPr>
              <w:t>[*CTR]</w:t>
            </w:r>
          </w:p>
        </w:tc>
        <w:tc>
          <w:tcPr>
            <w:tcW w:w="1340" w:type="dxa"/>
            <w:vAlign w:val="bottom"/>
            <w:vMerge w:val="restart"/>
          </w:tcPr>
          <w:p>
            <w:pPr>
              <w:ind w:left="900"/>
              <w:spacing w:after="0"/>
              <w:rPr>
                <w:sz w:val="20"/>
                <w:szCs w:val="20"/>
                <w:color w:val="auto"/>
              </w:rPr>
            </w:pPr>
            <w:r>
              <w:rPr>
                <w:rFonts w:ascii="Arial" w:cs="Arial" w:eastAsia="Arial" w:hAnsi="Arial"/>
                <w:sz w:val="14"/>
                <w:szCs w:val="14"/>
                <w:color w:val="auto"/>
                <w:w w:val="99"/>
              </w:rPr>
              <w:t>[*CTR]</w:t>
            </w: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pounds</w:t>
            </w:r>
          </w:p>
        </w:tc>
        <w:tc>
          <w:tcPr>
            <w:tcW w:w="1300" w:type="dxa"/>
            <w:vAlign w:val="bottom"/>
          </w:tcPr>
          <w:p>
            <w:pPr>
              <w:spacing w:after="0"/>
              <w:rPr>
                <w:sz w:val="7"/>
                <w:szCs w:val="7"/>
                <w:color w:val="auto"/>
              </w:rPr>
            </w:pPr>
          </w:p>
        </w:tc>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Formula:</w:t>
            </w:r>
          </w:p>
        </w:tc>
        <w:tc>
          <w:tcPr>
            <w:tcW w:w="7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Engine Price Base Year/Escalation</w:t>
            </w:r>
          </w:p>
        </w:tc>
        <w:tc>
          <w:tcPr>
            <w:tcW w:w="760" w:type="dxa"/>
            <w:vAlign w:val="bottom"/>
            <w:vMerge w:val="restart"/>
          </w:tcPr>
          <w:p>
            <w:pPr>
              <w:ind w:left="260"/>
              <w:spacing w:after="0"/>
              <w:rPr>
                <w:sz w:val="20"/>
                <w:szCs w:val="20"/>
                <w:color w:val="auto"/>
              </w:rPr>
            </w:pPr>
            <w:r>
              <w:rPr>
                <w:rFonts w:ascii="Arial" w:cs="Arial" w:eastAsia="Arial" w:hAnsi="Arial"/>
                <w:sz w:val="14"/>
                <w:szCs w:val="14"/>
                <w:color w:val="auto"/>
              </w:rPr>
              <w:t>[*CTR]</w:t>
            </w:r>
          </w:p>
        </w:tc>
        <w:tc>
          <w:tcPr>
            <w:tcW w:w="1340" w:type="dxa"/>
            <w:vAlign w:val="bottom"/>
            <w:vMerge w:val="restart"/>
          </w:tcPr>
          <w:p>
            <w:pPr>
              <w:ind w:left="900"/>
              <w:spacing w:after="0"/>
              <w:rPr>
                <w:sz w:val="20"/>
                <w:szCs w:val="20"/>
                <w:color w:val="auto"/>
              </w:rPr>
            </w:pPr>
            <w:r>
              <w:rPr>
                <w:rFonts w:ascii="Arial" w:cs="Arial" w:eastAsia="Arial" w:hAnsi="Arial"/>
                <w:sz w:val="14"/>
                <w:szCs w:val="14"/>
                <w:color w:val="auto"/>
                <w:w w:val="99"/>
              </w:rPr>
              <w:t>[*CTR]</w:t>
            </w: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Formula:</w:t>
            </w:r>
          </w:p>
        </w:tc>
        <w:tc>
          <w:tcPr>
            <w:tcW w:w="7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[*CTR]</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Airframe Escalation Data:</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3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24"/>
                <w:szCs w:val="24"/>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Base Year Index (ECI):</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86"/>
        </w:trPr>
        <w:tc>
          <w:tcPr>
            <w:tcW w:w="3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[*CTR]</w:t>
            </w:r>
          </w:p>
        </w:tc>
        <w:tc>
          <w:tcPr>
            <w:tcW w:w="13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7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50"/>
        </w:trPr>
        <w:tc>
          <w:tcPr>
            <w:tcW w:w="360" w:type="dxa"/>
            <w:vAlign w:val="bottom"/>
            <w:tcBorders>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Engine Escalation Data:</w:t>
            </w: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540" w:type="dxa"/>
            <w:vAlign w:val="bottom"/>
            <w:gridSpan w:val="2"/>
          </w:tcPr>
          <w:p>
            <w:pPr>
              <w:jc w:val="right"/>
              <w:ind w:right="20"/>
              <w:spacing w:after="0" w:line="132" w:lineRule="exact"/>
              <w:rPr>
                <w:sz w:val="20"/>
                <w:szCs w:val="20"/>
                <w:color w:val="auto"/>
              </w:rPr>
            </w:pPr>
            <w:r>
              <w:rPr>
                <w:rFonts w:ascii="Arial" w:cs="Arial" w:eastAsia="Arial" w:hAnsi="Arial"/>
                <w:sz w:val="14"/>
                <w:szCs w:val="14"/>
                <w:color w:val="auto"/>
              </w:rPr>
              <w:t>$[*CTR]</w:t>
            </w:r>
          </w:p>
        </w:tc>
        <w:tc>
          <w:tcPr>
            <w:tcW w:w="130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3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5"/>
              </w:rPr>
              <w:t>Base Year Index (ECI):</w:t>
            </w:r>
          </w:p>
        </w:tc>
        <w:tc>
          <w:tcPr>
            <w:tcW w:w="10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7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$[*CTR]</w:t>
            </w: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80" w:space="220"/>
            <w:col w:w="7300"/>
          </w:cols>
          <w:pgMar w:left="240" w:top="120" w:right="759" w:bottom="1440" w:gutter="0" w:footer="0" w:header="0"/>
          <w:type w:val="continuous"/>
        </w:sectPr>
      </w:pPr>
    </w:p>
    <w:p>
      <w:pPr>
        <w:spacing w:after="0" w:line="147" w:lineRule="exact"/>
        <w:rPr>
          <w:sz w:val="20"/>
          <w:szCs w:val="20"/>
          <w:color w:val="auto"/>
        </w:rPr>
      </w:pPr>
    </w:p>
    <w:tbl>
      <w:tblPr>
        <w:tblLayout w:type="fixed"/>
        <w:tblInd w:w="310" w:type="dxa"/>
        <w:tblCellMar>
          <w:top w:w="0" w:type="dxa"/>
          <w:left w:w="0" w:type="dxa"/>
          <w:bottom w:w="0" w:type="dxa"/>
          <w:right w:w="0" w:type="dxa"/>
        </w:tblCellMar>
      </w:tblPr>
      <w:tr>
        <w:trPr>
          <w:trHeight w:val="217"/>
        </w:trPr>
        <w:tc>
          <w:tcPr>
            <w:tcW w:w="780" w:type="dxa"/>
            <w:vAlign w:val="bottom"/>
            <w:tcBorders>
              <w:top w:val="single" w:sz="8" w:color="auto"/>
              <w:left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shd w:val="clear" w:color="auto" w:fill="C1C1C1"/>
          </w:tcPr>
          <w:p>
            <w:pPr>
              <w:spacing w:after="0"/>
              <w:rPr>
                <w:sz w:val="18"/>
                <w:szCs w:val="18"/>
                <w:color w:val="auto"/>
              </w:rPr>
            </w:pPr>
          </w:p>
        </w:tc>
        <w:tc>
          <w:tcPr>
            <w:tcW w:w="240" w:type="dxa"/>
            <w:vAlign w:val="bottom"/>
            <w:tcBorders>
              <w:top w:val="single" w:sz="8" w:color="auto"/>
              <w:right w:val="single" w:sz="8" w:color="auto"/>
            </w:tcBorders>
            <w:shd w:val="clear" w:color="auto" w:fill="C1C1C1"/>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520" w:type="dxa"/>
            <w:vAlign w:val="bottom"/>
            <w:tcBorders>
              <w:top w:val="single" w:sz="8" w:color="auto"/>
              <w:right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w w:val="97"/>
              </w:rPr>
              <w:t>Advance Payment Per Aircraft (Amts. Due/Mos. Prior to</w:t>
            </w:r>
          </w:p>
        </w:tc>
        <w:tc>
          <w:tcPr>
            <w:tcW w:w="0" w:type="dxa"/>
            <w:vAlign w:val="bottom"/>
          </w:tcPr>
          <w:p>
            <w:pPr>
              <w:spacing w:after="0"/>
              <w:rPr>
                <w:sz w:val="1"/>
                <w:szCs w:val="1"/>
                <w:color w:val="auto"/>
              </w:rPr>
            </w:pPr>
          </w:p>
        </w:tc>
      </w:tr>
      <w:tr>
        <w:trPr>
          <w:trHeight w:val="18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Escalation Factor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820" w:type="dxa"/>
            <w:vAlign w:val="bottom"/>
            <w:shd w:val="clear" w:color="auto" w:fill="C1C1C1"/>
          </w:tcPr>
          <w:p>
            <w:pPr>
              <w:spacing w:after="0"/>
              <w:rPr>
                <w:sz w:val="16"/>
                <w:szCs w:val="16"/>
                <w:color w:val="auto"/>
              </w:rPr>
            </w:pPr>
          </w:p>
        </w:tc>
        <w:tc>
          <w:tcPr>
            <w:tcW w:w="240" w:type="dxa"/>
            <w:vAlign w:val="bottom"/>
            <w:tcBorders>
              <w:right w:val="single" w:sz="8" w:color="auto"/>
            </w:tcBorders>
            <w:shd w:val="clear" w:color="auto" w:fill="C1C1C1"/>
          </w:tcPr>
          <w:p>
            <w:pPr>
              <w:spacing w:after="0"/>
              <w:rPr>
                <w:sz w:val="16"/>
                <w:szCs w:val="16"/>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Delivery):</w:t>
            </w: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7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820" w:type="dxa"/>
            <w:vAlign w:val="bottom"/>
            <w:tcBorders>
              <w:bottom w:val="single" w:sz="8" w:color="C1C1C1"/>
            </w:tcBorders>
            <w:vMerge w:val="restart"/>
            <w:shd w:val="clear" w:color="auto" w:fill="C1C1C1"/>
          </w:tcPr>
          <w:p>
            <w:pPr>
              <w:jc w:val="center"/>
              <w:ind w:left="129"/>
              <w:spacing w:after="0" w:line="180" w:lineRule="exact"/>
              <w:rPr>
                <w:sz w:val="20"/>
                <w:szCs w:val="20"/>
                <w:color w:val="auto"/>
              </w:rPr>
            </w:pPr>
            <w:r>
              <w:rPr>
                <w:rFonts w:ascii="Arial" w:cs="Arial" w:eastAsia="Arial" w:hAnsi="Arial"/>
                <w:sz w:val="16"/>
                <w:szCs w:val="16"/>
                <w:b w:val="1"/>
                <w:bCs w:val="1"/>
                <w:color w:val="auto"/>
              </w:rPr>
              <w:t>[*CTR]</w:t>
            </w:r>
          </w:p>
        </w:tc>
        <w:tc>
          <w:tcPr>
            <w:tcW w:w="240" w:type="dxa"/>
            <w:vAlign w:val="bottom"/>
            <w:tcBorders>
              <w:bottom w:val="single" w:sz="8" w:color="C1C1C1"/>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vMerge w:val="restart"/>
          </w:tcPr>
          <w:p>
            <w:pPr>
              <w:jc w:val="center"/>
              <w:spacing w:after="0" w:line="180" w:lineRule="exact"/>
              <w:rPr>
                <w:sz w:val="20"/>
                <w:szCs w:val="20"/>
                <w:color w:val="auto"/>
              </w:rPr>
            </w:pPr>
            <w:r>
              <w:rPr>
                <w:rFonts w:ascii="Arial" w:cs="Arial" w:eastAsia="Arial" w:hAnsi="Arial"/>
                <w:sz w:val="16"/>
                <w:szCs w:val="16"/>
                <w:b w:val="1"/>
                <w:bCs w:val="1"/>
                <w:color w:val="auto"/>
                <w:w w:val="85"/>
              </w:rPr>
              <w:t>Payment Base</w:t>
            </w: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(Airframe)</w:t>
            </w:r>
          </w:p>
        </w:tc>
        <w:tc>
          <w:tcPr>
            <w:tcW w:w="960" w:type="dxa"/>
            <w:vAlign w:val="bottom"/>
            <w:tcBorders>
              <w:right w:val="single" w:sz="8" w:color="auto"/>
            </w:tcBorders>
            <w:vMerge w:val="continue"/>
          </w:tcPr>
          <w:p>
            <w:pPr>
              <w:spacing w:after="0"/>
              <w:rPr>
                <w:sz w:val="5"/>
                <w:szCs w:val="5"/>
                <w:color w:val="auto"/>
              </w:rPr>
            </w:pPr>
          </w:p>
        </w:tc>
        <w:tc>
          <w:tcPr>
            <w:tcW w:w="820" w:type="dxa"/>
            <w:vAlign w:val="bottom"/>
            <w:vMerge w:val="continue"/>
            <w:shd w:val="clear" w:color="auto" w:fill="C1C1C1"/>
          </w:tcPr>
          <w:p>
            <w:pPr>
              <w:spacing w:after="0"/>
              <w:rPr>
                <w:sz w:val="5"/>
                <w:szCs w:val="5"/>
                <w:color w:val="auto"/>
              </w:rPr>
            </w:pPr>
          </w:p>
        </w:tc>
        <w:tc>
          <w:tcPr>
            <w:tcW w:w="240" w:type="dxa"/>
            <w:vAlign w:val="bottom"/>
            <w:tcBorders>
              <w:right w:val="single" w:sz="8" w:color="auto"/>
            </w:tcBorders>
            <w:shd w:val="clear" w:color="auto" w:fill="C1C1C1"/>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vMerge w:val="restart"/>
          </w:tcPr>
          <w:p>
            <w:pPr>
              <w:jc w:val="center"/>
              <w:ind w:left="48"/>
              <w:spacing w:after="0"/>
              <w:rPr>
                <w:sz w:val="20"/>
                <w:szCs w:val="20"/>
                <w:color w:val="auto"/>
              </w:rPr>
            </w:pPr>
            <w:r>
              <w:rPr>
                <w:rFonts w:ascii="Arial" w:cs="Arial" w:eastAsia="Arial" w:hAnsi="Arial"/>
                <w:sz w:val="16"/>
                <w:szCs w:val="16"/>
                <w:b w:val="1"/>
                <w:bCs w:val="1"/>
                <w:color w:val="auto"/>
                <w:w w:val="87"/>
              </w:rPr>
              <w:t>At Signing</w:t>
            </w:r>
          </w:p>
        </w:tc>
        <w:tc>
          <w:tcPr>
            <w:tcW w:w="1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02"/>
        </w:trPr>
        <w:tc>
          <w:tcPr>
            <w:tcW w:w="7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w w:val="92"/>
              </w:rPr>
              <w:t>(Engine)</w:t>
            </w:r>
          </w:p>
        </w:tc>
        <w:tc>
          <w:tcPr>
            <w:tcW w:w="820" w:type="dxa"/>
            <w:vAlign w:val="bottom"/>
            <w:shd w:val="clear" w:color="auto" w:fill="C1C1C1"/>
          </w:tcPr>
          <w:p>
            <w:pPr>
              <w:spacing w:after="0"/>
              <w:rPr>
                <w:sz w:val="8"/>
                <w:szCs w:val="8"/>
                <w:color w:val="auto"/>
              </w:rPr>
            </w:pPr>
          </w:p>
        </w:tc>
        <w:tc>
          <w:tcPr>
            <w:tcW w:w="240" w:type="dxa"/>
            <w:vAlign w:val="bottom"/>
            <w:tcBorders>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[*CTR]</w:t>
            </w: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820" w:type="dxa"/>
            <w:vAlign w:val="bottom"/>
            <w:shd w:val="clear" w:color="auto" w:fill="C1C1C1"/>
          </w:tcPr>
          <w:p>
            <w:pPr>
              <w:spacing w:after="0"/>
              <w:rPr>
                <w:sz w:val="5"/>
                <w:szCs w:val="5"/>
                <w:color w:val="auto"/>
              </w:rPr>
            </w:pPr>
          </w:p>
        </w:tc>
        <w:tc>
          <w:tcPr>
            <w:tcW w:w="240" w:type="dxa"/>
            <w:vAlign w:val="bottom"/>
            <w:tcBorders>
              <w:right w:val="single" w:sz="8" w:color="auto"/>
            </w:tcBorders>
            <w:shd w:val="clear" w:color="auto" w:fill="C1C1C1"/>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820" w:type="dxa"/>
            <w:vAlign w:val="bottom"/>
            <w:shd w:val="clear" w:color="auto" w:fill="C1C1C1"/>
          </w:tcPr>
          <w:p>
            <w:pPr>
              <w:spacing w:after="0"/>
              <w:rPr>
                <w:sz w:val="9"/>
                <w:szCs w:val="9"/>
                <w:color w:val="auto"/>
              </w:rPr>
            </w:pPr>
          </w:p>
        </w:tc>
        <w:tc>
          <w:tcPr>
            <w:tcW w:w="240" w:type="dxa"/>
            <w:vAlign w:val="bottom"/>
            <w:tcBorders>
              <w:right w:val="single" w:sz="8" w:color="auto"/>
            </w:tcBorders>
            <w:shd w:val="clear" w:color="auto" w:fill="C1C1C1"/>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820" w:type="dxa"/>
            <w:vAlign w:val="bottom"/>
            <w:vMerge w:val="restart"/>
          </w:tcPr>
          <w:p>
            <w:pPr>
              <w:jc w:val="center"/>
              <w:ind w:left="48"/>
              <w:spacing w:after="0"/>
              <w:rPr>
                <w:sz w:val="20"/>
                <w:szCs w:val="20"/>
                <w:color w:val="auto"/>
              </w:rPr>
            </w:pPr>
            <w:r>
              <w:rPr>
                <w:rFonts w:ascii="Arial" w:cs="Arial" w:eastAsia="Arial" w:hAnsi="Arial"/>
                <w:sz w:val="16"/>
                <w:szCs w:val="16"/>
                <w:b w:val="1"/>
                <w:bCs w:val="1"/>
                <w:color w:val="auto"/>
              </w:rPr>
              <w:t>[*CTR]</w:t>
            </w:r>
          </w:p>
        </w:tc>
        <w:tc>
          <w:tcPr>
            <w:tcW w:w="1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20" w:type="dxa"/>
            <w:vAlign w:val="bottom"/>
            <w:tcBorders>
              <w:bottom w:val="single" w:sz="8" w:color="C1C1C1"/>
            </w:tcBorders>
            <w:shd w:val="clear" w:color="auto" w:fill="C1C1C1"/>
          </w:tcPr>
          <w:p>
            <w:pPr>
              <w:spacing w:after="0"/>
              <w:rPr>
                <w:sz w:val="13"/>
                <w:szCs w:val="13"/>
                <w:color w:val="auto"/>
              </w:rPr>
            </w:pPr>
          </w:p>
        </w:tc>
        <w:tc>
          <w:tcPr>
            <w:tcW w:w="240" w:type="dxa"/>
            <w:vAlign w:val="bottom"/>
            <w:tcBorders>
              <w:bottom w:val="single" w:sz="8" w:color="C1C1C1"/>
              <w:right w:val="single" w:sz="8" w:color="auto"/>
            </w:tcBorders>
            <w:shd w:val="clear" w:color="auto" w:fill="C1C1C1"/>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9"/>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728"/>
        </w:trPr>
        <w:tc>
          <w:tcPr>
            <w:tcW w:w="7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SA-11</w:t>
            </w:r>
          </w:p>
        </w:tc>
        <w:tc>
          <w:tcPr>
            <w:tcW w:w="8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Page 1</w:t>
            </w:r>
          </w:p>
        </w:tc>
        <w:tc>
          <w:tcPr>
            <w:tcW w:w="1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AAL-LA-1802262, 787-8, [*CTR], 108818-1F.txt</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00"/>
          </w:cols>
          <w:pgMar w:left="240" w:top="120" w:right="759" w:bottom="1440" w:gutter="0" w:footer="0" w:header="0"/>
          <w:type w:val="continuous"/>
        </w:sectPr>
      </w:pPr>
    </w:p>
    <w:bookmarkStart w:id="196" w:name="page197"/>
    <w:bookmarkEnd w:id="196"/>
    <w:p>
      <w:pPr>
        <w:jc w:val="center"/>
        <w:ind w:right="-519"/>
        <w:spacing w:after="0"/>
        <w:rPr>
          <w:sz w:val="20"/>
          <w:szCs w:val="20"/>
          <w:color w:val="auto"/>
        </w:rPr>
      </w:pPr>
      <w:r>
        <w:rPr>
          <w:rFonts w:ascii="Arial" w:cs="Arial" w:eastAsia="Arial" w:hAnsi="Arial"/>
          <w:sz w:val="22"/>
          <w:szCs w:val="22"/>
          <w:b w:val="1"/>
          <w:bCs w:val="1"/>
          <w:color w:val="auto"/>
        </w:rPr>
        <w:t>Attachment A To</w:t>
      </w:r>
    </w:p>
    <w:p>
      <w:pPr>
        <w:spacing w:after="0" w:line="30"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Letter Agreement No. AAL-03219-LA-1802262</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310" w:type="dxa"/>
        <w:tblCellMar>
          <w:top w:w="0" w:type="dxa"/>
          <w:left w:w="0" w:type="dxa"/>
          <w:bottom w:w="0" w:type="dxa"/>
          <w:right w:w="0" w:type="dxa"/>
        </w:tblCellMar>
      </w:tblPr>
      <w:tr>
        <w:trPr>
          <w:trHeight w:val="217"/>
        </w:trPr>
        <w:tc>
          <w:tcPr>
            <w:tcW w:w="780" w:type="dxa"/>
            <w:vAlign w:val="bottom"/>
            <w:tcBorders>
              <w:top w:val="single" w:sz="8" w:color="auto"/>
              <w:left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shd w:val="clear" w:color="auto" w:fill="C1C1C1"/>
          </w:tcPr>
          <w:p>
            <w:pPr>
              <w:spacing w:after="0"/>
              <w:rPr>
                <w:sz w:val="18"/>
                <w:szCs w:val="18"/>
                <w:color w:val="auto"/>
              </w:rPr>
            </w:pPr>
          </w:p>
        </w:tc>
        <w:tc>
          <w:tcPr>
            <w:tcW w:w="240" w:type="dxa"/>
            <w:vAlign w:val="bottom"/>
            <w:tcBorders>
              <w:top w:val="single" w:sz="8" w:color="auto"/>
              <w:right w:val="single" w:sz="8" w:color="auto"/>
            </w:tcBorders>
            <w:shd w:val="clear" w:color="auto" w:fill="C1C1C1"/>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52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87"/>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Escalation Factor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820" w:type="dxa"/>
            <w:vAlign w:val="bottom"/>
            <w:shd w:val="clear" w:color="auto" w:fill="C1C1C1"/>
          </w:tcPr>
          <w:p>
            <w:pPr>
              <w:spacing w:after="0"/>
              <w:rPr>
                <w:sz w:val="16"/>
                <w:szCs w:val="16"/>
                <w:color w:val="auto"/>
              </w:rPr>
            </w:pPr>
          </w:p>
        </w:tc>
        <w:tc>
          <w:tcPr>
            <w:tcW w:w="240" w:type="dxa"/>
            <w:vAlign w:val="bottom"/>
            <w:tcBorders>
              <w:right w:val="single" w:sz="8" w:color="auto"/>
            </w:tcBorders>
            <w:shd w:val="clear" w:color="auto" w:fill="C1C1C1"/>
          </w:tcPr>
          <w:p>
            <w:pPr>
              <w:spacing w:after="0"/>
              <w:rPr>
                <w:sz w:val="16"/>
                <w:szCs w:val="16"/>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jc w:val="center"/>
              <w:ind w:right="186"/>
              <w:spacing w:after="0"/>
              <w:rPr>
                <w:sz w:val="20"/>
                <w:szCs w:val="20"/>
                <w:color w:val="auto"/>
              </w:rPr>
            </w:pPr>
            <w:r>
              <w:rPr>
                <w:rFonts w:ascii="Arial" w:cs="Arial" w:eastAsia="Arial" w:hAnsi="Arial"/>
                <w:sz w:val="16"/>
                <w:szCs w:val="16"/>
                <w:b w:val="1"/>
                <w:bCs w:val="1"/>
                <w:color w:val="auto"/>
                <w:w w:val="90"/>
              </w:rPr>
              <w:t>Delivery):</w:t>
            </w: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7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820" w:type="dxa"/>
            <w:vAlign w:val="bottom"/>
            <w:tcBorders>
              <w:bottom w:val="single" w:sz="8" w:color="C1C1C1"/>
            </w:tcBorders>
            <w:vMerge w:val="restart"/>
            <w:shd w:val="clear" w:color="auto" w:fill="C1C1C1"/>
          </w:tcPr>
          <w:p>
            <w:pPr>
              <w:jc w:val="center"/>
              <w:ind w:left="127"/>
              <w:spacing w:after="0" w:line="180" w:lineRule="exact"/>
              <w:rPr>
                <w:sz w:val="20"/>
                <w:szCs w:val="20"/>
                <w:color w:val="auto"/>
              </w:rPr>
            </w:pPr>
            <w:r>
              <w:rPr>
                <w:rFonts w:ascii="Arial" w:cs="Arial" w:eastAsia="Arial" w:hAnsi="Arial"/>
                <w:sz w:val="16"/>
                <w:szCs w:val="16"/>
                <w:b w:val="1"/>
                <w:bCs w:val="1"/>
                <w:color w:val="auto"/>
              </w:rPr>
              <w:t>[*CTR]</w:t>
            </w:r>
          </w:p>
        </w:tc>
        <w:tc>
          <w:tcPr>
            <w:tcW w:w="240" w:type="dxa"/>
            <w:vAlign w:val="bottom"/>
            <w:tcBorders>
              <w:bottom w:val="single" w:sz="8" w:color="C1C1C1"/>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vMerge w:val="restart"/>
          </w:tcPr>
          <w:p>
            <w:pPr>
              <w:jc w:val="center"/>
              <w:spacing w:after="0" w:line="180" w:lineRule="exact"/>
              <w:rPr>
                <w:sz w:val="20"/>
                <w:szCs w:val="20"/>
                <w:color w:val="auto"/>
              </w:rPr>
            </w:pPr>
            <w:r>
              <w:rPr>
                <w:rFonts w:ascii="Arial" w:cs="Arial" w:eastAsia="Arial" w:hAnsi="Arial"/>
                <w:sz w:val="16"/>
                <w:szCs w:val="16"/>
                <w:b w:val="1"/>
                <w:bCs w:val="1"/>
                <w:color w:val="auto"/>
                <w:w w:val="85"/>
              </w:rPr>
              <w:t>Payment Base</w:t>
            </w: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(Airframe)</w:t>
            </w:r>
          </w:p>
        </w:tc>
        <w:tc>
          <w:tcPr>
            <w:tcW w:w="960" w:type="dxa"/>
            <w:vAlign w:val="bottom"/>
            <w:tcBorders>
              <w:right w:val="single" w:sz="8" w:color="auto"/>
            </w:tcBorders>
            <w:vMerge w:val="continue"/>
          </w:tcPr>
          <w:p>
            <w:pPr>
              <w:spacing w:after="0"/>
              <w:rPr>
                <w:sz w:val="5"/>
                <w:szCs w:val="5"/>
                <w:color w:val="auto"/>
              </w:rPr>
            </w:pPr>
          </w:p>
        </w:tc>
        <w:tc>
          <w:tcPr>
            <w:tcW w:w="820" w:type="dxa"/>
            <w:vAlign w:val="bottom"/>
            <w:vMerge w:val="continue"/>
            <w:shd w:val="clear" w:color="auto" w:fill="C1C1C1"/>
          </w:tcPr>
          <w:p>
            <w:pPr>
              <w:spacing w:after="0"/>
              <w:rPr>
                <w:sz w:val="5"/>
                <w:szCs w:val="5"/>
                <w:color w:val="auto"/>
              </w:rPr>
            </w:pPr>
          </w:p>
        </w:tc>
        <w:tc>
          <w:tcPr>
            <w:tcW w:w="240" w:type="dxa"/>
            <w:vAlign w:val="bottom"/>
            <w:tcBorders>
              <w:right w:val="single" w:sz="8" w:color="auto"/>
            </w:tcBorders>
            <w:shd w:val="clear" w:color="auto" w:fill="C1C1C1"/>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vMerge w:val="restart"/>
          </w:tcPr>
          <w:p>
            <w:pPr>
              <w:jc w:val="center"/>
              <w:ind w:left="45"/>
              <w:spacing w:after="0"/>
              <w:rPr>
                <w:sz w:val="20"/>
                <w:szCs w:val="20"/>
                <w:color w:val="auto"/>
              </w:rPr>
            </w:pPr>
            <w:r>
              <w:rPr>
                <w:rFonts w:ascii="Arial" w:cs="Arial" w:eastAsia="Arial" w:hAnsi="Arial"/>
                <w:sz w:val="16"/>
                <w:szCs w:val="16"/>
                <w:b w:val="1"/>
                <w:bCs w:val="1"/>
                <w:color w:val="auto"/>
                <w:w w:val="87"/>
              </w:rPr>
              <w:t>At Signing</w:t>
            </w:r>
          </w:p>
        </w:tc>
        <w:tc>
          <w:tcPr>
            <w:tcW w:w="1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02"/>
        </w:trPr>
        <w:tc>
          <w:tcPr>
            <w:tcW w:w="7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restart"/>
          </w:tcPr>
          <w:p>
            <w:pPr>
              <w:jc w:val="center"/>
              <w:spacing w:after="0" w:line="159" w:lineRule="exact"/>
              <w:rPr>
                <w:sz w:val="20"/>
                <w:szCs w:val="20"/>
                <w:color w:val="auto"/>
              </w:rPr>
            </w:pPr>
            <w:r>
              <w:rPr>
                <w:rFonts w:ascii="Arial" w:cs="Arial" w:eastAsia="Arial" w:hAnsi="Arial"/>
                <w:sz w:val="14"/>
                <w:szCs w:val="14"/>
                <w:b w:val="1"/>
                <w:bCs w:val="1"/>
                <w:color w:val="auto"/>
                <w:w w:val="92"/>
              </w:rPr>
              <w:t>(Engine)</w:t>
            </w:r>
          </w:p>
        </w:tc>
        <w:tc>
          <w:tcPr>
            <w:tcW w:w="820" w:type="dxa"/>
            <w:vAlign w:val="bottom"/>
            <w:shd w:val="clear" w:color="auto" w:fill="C1C1C1"/>
          </w:tcPr>
          <w:p>
            <w:pPr>
              <w:spacing w:after="0"/>
              <w:rPr>
                <w:sz w:val="8"/>
                <w:szCs w:val="8"/>
                <w:color w:val="auto"/>
              </w:rPr>
            </w:pPr>
          </w:p>
        </w:tc>
        <w:tc>
          <w:tcPr>
            <w:tcW w:w="240" w:type="dxa"/>
            <w:vAlign w:val="bottom"/>
            <w:tcBorders>
              <w:right w:val="single" w:sz="8" w:color="auto"/>
            </w:tcBorders>
            <w:shd w:val="clear" w:color="auto" w:fill="C1C1C1"/>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[*CTR]</w:t>
            </w: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820" w:type="dxa"/>
            <w:vAlign w:val="bottom"/>
            <w:shd w:val="clear" w:color="auto" w:fill="C1C1C1"/>
          </w:tcPr>
          <w:p>
            <w:pPr>
              <w:spacing w:after="0"/>
              <w:rPr>
                <w:sz w:val="5"/>
                <w:szCs w:val="5"/>
                <w:color w:val="auto"/>
              </w:rPr>
            </w:pPr>
          </w:p>
        </w:tc>
        <w:tc>
          <w:tcPr>
            <w:tcW w:w="240" w:type="dxa"/>
            <w:vAlign w:val="bottom"/>
            <w:tcBorders>
              <w:right w:val="single" w:sz="8" w:color="auto"/>
            </w:tcBorders>
            <w:shd w:val="clear" w:color="auto" w:fill="C1C1C1"/>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820" w:type="dxa"/>
            <w:vAlign w:val="bottom"/>
            <w:shd w:val="clear" w:color="auto" w:fill="C1C1C1"/>
          </w:tcPr>
          <w:p>
            <w:pPr>
              <w:spacing w:after="0"/>
              <w:rPr>
                <w:sz w:val="9"/>
                <w:szCs w:val="9"/>
                <w:color w:val="auto"/>
              </w:rPr>
            </w:pPr>
          </w:p>
        </w:tc>
        <w:tc>
          <w:tcPr>
            <w:tcW w:w="240" w:type="dxa"/>
            <w:vAlign w:val="bottom"/>
            <w:tcBorders>
              <w:right w:val="single" w:sz="8" w:color="auto"/>
            </w:tcBorders>
            <w:shd w:val="clear" w:color="auto" w:fill="C1C1C1"/>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820" w:type="dxa"/>
            <w:vAlign w:val="bottom"/>
            <w:vMerge w:val="restart"/>
          </w:tcPr>
          <w:p>
            <w:pPr>
              <w:jc w:val="center"/>
              <w:ind w:left="45"/>
              <w:spacing w:after="0"/>
              <w:rPr>
                <w:sz w:val="20"/>
                <w:szCs w:val="20"/>
                <w:color w:val="auto"/>
              </w:rPr>
            </w:pPr>
            <w:r>
              <w:rPr>
                <w:rFonts w:ascii="Arial" w:cs="Arial" w:eastAsia="Arial" w:hAnsi="Arial"/>
                <w:sz w:val="16"/>
                <w:szCs w:val="16"/>
                <w:b w:val="1"/>
                <w:bCs w:val="1"/>
                <w:color w:val="auto"/>
              </w:rPr>
              <w:t>[*CTR]</w:t>
            </w:r>
          </w:p>
        </w:tc>
        <w:tc>
          <w:tcPr>
            <w:tcW w:w="1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20" w:type="dxa"/>
            <w:vAlign w:val="bottom"/>
            <w:tcBorders>
              <w:bottom w:val="single" w:sz="8" w:color="C1C1C1"/>
            </w:tcBorders>
            <w:shd w:val="clear" w:color="auto" w:fill="C1C1C1"/>
          </w:tcPr>
          <w:p>
            <w:pPr>
              <w:spacing w:after="0"/>
              <w:rPr>
                <w:sz w:val="13"/>
                <w:szCs w:val="13"/>
                <w:color w:val="auto"/>
              </w:rPr>
            </w:pPr>
          </w:p>
        </w:tc>
        <w:tc>
          <w:tcPr>
            <w:tcW w:w="240" w:type="dxa"/>
            <w:vAlign w:val="bottom"/>
            <w:tcBorders>
              <w:bottom w:val="single" w:sz="8" w:color="C1C1C1"/>
              <w:right w:val="single" w:sz="8" w:color="auto"/>
            </w:tcBorders>
            <w:shd w:val="clear" w:color="auto" w:fill="C1C1C1"/>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7"/>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5"/>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4"/>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bottom w:val="single" w:sz="8" w:color="D0CECE"/>
            </w:tcBorders>
            <w:shd w:val="clear" w:color="auto" w:fill="D0CECE"/>
          </w:tcPr>
          <w:p>
            <w:pPr>
              <w:jc w:val="center"/>
              <w:ind w:left="127"/>
              <w:spacing w:after="0"/>
              <w:rPr>
                <w:sz w:val="20"/>
                <w:szCs w:val="20"/>
                <w:color w:val="auto"/>
              </w:rPr>
            </w:pPr>
            <w:r>
              <w:rPr>
                <w:rFonts w:ascii="Arial" w:cs="Arial" w:eastAsia="Arial" w:hAnsi="Arial"/>
                <w:sz w:val="14"/>
                <w:szCs w:val="14"/>
                <w:color w:val="auto"/>
                <w:w w:val="99"/>
              </w:rPr>
              <w:t>[*CTR]</w:t>
            </w:r>
          </w:p>
        </w:tc>
        <w:tc>
          <w:tcPr>
            <w:tcW w:w="240" w:type="dxa"/>
            <w:vAlign w:val="bottom"/>
            <w:tcBorders>
              <w:top w:val="single" w:sz="8" w:color="auto"/>
              <w:bottom w:val="single" w:sz="8" w:color="D0CECE"/>
              <w:right w:val="single" w:sz="8" w:color="auto"/>
            </w:tcBorders>
            <w:shd w:val="clear" w:color="auto" w:fill="D0CECE"/>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20" w:type="dxa"/>
            <w:vAlign w:val="bottom"/>
            <w:tcBorders>
              <w:top w:val="single" w:sz="8" w:color="auto"/>
            </w:tcBorders>
          </w:tcPr>
          <w:p>
            <w:pPr>
              <w:jc w:val="center"/>
              <w:ind w:left="45"/>
              <w:spacing w:after="0"/>
              <w:rPr>
                <w:sz w:val="20"/>
                <w:szCs w:val="20"/>
                <w:color w:val="auto"/>
              </w:rPr>
            </w:pPr>
            <w:r>
              <w:rPr>
                <w:rFonts w:ascii="Arial" w:cs="Arial" w:eastAsia="Arial" w:hAnsi="Arial"/>
                <w:sz w:val="14"/>
                <w:szCs w:val="14"/>
                <w:color w:val="auto"/>
              </w:rPr>
              <w:t>$[*CTR]</w:t>
            </w:r>
          </w:p>
        </w:tc>
        <w:tc>
          <w:tcPr>
            <w:tcW w:w="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$[*CTR]</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$[*CTR]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72"/>
        </w:trPr>
        <w:tc>
          <w:tcPr>
            <w:tcW w:w="7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89"/>
              </w:rPr>
              <w:t>Total:</w:t>
            </w:r>
          </w:p>
        </w:tc>
        <w:tc>
          <w:tcPr>
            <w:tcW w:w="960" w:type="dxa"/>
            <w:vAlign w:val="bottom"/>
            <w:tcBorders>
              <w:top w:val="single" w:sz="8" w:color="auto"/>
            </w:tcBorders>
          </w:tcPr>
          <w:p>
            <w:pPr>
              <w:jc w:val="right"/>
              <w:ind w:right="628"/>
              <w:spacing w:after="0"/>
              <w:rPr>
                <w:sz w:val="20"/>
                <w:szCs w:val="20"/>
                <w:color w:val="auto"/>
              </w:rPr>
            </w:pPr>
            <w:r>
              <w:rPr>
                <w:rFonts w:ascii="Arial" w:cs="Arial" w:eastAsia="Arial" w:hAnsi="Arial"/>
                <w:sz w:val="16"/>
                <w:szCs w:val="16"/>
                <w:color w:val="auto"/>
              </w:rPr>
              <w:t>14</w:t>
            </w:r>
          </w:p>
        </w:tc>
        <w:tc>
          <w:tcPr>
            <w:tcW w:w="1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6"/>
        </w:trPr>
        <w:tc>
          <w:tcPr>
            <w:tcW w:w="3880" w:type="dxa"/>
            <w:vAlign w:val="bottom"/>
            <w:gridSpan w:val="4"/>
          </w:tcPr>
          <w:p>
            <w:pPr>
              <w:ind w:left="40"/>
              <w:spacing w:after="0"/>
              <w:rPr>
                <w:sz w:val="20"/>
                <w:szCs w:val="20"/>
                <w:color w:val="auto"/>
              </w:rPr>
            </w:pPr>
            <w:r>
              <w:rPr>
                <w:rFonts w:ascii="Arial" w:cs="Arial" w:eastAsia="Arial" w:hAnsi="Arial"/>
                <w:sz w:val="16"/>
                <w:szCs w:val="16"/>
                <w:color w:val="auto"/>
              </w:rPr>
              <w:t xml:space="preserve">Note: Each </w:t>
            </w:r>
            <w:r>
              <w:rPr>
                <w:rFonts w:ascii="Arial" w:cs="Arial" w:eastAsia="Arial" w:hAnsi="Arial"/>
                <w:sz w:val="14"/>
                <w:szCs w:val="14"/>
                <w:color w:val="auto"/>
              </w:rPr>
              <w:t>[*CTR]</w:t>
            </w:r>
            <w:r>
              <w:rPr>
                <w:rFonts w:ascii="Arial" w:cs="Arial" w:eastAsia="Arial" w:hAnsi="Arial"/>
                <w:sz w:val="16"/>
                <w:szCs w:val="16"/>
                <w:color w:val="auto"/>
              </w:rPr>
              <w:t xml:space="preserve"> represents the </w:t>
            </w:r>
            <w:r>
              <w:rPr>
                <w:rFonts w:ascii="Arial" w:cs="Arial" w:eastAsia="Arial" w:hAnsi="Arial"/>
                <w:sz w:val="14"/>
                <w:szCs w:val="14"/>
                <w:color w:val="auto"/>
              </w:rPr>
              <w:t>[*CTR]</w:t>
            </w:r>
            <w:r>
              <w:rPr>
                <w:rFonts w:ascii="Arial" w:cs="Arial" w:eastAsia="Arial" w:hAnsi="Arial"/>
                <w:sz w:val="16"/>
                <w:szCs w:val="16"/>
                <w:color w:val="auto"/>
              </w:rPr>
              <w:t xml:space="preserve">: </w:t>
            </w:r>
            <w:r>
              <w:rPr>
                <w:rFonts w:ascii="Arial" w:cs="Arial" w:eastAsia="Arial" w:hAnsi="Arial"/>
                <w:sz w:val="14"/>
                <w:szCs w:val="14"/>
                <w:color w:val="auto"/>
              </w:rPr>
              <w:t>[*CTR]</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SA-11</w:t>
            </w:r>
          </w:p>
        </w:tc>
        <w:tc>
          <w:tcPr>
            <w:tcW w:w="8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Page 2</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AAL-LA-1802262, 787-8, [*CTR], 108818-1F.txt</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00"/>
          </w:cols>
          <w:pgMar w:left="240" w:top="120" w:right="759" w:bottom="1440" w:gutter="0" w:footer="0" w:header="0"/>
        </w:sectPr>
      </w:pPr>
    </w:p>
    <w:bookmarkStart w:id="197" w:name="page198"/>
    <w:bookmarkEnd w:id="197"/>
    <w:p>
      <w:pPr>
        <w:jc w:val="center"/>
        <w:ind w:right="-399"/>
        <w:spacing w:after="0"/>
        <w:rPr>
          <w:sz w:val="20"/>
          <w:szCs w:val="20"/>
          <w:color w:val="auto"/>
        </w:rPr>
      </w:pPr>
      <w:r>
        <w:rPr>
          <w:rFonts w:ascii="Arial" w:cs="Arial" w:eastAsia="Arial" w:hAnsi="Arial"/>
          <w:sz w:val="22"/>
          <w:szCs w:val="22"/>
          <w:b w:val="1"/>
          <w:bCs w:val="1"/>
          <w:color w:val="auto"/>
        </w:rPr>
        <w:t>Attachment B To</w:t>
      </w:r>
    </w:p>
    <w:p>
      <w:pPr>
        <w:spacing w:after="0" w:line="30"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Letter Agreement No. AAL-03219-LA-1802262</w:t>
      </w:r>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20"/>
          <w:szCs w:val="20"/>
          <w:b w:val="1"/>
          <w:bCs w:val="1"/>
          <w:color w:val="auto"/>
        </w:rPr>
        <w:t>[*CTR] Aircraft Delivery, Description, Price and Advance Payments</w:t>
      </w:r>
    </w:p>
    <w:p>
      <w:pPr>
        <w:sectPr>
          <w:pgSz w:w="11900" w:h="16838" w:orient="portrait"/>
          <w:cols w:equalWidth="0" w:num="1">
            <w:col w:w="11020"/>
          </w:cols>
          <w:pgMar w:left="240" w:top="120" w:right="6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80"/>
        <w:spacing w:after="0"/>
        <w:tabs>
          <w:tab w:leader="none" w:pos="1920" w:val="left"/>
          <w:tab w:leader="none" w:pos="2540" w:val="left"/>
          <w:tab w:leader="none" w:pos="3560" w:val="left"/>
          <w:tab w:leader="none" w:pos="4900" w:val="left"/>
        </w:tabs>
        <w:rPr>
          <w:sz w:val="20"/>
          <w:szCs w:val="20"/>
          <w:color w:val="auto"/>
        </w:rPr>
      </w:pPr>
      <w:r>
        <w:rPr>
          <w:rFonts w:ascii="Arial" w:cs="Arial" w:eastAsia="Arial" w:hAnsi="Arial"/>
          <w:sz w:val="14"/>
          <w:szCs w:val="14"/>
          <w:b w:val="1"/>
          <w:bCs w:val="1"/>
          <w:color w:val="auto"/>
        </w:rPr>
        <w:t>Airframe Model/MTOW:</w:t>
      </w:r>
      <w:r>
        <w:rPr>
          <w:sz w:val="20"/>
          <w:szCs w:val="20"/>
          <w:color w:val="auto"/>
        </w:rPr>
        <w:tab/>
      </w:r>
      <w:r>
        <w:rPr>
          <w:rFonts w:ascii="Arial" w:cs="Arial" w:eastAsia="Arial" w:hAnsi="Arial"/>
          <w:sz w:val="14"/>
          <w:szCs w:val="14"/>
          <w:color w:val="auto"/>
        </w:rPr>
        <w:t>787-8</w:t>
      </w:r>
      <w:r>
        <w:rPr>
          <w:sz w:val="20"/>
          <w:szCs w:val="20"/>
          <w:color w:val="auto"/>
        </w:rPr>
        <w:tab/>
      </w:r>
      <w:r>
        <w:rPr>
          <w:rFonts w:ascii="Arial" w:cs="Arial" w:eastAsia="Arial" w:hAnsi="Arial"/>
          <w:sz w:val="14"/>
          <w:szCs w:val="14"/>
          <w:color w:val="auto"/>
        </w:rPr>
        <w:t>[*CTR] pounds</w:t>
      </w:r>
      <w:r>
        <w:rPr>
          <w:sz w:val="20"/>
          <w:szCs w:val="20"/>
          <w:color w:val="auto"/>
        </w:rPr>
        <w:tab/>
      </w:r>
      <w:r>
        <w:rPr>
          <w:rFonts w:ascii="Arial" w:cs="Arial" w:eastAsia="Arial" w:hAnsi="Arial"/>
          <w:sz w:val="14"/>
          <w:szCs w:val="14"/>
          <w:b w:val="1"/>
          <w:bCs w:val="1"/>
          <w:color w:val="auto"/>
        </w:rPr>
        <w:t>Detail Specification:</w:t>
      </w:r>
      <w:r>
        <w:rPr>
          <w:sz w:val="20"/>
          <w:szCs w:val="20"/>
          <w:color w:val="auto"/>
        </w:rPr>
        <w:tab/>
      </w:r>
      <w:r>
        <w:rPr>
          <w:rFonts w:ascii="Arial" w:cs="Arial" w:eastAsia="Arial" w:hAnsi="Arial"/>
          <w:sz w:val="14"/>
          <w:szCs w:val="14"/>
          <w:color w:val="auto"/>
        </w:rPr>
        <w:t>[*CTR]</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6"/>
                <w:szCs w:val="16"/>
                <w:b w:val="1"/>
                <w:bCs w:val="1"/>
                <w:color w:val="auto"/>
              </w:rPr>
              <w:t>Engine Model/Thrust:</w:t>
            </w:r>
          </w:p>
        </w:tc>
        <w:tc>
          <w:tcPr>
            <w:tcW w:w="1940" w:type="dxa"/>
            <w:vAlign w:val="bottom"/>
            <w:gridSpan w:val="4"/>
          </w:tcPr>
          <w:p>
            <w:pPr>
              <w:jc w:val="right"/>
              <w:ind w:right="40"/>
              <w:spacing w:after="0"/>
              <w:rPr>
                <w:sz w:val="20"/>
                <w:szCs w:val="20"/>
                <w:color w:val="auto"/>
              </w:rPr>
            </w:pPr>
            <w:r>
              <w:rPr>
                <w:rFonts w:ascii="Arial" w:cs="Arial" w:eastAsia="Arial" w:hAnsi="Arial"/>
                <w:sz w:val="16"/>
                <w:szCs w:val="16"/>
                <w:color w:val="auto"/>
                <w:w w:val="99"/>
              </w:rPr>
              <w:t xml:space="preserve">GENX-1B70  </w:t>
            </w:r>
            <w:r>
              <w:rPr>
                <w:rFonts w:ascii="Arial" w:cs="Arial" w:eastAsia="Arial" w:hAnsi="Arial"/>
                <w:sz w:val="14"/>
                <w:szCs w:val="14"/>
                <w:color w:val="auto"/>
                <w:w w:val="99"/>
              </w:rPr>
              <w:t>[*CTR] pounds</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0"/>
                <w:szCs w:val="20"/>
                <w:color w:val="auto"/>
              </w:rPr>
            </w:pPr>
            <w:r>
              <w:rPr>
                <w:rFonts w:ascii="Arial" w:cs="Arial" w:eastAsia="Arial" w:hAnsi="Arial"/>
                <w:sz w:val="16"/>
                <w:szCs w:val="16"/>
                <w:b w:val="1"/>
                <w:bCs w:val="1"/>
                <w:color w:val="auto"/>
              </w:rPr>
              <w:t>Airframe Price:</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317"/>
        </w:trPr>
        <w:tc>
          <w:tcPr>
            <w:tcW w:w="1960" w:type="dxa"/>
            <w:vAlign w:val="bottom"/>
          </w:tcPr>
          <w:p>
            <w:pPr>
              <w:spacing w:after="0"/>
              <w:rPr>
                <w:sz w:val="20"/>
                <w:szCs w:val="20"/>
                <w:color w:val="auto"/>
              </w:rPr>
            </w:pPr>
            <w:r>
              <w:rPr>
                <w:rFonts w:ascii="Arial" w:cs="Arial" w:eastAsia="Arial" w:hAnsi="Arial"/>
                <w:sz w:val="16"/>
                <w:szCs w:val="16"/>
                <w:b w:val="1"/>
                <w:bCs w:val="1"/>
                <w:color w:val="auto"/>
              </w:rPr>
              <w:t>Optional Features: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auto"/>
                <w:w w:val="98"/>
              </w:rPr>
              <w:t>Sub-Total of Airframe and</w:t>
            </w: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33"/>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auto"/>
              </w:rPr>
              <w:t>Features:</w:t>
            </w: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9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1960" w:type="dxa"/>
            <w:vAlign w:val="bottom"/>
          </w:tcPr>
          <w:p>
            <w:pPr>
              <w:spacing w:after="0"/>
              <w:rPr>
                <w:sz w:val="20"/>
                <w:szCs w:val="20"/>
                <w:color w:val="auto"/>
              </w:rPr>
            </w:pPr>
            <w:r>
              <w:rPr>
                <w:rFonts w:ascii="Arial" w:cs="Arial" w:eastAsia="Arial" w:hAnsi="Arial"/>
                <w:sz w:val="16"/>
                <w:szCs w:val="16"/>
                <w:b w:val="1"/>
                <w:bCs w:val="1"/>
                <w:color w:val="auto"/>
                <w:w w:val="94"/>
              </w:rPr>
              <w:t>Engine Price (Per Aircraft):</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46"/>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rPr>
              <w:t>Aircraft Basic Price (Excluding BFE/SPE):</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38"/>
        </w:trPr>
        <w:tc>
          <w:tcPr>
            <w:tcW w:w="1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w w:val="94"/>
              </w:rPr>
              <w:t>Buyer Furnished Equipment (BFE) Estimate:</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8"/>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w w:val="93"/>
              </w:rPr>
              <w:t>//Seller Purchased Equipment (SPE)/In-Flight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33"/>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auto"/>
              </w:rPr>
              <w:t>Entertai</w:t>
            </w: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9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w w:val="98"/>
              </w:rPr>
              <w:t>LIFT Seats Provided by Boeing (Estimate):</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81"/>
        </w:trPr>
        <w:tc>
          <w:tcPr>
            <w:tcW w:w="1960" w:type="dxa"/>
            <w:vAlign w:val="bottom"/>
          </w:tcPr>
          <w:p>
            <w:pPr>
              <w:spacing w:after="0"/>
              <w:rPr>
                <w:sz w:val="20"/>
                <w:szCs w:val="20"/>
                <w:color w:val="auto"/>
              </w:rPr>
            </w:pPr>
            <w:r>
              <w:rPr>
                <w:rFonts w:ascii="Arial" w:cs="Arial" w:eastAsia="Arial" w:hAnsi="Arial"/>
                <w:sz w:val="16"/>
                <w:szCs w:val="16"/>
                <w:b w:val="1"/>
                <w:bCs w:val="1"/>
                <w:color w:val="auto"/>
              </w:rPr>
              <w:t>Deposit per Aircraft:</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[*CTR]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w w:val="97"/>
              </w:rPr>
              <w:t>Airframe Price Base Year/Escalation</w:t>
            </w:r>
          </w:p>
        </w:tc>
        <w:tc>
          <w:tcPr>
            <w:tcW w:w="760" w:type="dxa"/>
            <w:vAlign w:val="bottom"/>
            <w:vMerge w:val="restart"/>
          </w:tcPr>
          <w:p>
            <w:pPr>
              <w:ind w:left="300"/>
              <w:spacing w:after="0"/>
              <w:rPr>
                <w:sz w:val="20"/>
                <w:szCs w:val="20"/>
                <w:color w:val="auto"/>
              </w:rPr>
            </w:pPr>
            <w:r>
              <w:rPr>
                <w:rFonts w:ascii="Arial" w:cs="Arial" w:eastAsia="Arial" w:hAnsi="Arial"/>
                <w:sz w:val="14"/>
                <w:szCs w:val="14"/>
                <w:color w:val="auto"/>
              </w:rPr>
              <w:t>[*CTR]</w:t>
            </w:r>
          </w:p>
        </w:tc>
        <w:tc>
          <w:tcPr>
            <w:tcW w:w="1880" w:type="dxa"/>
            <w:vAlign w:val="bottom"/>
            <w:vMerge w:val="restart"/>
          </w:tcPr>
          <w:p>
            <w:pPr>
              <w:ind w:left="1440"/>
              <w:spacing w:after="0"/>
              <w:rPr>
                <w:sz w:val="20"/>
                <w:szCs w:val="20"/>
                <w:color w:val="auto"/>
              </w:rPr>
            </w:pPr>
            <w:r>
              <w:rPr>
                <w:rFonts w:ascii="Arial" w:cs="Arial" w:eastAsia="Arial" w:hAnsi="Arial"/>
                <w:sz w:val="14"/>
                <w:szCs w:val="14"/>
                <w:color w:val="auto"/>
                <w:w w:val="99"/>
              </w:rPr>
              <w:t>[*CTR]</w:t>
            </w:r>
          </w:p>
        </w:tc>
        <w:tc>
          <w:tcPr>
            <w:tcW w:w="0" w:type="dxa"/>
            <w:vAlign w:val="bottom"/>
          </w:tcPr>
          <w:p>
            <w:pPr>
              <w:spacing w:after="0"/>
              <w:rPr>
                <w:sz w:val="1"/>
                <w:szCs w:val="1"/>
                <w:color w:val="auto"/>
              </w:rPr>
            </w:pPr>
          </w:p>
        </w:tc>
      </w:tr>
      <w:tr>
        <w:trPr>
          <w:trHeight w:val="94"/>
        </w:trPr>
        <w:tc>
          <w:tcPr>
            <w:tcW w:w="2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Formula:</w:t>
            </w:r>
          </w:p>
        </w:tc>
        <w:tc>
          <w:tcPr>
            <w:tcW w:w="76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72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Engine Price Base Year/Escalation</w:t>
            </w:r>
          </w:p>
        </w:tc>
        <w:tc>
          <w:tcPr>
            <w:tcW w:w="760" w:type="dxa"/>
            <w:vAlign w:val="bottom"/>
            <w:vMerge w:val="restart"/>
          </w:tcPr>
          <w:p>
            <w:pPr>
              <w:ind w:left="300"/>
              <w:spacing w:after="0"/>
              <w:rPr>
                <w:sz w:val="20"/>
                <w:szCs w:val="20"/>
                <w:color w:val="auto"/>
              </w:rPr>
            </w:pPr>
            <w:r>
              <w:rPr>
                <w:rFonts w:ascii="Arial" w:cs="Arial" w:eastAsia="Arial" w:hAnsi="Arial"/>
                <w:sz w:val="14"/>
                <w:szCs w:val="14"/>
                <w:color w:val="auto"/>
              </w:rPr>
              <w:t>[*CTR]</w:t>
            </w:r>
          </w:p>
        </w:tc>
        <w:tc>
          <w:tcPr>
            <w:tcW w:w="1880" w:type="dxa"/>
            <w:vAlign w:val="bottom"/>
            <w:vMerge w:val="restart"/>
          </w:tcPr>
          <w:p>
            <w:pPr>
              <w:ind w:left="1440"/>
              <w:spacing w:after="0"/>
              <w:rPr>
                <w:sz w:val="20"/>
                <w:szCs w:val="20"/>
                <w:color w:val="auto"/>
              </w:rPr>
            </w:pPr>
            <w:r>
              <w:rPr>
                <w:rFonts w:ascii="Arial" w:cs="Arial" w:eastAsia="Arial" w:hAnsi="Arial"/>
                <w:sz w:val="14"/>
                <w:szCs w:val="14"/>
                <w:color w:val="auto"/>
                <w:w w:val="99"/>
              </w:rPr>
              <w:t>[*CTR]</w:t>
            </w:r>
          </w:p>
        </w:tc>
        <w:tc>
          <w:tcPr>
            <w:tcW w:w="0" w:type="dxa"/>
            <w:vAlign w:val="bottom"/>
          </w:tcPr>
          <w:p>
            <w:pPr>
              <w:spacing w:after="0"/>
              <w:rPr>
                <w:sz w:val="1"/>
                <w:szCs w:val="1"/>
                <w:color w:val="auto"/>
              </w:rPr>
            </w:pPr>
          </w:p>
        </w:tc>
      </w:tr>
      <w:tr>
        <w:trPr>
          <w:trHeight w:val="94"/>
        </w:trPr>
        <w:tc>
          <w:tcPr>
            <w:tcW w:w="2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Formula:</w:t>
            </w:r>
          </w:p>
        </w:tc>
        <w:tc>
          <w:tcPr>
            <w:tcW w:w="76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72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Airframe Escalation Data:</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76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81"/>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76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46"/>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Engine Escalation Data:</w:t>
            </w:r>
          </w:p>
        </w:tc>
        <w:tc>
          <w:tcPr>
            <w:tcW w:w="7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1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2"/>
              </w:rPr>
              <w:t>Base Year Index (ECI):</w:t>
            </w:r>
          </w:p>
        </w:tc>
        <w:tc>
          <w:tcPr>
            <w:tcW w:w="11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421"/>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76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bl>
    <w:p>
      <w:pPr>
        <w:spacing w:after="0" w:line="527" w:lineRule="exact"/>
        <w:rPr>
          <w:sz w:val="20"/>
          <w:szCs w:val="20"/>
          <w:color w:val="auto"/>
        </w:rPr>
      </w:pPr>
    </w:p>
    <w:p>
      <w:pPr>
        <w:sectPr>
          <w:pgSz w:w="11900" w:h="16838" w:orient="portrait"/>
          <w:cols w:equalWidth="0" w:num="2">
            <w:col w:w="5360" w:space="140"/>
            <w:col w:w="5520"/>
          </w:cols>
          <w:pgMar w:left="240" w:top="120" w:right="639" w:bottom="1440" w:gutter="0" w:footer="0" w:header="0"/>
          <w:type w:val="continuous"/>
        </w:sectPr>
      </w:pPr>
    </w:p>
    <w:p>
      <w:pPr>
        <w:spacing w:after="0" w:line="13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0" w:type="dxa"/>
            <w:vAlign w:val="bottom"/>
            <w:tcBorders>
              <w:top w:val="single" w:sz="8" w:color="auto"/>
              <w:right w:val="single" w:sz="8" w:color="auto"/>
            </w:tcBorders>
            <w:shd w:val="clear" w:color="auto" w:fill="000000"/>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1080" w:type="dxa"/>
            <w:vAlign w:val="bottom"/>
            <w:tcBorders>
              <w:top w:val="single" w:sz="8" w:color="auto"/>
              <w:right w:val="single" w:sz="8" w:color="auto"/>
            </w:tcBorders>
            <w:shd w:val="clear" w:color="auto" w:fill="C1C1C1"/>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4600" w:type="dxa"/>
            <w:vAlign w:val="bottom"/>
            <w:tcBorders>
              <w:top w:val="single" w:sz="8" w:color="auto"/>
              <w:right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8"/>
              </w:rPr>
              <w:t>Advance Payment Per Aircraft (Amts. Due/Mos. Prior to Delivery):</w:t>
            </w:r>
          </w:p>
        </w:tc>
        <w:tc>
          <w:tcPr>
            <w:tcW w:w="0" w:type="dxa"/>
            <w:vAlign w:val="bottom"/>
          </w:tcPr>
          <w:p>
            <w:pPr>
              <w:spacing w:after="0"/>
              <w:rPr>
                <w:sz w:val="1"/>
                <w:szCs w:val="1"/>
                <w:color w:val="auto"/>
              </w:rPr>
            </w:pPr>
          </w:p>
        </w:tc>
      </w:tr>
      <w:tr>
        <w:trPr>
          <w:trHeight w:val="71"/>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Escalation Factor</w:t>
            </w:r>
          </w:p>
        </w:tc>
        <w:tc>
          <w:tcPr>
            <w:tcW w:w="980" w:type="dxa"/>
            <w:vAlign w:val="bottom"/>
            <w:tcBorders>
              <w:right w:val="single" w:sz="8" w:color="auto"/>
            </w:tcBorders>
            <w:vMerge w:val="continue"/>
          </w:tcPr>
          <w:p>
            <w:pPr>
              <w:spacing w:after="0"/>
              <w:rPr>
                <w:sz w:val="6"/>
                <w:szCs w:val="6"/>
                <w:color w:val="auto"/>
              </w:rPr>
            </w:pPr>
          </w:p>
        </w:tc>
        <w:tc>
          <w:tcPr>
            <w:tcW w:w="108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Estimate Adv</w:t>
            </w: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0" w:type="dxa"/>
            <w:vAlign w:val="bottom"/>
            <w:tcBorders>
              <w:right w:val="single" w:sz="8" w:color="auto"/>
            </w:tcBorders>
            <w:shd w:val="clear" w:color="auto" w:fill="000000"/>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080" w:type="dxa"/>
            <w:vAlign w:val="bottom"/>
            <w:tcBorders>
              <w:right w:val="single" w:sz="8" w:color="auto"/>
            </w:tcBorders>
            <w:shd w:val="clear" w:color="auto" w:fill="C1C1C1"/>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At Signing</w:t>
            </w:r>
          </w:p>
        </w:tc>
        <w:tc>
          <w:tcPr>
            <w:tcW w:w="8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shd w:val="clear" w:color="auto" w:fill="000000"/>
          </w:tcPr>
          <w:p>
            <w:pPr>
              <w:spacing w:after="0"/>
              <w:rPr>
                <w:sz w:val="7"/>
                <w:szCs w:val="7"/>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9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shd w:val="clear" w:color="auto" w:fill="C1C1C1"/>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Payment Base</w:t>
            </w:r>
          </w:p>
        </w:tc>
        <w:tc>
          <w:tcPr>
            <w:tcW w:w="9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shd w:val="clear" w:color="auto" w:fill="000000"/>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080" w:type="dxa"/>
            <w:vAlign w:val="bottom"/>
            <w:tcBorders>
              <w:right w:val="single" w:sz="8" w:color="auto"/>
            </w:tcBorders>
            <w:shd w:val="clear" w:color="auto" w:fill="C1C1C1"/>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40" w:type="dxa"/>
            <w:vAlign w:val="bottom"/>
            <w:tcBorders>
              <w:right w:val="single" w:sz="8" w:color="auto"/>
            </w:tcBorders>
            <w:shd w:val="clear" w:color="auto" w:fill="000000"/>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880" w:type="dxa"/>
            <w:vAlign w:val="bottom"/>
            <w:tcBorders>
              <w:right w:val="single" w:sz="8" w:color="auto"/>
            </w:tcBorders>
            <w:vMerge w:val="continue"/>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980" w:type="dxa"/>
            <w:vAlign w:val="bottom"/>
            <w:tcBorders>
              <w:right w:val="single" w:sz="8" w:color="auto"/>
            </w:tcBorders>
            <w:vMerge w:val="continue"/>
          </w:tcPr>
          <w:p>
            <w:pPr>
              <w:spacing w:after="0"/>
              <w:rPr>
                <w:sz w:val="3"/>
                <w:szCs w:val="3"/>
                <w:color w:val="auto"/>
              </w:rPr>
            </w:pPr>
          </w:p>
        </w:tc>
        <w:tc>
          <w:tcPr>
            <w:tcW w:w="1080" w:type="dxa"/>
            <w:vAlign w:val="bottom"/>
            <w:tcBorders>
              <w:right w:val="single" w:sz="8" w:color="auto"/>
            </w:tcBorders>
            <w:shd w:val="clear" w:color="auto" w:fill="C1C1C1"/>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860" w:type="dxa"/>
            <w:vAlign w:val="bottom"/>
            <w:tcBorders>
              <w:right w:val="single" w:sz="8" w:color="auto"/>
            </w:tcBorders>
            <w:vMerge w:val="continue"/>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line="20" w:lineRule="exact"/>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Price Per A/P</w:t>
            </w:r>
          </w:p>
        </w:tc>
        <w:tc>
          <w:tcPr>
            <w:tcW w:w="9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shd w:val="clear" w:color="auto" w:fill="000000"/>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shd w:val="clear" w:color="auto" w:fill="C1C1C1"/>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08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080" w:type="dxa"/>
            <w:vAlign w:val="bottom"/>
            <w:tcBorders>
              <w:top w:val="single" w:sz="8" w:color="auto"/>
              <w:bottom w:val="single" w:sz="8" w:color="C1C1C1"/>
              <w:right w:val="single" w:sz="8" w:color="auto"/>
            </w:tcBorders>
            <w:shd w:val="clear" w:color="auto" w:fill="C1C1C1"/>
          </w:tcPr>
          <w:p>
            <w:pPr>
              <w:spacing w:after="0"/>
              <w:rPr>
                <w:sz w:val="17"/>
                <w:szCs w:val="17"/>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40"/>
        <w:spacing w:after="0"/>
        <w:tabs>
          <w:tab w:leader="none" w:pos="7200" w:val="left"/>
        </w:tabs>
        <w:rPr>
          <w:sz w:val="20"/>
          <w:szCs w:val="20"/>
          <w:color w:val="auto"/>
        </w:rPr>
      </w:pPr>
      <w:r>
        <w:rPr>
          <w:rFonts w:ascii="Arial" w:cs="Arial" w:eastAsia="Arial" w:hAnsi="Arial"/>
          <w:sz w:val="16"/>
          <w:szCs w:val="16"/>
          <w:color w:val="auto"/>
        </w:rPr>
        <w:t>SA-11</w:t>
      </w:r>
      <w:r>
        <w:rPr>
          <w:sz w:val="20"/>
          <w:szCs w:val="20"/>
          <w:color w:val="auto"/>
        </w:rPr>
        <w:tab/>
      </w:r>
      <w:r>
        <w:rPr>
          <w:rFonts w:ascii="Arial" w:cs="Arial" w:eastAsia="Arial" w:hAnsi="Arial"/>
          <w:sz w:val="14"/>
          <w:szCs w:val="14"/>
          <w:color w:val="auto"/>
        </w:rPr>
        <w:t>Page 1</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AAL-LA-1802262, 787-8, [*CTR], 108818-1F.txt</w:t>
      </w:r>
    </w:p>
    <w:p>
      <w:pPr>
        <w:spacing w:after="0" w:line="3"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020"/>
          </w:cols>
          <w:pgMar w:left="240" w:top="120" w:right="639" w:bottom="1440" w:gutter="0" w:footer="0" w:header="0"/>
          <w:type w:val="continuous"/>
        </w:sectPr>
      </w:pPr>
    </w:p>
    <w:bookmarkStart w:id="198" w:name="page199"/>
    <w:bookmarkEnd w:id="198"/>
    <w:p>
      <w:pPr>
        <w:jc w:val="center"/>
        <w:ind w:right="-399"/>
        <w:spacing w:after="0"/>
        <w:rPr>
          <w:sz w:val="20"/>
          <w:szCs w:val="20"/>
          <w:color w:val="auto"/>
        </w:rPr>
      </w:pPr>
      <w:r>
        <w:rPr>
          <w:rFonts w:ascii="Arial" w:cs="Arial" w:eastAsia="Arial" w:hAnsi="Arial"/>
          <w:sz w:val="22"/>
          <w:szCs w:val="22"/>
          <w:b w:val="1"/>
          <w:bCs w:val="1"/>
          <w:color w:val="auto"/>
        </w:rPr>
        <w:t>Attachment B To</w:t>
      </w:r>
    </w:p>
    <w:p>
      <w:pPr>
        <w:spacing w:after="0" w:line="30"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Letter Agreement No. AAL-03219-LA-1802262</w:t>
      </w:r>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230" w:type="dxa"/>
        <w:tblCellMar>
          <w:top w:w="0" w:type="dxa"/>
          <w:left w:w="0" w:type="dxa"/>
          <w:bottom w:w="0" w:type="dxa"/>
          <w:right w:w="0" w:type="dxa"/>
        </w:tblCellMar>
      </w:tblPr>
      <w:tr>
        <w:trPr>
          <w:trHeight w:val="210"/>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1100" w:type="dxa"/>
            <w:vAlign w:val="bottom"/>
            <w:tcBorders>
              <w:top w:val="single" w:sz="8" w:color="auto"/>
              <w:right w:val="single" w:sz="8" w:color="auto"/>
            </w:tcBorders>
            <w:shd w:val="clear" w:color="auto" w:fill="C1C1C1"/>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460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8"/>
              </w:rPr>
              <w:t>Advance Payment Per Aircraft (Amts. Due/Mos. Prior to Delivery):</w:t>
            </w:r>
          </w:p>
        </w:tc>
        <w:tc>
          <w:tcPr>
            <w:tcW w:w="0" w:type="dxa"/>
            <w:vAlign w:val="bottom"/>
          </w:tcPr>
          <w:p>
            <w:pPr>
              <w:spacing w:after="0"/>
              <w:rPr>
                <w:sz w:val="1"/>
                <w:szCs w:val="1"/>
                <w:color w:val="auto"/>
              </w:rPr>
            </w:pPr>
          </w:p>
        </w:tc>
      </w:tr>
      <w:tr>
        <w:trPr>
          <w:trHeight w:val="71"/>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Delivery</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Escalation Factor</w:t>
            </w:r>
          </w:p>
        </w:tc>
        <w:tc>
          <w:tcPr>
            <w:tcW w:w="960" w:type="dxa"/>
            <w:vAlign w:val="bottom"/>
            <w:tcBorders>
              <w:right w:val="single" w:sz="8" w:color="auto"/>
            </w:tcBorders>
            <w:vMerge w:val="continue"/>
          </w:tcPr>
          <w:p>
            <w:pPr>
              <w:spacing w:after="0"/>
              <w:rPr>
                <w:sz w:val="6"/>
                <w:szCs w:val="6"/>
                <w:color w:val="auto"/>
              </w:rPr>
            </w:pPr>
          </w:p>
        </w:tc>
        <w:tc>
          <w:tcPr>
            <w:tcW w:w="110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Estimate Adv</w:t>
            </w:r>
          </w:p>
        </w:tc>
        <w:tc>
          <w:tcPr>
            <w:tcW w:w="8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900" w:type="dxa"/>
            <w:vAlign w:val="bottom"/>
            <w:tcBorders>
              <w:left w:val="single" w:sz="8" w:color="auto"/>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100" w:type="dxa"/>
            <w:vAlign w:val="bottom"/>
            <w:tcBorders>
              <w:right w:val="single" w:sz="8" w:color="auto"/>
            </w:tcBorders>
            <w:shd w:val="clear" w:color="auto" w:fill="C1C1C1"/>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80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auto"/>
                <w:w w:val="88"/>
              </w:rPr>
              <w:t>At Signing</w:t>
            </w:r>
          </w:p>
        </w:tc>
        <w:tc>
          <w:tcPr>
            <w:tcW w:w="1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9"/>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Aircraft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(Airframe)</w:t>
            </w:r>
          </w:p>
        </w:tc>
        <w:tc>
          <w:tcPr>
            <w:tcW w:w="9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shd w:val="clear" w:color="auto" w:fill="C1C1C1"/>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Payment Base</w:t>
            </w:r>
          </w:p>
        </w:tc>
        <w:tc>
          <w:tcPr>
            <w:tcW w:w="80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900" w:type="dxa"/>
            <w:vAlign w:val="bottom"/>
            <w:tcBorders>
              <w:left w:val="single" w:sz="8" w:color="auto"/>
              <w:right w:val="single" w:sz="8" w:color="auto"/>
            </w:tcBorders>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100" w:type="dxa"/>
            <w:vAlign w:val="bottom"/>
            <w:tcBorders>
              <w:right w:val="single" w:sz="8" w:color="auto"/>
            </w:tcBorders>
            <w:shd w:val="clear" w:color="auto" w:fill="C1C1C1"/>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90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100" w:type="dxa"/>
            <w:vAlign w:val="bottom"/>
            <w:tcBorders>
              <w:right w:val="single" w:sz="8" w:color="auto"/>
            </w:tcBorders>
            <w:shd w:val="clear" w:color="auto" w:fill="C1C1C1"/>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80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auto"/>
              </w:rPr>
              <w:t>[*CTR]</w:t>
            </w:r>
          </w:p>
        </w:tc>
        <w:tc>
          <w:tcPr>
            <w:tcW w:w="1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line="20" w:lineRule="exact"/>
              <w:rPr>
                <w:sz w:val="1"/>
                <w:szCs w:val="1"/>
                <w:color w:val="auto"/>
              </w:rPr>
            </w:pPr>
          </w:p>
        </w:tc>
      </w:tr>
      <w:tr>
        <w:trPr>
          <w:trHeight w:val="94"/>
        </w:trPr>
        <w:tc>
          <w:tcPr>
            <w:tcW w:w="90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shd w:val="clear" w:color="auto" w:fill="C1C1C1"/>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80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shd w:val="clear" w:color="auto" w:fill="C1C1C1"/>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900" w:type="dxa"/>
            <w:vAlign w:val="bottom"/>
            <w:tcBorders>
              <w:left w:val="single" w:sz="8" w:color="auto"/>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100" w:type="dxa"/>
            <w:vAlign w:val="bottom"/>
            <w:tcBorders>
              <w:bottom w:val="single" w:sz="8" w:color="C1C1C1"/>
              <w:right w:val="single" w:sz="8" w:color="auto"/>
            </w:tcBorders>
            <w:shd w:val="clear" w:color="auto" w:fill="C1C1C1"/>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0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800" w:type="dxa"/>
            <w:vAlign w:val="bottom"/>
            <w:tcBorders>
              <w:top w:val="single" w:sz="8" w:color="auto"/>
            </w:tcBorders>
          </w:tcPr>
          <w:p>
            <w:pPr>
              <w:jc w:val="center"/>
              <w:ind w:left="70"/>
              <w:spacing w:after="0"/>
              <w:rPr>
                <w:sz w:val="20"/>
                <w:szCs w:val="20"/>
                <w:color w:val="auto"/>
              </w:rPr>
            </w:pPr>
            <w:r>
              <w:rPr>
                <w:rFonts w:ascii="Arial" w:cs="Arial" w:eastAsia="Arial" w:hAnsi="Arial"/>
                <w:sz w:val="14"/>
                <w:szCs w:val="14"/>
                <w:color w:val="auto"/>
              </w:rPr>
              <w:t>$[*CTR]</w:t>
            </w:r>
          </w:p>
        </w:tc>
        <w:tc>
          <w:tcPr>
            <w:tcW w:w="1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72"/>
        </w:trPr>
        <w:tc>
          <w:tcPr>
            <w:tcW w:w="90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w w:val="99"/>
              </w:rPr>
              <w:t>Total:</w:t>
            </w:r>
          </w:p>
        </w:tc>
        <w:tc>
          <w:tcPr>
            <w:tcW w:w="860" w:type="dxa"/>
            <w:vAlign w:val="bottom"/>
            <w:tcBorders>
              <w:top w:val="single" w:sz="8" w:color="auto"/>
            </w:tcBorders>
          </w:tcPr>
          <w:p>
            <w:pPr>
              <w:jc w:val="right"/>
              <w:ind w:right="568"/>
              <w:spacing w:after="0"/>
              <w:rPr>
                <w:sz w:val="20"/>
                <w:szCs w:val="20"/>
                <w:color w:val="auto"/>
              </w:rPr>
            </w:pPr>
            <w:r>
              <w:rPr>
                <w:rFonts w:ascii="Arial" w:cs="Arial" w:eastAsia="Arial" w:hAnsi="Arial"/>
                <w:sz w:val="16"/>
                <w:szCs w:val="16"/>
                <w:color w:val="auto"/>
              </w:rPr>
              <w:t>14</w:t>
            </w:r>
          </w:p>
        </w:tc>
        <w:tc>
          <w:tcPr>
            <w:tcW w:w="1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6"/>
        </w:trPr>
        <w:tc>
          <w:tcPr>
            <w:tcW w:w="3920" w:type="dxa"/>
            <w:vAlign w:val="bottom"/>
            <w:gridSpan w:val="4"/>
          </w:tcPr>
          <w:p>
            <w:pPr>
              <w:ind w:left="60"/>
              <w:spacing w:after="0"/>
              <w:rPr>
                <w:sz w:val="20"/>
                <w:szCs w:val="20"/>
                <w:color w:val="auto"/>
              </w:rPr>
            </w:pPr>
            <w:r>
              <w:rPr>
                <w:rFonts w:ascii="Arial" w:cs="Arial" w:eastAsia="Arial" w:hAnsi="Arial"/>
                <w:sz w:val="16"/>
                <w:szCs w:val="16"/>
                <w:color w:val="auto"/>
              </w:rPr>
              <w:t>Note: Each [*CTR] represents the [*CTR]: [*CTR]</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gridSpan w:val="2"/>
          </w:tcPr>
          <w:p>
            <w:pPr>
              <w:ind w:left="900"/>
              <w:spacing w:after="0"/>
              <w:rPr>
                <w:sz w:val="20"/>
                <w:szCs w:val="20"/>
                <w:color w:val="auto"/>
              </w:rPr>
            </w:pPr>
            <w:r>
              <w:rPr>
                <w:rFonts w:ascii="Arial" w:cs="Arial" w:eastAsia="Arial" w:hAnsi="Arial"/>
                <w:sz w:val="16"/>
                <w:szCs w:val="16"/>
                <w:color w:val="auto"/>
              </w:rPr>
              <w:t>SA-11</w:t>
            </w:r>
          </w:p>
        </w:tc>
        <w:tc>
          <w:tcPr>
            <w:tcW w:w="8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Page 2</w:t>
            </w: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AAL-LA-1802262, 787-8, [*CTR], 108818-1F.txt</w:t>
      </w:r>
    </w:p>
    <w:p>
      <w:pPr>
        <w:spacing w:after="0" w:line="3"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020"/>
          </w:cols>
          <w:pgMar w:left="240" w:top="120" w:right="639" w:bottom="1440" w:gutter="0" w:footer="0" w:header="0"/>
        </w:sectPr>
      </w:pPr>
    </w:p>
    <w:bookmarkStart w:id="199" w:name="page200"/>
    <w:bookmarkEnd w:id="199"/>
    <w:p>
      <w:pPr>
        <w:ind w:left="5046"/>
        <w:spacing w:after="0"/>
        <w:rPr>
          <w:sz w:val="20"/>
          <w:szCs w:val="20"/>
          <w:color w:val="auto"/>
        </w:rPr>
      </w:pPr>
      <w:r>
        <w:rPr>
          <w:sz w:val="1"/>
          <w:szCs w:val="1"/>
          <w:color w:val="auto"/>
        </w:rPr>
        <w:drawing>
          <wp:inline distT="0" distB="0" distL="0" distR="0">
            <wp:extent cx="1396365" cy="31178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11"/>
          <w:szCs w:val="11"/>
          <w:color w:val="auto"/>
        </w:rPr>
        <w:t>The Boeing Company</w:t>
      </w:r>
    </w:p>
    <w:p>
      <w:pPr>
        <w:spacing w:after="0" w:line="24"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6"/>
        <w:spacing w:after="0"/>
        <w:rPr>
          <w:sz w:val="20"/>
          <w:szCs w:val="20"/>
          <w:color w:val="auto"/>
        </w:rPr>
      </w:pPr>
      <w:r>
        <w:rPr>
          <w:rFonts w:ascii="Arial" w:cs="Arial" w:eastAsia="Arial" w:hAnsi="Arial"/>
          <w:sz w:val="11"/>
          <w:szCs w:val="11"/>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7290435"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29043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Arial" w:cs="Arial" w:eastAsia="Arial" w:hAnsi="Arial"/>
          <w:sz w:val="19"/>
          <w:szCs w:val="19"/>
          <w:color w:val="auto"/>
        </w:rPr>
        <w:t>AAL-PA-3219-LA-1802492</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Texas 75261-9616</w:t>
      </w:r>
    </w:p>
    <w:p>
      <w:pPr>
        <w:spacing w:after="0" w:line="200" w:lineRule="exact"/>
        <w:rPr>
          <w:sz w:val="20"/>
          <w:szCs w:val="20"/>
          <w:color w:val="auto"/>
        </w:rPr>
      </w:pPr>
    </w:p>
    <w:p>
      <w:pPr>
        <w:spacing w:after="0" w:line="232" w:lineRule="exact"/>
        <w:rPr>
          <w:sz w:val="20"/>
          <w:szCs w:val="20"/>
          <w:color w:val="auto"/>
        </w:rPr>
      </w:pPr>
    </w:p>
    <w:p>
      <w:pPr>
        <w:ind w:left="6"/>
        <w:spacing w:after="0"/>
        <w:tabs>
          <w:tab w:leader="none" w:pos="786" w:val="left"/>
        </w:tabs>
        <w:rPr>
          <w:sz w:val="20"/>
          <w:szCs w:val="20"/>
          <w:color w:val="auto"/>
        </w:rPr>
      </w:pPr>
      <w:r>
        <w:rPr>
          <w:rFonts w:ascii="Arial" w:cs="Arial" w:eastAsia="Arial" w:hAnsi="Arial"/>
          <w:sz w:val="19"/>
          <w:szCs w:val="19"/>
          <w:color w:val="auto"/>
        </w:rPr>
        <w:t>Subject:</w:t>
      </w:r>
      <w:r>
        <w:rPr>
          <w:sz w:val="20"/>
          <w:szCs w:val="20"/>
          <w:color w:val="auto"/>
        </w:rPr>
        <w:tab/>
      </w:r>
      <w:r>
        <w:rPr>
          <w:rFonts w:ascii="Arial" w:cs="Arial" w:eastAsia="Arial" w:hAnsi="Arial"/>
          <w:sz w:val="17"/>
          <w:szCs w:val="17"/>
          <w:color w:val="auto"/>
        </w:rPr>
        <w:t>Open Configuration Matters</w:t>
      </w:r>
    </w:p>
    <w:p>
      <w:pPr>
        <w:spacing w:after="0" w:line="226" w:lineRule="exact"/>
        <w:rPr>
          <w:sz w:val="20"/>
          <w:szCs w:val="20"/>
          <w:color w:val="auto"/>
        </w:rPr>
      </w:pPr>
    </w:p>
    <w:p>
      <w:pPr>
        <w:ind w:left="6"/>
        <w:spacing w:after="0"/>
        <w:tabs>
          <w:tab w:leader="none" w:pos="1106"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Purchase Agreement 3219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between The Boeing Company (</w:t>
      </w:r>
      <w:r>
        <w:rPr>
          <w:rFonts w:ascii="Arial" w:cs="Arial" w:eastAsia="Arial" w:hAnsi="Arial"/>
          <w:sz w:val="17"/>
          <w:szCs w:val="17"/>
          <w:b w:val="1"/>
          <w:bCs w:val="1"/>
          <w:i w:val="1"/>
          <w:iCs w:val="1"/>
          <w:color w:val="auto"/>
        </w:rPr>
        <w:t>Boeing</w:t>
      </w:r>
      <w:r>
        <w:rPr>
          <w:rFonts w:ascii="Arial" w:cs="Arial" w:eastAsia="Arial" w:hAnsi="Arial"/>
          <w:sz w:val="17"/>
          <w:szCs w:val="17"/>
          <w:color w:val="auto"/>
        </w:rPr>
        <w:t>) and American Airlines, Inc. (</w:t>
      </w:r>
      <w:r>
        <w:rPr>
          <w:rFonts w:ascii="Arial" w:cs="Arial" w:eastAsia="Arial" w:hAnsi="Arial"/>
          <w:sz w:val="17"/>
          <w:szCs w:val="17"/>
          <w:b w:val="1"/>
          <w:bCs w:val="1"/>
          <w:i w:val="1"/>
          <w:iCs w:val="1"/>
          <w:color w:val="auto"/>
        </w:rPr>
        <w:t>Customer</w:t>
      </w:r>
      <w:r>
        <w:rPr>
          <w:rFonts w:ascii="Arial" w:cs="Arial" w:eastAsia="Arial" w:hAnsi="Arial"/>
          <w:sz w:val="17"/>
          <w:szCs w:val="17"/>
          <w:color w:val="auto"/>
        </w:rPr>
        <w:t>)</w:t>
      </w:r>
    </w:p>
    <w:p>
      <w:pPr>
        <w:spacing w:after="0" w:line="43" w:lineRule="exact"/>
        <w:rPr>
          <w:sz w:val="20"/>
          <w:szCs w:val="20"/>
          <w:color w:val="auto"/>
        </w:rPr>
      </w:pPr>
    </w:p>
    <w:p>
      <w:pPr>
        <w:ind w:left="1126"/>
        <w:spacing w:after="0"/>
        <w:rPr>
          <w:sz w:val="20"/>
          <w:szCs w:val="20"/>
          <w:color w:val="auto"/>
        </w:rPr>
      </w:pPr>
      <w:r>
        <w:rPr>
          <w:rFonts w:ascii="Arial" w:cs="Arial" w:eastAsia="Arial" w:hAnsi="Arial"/>
          <w:sz w:val="19"/>
          <w:szCs w:val="19"/>
          <w:color w:val="auto"/>
        </w:rPr>
        <w:t>relating to Model 787 aircraft (</w:t>
      </w:r>
      <w:r>
        <w:rPr>
          <w:rFonts w:ascii="Arial" w:cs="Arial" w:eastAsia="Arial" w:hAnsi="Arial"/>
          <w:sz w:val="19"/>
          <w:szCs w:val="19"/>
          <w:b w:val="1"/>
          <w:bCs w:val="1"/>
          <w:i w:val="1"/>
          <w:iCs w:val="1"/>
          <w:color w:val="auto"/>
        </w:rPr>
        <w:t>Aircraf</w:t>
      </w:r>
      <w:r>
        <w:rPr>
          <w:rFonts w:ascii="Arial" w:cs="Arial" w:eastAsia="Arial" w:hAnsi="Arial"/>
          <w:sz w:val="19"/>
          <w:szCs w:val="19"/>
          <w:i w:val="1"/>
          <w:iCs w:val="1"/>
          <w:color w:val="auto"/>
        </w:rPr>
        <w:t>t</w:t>
      </w:r>
      <w:r>
        <w:rPr>
          <w:rFonts w:ascii="Arial" w:cs="Arial" w:eastAsia="Arial" w:hAnsi="Arial"/>
          <w:sz w:val="19"/>
          <w:szCs w:val="19"/>
          <w:color w:val="auto"/>
        </w:rPr>
        <w:t>)</w:t>
      </w:r>
    </w:p>
    <w:p>
      <w:pPr>
        <w:spacing w:after="0" w:line="210" w:lineRule="exact"/>
        <w:rPr>
          <w:sz w:val="20"/>
          <w:szCs w:val="20"/>
          <w:color w:val="auto"/>
        </w:rPr>
      </w:pPr>
    </w:p>
    <w:p>
      <w:pPr>
        <w:ind w:left="6" w:right="20"/>
        <w:spacing w:after="0" w:line="266" w:lineRule="auto"/>
        <w:rPr>
          <w:sz w:val="20"/>
          <w:szCs w:val="20"/>
          <w:color w:val="auto"/>
        </w:rPr>
      </w:pPr>
      <w:r>
        <w:rPr>
          <w:rFonts w:ascii="Arial" w:cs="Arial" w:eastAsia="Arial" w:hAnsi="Arial"/>
          <w:sz w:val="19"/>
          <w:szCs w:val="19"/>
          <w:color w:val="auto"/>
        </w:rPr>
        <w:t>This Letter Agreement amends the Purchase Agreement. All terms used but not defined in this Letter Agreement have the same meaning as in the Purchase Agreement.</w:t>
      </w:r>
    </w:p>
    <w:p>
      <w:pPr>
        <w:spacing w:after="0" w:line="147" w:lineRule="exact"/>
        <w:rPr>
          <w:sz w:val="20"/>
          <w:szCs w:val="20"/>
          <w:color w:val="auto"/>
        </w:rPr>
      </w:pPr>
    </w:p>
    <w:p>
      <w:pPr>
        <w:ind w:left="566" w:hanging="566"/>
        <w:spacing w:after="0"/>
        <w:tabs>
          <w:tab w:leader="none" w:pos="56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Aircraft Configuration</w:t>
      </w:r>
      <w:r>
        <w:rPr>
          <w:rFonts w:ascii="Arial" w:cs="Arial" w:eastAsia="Arial" w:hAnsi="Arial"/>
          <w:sz w:val="19"/>
          <w:szCs w:val="19"/>
          <w:color w:val="auto"/>
        </w:rPr>
        <w:t>.</w:t>
      </w:r>
    </w:p>
    <w:p>
      <w:pPr>
        <w:spacing w:after="0" w:line="200" w:lineRule="exact"/>
        <w:rPr>
          <w:sz w:val="20"/>
          <w:szCs w:val="20"/>
          <w:color w:val="auto"/>
        </w:rPr>
      </w:pPr>
    </w:p>
    <w:p>
      <w:pPr>
        <w:spacing w:after="0" w:line="213" w:lineRule="exact"/>
        <w:rPr>
          <w:sz w:val="20"/>
          <w:szCs w:val="20"/>
          <w:color w:val="auto"/>
        </w:rPr>
      </w:pPr>
    </w:p>
    <w:p>
      <w:pPr>
        <w:jc w:val="both"/>
        <w:ind w:left="6" w:firstLine="561"/>
        <w:spacing w:after="0" w:line="25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[*CTR]</w:t>
      </w:r>
      <w:r>
        <w:rPr>
          <w:rFonts w:ascii="Arial" w:cs="Arial" w:eastAsia="Arial" w:hAnsi="Arial"/>
          <w:sz w:val="19"/>
          <w:szCs w:val="19"/>
          <w:color w:val="auto"/>
        </w:rPr>
        <w:t>. The initial configuration of Customer's Model 787-8 Aircraft has been defined by [*CTR] as described in Article 1 and Exhibit A2(R4) of the Purchase Agreement as modified by Boeing document number [*CTR] (</w:t>
      </w:r>
      <w:r>
        <w:rPr>
          <w:rFonts w:ascii="Arial" w:cs="Arial" w:eastAsia="Arial" w:hAnsi="Arial"/>
          <w:sz w:val="19"/>
          <w:szCs w:val="19"/>
          <w:b w:val="1"/>
          <w:bCs w:val="1"/>
          <w:i w:val="1"/>
          <w:iCs w:val="1"/>
          <w:color w:val="auto"/>
        </w:rPr>
        <w:t>787-8 Aircraft Configuration</w:t>
      </w:r>
      <w:r>
        <w:rPr>
          <w:rFonts w:ascii="Arial" w:cs="Arial" w:eastAsia="Arial" w:hAnsi="Arial"/>
          <w:sz w:val="19"/>
          <w:szCs w:val="19"/>
          <w:color w:val="auto"/>
        </w:rPr>
        <w:t>). Given the [*CTR]. Boeing and Customer agree to [*CTR] attached hereto as Attachment A [*CTR] in order to [*CTR]. Such [*CTR] by the mutual agreement of the parties. The [*CTR].</w:t>
      </w:r>
    </w:p>
    <w:p>
      <w:pPr>
        <w:spacing w:after="0" w:line="382" w:lineRule="exact"/>
        <w:rPr>
          <w:sz w:val="20"/>
          <w:szCs w:val="20"/>
          <w:color w:val="auto"/>
        </w:rPr>
      </w:pPr>
    </w:p>
    <w:p>
      <w:pPr>
        <w:jc w:val="both"/>
        <w:ind w:left="6" w:firstLine="561"/>
        <w:spacing w:after="0" w:line="26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[*CTR]</w:t>
      </w:r>
      <w:r>
        <w:rPr>
          <w:rFonts w:ascii="Arial" w:cs="Arial" w:eastAsia="Arial" w:hAnsi="Arial"/>
          <w:sz w:val="19"/>
          <w:szCs w:val="19"/>
          <w:color w:val="auto"/>
        </w:rPr>
        <w:t>. The initial configuration of Customer's Model 787-9 Aircraft has been defined by [*CTR] as described in Article 1 and Exhibit A(R3) of the Purchase Agreement as modified by [*CTR] (</w:t>
      </w:r>
      <w:r>
        <w:rPr>
          <w:rFonts w:ascii="Arial" w:cs="Arial" w:eastAsia="Arial" w:hAnsi="Arial"/>
          <w:sz w:val="19"/>
          <w:szCs w:val="19"/>
          <w:b w:val="1"/>
          <w:bCs w:val="1"/>
          <w:i w:val="1"/>
          <w:iCs w:val="1"/>
          <w:color w:val="auto"/>
        </w:rPr>
        <w:t>787-9 Aircraft Configuration</w:t>
      </w:r>
      <w:r>
        <w:rPr>
          <w:rFonts w:ascii="Arial" w:cs="Arial" w:eastAsia="Arial" w:hAnsi="Arial"/>
          <w:sz w:val="19"/>
          <w:szCs w:val="19"/>
          <w:color w:val="auto"/>
        </w:rPr>
        <w:t>). Given the [*CTR] set forth in Section 6 of Supplemental Agreement No. 11. The [*CTR].</w:t>
      </w:r>
    </w:p>
    <w:p>
      <w:pPr>
        <w:spacing w:after="0" w:line="153" w:lineRule="exact"/>
        <w:rPr>
          <w:sz w:val="20"/>
          <w:szCs w:val="20"/>
          <w:color w:val="auto"/>
        </w:rPr>
      </w:pPr>
    </w:p>
    <w:p>
      <w:pPr>
        <w:ind w:left="566" w:hanging="566"/>
        <w:spacing w:after="0"/>
        <w:tabs>
          <w:tab w:leader="none" w:pos="56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Effect on Purchase Agreement</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566"/>
        <w:spacing w:after="0"/>
        <w:rPr>
          <w:rFonts w:ascii="Arial" w:cs="Arial" w:eastAsia="Arial" w:hAnsi="Arial"/>
          <w:sz w:val="19"/>
          <w:szCs w:val="19"/>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[*CTR]</w:t>
      </w:r>
      <w:r>
        <w:rPr>
          <w:rFonts w:ascii="Arial" w:cs="Arial" w:eastAsia="Arial" w:hAnsi="Arial"/>
          <w:sz w:val="19"/>
          <w:szCs w:val="19"/>
          <w:color w:val="auto"/>
        </w:rPr>
        <w:t>. Such [*CTR] by written amendment.</w:t>
      </w:r>
    </w:p>
    <w:p>
      <w:pPr>
        <w:spacing w:after="0" w:line="202" w:lineRule="exact"/>
        <w:rPr>
          <w:rFonts w:ascii="Arial" w:cs="Arial" w:eastAsia="Arial" w:hAnsi="Arial"/>
          <w:sz w:val="19"/>
          <w:szCs w:val="19"/>
          <w:color w:val="auto"/>
        </w:rPr>
      </w:pPr>
    </w:p>
    <w:p>
      <w:pPr>
        <w:ind w:left="566"/>
        <w:spacing w:after="0"/>
        <w:rPr>
          <w:rFonts w:ascii="Arial" w:cs="Arial" w:eastAsia="Arial" w:hAnsi="Arial"/>
          <w:sz w:val="19"/>
          <w:szCs w:val="19"/>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w:t>
      </w:r>
      <w:r>
        <w:rPr>
          <w:rFonts w:ascii="Arial" w:cs="Arial" w:eastAsia="Arial" w:hAnsi="Arial"/>
          <w:sz w:val="19"/>
          <w:szCs w:val="19"/>
          <w:color w:val="auto"/>
        </w:rPr>
        <w:t>*CTR</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1406"/>
        <w:spacing w:after="0"/>
        <w:rPr>
          <w:rFonts w:ascii="Arial" w:cs="Arial" w:eastAsia="Arial" w:hAnsi="Arial"/>
          <w:sz w:val="19"/>
          <w:szCs w:val="19"/>
          <w:color w:val="auto"/>
        </w:rPr>
      </w:pPr>
      <w:r>
        <w:rPr>
          <w:rFonts w:ascii="Arial" w:cs="Arial" w:eastAsia="Arial" w:hAnsi="Arial"/>
          <w:sz w:val="19"/>
          <w:szCs w:val="19"/>
          <w:color w:val="auto"/>
        </w:rPr>
        <w:t>2.2.1  [*CTR] between</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239"/>
        </w:trPr>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w w:val="99"/>
              </w:rPr>
              <w:t>2.2.1.1</w:t>
            </w:r>
          </w:p>
        </w:tc>
        <w:tc>
          <w:tcPr>
            <w:tcW w:w="1520" w:type="dxa"/>
            <w:vAlign w:val="bottom"/>
          </w:tcPr>
          <w:p>
            <w:pPr>
              <w:ind w:left="100"/>
              <w:spacing w:after="0"/>
              <w:rPr>
                <w:sz w:val="20"/>
                <w:szCs w:val="20"/>
                <w:color w:val="auto"/>
              </w:rPr>
            </w:pPr>
            <w:r>
              <w:rPr>
                <w:rFonts w:ascii="Arial" w:cs="Arial" w:eastAsia="Arial" w:hAnsi="Arial"/>
                <w:sz w:val="19"/>
                <w:szCs w:val="19"/>
                <w:color w:val="auto"/>
              </w:rPr>
              <w:t>the [*CTR]; and</w:t>
            </w:r>
          </w:p>
        </w:tc>
      </w:tr>
      <w:tr>
        <w:trPr>
          <w:trHeight w:val="421"/>
        </w:trPr>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w w:val="99"/>
              </w:rPr>
              <w:t>2.2.1.2</w:t>
            </w:r>
          </w:p>
        </w:tc>
        <w:tc>
          <w:tcPr>
            <w:tcW w:w="1520" w:type="dxa"/>
            <w:vAlign w:val="bottom"/>
          </w:tcPr>
          <w:p>
            <w:pPr>
              <w:ind w:left="100"/>
              <w:spacing w:after="0"/>
              <w:rPr>
                <w:sz w:val="20"/>
                <w:szCs w:val="20"/>
                <w:color w:val="auto"/>
              </w:rPr>
            </w:pPr>
            <w:r>
              <w:rPr>
                <w:rFonts w:ascii="Arial" w:cs="Arial" w:eastAsia="Arial" w:hAnsi="Arial"/>
                <w:sz w:val="19"/>
                <w:szCs w:val="19"/>
                <w:color w:val="auto"/>
              </w:rPr>
              <w:t>the [*CTR].</w:t>
            </w:r>
          </w:p>
        </w:tc>
      </w:tr>
      <w:tr>
        <w:trPr>
          <w:trHeight w:val="388"/>
        </w:trPr>
        <w:tc>
          <w:tcPr>
            <w:tcW w:w="1780" w:type="dxa"/>
            <w:vAlign w:val="bottom"/>
          </w:tcPr>
          <w:p>
            <w:pPr>
              <w:spacing w:after="0"/>
              <w:rPr>
                <w:sz w:val="20"/>
                <w:szCs w:val="20"/>
                <w:color w:val="auto"/>
              </w:rPr>
            </w:pPr>
            <w:r>
              <w:rPr>
                <w:rFonts w:ascii="Arial" w:cs="Arial" w:eastAsia="Arial" w:hAnsi="Arial"/>
                <w:sz w:val="16"/>
                <w:szCs w:val="16"/>
                <w:color w:val="auto"/>
              </w:rPr>
              <w:t>P.A. No. 3219</w:t>
            </w:r>
          </w:p>
        </w:tc>
        <w:tc>
          <w:tcPr>
            <w:tcW w:w="520" w:type="dxa"/>
            <w:vAlign w:val="bottom"/>
          </w:tcPr>
          <w:p>
            <w:pPr>
              <w:ind w:left="20"/>
              <w:spacing w:after="0"/>
              <w:rPr>
                <w:sz w:val="20"/>
                <w:szCs w:val="20"/>
                <w:color w:val="auto"/>
              </w:rPr>
            </w:pPr>
            <w:r>
              <w:rPr>
                <w:rFonts w:ascii="Arial" w:cs="Arial" w:eastAsia="Arial" w:hAnsi="Arial"/>
                <w:sz w:val="16"/>
                <w:szCs w:val="16"/>
                <w:color w:val="auto"/>
              </w:rPr>
              <w:t>SA-11</w:t>
            </w:r>
          </w:p>
        </w:tc>
        <w:tc>
          <w:tcPr>
            <w:tcW w:w="2180" w:type="dxa"/>
            <w:vAlign w:val="bottom"/>
            <w:gridSpan w:val="2"/>
          </w:tcPr>
          <w:p>
            <w:pPr>
              <w:ind w:left="460"/>
              <w:spacing w:after="0"/>
              <w:rPr>
                <w:sz w:val="20"/>
                <w:szCs w:val="20"/>
                <w:color w:val="auto"/>
              </w:rPr>
            </w:pPr>
            <w:r>
              <w:rPr>
                <w:rFonts w:ascii="Arial" w:cs="Arial" w:eastAsia="Arial" w:hAnsi="Arial"/>
                <w:sz w:val="16"/>
                <w:szCs w:val="16"/>
                <w:color w:val="auto"/>
                <w:w w:val="91"/>
              </w:rPr>
              <w:t>AAL-PA-3219-LA1802492</w:t>
            </w:r>
          </w:p>
        </w:tc>
      </w:tr>
      <w:tr>
        <w:trPr>
          <w:trHeight w:val="199"/>
        </w:trPr>
        <w:tc>
          <w:tcPr>
            <w:tcW w:w="1780" w:type="dxa"/>
            <w:vAlign w:val="bottom"/>
          </w:tcPr>
          <w:p>
            <w:pPr>
              <w:spacing w:after="0"/>
              <w:rPr>
                <w:sz w:val="20"/>
                <w:szCs w:val="20"/>
                <w:color w:val="auto"/>
              </w:rPr>
            </w:pPr>
            <w:r>
              <w:rPr>
                <w:rFonts w:ascii="Arial" w:cs="Arial" w:eastAsia="Arial" w:hAnsi="Arial"/>
                <w:sz w:val="16"/>
                <w:szCs w:val="16"/>
                <w:color w:val="auto"/>
                <w:w w:val="89"/>
              </w:rPr>
              <w:t>Open Configuration Matters</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Arial" w:cs="Arial" w:eastAsia="Arial" w:hAnsi="Arial"/>
                <w:sz w:val="16"/>
                <w:szCs w:val="16"/>
                <w:color w:val="auto"/>
              </w:rPr>
              <w:t>Page 1</w:t>
            </w:r>
          </w:p>
        </w:tc>
      </w:tr>
    </w:tbl>
    <w:p>
      <w:pPr>
        <w:jc w:val="center"/>
        <w:ind w:right="-5"/>
        <w:spacing w:after="0"/>
        <w:rPr>
          <w:sz w:val="20"/>
          <w:szCs w:val="20"/>
          <w:color w:val="auto"/>
        </w:rPr>
      </w:pPr>
      <w:r>
        <w:rPr>
          <w:rFonts w:ascii="Arial" w:cs="Arial" w:eastAsia="Arial" w:hAnsi="Arial"/>
          <w:sz w:val="16"/>
          <w:szCs w:val="16"/>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39" w:right="219" w:bottom="1440" w:gutter="0" w:footer="0" w:header="0"/>
        </w:sectPr>
      </w:pPr>
    </w:p>
    <w:bookmarkStart w:id="200" w:name="page201"/>
    <w:bookmarkEnd w:id="200"/>
    <w:p>
      <w:pPr>
        <w:jc w:val="center"/>
        <w:ind w:righ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Figure 1</w:t>
      </w:r>
    </w:p>
    <w:p>
      <w:pPr>
        <w:spacing w:after="0" w:line="159" w:lineRule="exact"/>
        <w:rPr>
          <w:sz w:val="20"/>
          <w:szCs w:val="20"/>
          <w:color w:val="auto"/>
        </w:rPr>
      </w:pPr>
    </w:p>
    <w:tbl>
      <w:tblPr>
        <w:tblLayout w:type="fixed"/>
        <w:tblInd w:w="76" w:type="dxa"/>
        <w:tblCellMar>
          <w:top w:w="0" w:type="dxa"/>
          <w:left w:w="0" w:type="dxa"/>
          <w:bottom w:w="0" w:type="dxa"/>
          <w:right w:w="0" w:type="dxa"/>
        </w:tblCellMar>
      </w:tblPr>
      <w:tr>
        <w:trPr>
          <w:trHeight w:val="262"/>
        </w:trPr>
        <w:tc>
          <w:tcPr>
            <w:tcW w:w="5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Article 3.4.3.2 Table</w:t>
            </w:r>
          </w:p>
        </w:tc>
        <w:tc>
          <w:tcPr>
            <w:tcW w:w="2000" w:type="dxa"/>
            <w:vAlign w:val="bottom"/>
            <w:tcBorders>
              <w:top w:val="single" w:sz="8" w:color="auto"/>
              <w:bottom w:val="single" w:sz="8" w:color="auto"/>
              <w:right w:val="single" w:sz="8" w:color="auto"/>
            </w:tcBorders>
          </w:tcPr>
          <w:p>
            <w:pPr>
              <w:jc w:val="right"/>
              <w:ind w:right="606"/>
              <w:spacing w:after="0"/>
              <w:rPr>
                <w:sz w:val="20"/>
                <w:szCs w:val="20"/>
                <w:color w:val="auto"/>
              </w:rPr>
            </w:pPr>
            <w:r>
              <w:rPr>
                <w:rFonts w:ascii="Arial" w:cs="Arial" w:eastAsia="Arial" w:hAnsi="Arial"/>
                <w:sz w:val="19"/>
                <w:szCs w:val="19"/>
                <w:b w:val="1"/>
                <w:bCs w:val="1"/>
                <w:color w:val="auto"/>
              </w:rPr>
              <w:t>787-923</w:t>
            </w:r>
          </w:p>
        </w:tc>
        <w:tc>
          <w:tcPr>
            <w:tcW w:w="1980" w:type="dxa"/>
            <w:vAlign w:val="bottom"/>
            <w:tcBorders>
              <w:top w:val="single" w:sz="8" w:color="auto"/>
              <w:bottom w:val="single" w:sz="8" w:color="auto"/>
              <w:right w:val="single" w:sz="8" w:color="auto"/>
            </w:tcBorders>
          </w:tcPr>
          <w:p>
            <w:pPr>
              <w:jc w:val="right"/>
              <w:ind w:right="686"/>
              <w:spacing w:after="0"/>
              <w:rPr>
                <w:sz w:val="20"/>
                <w:szCs w:val="20"/>
                <w:color w:val="auto"/>
              </w:rPr>
            </w:pPr>
            <w:r>
              <w:rPr>
                <w:rFonts w:ascii="Arial" w:cs="Arial" w:eastAsia="Arial" w:hAnsi="Arial"/>
                <w:sz w:val="19"/>
                <w:szCs w:val="19"/>
                <w:b w:val="1"/>
                <w:bCs w:val="1"/>
                <w:color w:val="auto"/>
              </w:rPr>
              <w:t>787-8</w:t>
            </w:r>
          </w:p>
        </w:tc>
      </w:tr>
      <w:tr>
        <w:trPr>
          <w:trHeight w:val="242"/>
        </w:trPr>
        <w:tc>
          <w:tcPr>
            <w:tcW w:w="5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The [*CTR]</w:t>
            </w:r>
          </w:p>
        </w:tc>
        <w:tc>
          <w:tcPr>
            <w:tcW w:w="2000" w:type="dxa"/>
            <w:vAlign w:val="bottom"/>
            <w:tcBorders>
              <w:right w:val="single" w:sz="8" w:color="auto"/>
            </w:tcBorders>
          </w:tcPr>
          <w:p>
            <w:pPr>
              <w:jc w:val="right"/>
              <w:ind w:right="26"/>
              <w:spacing w:after="0"/>
              <w:rPr>
                <w:sz w:val="20"/>
                <w:szCs w:val="20"/>
                <w:color w:val="auto"/>
              </w:rPr>
            </w:pPr>
            <w:r>
              <w:rPr>
                <w:rFonts w:ascii="Arial" w:cs="Arial" w:eastAsia="Arial" w:hAnsi="Arial"/>
                <w:sz w:val="19"/>
                <w:szCs w:val="19"/>
                <w:color w:val="auto"/>
              </w:rPr>
              <w:t>[*CTR]</w:t>
            </w:r>
          </w:p>
        </w:tc>
        <w:tc>
          <w:tcPr>
            <w:tcW w:w="198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[*CTR]</w:t>
            </w:r>
          </w:p>
        </w:tc>
      </w:tr>
      <w:tr>
        <w:trPr>
          <w:trHeight w:val="119"/>
        </w:trPr>
        <w:tc>
          <w:tcPr>
            <w:tcW w:w="5560" w:type="dxa"/>
            <w:vAlign w:val="bottom"/>
            <w:tcBorders>
              <w:left w:val="single" w:sz="8" w:color="auto"/>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r>
    </w:tbl>
    <w:p>
      <w:pPr>
        <w:spacing w:after="0" w:line="180" w:lineRule="exact"/>
        <w:rPr>
          <w:sz w:val="20"/>
          <w:szCs w:val="20"/>
          <w:color w:val="auto"/>
        </w:rPr>
      </w:pPr>
    </w:p>
    <w:p>
      <w:pPr>
        <w:ind w:left="2386"/>
        <w:spacing w:after="0"/>
        <w:tabs>
          <w:tab w:leader="none" w:pos="3046" w:val="left"/>
        </w:tabs>
        <w:rPr>
          <w:sz w:val="20"/>
          <w:szCs w:val="20"/>
          <w:color w:val="auto"/>
        </w:rPr>
      </w:pPr>
      <w:r>
        <w:rPr>
          <w:rFonts w:ascii="Arial" w:cs="Arial" w:eastAsia="Arial" w:hAnsi="Arial"/>
          <w:sz w:val="19"/>
          <w:szCs w:val="19"/>
          <w:color w:val="auto"/>
        </w:rPr>
        <w:t>2.2.1.3</w:t>
      </w:r>
      <w:r>
        <w:rPr>
          <w:sz w:val="20"/>
          <w:szCs w:val="20"/>
          <w:color w:val="auto"/>
        </w:rPr>
        <w:tab/>
      </w:r>
      <w:r>
        <w:rPr>
          <w:rFonts w:ascii="Arial" w:cs="Arial" w:eastAsia="Arial" w:hAnsi="Arial"/>
          <w:sz w:val="17"/>
          <w:szCs w:val="17"/>
          <w:color w:val="auto"/>
        </w:rPr>
        <w:t>Such [*CTR].</w:t>
      </w:r>
    </w:p>
    <w:p>
      <w:pPr>
        <w:spacing w:after="0" w:line="203" w:lineRule="exact"/>
        <w:rPr>
          <w:sz w:val="20"/>
          <w:szCs w:val="20"/>
          <w:color w:val="auto"/>
        </w:rPr>
      </w:pPr>
    </w:p>
    <w:p>
      <w:pPr>
        <w:ind w:left="6" w:firstLine="1404"/>
        <w:spacing w:after="0" w:line="308" w:lineRule="auto"/>
        <w:rPr>
          <w:sz w:val="20"/>
          <w:szCs w:val="20"/>
          <w:color w:val="auto"/>
        </w:rPr>
      </w:pPr>
      <w:r>
        <w:rPr>
          <w:rFonts w:ascii="Arial" w:cs="Arial" w:eastAsia="Arial" w:hAnsi="Arial"/>
          <w:sz w:val="18"/>
          <w:szCs w:val="18"/>
          <w:color w:val="auto"/>
        </w:rPr>
        <w:t>2.2.2 For avoidance of doubt, there will be [*CTR] that are listed on Exhibit A(R3) (inclusive of the list of [*CTR]) and Exhibit A2(R4) and that remain as part of the [*CTR], as applicable (i.e. that is that the [*CTR] listed on Exhibit A(R3) or A2(R4) as applicable).</w:t>
      </w:r>
    </w:p>
    <w:p>
      <w:pPr>
        <w:spacing w:after="0" w:line="112" w:lineRule="exact"/>
        <w:rPr>
          <w:sz w:val="20"/>
          <w:szCs w:val="20"/>
          <w:color w:val="auto"/>
        </w:rPr>
      </w:pPr>
    </w:p>
    <w:p>
      <w:pPr>
        <w:ind w:left="566" w:hanging="566"/>
        <w:spacing w:after="0"/>
        <w:tabs>
          <w:tab w:leader="none" w:pos="56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Purchase Agreement Amendment</w:t>
      </w:r>
      <w:r>
        <w:rPr>
          <w:rFonts w:ascii="Arial" w:cs="Arial" w:eastAsia="Arial" w:hAnsi="Arial"/>
          <w:sz w:val="19"/>
          <w:szCs w:val="19"/>
          <w:color w:val="auto"/>
        </w:rPr>
        <w:t>.</w:t>
      </w:r>
    </w:p>
    <w:p>
      <w:pPr>
        <w:spacing w:after="0" w:line="191" w:lineRule="exact"/>
        <w:rPr>
          <w:sz w:val="20"/>
          <w:szCs w:val="20"/>
          <w:color w:val="auto"/>
        </w:rPr>
      </w:pPr>
    </w:p>
    <w:p>
      <w:pPr>
        <w:ind w:left="6" w:firstLine="561"/>
        <w:spacing w:after="0" w:line="236" w:lineRule="exact"/>
        <w:rPr>
          <w:sz w:val="20"/>
          <w:szCs w:val="20"/>
          <w:color w:val="auto"/>
        </w:rPr>
      </w:pPr>
      <w:r>
        <w:rPr>
          <w:rFonts w:ascii="Arial" w:cs="Arial" w:eastAsia="Arial" w:hAnsi="Arial"/>
          <w:sz w:val="19"/>
          <w:szCs w:val="19"/>
          <w:color w:val="auto"/>
        </w:rPr>
        <w:t>3.1 Within [*CTR] of the Boeing Model 787</w:t>
      </w:r>
      <w:r>
        <w:rPr>
          <w:rFonts w:ascii="MS PGothic" w:cs="MS PGothic" w:eastAsia="MS PGothic" w:hAnsi="MS PGothic"/>
          <w:sz w:val="19"/>
          <w:szCs w:val="19"/>
          <w:color w:val="auto"/>
        </w:rPr>
        <w:t>‑</w:t>
      </w:r>
      <w:r>
        <w:rPr>
          <w:rFonts w:ascii="Arial" w:cs="Arial" w:eastAsia="Arial" w:hAnsi="Arial"/>
          <w:sz w:val="19"/>
          <w:szCs w:val="19"/>
          <w:color w:val="auto"/>
        </w:rPr>
        <w:t>9 and 787-8 Aircraft, Boeing and Customer will [*CTR] for the Boeing Model 787-9 and 787-8 aircraft to reflect the following:</w:t>
      </w:r>
    </w:p>
    <w:p>
      <w:pPr>
        <w:spacing w:after="0" w:line="172" w:lineRule="exact"/>
        <w:rPr>
          <w:sz w:val="20"/>
          <w:szCs w:val="20"/>
          <w:color w:val="auto"/>
        </w:rPr>
      </w:pPr>
    </w:p>
    <w:p>
      <w:pPr>
        <w:ind w:left="1406"/>
        <w:spacing w:after="0"/>
        <w:tabs>
          <w:tab w:leader="none" w:pos="1906"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8"/>
          <w:szCs w:val="18"/>
          <w:color w:val="auto"/>
        </w:rPr>
        <w:t>[*CTR]; and</w:t>
      </w:r>
    </w:p>
    <w:p>
      <w:pPr>
        <w:spacing w:after="0" w:line="203" w:lineRule="exact"/>
        <w:rPr>
          <w:sz w:val="20"/>
          <w:szCs w:val="20"/>
          <w:color w:val="auto"/>
        </w:rPr>
      </w:pPr>
    </w:p>
    <w:p>
      <w:pPr>
        <w:ind w:left="1406"/>
        <w:spacing w:after="0"/>
        <w:tabs>
          <w:tab w:leader="none" w:pos="1906" w:val="left"/>
        </w:tabs>
        <w:rPr>
          <w:sz w:val="20"/>
          <w:szCs w:val="20"/>
          <w:color w:val="auto"/>
        </w:rPr>
      </w:pPr>
      <w:r>
        <w:rPr>
          <w:rFonts w:ascii="Arial" w:cs="Arial" w:eastAsia="Arial" w:hAnsi="Arial"/>
          <w:sz w:val="19"/>
          <w:szCs w:val="19"/>
          <w:color w:val="auto"/>
        </w:rPr>
        <w:t>3.1.2</w:t>
        <w:tab/>
        <w:t>[*CTR].</w:t>
      </w:r>
    </w:p>
    <w:p>
      <w:pPr>
        <w:spacing w:after="0" w:line="203" w:lineRule="exact"/>
        <w:rPr>
          <w:sz w:val="20"/>
          <w:szCs w:val="20"/>
          <w:color w:val="auto"/>
        </w:rPr>
      </w:pPr>
    </w:p>
    <w:p>
      <w:pPr>
        <w:ind w:left="566" w:hanging="286"/>
        <w:spacing w:after="0"/>
        <w:tabs>
          <w:tab w:leader="none" w:pos="566"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Confidential Treatment</w:t>
      </w:r>
      <w:r>
        <w:rPr>
          <w:rFonts w:ascii="Arial" w:cs="Arial" w:eastAsia="Arial" w:hAnsi="Arial"/>
          <w:sz w:val="19"/>
          <w:szCs w:val="19"/>
          <w:color w:val="auto"/>
        </w:rPr>
        <w:t>.</w:t>
      </w:r>
    </w:p>
    <w:p>
      <w:pPr>
        <w:spacing w:after="0" w:line="191"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The confidentiality of this Letter Agreement is governed by Letter Agreement 6</w:t>
      </w:r>
      <w:r>
        <w:rPr>
          <w:rFonts w:ascii="MS PGothic" w:cs="MS PGothic" w:eastAsia="MS PGothic" w:hAnsi="MS PGothic"/>
          <w:sz w:val="19"/>
          <w:szCs w:val="19"/>
          <w:color w:val="auto"/>
        </w:rPr>
        <w:t>‑</w:t>
      </w:r>
      <w:r>
        <w:rPr>
          <w:rFonts w:ascii="Arial" w:cs="Arial" w:eastAsia="Arial" w:hAnsi="Arial"/>
          <w:sz w:val="19"/>
          <w:szCs w:val="19"/>
          <w:color w:val="auto"/>
        </w:rPr>
        <w:t>1162-TRW-0673R1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780" w:type="dxa"/>
            <w:vAlign w:val="bottom"/>
          </w:tcPr>
          <w:p>
            <w:pPr>
              <w:spacing w:after="0"/>
              <w:rPr>
                <w:sz w:val="20"/>
                <w:szCs w:val="20"/>
                <w:color w:val="auto"/>
              </w:rPr>
            </w:pPr>
            <w:r>
              <w:rPr>
                <w:rFonts w:ascii="Arial" w:cs="Arial" w:eastAsia="Arial" w:hAnsi="Arial"/>
                <w:sz w:val="16"/>
                <w:szCs w:val="16"/>
                <w:color w:val="auto"/>
              </w:rPr>
              <w:t>P.A. No. 3219</w:t>
            </w:r>
          </w:p>
        </w:tc>
        <w:tc>
          <w:tcPr>
            <w:tcW w:w="700" w:type="dxa"/>
            <w:vAlign w:val="bottom"/>
          </w:tcPr>
          <w:p>
            <w:pPr>
              <w:ind w:left="20"/>
              <w:spacing w:after="0"/>
              <w:rPr>
                <w:sz w:val="20"/>
                <w:szCs w:val="20"/>
                <w:color w:val="auto"/>
              </w:rPr>
            </w:pPr>
            <w:r>
              <w:rPr>
                <w:rFonts w:ascii="Arial" w:cs="Arial" w:eastAsia="Arial" w:hAnsi="Arial"/>
                <w:sz w:val="16"/>
                <w:szCs w:val="16"/>
                <w:color w:val="auto"/>
              </w:rPr>
              <w:t>SA-11</w:t>
            </w:r>
          </w:p>
        </w:tc>
        <w:tc>
          <w:tcPr>
            <w:tcW w:w="2000" w:type="dxa"/>
            <w:vAlign w:val="bottom"/>
          </w:tcPr>
          <w:p>
            <w:pPr>
              <w:ind w:left="280"/>
              <w:spacing w:after="0"/>
              <w:rPr>
                <w:sz w:val="20"/>
                <w:szCs w:val="20"/>
                <w:color w:val="auto"/>
              </w:rPr>
            </w:pPr>
            <w:r>
              <w:rPr>
                <w:rFonts w:ascii="Arial" w:cs="Arial" w:eastAsia="Arial" w:hAnsi="Arial"/>
                <w:sz w:val="16"/>
                <w:szCs w:val="16"/>
                <w:color w:val="auto"/>
                <w:w w:val="91"/>
              </w:rPr>
              <w:t>AAL-PA-3219-LA1802492</w:t>
            </w:r>
          </w:p>
        </w:tc>
      </w:tr>
      <w:tr>
        <w:trPr>
          <w:trHeight w:val="199"/>
        </w:trPr>
        <w:tc>
          <w:tcPr>
            <w:tcW w:w="1780" w:type="dxa"/>
            <w:vAlign w:val="bottom"/>
          </w:tcPr>
          <w:p>
            <w:pPr>
              <w:spacing w:after="0"/>
              <w:rPr>
                <w:sz w:val="20"/>
                <w:szCs w:val="20"/>
                <w:color w:val="auto"/>
              </w:rPr>
            </w:pPr>
            <w:r>
              <w:rPr>
                <w:rFonts w:ascii="Arial" w:cs="Arial" w:eastAsia="Arial" w:hAnsi="Arial"/>
                <w:sz w:val="16"/>
                <w:szCs w:val="16"/>
                <w:color w:val="auto"/>
                <w:w w:val="89"/>
              </w:rPr>
              <w:t>Open Configuration Matters</w:t>
            </w:r>
          </w:p>
        </w:tc>
        <w:tc>
          <w:tcPr>
            <w:tcW w:w="700" w:type="dxa"/>
            <w:vAlign w:val="bottom"/>
          </w:tcPr>
          <w:p>
            <w:pPr>
              <w:spacing w:after="0"/>
              <w:rPr>
                <w:sz w:val="17"/>
                <w:szCs w:val="17"/>
                <w:color w:val="auto"/>
              </w:rPr>
            </w:pPr>
          </w:p>
        </w:tc>
        <w:tc>
          <w:tcPr>
            <w:tcW w:w="2000" w:type="dxa"/>
            <w:vAlign w:val="bottom"/>
          </w:tcPr>
          <w:p>
            <w:pPr>
              <w:ind w:left="520"/>
              <w:spacing w:after="0"/>
              <w:rPr>
                <w:sz w:val="20"/>
                <w:szCs w:val="20"/>
                <w:color w:val="auto"/>
              </w:rPr>
            </w:pPr>
            <w:r>
              <w:rPr>
                <w:rFonts w:ascii="Arial" w:cs="Arial" w:eastAsia="Arial" w:hAnsi="Arial"/>
                <w:sz w:val="16"/>
                <w:szCs w:val="16"/>
                <w:color w:val="auto"/>
              </w:rPr>
              <w:t>Page 2</w:t>
            </w:r>
          </w:p>
        </w:tc>
      </w:tr>
    </w:tbl>
    <w:p>
      <w:pPr>
        <w:jc w:val="center"/>
        <w:ind w:right="-5"/>
        <w:spacing w:after="0"/>
        <w:rPr>
          <w:sz w:val="20"/>
          <w:szCs w:val="20"/>
          <w:color w:val="auto"/>
        </w:rPr>
      </w:pPr>
      <w:r>
        <w:rPr>
          <w:rFonts w:ascii="Arial" w:cs="Arial" w:eastAsia="Arial" w:hAnsi="Arial"/>
          <w:sz w:val="16"/>
          <w:szCs w:val="16"/>
          <w:b w:val="1"/>
          <w:bCs w:val="1"/>
          <w:color w:val="auto"/>
        </w:rPr>
        <w:t>BOEING PROPRIETARY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26"/>
          </w:cols>
          <w:pgMar w:left="234" w:top="1017" w:right="239" w:bottom="1440" w:gutter="0" w:footer="0" w:header="0"/>
        </w:sectPr>
      </w:pPr>
    </w:p>
    <w:bookmarkStart w:id="201" w:name="page202"/>
    <w:bookmarkEnd w:id="201"/>
    <w:p>
      <w:pPr>
        <w:jc w:val="right"/>
        <w:ind w:right="1999"/>
        <w:spacing w:after="0"/>
        <w:rPr>
          <w:sz w:val="20"/>
          <w:szCs w:val="20"/>
          <w:color w:val="auto"/>
        </w:rPr>
      </w:pPr>
      <w:r>
        <w:rPr>
          <w:sz w:val="1"/>
          <w:szCs w:val="1"/>
          <w:color w:val="auto"/>
        </w:rPr>
        <w:drawing>
          <wp:inline distT="0" distB="0" distL="0" distR="0">
            <wp:extent cx="1396365" cy="31178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1396365" cy="311785"/>
                    </a:xfrm>
                    <a:prstGeom prst="rect">
                      <a:avLst/>
                    </a:prstGeom>
                    <a:noFill/>
                    <a:ln>
                      <a:noFill/>
                    </a:ln>
                  </pic:spPr>
                </pic:pic>
              </a:graphicData>
            </a:graphic>
          </wp:inline>
        </w:drawing>
      </w:r>
      <w:r>
        <w:rPr>
          <w:rFonts w:ascii="Arial" w:cs="Arial" w:eastAsia="Arial" w:hAnsi="Arial"/>
          <w:sz w:val="11"/>
          <w:szCs w:val="11"/>
          <w:color w:val="auto"/>
        </w:rPr>
        <w:t>The Boeing Company</w:t>
      </w:r>
    </w:p>
    <w:p>
      <w:pPr>
        <w:spacing w:after="0" w:line="24" w:lineRule="exact"/>
        <w:rPr>
          <w:sz w:val="20"/>
          <w:szCs w:val="20"/>
          <w:color w:val="auto"/>
        </w:rPr>
      </w:pPr>
    </w:p>
    <w:p>
      <w:pPr>
        <w:ind w:left="6740"/>
        <w:spacing w:after="0"/>
        <w:rPr>
          <w:sz w:val="20"/>
          <w:szCs w:val="20"/>
          <w:color w:val="auto"/>
        </w:rPr>
      </w:pPr>
      <w:r>
        <w:rPr>
          <w:rFonts w:ascii="Arial" w:cs="Arial" w:eastAsia="Arial" w:hAnsi="Arial"/>
          <w:sz w:val="11"/>
          <w:szCs w:val="11"/>
          <w:color w:val="auto"/>
        </w:rPr>
        <w:t>P.O. Box 3707</w:t>
      </w:r>
    </w:p>
    <w:p>
      <w:pPr>
        <w:spacing w:after="0" w:line="49" w:lineRule="exact"/>
        <w:rPr>
          <w:sz w:val="20"/>
          <w:szCs w:val="20"/>
          <w:color w:val="auto"/>
        </w:rPr>
      </w:pPr>
    </w:p>
    <w:p>
      <w:pPr>
        <w:ind w:left="6740"/>
        <w:spacing w:after="0"/>
        <w:rPr>
          <w:sz w:val="20"/>
          <w:szCs w:val="20"/>
          <w:color w:val="auto"/>
        </w:rPr>
      </w:pPr>
      <w:r>
        <w:rPr>
          <w:rFonts w:ascii="Arial" w:cs="Arial" w:eastAsia="Arial" w:hAnsi="Arial"/>
          <w:sz w:val="11"/>
          <w:szCs w:val="11"/>
          <w:color w:val="auto"/>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BOEING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color w:val="auto"/>
        </w:rPr>
        <w:t>By:  /s/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163766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1637665" cy="7620"/>
                    </a:xfrm>
                    <a:prstGeom prst="rect">
                      <a:avLst/>
                    </a:prstGeom>
                    <a:noFill/>
                  </pic:spPr>
                </pic:pic>
              </a:graphicData>
            </a:graphic>
          </wp:anchor>
        </w:drawing>
      </w:r>
    </w:p>
    <w:p>
      <w:pPr>
        <w:spacing w:after="0" w:line="393" w:lineRule="exact"/>
        <w:rPr>
          <w:sz w:val="20"/>
          <w:szCs w:val="20"/>
          <w:color w:val="auto"/>
        </w:rPr>
      </w:pPr>
    </w:p>
    <w:p>
      <w:pPr>
        <w:spacing w:after="0" w:line="219" w:lineRule="exact"/>
        <w:tabs>
          <w:tab w:leader="none" w:pos="76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145224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TO this</w:t>
      </w:r>
    </w:p>
    <w:p>
      <w:pPr>
        <w:spacing w:after="0" w:line="28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37350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1373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By: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12934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Its: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163639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1636395" cy="762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spacing w:after="0"/>
              <w:rPr>
                <w:sz w:val="20"/>
                <w:szCs w:val="20"/>
                <w:color w:val="auto"/>
              </w:rPr>
            </w:pPr>
            <w:r>
              <w:rPr>
                <w:rFonts w:ascii="Arial" w:cs="Arial" w:eastAsia="Arial" w:hAnsi="Arial"/>
                <w:sz w:val="16"/>
                <w:szCs w:val="16"/>
                <w:color w:val="auto"/>
              </w:rPr>
              <w:t>P.A. No. 3219</w:t>
            </w:r>
          </w:p>
        </w:tc>
        <w:tc>
          <w:tcPr>
            <w:tcW w:w="700" w:type="dxa"/>
            <w:vAlign w:val="bottom"/>
          </w:tcPr>
          <w:p>
            <w:pPr>
              <w:ind w:left="20"/>
              <w:spacing w:after="0"/>
              <w:rPr>
                <w:sz w:val="20"/>
                <w:szCs w:val="20"/>
                <w:color w:val="auto"/>
              </w:rPr>
            </w:pPr>
            <w:r>
              <w:rPr>
                <w:rFonts w:ascii="Arial" w:cs="Arial" w:eastAsia="Arial" w:hAnsi="Arial"/>
                <w:sz w:val="16"/>
                <w:szCs w:val="16"/>
                <w:color w:val="auto"/>
              </w:rPr>
              <w:t>SA-11</w:t>
            </w:r>
          </w:p>
        </w:tc>
        <w:tc>
          <w:tcPr>
            <w:tcW w:w="2000" w:type="dxa"/>
            <w:vAlign w:val="bottom"/>
          </w:tcPr>
          <w:p>
            <w:pPr>
              <w:ind w:left="280"/>
              <w:spacing w:after="0"/>
              <w:rPr>
                <w:sz w:val="20"/>
                <w:szCs w:val="20"/>
                <w:color w:val="auto"/>
              </w:rPr>
            </w:pPr>
            <w:r>
              <w:rPr>
                <w:rFonts w:ascii="Arial" w:cs="Arial" w:eastAsia="Arial" w:hAnsi="Arial"/>
                <w:sz w:val="16"/>
                <w:szCs w:val="16"/>
                <w:color w:val="auto"/>
                <w:w w:val="91"/>
              </w:rPr>
              <w:t>AAL-PA-3219-LA1802492</w:t>
            </w:r>
          </w:p>
        </w:tc>
      </w:tr>
      <w:tr>
        <w:trPr>
          <w:trHeight w:val="199"/>
        </w:trPr>
        <w:tc>
          <w:tcPr>
            <w:tcW w:w="1780" w:type="dxa"/>
            <w:vAlign w:val="bottom"/>
          </w:tcPr>
          <w:p>
            <w:pPr>
              <w:spacing w:after="0"/>
              <w:rPr>
                <w:sz w:val="20"/>
                <w:szCs w:val="20"/>
                <w:color w:val="auto"/>
              </w:rPr>
            </w:pPr>
            <w:r>
              <w:rPr>
                <w:rFonts w:ascii="Arial" w:cs="Arial" w:eastAsia="Arial" w:hAnsi="Arial"/>
                <w:sz w:val="16"/>
                <w:szCs w:val="16"/>
                <w:color w:val="auto"/>
                <w:w w:val="89"/>
              </w:rPr>
              <w:t>Open Configuration Matters</w:t>
            </w:r>
          </w:p>
        </w:tc>
        <w:tc>
          <w:tcPr>
            <w:tcW w:w="700" w:type="dxa"/>
            <w:vAlign w:val="bottom"/>
          </w:tcPr>
          <w:p>
            <w:pPr>
              <w:spacing w:after="0"/>
              <w:rPr>
                <w:sz w:val="17"/>
                <w:szCs w:val="17"/>
                <w:color w:val="auto"/>
              </w:rPr>
            </w:pPr>
          </w:p>
        </w:tc>
        <w:tc>
          <w:tcPr>
            <w:tcW w:w="2000" w:type="dxa"/>
            <w:vAlign w:val="bottom"/>
          </w:tcPr>
          <w:p>
            <w:pPr>
              <w:ind w:left="520"/>
              <w:spacing w:after="0"/>
              <w:rPr>
                <w:sz w:val="20"/>
                <w:szCs w:val="20"/>
                <w:color w:val="auto"/>
              </w:rPr>
            </w:pPr>
            <w:r>
              <w:rPr>
                <w:rFonts w:ascii="Arial" w:cs="Arial" w:eastAsia="Arial" w:hAnsi="Arial"/>
                <w:sz w:val="16"/>
                <w:szCs w:val="16"/>
                <w:color w:val="auto"/>
              </w:rPr>
              <w:t>Page 3</w:t>
            </w:r>
          </w:p>
        </w:tc>
      </w:tr>
    </w:tbl>
    <w:p>
      <w:pPr>
        <w:ind w:left="4820"/>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0219"/>
          </w:cols>
          <w:pgMar w:left="240" w:top="139" w:right="1440" w:bottom="1440" w:gutter="0" w:footer="0" w:header="0"/>
        </w:sectPr>
      </w:pPr>
    </w:p>
    <w:bookmarkStart w:id="202" w:name="page203"/>
    <w:bookmarkEnd w:id="20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9"/>
          <w:szCs w:val="19"/>
          <w:color w:val="auto"/>
        </w:rPr>
        <w:t>Attachment A</w:t>
      </w:r>
    </w:p>
    <w:p>
      <w:pPr>
        <w:spacing w:after="0" w:line="285"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[to be inserted]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spacing w:after="0"/>
              <w:rPr>
                <w:sz w:val="20"/>
                <w:szCs w:val="20"/>
                <w:color w:val="auto"/>
              </w:rPr>
            </w:pPr>
            <w:r>
              <w:rPr>
                <w:rFonts w:ascii="Arial" w:cs="Arial" w:eastAsia="Arial" w:hAnsi="Arial"/>
                <w:sz w:val="16"/>
                <w:szCs w:val="16"/>
                <w:color w:val="auto"/>
              </w:rPr>
              <w:t>P.A. No. 3219</w:t>
            </w:r>
          </w:p>
        </w:tc>
        <w:tc>
          <w:tcPr>
            <w:tcW w:w="700" w:type="dxa"/>
            <w:vAlign w:val="bottom"/>
          </w:tcPr>
          <w:p>
            <w:pPr>
              <w:ind w:left="20"/>
              <w:spacing w:after="0"/>
              <w:rPr>
                <w:sz w:val="20"/>
                <w:szCs w:val="20"/>
                <w:color w:val="auto"/>
              </w:rPr>
            </w:pPr>
            <w:r>
              <w:rPr>
                <w:rFonts w:ascii="Arial" w:cs="Arial" w:eastAsia="Arial" w:hAnsi="Arial"/>
                <w:sz w:val="16"/>
                <w:szCs w:val="16"/>
                <w:color w:val="auto"/>
              </w:rPr>
              <w:t>SA-11</w:t>
            </w:r>
          </w:p>
        </w:tc>
        <w:tc>
          <w:tcPr>
            <w:tcW w:w="2000" w:type="dxa"/>
            <w:vAlign w:val="bottom"/>
          </w:tcPr>
          <w:p>
            <w:pPr>
              <w:ind w:left="280"/>
              <w:spacing w:after="0"/>
              <w:rPr>
                <w:sz w:val="20"/>
                <w:szCs w:val="20"/>
                <w:color w:val="auto"/>
              </w:rPr>
            </w:pPr>
            <w:r>
              <w:rPr>
                <w:rFonts w:ascii="Arial" w:cs="Arial" w:eastAsia="Arial" w:hAnsi="Arial"/>
                <w:sz w:val="16"/>
                <w:szCs w:val="16"/>
                <w:color w:val="auto"/>
                <w:w w:val="91"/>
              </w:rPr>
              <w:t>AAL-PA-3219-LA1802492</w:t>
            </w:r>
          </w:p>
        </w:tc>
      </w:tr>
      <w:tr>
        <w:trPr>
          <w:trHeight w:val="199"/>
        </w:trPr>
        <w:tc>
          <w:tcPr>
            <w:tcW w:w="1780" w:type="dxa"/>
            <w:vAlign w:val="bottom"/>
          </w:tcPr>
          <w:p>
            <w:pPr>
              <w:spacing w:after="0"/>
              <w:rPr>
                <w:sz w:val="20"/>
                <w:szCs w:val="20"/>
                <w:color w:val="auto"/>
              </w:rPr>
            </w:pPr>
            <w:r>
              <w:rPr>
                <w:rFonts w:ascii="Arial" w:cs="Arial" w:eastAsia="Arial" w:hAnsi="Arial"/>
                <w:sz w:val="16"/>
                <w:szCs w:val="16"/>
                <w:color w:val="auto"/>
                <w:w w:val="89"/>
              </w:rPr>
              <w:t>Open Configuration Matters</w:t>
            </w:r>
          </w:p>
        </w:tc>
        <w:tc>
          <w:tcPr>
            <w:tcW w:w="700" w:type="dxa"/>
            <w:vAlign w:val="bottom"/>
          </w:tcPr>
          <w:p>
            <w:pPr>
              <w:spacing w:after="0"/>
              <w:rPr>
                <w:sz w:val="17"/>
                <w:szCs w:val="17"/>
                <w:color w:val="auto"/>
              </w:rPr>
            </w:pPr>
          </w:p>
        </w:tc>
        <w:tc>
          <w:tcPr>
            <w:tcW w:w="2000" w:type="dxa"/>
            <w:vAlign w:val="bottom"/>
          </w:tcPr>
          <w:p>
            <w:pPr>
              <w:ind w:left="520"/>
              <w:spacing w:after="0"/>
              <w:rPr>
                <w:sz w:val="20"/>
                <w:szCs w:val="20"/>
                <w:color w:val="auto"/>
              </w:rPr>
            </w:pPr>
            <w:r>
              <w:rPr>
                <w:rFonts w:ascii="Arial" w:cs="Arial" w:eastAsia="Arial" w:hAnsi="Arial"/>
                <w:sz w:val="16"/>
                <w:szCs w:val="16"/>
                <w:color w:val="auto"/>
              </w:rPr>
              <w:t>Page 4</w:t>
            </w:r>
          </w:p>
        </w:tc>
      </w:tr>
    </w:tbl>
    <w:p>
      <w:pPr>
        <w:jc w:val="right"/>
        <w:ind w:right="3619"/>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0219"/>
          </w:cols>
          <w:pgMar w:left="240" w:top="1440" w:right="1440" w:bottom="1440" w:gutter="0" w:footer="0" w:header="0"/>
        </w:sectPr>
      </w:pPr>
    </w:p>
    <w:bookmarkStart w:id="203" w:name="page204"/>
    <w:bookmarkEnd w:id="203"/>
    <w:p>
      <w:pPr>
        <w:jc w:val="center"/>
        <w:ind w:right="-899"/>
        <w:spacing w:after="0"/>
        <w:rPr>
          <w:sz w:val="20"/>
          <w:szCs w:val="20"/>
          <w:color w:val="auto"/>
        </w:rPr>
      </w:pPr>
      <w:r>
        <w:rPr>
          <w:rFonts w:ascii="Arial" w:cs="Arial" w:eastAsia="Arial" w:hAnsi="Arial"/>
          <w:sz w:val="17"/>
          <w:szCs w:val="17"/>
          <w:b w:val="1"/>
          <w:bCs w:val="1"/>
          <w:color w:val="auto"/>
        </w:rPr>
        <w:t>Boeing Proprietary</w:t>
      </w:r>
    </w:p>
    <w:p>
      <w:pPr>
        <w:spacing w:after="0" w:line="2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787 for [*CTR]</w:t>
      </w:r>
    </w:p>
    <w:p>
      <w:pPr>
        <w:spacing w:after="0" w:line="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[*CTR]</w:t>
      </w:r>
    </w:p>
    <w:p>
      <w:pPr>
        <w:spacing w:after="0" w:line="3" w:lineRule="exact"/>
        <w:rPr>
          <w:sz w:val="20"/>
          <w:szCs w:val="20"/>
          <w:color w:val="auto"/>
        </w:rPr>
      </w:pPr>
    </w:p>
    <w:p>
      <w:pPr>
        <w:ind w:left="4100"/>
        <w:spacing w:after="0"/>
        <w:tabs>
          <w:tab w:leader="none" w:pos="7320" w:val="left"/>
        </w:tabs>
        <w:rPr>
          <w:sz w:val="20"/>
          <w:szCs w:val="20"/>
          <w:color w:val="auto"/>
        </w:rPr>
      </w:pPr>
      <w:r>
        <w:rPr>
          <w:rFonts w:ascii="Arial" w:cs="Arial" w:eastAsia="Arial" w:hAnsi="Arial"/>
          <w:sz w:val="17"/>
          <w:szCs w:val="17"/>
          <w:b w:val="1"/>
          <w:bCs w:val="1"/>
          <w:color w:val="auto"/>
        </w:rPr>
        <w:t>Page 1 of 3</w:t>
      </w:r>
      <w:r>
        <w:rPr>
          <w:sz w:val="20"/>
          <w:szCs w:val="20"/>
          <w:color w:val="auto"/>
        </w:rPr>
        <w:tab/>
      </w:r>
      <w:r>
        <w:rPr>
          <w:rFonts w:ascii="Arial" w:cs="Arial" w:eastAsia="Arial" w:hAnsi="Arial"/>
          <w:sz w:val="17"/>
          <w:szCs w:val="17"/>
          <w:b w:val="1"/>
          <w:bCs w:val="1"/>
          <w:color w:val="auto"/>
        </w:rPr>
        <w:t>[*CTR]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6417945" cy="38703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417945"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8"/>
          <w:szCs w:val="8"/>
          <w:color w:val="auto"/>
        </w:rPr>
        <w:t>[*CTR]</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20" w:right="1139" w:bottom="1440" w:gutter="0" w:footer="0" w:header="0"/>
        </w:sectPr>
      </w:pPr>
    </w:p>
    <w:bookmarkStart w:id="204" w:name="page205"/>
    <w:bookmarkEnd w:id="204"/>
    <w:p>
      <w:pPr>
        <w:jc w:val="center"/>
        <w:ind w:right="-899"/>
        <w:spacing w:after="0"/>
        <w:rPr>
          <w:sz w:val="20"/>
          <w:szCs w:val="20"/>
          <w:color w:val="auto"/>
        </w:rPr>
      </w:pPr>
      <w:r>
        <w:rPr>
          <w:rFonts w:ascii="Arial" w:cs="Arial" w:eastAsia="Arial" w:hAnsi="Arial"/>
          <w:sz w:val="17"/>
          <w:szCs w:val="17"/>
          <w:b w:val="1"/>
          <w:bCs w:val="1"/>
          <w:color w:val="auto"/>
        </w:rPr>
        <w:t>Boeing Proprietary</w:t>
      </w:r>
    </w:p>
    <w:p>
      <w:pPr>
        <w:spacing w:after="0" w:line="2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787 for [*CTR]</w:t>
      </w:r>
    </w:p>
    <w:p>
      <w:pPr>
        <w:spacing w:after="0" w:line="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[*CTR]</w:t>
      </w:r>
    </w:p>
    <w:p>
      <w:pPr>
        <w:spacing w:after="0" w:line="3" w:lineRule="exact"/>
        <w:rPr>
          <w:sz w:val="20"/>
          <w:szCs w:val="20"/>
          <w:color w:val="auto"/>
        </w:rPr>
      </w:pPr>
    </w:p>
    <w:p>
      <w:pPr>
        <w:ind w:left="4100"/>
        <w:spacing w:after="0"/>
        <w:tabs>
          <w:tab w:leader="none" w:pos="7320" w:val="left"/>
        </w:tabs>
        <w:rPr>
          <w:sz w:val="20"/>
          <w:szCs w:val="20"/>
          <w:color w:val="auto"/>
        </w:rPr>
      </w:pPr>
      <w:r>
        <w:rPr>
          <w:rFonts w:ascii="Arial" w:cs="Arial" w:eastAsia="Arial" w:hAnsi="Arial"/>
          <w:sz w:val="17"/>
          <w:szCs w:val="17"/>
          <w:b w:val="1"/>
          <w:bCs w:val="1"/>
          <w:color w:val="auto"/>
        </w:rPr>
        <w:t>Page 2 of 3</w:t>
      </w:r>
      <w:r>
        <w:rPr>
          <w:sz w:val="20"/>
          <w:szCs w:val="20"/>
          <w:color w:val="auto"/>
        </w:rPr>
        <w:tab/>
      </w:r>
      <w:r>
        <w:rPr>
          <w:rFonts w:ascii="Arial" w:cs="Arial" w:eastAsia="Arial" w:hAnsi="Arial"/>
          <w:sz w:val="17"/>
          <w:szCs w:val="17"/>
          <w:b w:val="1"/>
          <w:bCs w:val="1"/>
          <w:color w:val="auto"/>
        </w:rPr>
        <w:t>[*CTR]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6410960" cy="3595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410960" cy="359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8"/>
          <w:szCs w:val="8"/>
          <w:color w:val="auto"/>
        </w:rPr>
        <w:t>[*CTR]</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20" w:right="1139" w:bottom="1440" w:gutter="0" w:footer="0" w:header="0"/>
        </w:sectPr>
      </w:pPr>
    </w:p>
    <w:bookmarkStart w:id="205" w:name="page206"/>
    <w:bookmarkEnd w:id="205"/>
    <w:p>
      <w:pPr>
        <w:jc w:val="center"/>
        <w:ind w:right="-899"/>
        <w:spacing w:after="0"/>
        <w:rPr>
          <w:sz w:val="20"/>
          <w:szCs w:val="20"/>
          <w:color w:val="auto"/>
        </w:rPr>
      </w:pPr>
      <w:r>
        <w:rPr>
          <w:rFonts w:ascii="Arial" w:cs="Arial" w:eastAsia="Arial" w:hAnsi="Arial"/>
          <w:sz w:val="17"/>
          <w:szCs w:val="17"/>
          <w:b w:val="1"/>
          <w:bCs w:val="1"/>
          <w:color w:val="auto"/>
        </w:rPr>
        <w:t>Boeing Proprietary</w:t>
      </w:r>
    </w:p>
    <w:p>
      <w:pPr>
        <w:spacing w:after="0" w:line="2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787 for [*CTR]</w:t>
      </w:r>
    </w:p>
    <w:p>
      <w:pPr>
        <w:spacing w:after="0" w:line="3" w:lineRule="exact"/>
        <w:rPr>
          <w:sz w:val="20"/>
          <w:szCs w:val="20"/>
          <w:color w:val="auto"/>
        </w:rPr>
      </w:pPr>
    </w:p>
    <w:p>
      <w:pPr>
        <w:jc w:val="center"/>
        <w:ind w:right="-899"/>
        <w:spacing w:after="0"/>
        <w:rPr>
          <w:sz w:val="20"/>
          <w:szCs w:val="20"/>
          <w:color w:val="auto"/>
        </w:rPr>
      </w:pPr>
      <w:r>
        <w:rPr>
          <w:rFonts w:ascii="Arial" w:cs="Arial" w:eastAsia="Arial" w:hAnsi="Arial"/>
          <w:sz w:val="17"/>
          <w:szCs w:val="17"/>
          <w:b w:val="1"/>
          <w:bCs w:val="1"/>
          <w:color w:val="auto"/>
        </w:rPr>
        <w:t>[*CTR]</w:t>
      </w:r>
    </w:p>
    <w:p>
      <w:pPr>
        <w:spacing w:after="0" w:line="3" w:lineRule="exact"/>
        <w:rPr>
          <w:sz w:val="20"/>
          <w:szCs w:val="20"/>
          <w:color w:val="auto"/>
        </w:rPr>
      </w:pPr>
    </w:p>
    <w:p>
      <w:pPr>
        <w:ind w:left="4100"/>
        <w:spacing w:after="0"/>
        <w:tabs>
          <w:tab w:leader="none" w:pos="7320" w:val="left"/>
        </w:tabs>
        <w:rPr>
          <w:sz w:val="20"/>
          <w:szCs w:val="20"/>
          <w:color w:val="auto"/>
        </w:rPr>
      </w:pPr>
      <w:r>
        <w:rPr>
          <w:rFonts w:ascii="Arial" w:cs="Arial" w:eastAsia="Arial" w:hAnsi="Arial"/>
          <w:sz w:val="17"/>
          <w:szCs w:val="17"/>
          <w:b w:val="1"/>
          <w:bCs w:val="1"/>
          <w:color w:val="auto"/>
        </w:rPr>
        <w:t>Page 3 of 3</w:t>
      </w:r>
      <w:r>
        <w:rPr>
          <w:sz w:val="20"/>
          <w:szCs w:val="20"/>
          <w:color w:val="auto"/>
        </w:rPr>
        <w:tab/>
      </w:r>
      <w:r>
        <w:rPr>
          <w:rFonts w:ascii="Arial" w:cs="Arial" w:eastAsia="Arial" w:hAnsi="Arial"/>
          <w:sz w:val="17"/>
          <w:szCs w:val="17"/>
          <w:b w:val="1"/>
          <w:bCs w:val="1"/>
          <w:color w:val="auto"/>
        </w:rPr>
        <w:t>[*CTR]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6417945" cy="36474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417945" cy="364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8"/>
          <w:szCs w:val="8"/>
          <w:color w:val="auto"/>
        </w:rPr>
        <w:t>[*CTR]</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20" w:right="1139" w:bottom="1440" w:gutter="0" w:footer="0" w:header="0"/>
        </w:sectPr>
      </w:pPr>
    </w:p>
    <w:bookmarkStart w:id="206" w:name="page207"/>
    <w:bookmarkEnd w:id="206"/>
    <w:p>
      <w:pPr>
        <w:jc w:val="center"/>
        <w:ind w:right="-5"/>
        <w:spacing w:after="0"/>
        <w:rPr>
          <w:sz w:val="20"/>
          <w:szCs w:val="20"/>
          <w:color w:val="auto"/>
        </w:rPr>
      </w:pPr>
      <w:r>
        <w:rPr>
          <w:rFonts w:ascii="Arial" w:cs="Arial" w:eastAsia="Arial" w:hAnsi="Arial"/>
          <w:sz w:val="19"/>
          <w:szCs w:val="19"/>
          <w:b w:val="1"/>
          <w:bCs w:val="1"/>
          <w:color w:val="auto"/>
        </w:rPr>
        <w:t>SUPPLEMENTAL AGREEMENT NO. 9</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to</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Purchase Agreement No. 03735</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between</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THE BOEING COMPANY</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and</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AMERICAN AIRLINES, INC.</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 w:firstLine="561"/>
        <w:spacing w:after="0" w:line="260" w:lineRule="auto"/>
        <w:rPr>
          <w:sz w:val="20"/>
          <w:szCs w:val="20"/>
          <w:color w:val="auto"/>
        </w:rPr>
      </w:pPr>
      <w:r>
        <w:rPr>
          <w:rFonts w:ascii="Arial" w:cs="Arial" w:eastAsia="Arial" w:hAnsi="Arial"/>
          <w:sz w:val="19"/>
          <w:szCs w:val="19"/>
          <w:color w:val="auto"/>
        </w:rPr>
        <w:t>This SUPPLEMENTAL AGREEMENT No. 9 (</w:t>
      </w:r>
      <w:r>
        <w:rPr>
          <w:rFonts w:ascii="Arial" w:cs="Arial" w:eastAsia="Arial" w:hAnsi="Arial"/>
          <w:sz w:val="19"/>
          <w:szCs w:val="19"/>
          <w:b w:val="1"/>
          <w:bCs w:val="1"/>
          <w:i w:val="1"/>
          <w:iCs w:val="1"/>
          <w:color w:val="auto"/>
        </w:rPr>
        <w:t>SA-9</w:t>
      </w:r>
      <w:r>
        <w:rPr>
          <w:rFonts w:ascii="Arial" w:cs="Arial" w:eastAsia="Arial" w:hAnsi="Arial"/>
          <w:sz w:val="19"/>
          <w:szCs w:val="19"/>
          <w:i w:val="1"/>
          <w:iCs w:val="1"/>
          <w:color w:val="auto"/>
        </w:rPr>
        <w:t>)</w:t>
      </w:r>
      <w:r>
        <w:rPr>
          <w:rFonts w:ascii="Arial" w:cs="Arial" w:eastAsia="Arial" w:hAnsi="Arial"/>
          <w:sz w:val="19"/>
          <w:szCs w:val="19"/>
          <w:color w:val="auto"/>
        </w:rPr>
        <w:t>, entered into as of April _6__, 2018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by and between THE BOEING COMPANY, a Delaware corporation with offices in Seattle, Washington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a Delaware corporation with offices in Fort Worth, Texas, together with its successors and permitted assigns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w:t>
      </w:r>
    </w:p>
    <w:p>
      <w:pPr>
        <w:spacing w:after="0" w:line="166" w:lineRule="exact"/>
        <w:rPr>
          <w:sz w:val="20"/>
          <w:szCs w:val="20"/>
          <w:color w:val="auto"/>
        </w:rPr>
      </w:pPr>
    </w:p>
    <w:p>
      <w:pPr>
        <w:jc w:val="both"/>
        <w:ind w:left="6" w:firstLine="561"/>
        <w:spacing w:after="0" w:line="247" w:lineRule="auto"/>
        <w:rPr>
          <w:sz w:val="20"/>
          <w:szCs w:val="20"/>
          <w:color w:val="auto"/>
        </w:rPr>
      </w:pPr>
      <w:r>
        <w:rPr>
          <w:rFonts w:ascii="Arial" w:cs="Arial" w:eastAsia="Arial" w:hAnsi="Arial"/>
          <w:sz w:val="19"/>
          <w:szCs w:val="19"/>
          <w:color w:val="auto"/>
        </w:rPr>
        <w:t>WHEREAS, Boeing and Customer entered into Purchase Agreement No. 03735 dated February 1, 2013 relating to Boeing Model 737 MAX Aircraft, as amended and supplemented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and capitalized terms used herein without definitions shall have the meanings specified therefore in such Purchase Agreement;</w:t>
      </w:r>
    </w:p>
    <w:p>
      <w:pPr>
        <w:spacing w:after="0" w:line="157" w:lineRule="exact"/>
        <w:rPr>
          <w:sz w:val="20"/>
          <w:szCs w:val="20"/>
          <w:color w:val="auto"/>
        </w:rPr>
      </w:pPr>
    </w:p>
    <w:p>
      <w:pPr>
        <w:jc w:val="both"/>
        <w:ind w:left="6" w:right="20" w:firstLine="561"/>
        <w:spacing w:after="0" w:line="260" w:lineRule="auto"/>
        <w:rPr>
          <w:sz w:val="20"/>
          <w:szCs w:val="20"/>
          <w:color w:val="auto"/>
        </w:rPr>
      </w:pPr>
      <w:r>
        <w:rPr>
          <w:rFonts w:ascii="Arial" w:cs="Arial" w:eastAsia="Arial" w:hAnsi="Arial"/>
          <w:sz w:val="19"/>
          <w:szCs w:val="19"/>
          <w:color w:val="auto"/>
        </w:rPr>
        <w:t>WHEREAS, Customer and Boeing desire to (i) revise the Schedule Delivery Month for forty (40) 737-8 Aircraft (</w:t>
      </w:r>
      <w:r>
        <w:rPr>
          <w:rFonts w:ascii="Arial" w:cs="Arial" w:eastAsia="Arial" w:hAnsi="Arial"/>
          <w:sz w:val="19"/>
          <w:szCs w:val="19"/>
          <w:b w:val="1"/>
          <w:bCs w:val="1"/>
          <w:color w:val="auto"/>
        </w:rPr>
        <w:t>Revised Delivery</w:t>
      </w:r>
      <w:r>
        <w:rPr>
          <w:rFonts w:ascii="Arial" w:cs="Arial" w:eastAsia="Arial" w:hAnsi="Arial"/>
          <w:sz w:val="19"/>
          <w:szCs w:val="19"/>
          <w:color w:val="auto"/>
        </w:rPr>
        <w:t xml:space="preserve"> </w:t>
      </w:r>
      <w:r>
        <w:rPr>
          <w:rFonts w:ascii="Arial" w:cs="Arial" w:eastAsia="Arial" w:hAnsi="Arial"/>
          <w:sz w:val="19"/>
          <w:szCs w:val="19"/>
          <w:b w:val="1"/>
          <w:bCs w:val="1"/>
          <w:color w:val="auto"/>
        </w:rPr>
        <w:t>Aircraft</w:t>
      </w:r>
      <w:r>
        <w:rPr>
          <w:rFonts w:ascii="Arial" w:cs="Arial" w:eastAsia="Arial" w:hAnsi="Arial"/>
          <w:sz w:val="19"/>
          <w:szCs w:val="19"/>
          <w:color w:val="auto"/>
        </w:rPr>
        <w:t>) currently scheduled to deliver in calendar years 2020, 2021, and 2022 and move the applicable Scheduled Delivery Months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Revised Delivery Aircraft to [*CTR], (ii) revise certain [*CTR], and (iii) provide [*CTR] for the Revised Delivery Aircraft; and</w:t>
      </w:r>
    </w:p>
    <w:p>
      <w:pPr>
        <w:spacing w:after="0" w:line="201" w:lineRule="exact"/>
        <w:rPr>
          <w:sz w:val="20"/>
          <w:szCs w:val="20"/>
          <w:color w:val="auto"/>
        </w:rPr>
      </w:pPr>
    </w:p>
    <w:p>
      <w:pPr>
        <w:ind w:left="566"/>
        <w:spacing w:after="0"/>
        <w:rPr>
          <w:sz w:val="20"/>
          <w:szCs w:val="20"/>
          <w:color w:val="auto"/>
        </w:rPr>
      </w:pPr>
      <w:r>
        <w:rPr>
          <w:rFonts w:ascii="Arial" w:cs="Arial" w:eastAsia="Arial" w:hAnsi="Arial"/>
          <w:sz w:val="19"/>
          <w:szCs w:val="19"/>
          <w:color w:val="auto"/>
        </w:rPr>
        <w:t>WHEREAS, Customer and Boeing desire to revise letter agreement AAL-PA-3735-1106651, entitled “[</w:t>
      </w:r>
      <w:r>
        <w:rPr>
          <w:rFonts w:ascii="Arial" w:cs="Arial" w:eastAsia="Arial" w:hAnsi="Arial"/>
          <w:sz w:val="19"/>
          <w:szCs w:val="19"/>
          <w:u w:val="single" w:color="auto"/>
          <w:color w:val="auto"/>
        </w:rPr>
        <w:t>*CTR]</w:t>
      </w:r>
      <w:r>
        <w:rPr>
          <w:rFonts w:ascii="Arial" w:cs="Arial" w:eastAsia="Arial" w:hAnsi="Arial"/>
          <w:sz w:val="19"/>
          <w:szCs w:val="19"/>
          <w:color w:val="auto"/>
        </w:rPr>
        <w:t>”, to [*CTR] aircraft.</w:t>
      </w:r>
    </w:p>
    <w:p>
      <w:pPr>
        <w:spacing w:after="0" w:line="191" w:lineRule="exact"/>
        <w:rPr>
          <w:sz w:val="20"/>
          <w:szCs w:val="20"/>
          <w:color w:val="auto"/>
        </w:rPr>
      </w:pPr>
    </w:p>
    <w:p>
      <w:pPr>
        <w:jc w:val="both"/>
        <w:ind w:left="6" w:right="20" w:firstLine="561"/>
        <w:spacing w:after="0" w:line="244" w:lineRule="auto"/>
        <w:rPr>
          <w:sz w:val="20"/>
          <w:szCs w:val="20"/>
          <w:color w:val="auto"/>
        </w:rPr>
      </w:pPr>
      <w:r>
        <w:rPr>
          <w:rFonts w:ascii="Arial" w:cs="Arial" w:eastAsia="Arial" w:hAnsi="Arial"/>
          <w:sz w:val="19"/>
          <w:szCs w:val="19"/>
          <w:color w:val="auto"/>
        </w:rPr>
        <w:t>NOW, THEREFORE, the parties agree that the Purchase Agreement is amended as set forth below and otherwise agree as follows:</w:t>
      </w:r>
    </w:p>
    <w:p>
      <w:pPr>
        <w:ind w:left="566" w:hanging="566"/>
        <w:spacing w:after="0"/>
        <w:tabs>
          <w:tab w:leader="none" w:pos="566" w:val="left"/>
        </w:tabs>
        <w:numPr>
          <w:ilvl w:val="0"/>
          <w:numId w:val="155"/>
        </w:numPr>
        <w:rPr>
          <w:rFonts w:ascii="Arial" w:cs="Arial" w:eastAsia="Arial" w:hAnsi="Arial"/>
          <w:sz w:val="16"/>
          <w:szCs w:val="16"/>
          <w:color w:val="auto"/>
        </w:rPr>
      </w:pPr>
      <w:r>
        <w:rPr>
          <w:rFonts w:ascii="Arial" w:cs="Arial" w:eastAsia="Arial" w:hAnsi="Arial"/>
          <w:sz w:val="19"/>
          <w:szCs w:val="19"/>
          <w:u w:val="single" w:color="auto"/>
          <w:color w:val="auto"/>
        </w:rPr>
        <w:t>Table of Contents</w:t>
      </w:r>
      <w:r>
        <w:rPr>
          <w:rFonts w:ascii="Arial" w:cs="Arial" w:eastAsia="Arial" w:hAnsi="Arial"/>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19"/>
          <w:szCs w:val="19"/>
          <w:color w:val="auto"/>
        </w:rPr>
        <w:t>PA 03735</w:t>
      </w:r>
      <w:r>
        <w:rPr>
          <w:sz w:val="20"/>
          <w:szCs w:val="20"/>
          <w:color w:val="auto"/>
        </w:rPr>
        <w:tab/>
      </w:r>
      <w:r>
        <w:rPr>
          <w:rFonts w:ascii="Arial" w:cs="Arial" w:eastAsia="Arial" w:hAnsi="Arial"/>
          <w:sz w:val="18"/>
          <w:szCs w:val="18"/>
          <w:color w:val="auto"/>
        </w:rPr>
        <w:t>SA-9, Page 1</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24" w:right="219" w:bottom="1440" w:gutter="0" w:footer="0" w:header="0"/>
        </w:sectPr>
      </w:pPr>
    </w:p>
    <w:bookmarkStart w:id="207" w:name="page208"/>
    <w:bookmarkEnd w:id="207"/>
    <w:p>
      <w:pPr>
        <w:jc w:val="both"/>
        <w:ind w:left="6" w:right="20" w:firstLine="561"/>
        <w:spacing w:after="0" w:line="24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Table Of Contents</w:t>
      </w:r>
      <w:r>
        <w:rPr>
          <w:rFonts w:ascii="Arial" w:cs="Arial" w:eastAsia="Arial" w:hAnsi="Arial"/>
          <w:sz w:val="19"/>
          <w:szCs w:val="19"/>
          <w:color w:val="auto"/>
        </w:rPr>
        <w:t>” to the Purchase Agreement referencing SA-8 in the footer is deleted in its entirety and is replaced with the new “</w:t>
      </w:r>
      <w:r>
        <w:rPr>
          <w:rFonts w:ascii="Arial" w:cs="Arial" w:eastAsia="Arial" w:hAnsi="Arial"/>
          <w:sz w:val="19"/>
          <w:szCs w:val="19"/>
          <w:u w:val="single" w:color="auto"/>
          <w:color w:val="auto"/>
        </w:rPr>
        <w:t>Table Of Contents</w:t>
      </w:r>
      <w:r>
        <w:rPr>
          <w:rFonts w:ascii="Arial" w:cs="Arial" w:eastAsia="Arial" w:hAnsi="Arial"/>
          <w:sz w:val="19"/>
          <w:szCs w:val="19"/>
          <w:color w:val="auto"/>
        </w:rPr>
        <w:t>” (attached hereto) referencing SA-9 in the footer to reflect changes made to the Purchase Agreement by this SA-9. Such new Table of Contents is hereby incorporated into the Purchase Agreement in replacement of its predecessor.</w:t>
      </w:r>
    </w:p>
    <w:p>
      <w:pPr>
        <w:ind w:left="566" w:hanging="566"/>
        <w:spacing w:after="0"/>
        <w:tabs>
          <w:tab w:leader="none" w:pos="566" w:val="left"/>
        </w:tabs>
        <w:numPr>
          <w:ilvl w:val="0"/>
          <w:numId w:val="156"/>
        </w:numPr>
        <w:rPr>
          <w:rFonts w:ascii="Arial" w:cs="Arial" w:eastAsia="Arial" w:hAnsi="Arial"/>
          <w:sz w:val="16"/>
          <w:szCs w:val="16"/>
          <w:color w:val="auto"/>
        </w:rPr>
      </w:pPr>
      <w:r>
        <w:rPr>
          <w:rFonts w:ascii="Arial" w:cs="Arial" w:eastAsia="Arial" w:hAnsi="Arial"/>
          <w:sz w:val="19"/>
          <w:szCs w:val="19"/>
          <w:u w:val="single" w:color="auto"/>
          <w:color w:val="auto"/>
        </w:rPr>
        <w:t>Tables</w:t>
      </w:r>
      <w:r>
        <w:rPr>
          <w:rFonts w:ascii="Arial" w:cs="Arial" w:eastAsia="Arial" w:hAnsi="Arial"/>
          <w:sz w:val="19"/>
          <w:szCs w:val="19"/>
          <w:color w:val="auto"/>
        </w:rPr>
        <w:t>.</w:t>
      </w:r>
    </w:p>
    <w:p>
      <w:pPr>
        <w:spacing w:after="0" w:line="191" w:lineRule="exact"/>
        <w:rPr>
          <w:sz w:val="20"/>
          <w:szCs w:val="20"/>
          <w:color w:val="auto"/>
        </w:rPr>
      </w:pPr>
    </w:p>
    <w:p>
      <w:pPr>
        <w:jc w:val="both"/>
        <w:ind w:left="6" w:firstLine="561"/>
        <w:spacing w:after="0" w:line="250" w:lineRule="auto"/>
        <w:rPr>
          <w:sz w:val="20"/>
          <w:szCs w:val="20"/>
          <w:color w:val="auto"/>
        </w:rPr>
      </w:pPr>
      <w:r>
        <w:rPr>
          <w:rFonts w:ascii="Arial" w:cs="Arial" w:eastAsia="Arial" w:hAnsi="Arial"/>
          <w:sz w:val="19"/>
          <w:szCs w:val="19"/>
          <w:u w:val="single" w:color="auto"/>
          <w:color w:val="auto"/>
        </w:rPr>
        <w:t>2.1 Table 1R3</w:t>
      </w:r>
      <w:r>
        <w:rPr>
          <w:rFonts w:ascii="Arial" w:cs="Arial" w:eastAsia="Arial" w:hAnsi="Arial"/>
          <w:sz w:val="19"/>
          <w:szCs w:val="19"/>
          <w:color w:val="auto"/>
        </w:rPr>
        <w:t>. Table 1R3, entitled “</w:t>
      </w:r>
      <w:r>
        <w:rPr>
          <w:rFonts w:ascii="Arial" w:cs="Arial" w:eastAsia="Arial" w:hAnsi="Arial"/>
          <w:sz w:val="19"/>
          <w:szCs w:val="19"/>
          <w:u w:val="single" w:color="auto"/>
          <w:color w:val="auto"/>
        </w:rPr>
        <w:t>Base Weight 737-8 Aircraft Delivery, Description, Price, and Advance Payments,</w:t>
      </w:r>
      <w:r>
        <w:rPr>
          <w:rFonts w:ascii="Arial" w:cs="Arial" w:eastAsia="Arial" w:hAnsi="Arial"/>
          <w:sz w:val="19"/>
          <w:szCs w:val="19"/>
          <w:color w:val="auto"/>
        </w:rPr>
        <w:t>” referencing SA-6 in the footer is deleted in its entirety and replaced with Table 1R4, entitled “</w:t>
      </w:r>
      <w:r>
        <w:rPr>
          <w:rFonts w:ascii="Arial" w:cs="Arial" w:eastAsia="Arial" w:hAnsi="Arial"/>
          <w:sz w:val="19"/>
          <w:szCs w:val="19"/>
          <w:u w:val="single" w:color="auto"/>
          <w:color w:val="auto"/>
        </w:rPr>
        <w:t>737-8 Aircraft Delivery, Description, Price, and Advance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(attached hereto) referencing SA-9 in the footer. Such Table 1R4 is hereby incorporated into the Purchase Agreement in replacement of Table 1R3.</w:t>
      </w:r>
    </w:p>
    <w:p>
      <w:pPr>
        <w:spacing w:after="0" w:line="178" w:lineRule="exact"/>
        <w:rPr>
          <w:sz w:val="20"/>
          <w:szCs w:val="20"/>
          <w:color w:val="auto"/>
        </w:rPr>
      </w:pPr>
    </w:p>
    <w:p>
      <w:pPr>
        <w:jc w:val="both"/>
        <w:ind w:left="6" w:firstLine="561"/>
        <w:spacing w:after="0" w:line="250" w:lineRule="auto"/>
        <w:rPr>
          <w:sz w:val="20"/>
          <w:szCs w:val="20"/>
          <w:color w:val="auto"/>
        </w:rPr>
      </w:pPr>
      <w:r>
        <w:rPr>
          <w:rFonts w:ascii="Arial" w:cs="Arial" w:eastAsia="Arial" w:hAnsi="Arial"/>
          <w:sz w:val="19"/>
          <w:szCs w:val="19"/>
          <w:u w:val="single" w:color="auto"/>
          <w:color w:val="auto"/>
        </w:rPr>
        <w:t>2.2 Table 1-2</w:t>
      </w:r>
      <w:r>
        <w:rPr>
          <w:rFonts w:ascii="Arial" w:cs="Arial" w:eastAsia="Arial" w:hAnsi="Arial"/>
          <w:sz w:val="19"/>
          <w:szCs w:val="19"/>
          <w:color w:val="auto"/>
        </w:rPr>
        <w:t>. Table 1-2, entitled “</w:t>
      </w:r>
      <w:r>
        <w:rPr>
          <w:rFonts w:ascii="Arial" w:cs="Arial" w:eastAsia="Arial" w:hAnsi="Arial"/>
          <w:sz w:val="19"/>
          <w:szCs w:val="19"/>
          <w:u w:val="single" w:color="auto"/>
          <w:color w:val="auto"/>
        </w:rPr>
        <w:t>737-8 Revised Delivery Aircraft Delivery, Description, Price, and Advance Payments,</w:t>
      </w:r>
      <w:r>
        <w:rPr>
          <w:rFonts w:ascii="Arial" w:cs="Arial" w:eastAsia="Arial" w:hAnsi="Arial"/>
          <w:sz w:val="19"/>
          <w:szCs w:val="19"/>
          <w:color w:val="auto"/>
        </w:rPr>
        <w:t>” referencing SA-9 in the footer (</w:t>
      </w:r>
      <w:r>
        <w:rPr>
          <w:rFonts w:ascii="Arial" w:cs="Arial" w:eastAsia="Arial" w:hAnsi="Arial"/>
          <w:sz w:val="19"/>
          <w:szCs w:val="19"/>
          <w:b w:val="1"/>
          <w:bCs w:val="1"/>
          <w:i w:val="1"/>
          <w:iCs w:val="1"/>
          <w:color w:val="auto"/>
        </w:rPr>
        <w:t>Table 1-2</w:t>
      </w:r>
      <w:r>
        <w:rPr>
          <w:rFonts w:ascii="Arial" w:cs="Arial" w:eastAsia="Arial" w:hAnsi="Arial"/>
          <w:sz w:val="19"/>
          <w:szCs w:val="19"/>
          <w:color w:val="auto"/>
        </w:rPr>
        <w:t>) is hereby incorporated into the Purchase Agreement.</w:t>
      </w:r>
    </w:p>
    <w:p>
      <w:pPr>
        <w:spacing w:after="0" w:line="1" w:lineRule="exact"/>
        <w:rPr>
          <w:sz w:val="20"/>
          <w:szCs w:val="20"/>
          <w:color w:val="auto"/>
        </w:rPr>
      </w:pPr>
    </w:p>
    <w:p>
      <w:pPr>
        <w:ind w:left="566" w:hanging="566"/>
        <w:spacing w:after="0"/>
        <w:tabs>
          <w:tab w:leader="none" w:pos="56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Exhibit.</w:t>
      </w:r>
    </w:p>
    <w:p>
      <w:pPr>
        <w:spacing w:after="0" w:line="191" w:lineRule="exact"/>
        <w:rPr>
          <w:sz w:val="20"/>
          <w:szCs w:val="20"/>
          <w:color w:val="auto"/>
        </w:rPr>
      </w:pPr>
    </w:p>
    <w:p>
      <w:pPr>
        <w:jc w:val="both"/>
        <w:ind w:left="6" w:firstLine="561"/>
        <w:spacing w:after="0" w:line="244" w:lineRule="auto"/>
        <w:rPr>
          <w:sz w:val="20"/>
          <w:szCs w:val="20"/>
          <w:color w:val="auto"/>
        </w:rPr>
      </w:pPr>
      <w:r>
        <w:rPr>
          <w:rFonts w:ascii="Arial" w:cs="Arial" w:eastAsia="Arial" w:hAnsi="Arial"/>
          <w:sz w:val="19"/>
          <w:szCs w:val="19"/>
          <w:u w:val="single" w:color="auto"/>
          <w:color w:val="auto"/>
        </w:rPr>
        <w:t>Exhibit A2</w:t>
      </w:r>
      <w:r>
        <w:rPr>
          <w:rFonts w:ascii="Arial" w:cs="Arial" w:eastAsia="Arial" w:hAnsi="Arial"/>
          <w:sz w:val="19"/>
          <w:szCs w:val="19"/>
          <w:color w:val="auto"/>
        </w:rPr>
        <w:t>. Exhibit A2, entitled “</w:t>
      </w:r>
      <w:r>
        <w:rPr>
          <w:rFonts w:ascii="Arial" w:cs="Arial" w:eastAsia="Arial" w:hAnsi="Arial"/>
          <w:sz w:val="19"/>
          <w:szCs w:val="19"/>
          <w:u w:val="single" w:color="auto"/>
          <w:color w:val="auto"/>
        </w:rPr>
        <w:t>Revised Aircraft Configuration</w:t>
      </w:r>
      <w:r>
        <w:rPr>
          <w:rFonts w:ascii="Arial" w:cs="Arial" w:eastAsia="Arial" w:hAnsi="Arial"/>
          <w:sz w:val="19"/>
          <w:szCs w:val="19"/>
          <w:color w:val="auto"/>
        </w:rPr>
        <w:t>,” reflecting the Optional Features of the Revised Delivery Aircraft (</w:t>
      </w:r>
      <w:r>
        <w:rPr>
          <w:rFonts w:ascii="Arial" w:cs="Arial" w:eastAsia="Arial" w:hAnsi="Arial"/>
          <w:sz w:val="19"/>
          <w:szCs w:val="19"/>
          <w:b w:val="1"/>
          <w:bCs w:val="1"/>
          <w:i w:val="1"/>
          <w:iCs w:val="1"/>
          <w:color w:val="auto"/>
        </w:rPr>
        <w:t>Exhibit A2</w:t>
      </w:r>
      <w:r>
        <w:rPr>
          <w:rFonts w:ascii="Arial" w:cs="Arial" w:eastAsia="Arial" w:hAnsi="Arial"/>
          <w:sz w:val="19"/>
          <w:szCs w:val="19"/>
          <w:color w:val="auto"/>
        </w:rPr>
        <w:t>) is hereby incorporated into the Purchase Agreement. For the avoidance of doubt, Boeing will (i) manufacture and sell to Customer Aircraft conforming to the configuration described in Exhibit AR1 and with the Optional Features Prices set forth in Exhibit AR1 in the quantities listed in Table 1R4 and (ii) manufacture and sell to Customer Revised Delivery Aircraft conforming to the configuration described in Exhibit A2 and with the Optional Features Prices set forth in Exhibit A2 in the quantities listed in Table 1-2.</w:t>
      </w:r>
    </w:p>
    <w:p>
      <w:pPr>
        <w:spacing w:after="0" w:line="1" w:lineRule="exact"/>
        <w:rPr>
          <w:sz w:val="20"/>
          <w:szCs w:val="20"/>
          <w:color w:val="auto"/>
        </w:rPr>
      </w:pPr>
    </w:p>
    <w:p>
      <w:pPr>
        <w:ind w:left="566" w:hanging="566"/>
        <w:spacing w:after="0"/>
        <w:tabs>
          <w:tab w:leader="none" w:pos="566" w:val="left"/>
        </w:tabs>
        <w:numPr>
          <w:ilvl w:val="0"/>
          <w:numId w:val="158"/>
        </w:numPr>
        <w:rPr>
          <w:rFonts w:ascii="Arial" w:cs="Arial" w:eastAsia="Arial" w:hAnsi="Arial"/>
          <w:sz w:val="16"/>
          <w:szCs w:val="16"/>
          <w:color w:val="auto"/>
        </w:rPr>
      </w:pPr>
      <w:r>
        <w:rPr>
          <w:rFonts w:ascii="Arial" w:cs="Arial" w:eastAsia="Arial" w:hAnsi="Arial"/>
          <w:sz w:val="19"/>
          <w:szCs w:val="19"/>
          <w:u w:val="single" w:color="auto"/>
          <w:color w:val="auto"/>
        </w:rPr>
        <w:t>Letter Agreement</w:t>
      </w:r>
      <w:r>
        <w:rPr>
          <w:rFonts w:ascii="Arial" w:cs="Arial" w:eastAsia="Arial" w:hAnsi="Arial"/>
          <w:sz w:val="19"/>
          <w:szCs w:val="19"/>
          <w:color w:val="auto"/>
        </w:rPr>
        <w:t>.</w:t>
      </w:r>
    </w:p>
    <w:p>
      <w:pPr>
        <w:spacing w:after="0" w:line="191" w:lineRule="exact"/>
        <w:rPr>
          <w:sz w:val="20"/>
          <w:szCs w:val="20"/>
          <w:color w:val="auto"/>
        </w:rPr>
      </w:pPr>
    </w:p>
    <w:p>
      <w:pPr>
        <w:jc w:val="both"/>
        <w:ind w:left="6" w:firstLine="561"/>
        <w:spacing w:after="0" w:line="254" w:lineRule="auto"/>
        <w:rPr>
          <w:sz w:val="20"/>
          <w:szCs w:val="20"/>
          <w:color w:val="auto"/>
        </w:rPr>
      </w:pPr>
      <w:r>
        <w:rPr>
          <w:rFonts w:ascii="Arial" w:cs="Arial" w:eastAsia="Arial" w:hAnsi="Arial"/>
          <w:sz w:val="19"/>
          <w:szCs w:val="19"/>
          <w:color w:val="auto"/>
        </w:rPr>
        <w:t>4.1 Letter Agreement No. AAL-PA-3735-1106650R2, entitled “[</w:t>
      </w:r>
      <w:r>
        <w:rPr>
          <w:rFonts w:ascii="Arial" w:cs="Arial" w:eastAsia="Arial" w:hAnsi="Arial"/>
          <w:sz w:val="19"/>
          <w:szCs w:val="19"/>
          <w:u w:val="single" w:color="auto"/>
          <w:color w:val="auto"/>
        </w:rPr>
        <w:t>*CTR],</w:t>
      </w:r>
      <w:r>
        <w:rPr>
          <w:rFonts w:ascii="Arial" w:cs="Arial" w:eastAsia="Arial" w:hAnsi="Arial"/>
          <w:sz w:val="19"/>
          <w:szCs w:val="19"/>
          <w:color w:val="auto"/>
        </w:rPr>
        <w:t>” is deleted in its entirety and replaced with the similarly titled Letter Agreement No. AAL-PA-3735-1106650R3 (attached hereto) referencing SA-9 in the footer (</w:t>
      </w:r>
      <w:r>
        <w:rPr>
          <w:rFonts w:ascii="Arial" w:cs="Arial" w:eastAsia="Arial" w:hAnsi="Arial"/>
          <w:sz w:val="19"/>
          <w:szCs w:val="19"/>
          <w:b w:val="1"/>
          <w:bCs w:val="1"/>
          <w:i w:val="1"/>
          <w:iCs w:val="1"/>
          <w:color w:val="auto"/>
        </w:rPr>
        <w:t>Revised [*CTR]</w:t>
      </w:r>
      <w:r>
        <w:rPr>
          <w:rFonts w:ascii="Arial" w:cs="Arial" w:eastAsia="Arial" w:hAnsi="Arial"/>
          <w:sz w:val="19"/>
          <w:szCs w:val="19"/>
          <w:color w:val="auto"/>
        </w:rPr>
        <w:t>). The Revised [*CTR] is hereby incorporated into the Purchase Agreement.</w:t>
      </w:r>
    </w:p>
    <w:p>
      <w:pPr>
        <w:spacing w:after="0" w:line="172" w:lineRule="exact"/>
        <w:rPr>
          <w:sz w:val="20"/>
          <w:szCs w:val="20"/>
          <w:color w:val="auto"/>
        </w:rPr>
      </w:pPr>
    </w:p>
    <w:p>
      <w:pPr>
        <w:jc w:val="both"/>
        <w:ind w:left="6" w:right="20" w:firstLine="561"/>
        <w:spacing w:after="0" w:line="250" w:lineRule="auto"/>
        <w:rPr>
          <w:sz w:val="20"/>
          <w:szCs w:val="20"/>
          <w:color w:val="auto"/>
        </w:rPr>
      </w:pPr>
      <w:r>
        <w:rPr>
          <w:rFonts w:ascii="Arial" w:cs="Arial" w:eastAsia="Arial" w:hAnsi="Arial"/>
          <w:sz w:val="19"/>
          <w:szCs w:val="19"/>
          <w:color w:val="auto"/>
        </w:rPr>
        <w:t>4.2 Letter Agreement No. AAL-PA-3735-1106651, entitled “</w:t>
      </w:r>
      <w:r>
        <w:rPr>
          <w:rFonts w:ascii="Arial" w:cs="Arial" w:eastAsia="Arial" w:hAnsi="Arial"/>
          <w:sz w:val="19"/>
          <w:szCs w:val="19"/>
          <w:u w:val="single" w:color="auto"/>
          <w:color w:val="auto"/>
        </w:rPr>
        <w:t>[*CTR],</w:t>
      </w:r>
      <w:r>
        <w:rPr>
          <w:rFonts w:ascii="Arial" w:cs="Arial" w:eastAsia="Arial" w:hAnsi="Arial"/>
          <w:sz w:val="19"/>
          <w:szCs w:val="19"/>
          <w:color w:val="auto"/>
        </w:rPr>
        <w:t>” inclusive of Attachment A, is deleted in its entirety and replaced with the similarly titled Letter Agreement No. AAL-PA-3735-1106651R1, inclusive of a revised Attachment A (attached hereto) and referencing SA-9 in the footer (</w:t>
      </w:r>
      <w:r>
        <w:rPr>
          <w:rFonts w:ascii="Arial" w:cs="Arial" w:eastAsia="Arial" w:hAnsi="Arial"/>
          <w:sz w:val="19"/>
          <w:szCs w:val="19"/>
          <w:b w:val="1"/>
          <w:bCs w:val="1"/>
          <w:i w:val="1"/>
          <w:iCs w:val="1"/>
          <w:color w:val="auto"/>
        </w:rPr>
        <w:t>Revised [*CTR] Agreement</w:t>
      </w:r>
      <w:r>
        <w:rPr>
          <w:rFonts w:ascii="Arial" w:cs="Arial" w:eastAsia="Arial" w:hAnsi="Arial"/>
          <w:sz w:val="19"/>
          <w:szCs w:val="19"/>
          <w:color w:val="auto"/>
        </w:rPr>
        <w:t>). The Revised [*CTR] Agreement is hereby incorporated into the Purchase Agreement.</w:t>
      </w: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19"/>
          <w:szCs w:val="19"/>
          <w:color w:val="auto"/>
        </w:rPr>
        <w:t>PA 03735</w:t>
      </w:r>
      <w:r>
        <w:rPr>
          <w:sz w:val="20"/>
          <w:szCs w:val="20"/>
          <w:color w:val="auto"/>
        </w:rPr>
        <w:tab/>
      </w:r>
      <w:r>
        <w:rPr>
          <w:rFonts w:ascii="Arial" w:cs="Arial" w:eastAsia="Arial" w:hAnsi="Arial"/>
          <w:sz w:val="18"/>
          <w:szCs w:val="18"/>
          <w:color w:val="auto"/>
        </w:rPr>
        <w:t>SA-9, Page 2</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543" w:right="219" w:bottom="1440" w:gutter="0" w:footer="0" w:header="0"/>
        </w:sectPr>
      </w:pPr>
    </w:p>
    <w:bookmarkStart w:id="208" w:name="page209"/>
    <w:bookmarkEnd w:id="208"/>
    <w:p>
      <w:pPr>
        <w:ind w:left="6" w:firstLine="561"/>
        <w:spacing w:after="0" w:line="250" w:lineRule="auto"/>
        <w:rPr>
          <w:sz w:val="20"/>
          <w:szCs w:val="20"/>
          <w:color w:val="auto"/>
        </w:rPr>
      </w:pPr>
      <w:r>
        <w:rPr>
          <w:rFonts w:ascii="Arial" w:cs="Arial" w:eastAsia="Arial" w:hAnsi="Arial"/>
          <w:sz w:val="19"/>
          <w:szCs w:val="19"/>
          <w:color w:val="auto"/>
        </w:rPr>
        <w:t>4.3 Letter Agreement No. AAL-PA-3735-1801206, entitled “</w:t>
      </w:r>
      <w:r>
        <w:rPr>
          <w:rFonts w:ascii="Arial" w:cs="Arial" w:eastAsia="Arial" w:hAnsi="Arial"/>
          <w:sz w:val="19"/>
          <w:szCs w:val="19"/>
          <w:u w:val="single" w:color="auto"/>
          <w:color w:val="auto"/>
        </w:rPr>
        <w:t>[*CTR],</w:t>
      </w:r>
      <w:r>
        <w:rPr>
          <w:rFonts w:ascii="Arial" w:cs="Arial" w:eastAsia="Arial" w:hAnsi="Arial"/>
          <w:sz w:val="19"/>
          <w:szCs w:val="19"/>
          <w:color w:val="auto"/>
        </w:rPr>
        <w:t>” inclusive of Attachment A and referencing SA-9 in the footer (</w:t>
      </w:r>
      <w:r>
        <w:rPr>
          <w:rFonts w:ascii="Arial" w:cs="Arial" w:eastAsia="Arial" w:hAnsi="Arial"/>
          <w:sz w:val="19"/>
          <w:szCs w:val="19"/>
          <w:b w:val="1"/>
          <w:bCs w:val="1"/>
          <w:i w:val="1"/>
          <w:iCs w:val="1"/>
          <w:color w:val="auto"/>
        </w:rPr>
        <w:t>[*CTR] Agreement</w:t>
      </w:r>
      <w:r>
        <w:rPr>
          <w:rFonts w:ascii="Arial" w:cs="Arial" w:eastAsia="Arial" w:hAnsi="Arial"/>
          <w:sz w:val="19"/>
          <w:szCs w:val="19"/>
          <w:color w:val="auto"/>
        </w:rPr>
        <w:t>) is hereby incorporated into the Purchase Agreement.</w:t>
      </w:r>
    </w:p>
    <w:p>
      <w:pPr>
        <w:spacing w:after="0" w:line="1" w:lineRule="exact"/>
        <w:rPr>
          <w:sz w:val="20"/>
          <w:szCs w:val="20"/>
          <w:color w:val="auto"/>
        </w:rPr>
      </w:pPr>
    </w:p>
    <w:p>
      <w:pPr>
        <w:ind w:left="566" w:hanging="566"/>
        <w:spacing w:after="0"/>
        <w:tabs>
          <w:tab w:leader="none" w:pos="566" w:val="left"/>
        </w:tabs>
        <w:numPr>
          <w:ilvl w:val="0"/>
          <w:numId w:val="159"/>
        </w:numPr>
        <w:rPr>
          <w:rFonts w:ascii="Arial" w:cs="Arial" w:eastAsia="Arial" w:hAnsi="Arial"/>
          <w:sz w:val="16"/>
          <w:szCs w:val="16"/>
          <w:color w:val="auto"/>
        </w:rPr>
      </w:pPr>
      <w:r>
        <w:rPr>
          <w:rFonts w:ascii="Arial" w:cs="Arial" w:eastAsia="Arial" w:hAnsi="Arial"/>
          <w:sz w:val="19"/>
          <w:szCs w:val="19"/>
          <w:u w:val="single" w:color="auto"/>
          <w:color w:val="auto"/>
        </w:rPr>
        <w:t>Miscellaneous.</w:t>
      </w:r>
    </w:p>
    <w:p>
      <w:pPr>
        <w:spacing w:after="0" w:line="190" w:lineRule="exact"/>
        <w:rPr>
          <w:rFonts w:ascii="Arial" w:cs="Arial" w:eastAsia="Arial" w:hAnsi="Arial"/>
          <w:sz w:val="16"/>
          <w:szCs w:val="16"/>
          <w:color w:val="auto"/>
        </w:rPr>
      </w:pPr>
    </w:p>
    <w:p>
      <w:pPr>
        <w:ind w:left="566"/>
        <w:spacing w:after="0"/>
        <w:rPr>
          <w:rFonts w:ascii="Arial" w:cs="Arial" w:eastAsia="Arial" w:hAnsi="Arial"/>
          <w:sz w:val="16"/>
          <w:szCs w:val="16"/>
          <w:color w:val="auto"/>
        </w:rPr>
      </w:pPr>
      <w:r>
        <w:rPr>
          <w:rFonts w:ascii="Arial" w:cs="Arial" w:eastAsia="Arial" w:hAnsi="Arial"/>
          <w:sz w:val="19"/>
          <w:szCs w:val="19"/>
          <w:color w:val="auto"/>
        </w:rPr>
        <w:t>5.1  For avoidance of doubt, Revised Delivery Aircraft remain Aircraft under the Purchase Agreement.</w:t>
      </w:r>
    </w:p>
    <w:p>
      <w:pPr>
        <w:spacing w:after="0" w:line="203" w:lineRule="exact"/>
        <w:rPr>
          <w:sz w:val="20"/>
          <w:szCs w:val="20"/>
          <w:color w:val="auto"/>
        </w:rPr>
      </w:pPr>
    </w:p>
    <w:p>
      <w:pPr>
        <w:jc w:val="both"/>
        <w:ind w:left="6" w:firstLine="561"/>
        <w:spacing w:after="0" w:line="264" w:lineRule="auto"/>
        <w:rPr>
          <w:sz w:val="20"/>
          <w:szCs w:val="20"/>
          <w:color w:val="auto"/>
        </w:rPr>
      </w:pPr>
      <w:r>
        <w:rPr>
          <w:rFonts w:ascii="Arial" w:cs="Arial" w:eastAsia="Arial" w:hAnsi="Arial"/>
          <w:sz w:val="19"/>
          <w:szCs w:val="19"/>
          <w:color w:val="auto"/>
        </w:rPr>
        <w:t>5.2 The definition of “Aircraft” in Exhibit C to the Purchase Agreement is hereby deleted in its entirety and replaced with the following:</w:t>
      </w:r>
    </w:p>
    <w:p>
      <w:pPr>
        <w:spacing w:after="0" w:line="143" w:lineRule="exact"/>
        <w:rPr>
          <w:sz w:val="20"/>
          <w:szCs w:val="20"/>
          <w:color w:val="auto"/>
        </w:rPr>
      </w:pPr>
    </w:p>
    <w:p>
      <w:pPr>
        <w:jc w:val="both"/>
        <w:ind w:left="6" w:firstLine="561"/>
        <w:spacing w:after="0" w:line="258" w:lineRule="auto"/>
        <w:rPr>
          <w:sz w:val="20"/>
          <w:szCs w:val="20"/>
          <w:color w:val="auto"/>
        </w:rPr>
      </w:pPr>
      <w:r>
        <w:rPr>
          <w:rFonts w:ascii="Arial" w:cs="Arial" w:eastAsia="Arial" w:hAnsi="Arial"/>
          <w:sz w:val="19"/>
          <w:szCs w:val="19"/>
          <w:i w:val="1"/>
          <w:iCs w:val="1"/>
          <w:color w:val="auto"/>
        </w:rPr>
        <w:t xml:space="preserve">Aircraft </w:t>
      </w:r>
      <w:r>
        <w:rPr>
          <w:rFonts w:ascii="Arial" w:cs="Arial" w:eastAsia="Arial" w:hAnsi="Arial"/>
          <w:sz w:val="19"/>
          <w:szCs w:val="19"/>
          <w:color w:val="auto"/>
        </w:rPr>
        <w:t>means any or all, as the context requires, of the Boeing Model 737 MAX aircraft described in Section 1 of the Basic Articles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Purchase Agreement, and as further specified in Table 1(R4) or Table 1-2 to the Purchase Agreement, together with the Aircraft Software, Engines and Parts that are incorporated or installed in or attached to such aircraft.</w:t>
      </w:r>
    </w:p>
    <w:p>
      <w:pPr>
        <w:spacing w:after="0" w:line="169" w:lineRule="exact"/>
        <w:rPr>
          <w:sz w:val="20"/>
          <w:szCs w:val="20"/>
          <w:color w:val="auto"/>
        </w:rPr>
      </w:pPr>
    </w:p>
    <w:p>
      <w:pPr>
        <w:jc w:val="both"/>
        <w:ind w:left="6" w:right="20" w:firstLine="561"/>
        <w:spacing w:after="0" w:line="254" w:lineRule="auto"/>
        <w:rPr>
          <w:sz w:val="20"/>
          <w:szCs w:val="20"/>
          <w:color w:val="auto"/>
        </w:rPr>
      </w:pPr>
      <w:r>
        <w:rPr>
          <w:rFonts w:ascii="Arial" w:cs="Arial" w:eastAsia="Arial" w:hAnsi="Arial"/>
          <w:sz w:val="19"/>
          <w:szCs w:val="19"/>
          <w:color w:val="auto"/>
        </w:rPr>
        <w:t>5.3 The Purchase Agreement is amended as set forth above by the revised Table Of Contents, Table 1R4, Table 1-2, Exhibit A2, the Revised [*CTR], the Revised [*CTR] Agreement, and the [*CTR] Agreement. All other terms and conditions of the Purchase Agreement remain unchanged and are in full force and effect.</w:t>
      </w:r>
    </w:p>
    <w:p>
      <w:pPr>
        <w:spacing w:after="0" w:line="172" w:lineRule="exact"/>
        <w:rPr>
          <w:sz w:val="20"/>
          <w:szCs w:val="20"/>
          <w:color w:val="auto"/>
        </w:rPr>
      </w:pPr>
    </w:p>
    <w:p>
      <w:pPr>
        <w:jc w:val="both"/>
        <w:ind w:left="6" w:right="20" w:firstLine="561"/>
        <w:spacing w:after="0" w:line="264" w:lineRule="auto"/>
        <w:rPr>
          <w:sz w:val="20"/>
          <w:szCs w:val="20"/>
          <w:color w:val="auto"/>
        </w:rPr>
      </w:pPr>
      <w:r>
        <w:rPr>
          <w:rFonts w:ascii="Arial" w:cs="Arial" w:eastAsia="Arial" w:hAnsi="Arial"/>
          <w:sz w:val="19"/>
          <w:szCs w:val="19"/>
          <w:color w:val="auto"/>
        </w:rPr>
        <w:t>5.4 References in the Purchase Agreement and any supplemental agreements and associated letter agreements to Table 1 or Table 1R2 or Table 1R3, are deemed to refer to Table 1R4 and Table 1-2.</w:t>
      </w:r>
    </w:p>
    <w:p>
      <w:pPr>
        <w:spacing w:after="0" w:line="163" w:lineRule="exact"/>
        <w:rPr>
          <w:sz w:val="20"/>
          <w:szCs w:val="20"/>
          <w:color w:val="auto"/>
        </w:rPr>
      </w:pPr>
    </w:p>
    <w:p>
      <w:pPr>
        <w:jc w:val="both"/>
        <w:ind w:left="6" w:firstLine="561"/>
        <w:spacing w:after="0" w:line="254" w:lineRule="auto"/>
        <w:rPr>
          <w:sz w:val="20"/>
          <w:szCs w:val="20"/>
          <w:color w:val="auto"/>
        </w:rPr>
      </w:pPr>
      <w:r>
        <w:rPr>
          <w:rFonts w:ascii="Arial" w:cs="Arial" w:eastAsia="Arial" w:hAnsi="Arial"/>
          <w:sz w:val="19"/>
          <w:szCs w:val="19"/>
          <w:color w:val="auto"/>
        </w:rPr>
        <w:t>5.5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76" w:lineRule="exact"/>
        <w:rPr>
          <w:sz w:val="20"/>
          <w:szCs w:val="20"/>
          <w:color w:val="auto"/>
        </w:rPr>
      </w:pPr>
    </w:p>
    <w:tbl>
      <w:tblPr>
        <w:tblLayout w:type="fixed"/>
        <w:tblInd w:w="16" w:type="dxa"/>
        <w:tblCellMar>
          <w:top w:w="0" w:type="dxa"/>
          <w:left w:w="0" w:type="dxa"/>
          <w:bottom w:w="0" w:type="dxa"/>
          <w:right w:w="0" w:type="dxa"/>
        </w:tblCellMar>
      </w:tblPr>
      <w:tr>
        <w:trPr>
          <w:trHeight w:val="187"/>
        </w:trPr>
        <w:tc>
          <w:tcPr>
            <w:tcW w:w="57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Reference</w:t>
            </w:r>
          </w:p>
        </w:tc>
        <w:tc>
          <w:tcPr>
            <w:tcW w:w="5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Replacement Reference</w:t>
            </w:r>
          </w:p>
        </w:tc>
      </w:tr>
      <w:tr>
        <w:trPr>
          <w:trHeight w:val="38"/>
        </w:trPr>
        <w:tc>
          <w:tcPr>
            <w:tcW w:w="660" w:type="dxa"/>
            <w:vAlign w:val="bottom"/>
            <w:tcBorders>
              <w:top w:val="single" w:sz="8" w:color="auto"/>
              <w:left w:val="single" w:sz="8" w:color="auto"/>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r>
        <w:trPr>
          <w:trHeight w:val="201"/>
        </w:trPr>
        <w:tc>
          <w:tcPr>
            <w:tcW w:w="5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Exhibit A or Exhibit AR1</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Exhibit AR1 and Exhibit A2</w:t>
            </w:r>
          </w:p>
        </w:tc>
      </w:tr>
      <w:tr>
        <w:trPr>
          <w:trHeight w:val="24"/>
        </w:trPr>
        <w:tc>
          <w:tcPr>
            <w:tcW w:w="660" w:type="dxa"/>
            <w:vAlign w:val="bottom"/>
            <w:tcBorders>
              <w:left w:val="single" w:sz="8" w:color="auto"/>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01"/>
        </w:trPr>
        <w:tc>
          <w:tcPr>
            <w:tcW w:w="5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Letter Agreement No. AAL-PA-3735-1106650R2</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Letter Agreement No. AAL-PA-3735-1106650R3</w:t>
            </w:r>
          </w:p>
        </w:tc>
      </w:tr>
      <w:tr>
        <w:trPr>
          <w:trHeight w:val="24"/>
        </w:trPr>
        <w:tc>
          <w:tcPr>
            <w:tcW w:w="660" w:type="dxa"/>
            <w:vAlign w:val="bottom"/>
            <w:tcBorders>
              <w:left w:val="single" w:sz="8" w:color="auto"/>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01"/>
        </w:trPr>
        <w:tc>
          <w:tcPr>
            <w:tcW w:w="5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Letter Agreement No. AAL-PA-3735-1106651</w:t>
            </w:r>
          </w:p>
        </w:tc>
        <w:tc>
          <w:tcPr>
            <w:tcW w:w="5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Letter Agreement No. AAL-PA-3735-1106651R1</w:t>
            </w:r>
          </w:p>
        </w:tc>
      </w:tr>
      <w:tr>
        <w:trPr>
          <w:trHeight w:val="24"/>
        </w:trPr>
        <w:tc>
          <w:tcPr>
            <w:tcW w:w="660" w:type="dxa"/>
            <w:vAlign w:val="bottom"/>
            <w:tcBorders>
              <w:left w:val="single" w:sz="8" w:color="auto"/>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68" w:lineRule="exact"/>
        <w:rPr>
          <w:sz w:val="20"/>
          <w:szCs w:val="20"/>
          <w:color w:val="auto"/>
        </w:rPr>
      </w:pPr>
    </w:p>
    <w:p>
      <w:pPr>
        <w:jc w:val="both"/>
        <w:ind w:left="6" w:right="20" w:firstLine="561"/>
        <w:spacing w:after="0" w:line="264" w:lineRule="auto"/>
        <w:rPr>
          <w:sz w:val="20"/>
          <w:szCs w:val="20"/>
          <w:color w:val="auto"/>
        </w:rPr>
      </w:pPr>
      <w:r>
        <w:rPr>
          <w:rFonts w:ascii="Arial" w:cs="Arial" w:eastAsia="Arial" w:hAnsi="Arial"/>
          <w:sz w:val="19"/>
          <w:szCs w:val="19"/>
          <w:color w:val="auto"/>
        </w:rPr>
        <w:t>5.6 Upon the execution of this SA-9, Boeing shall [*CTR]. Such [*CTR] Customer to Boeing in accordance with the Purchase Agreement. The [*CTR].</w:t>
      </w:r>
    </w:p>
    <w:p>
      <w:pPr>
        <w:spacing w:after="0" w:line="35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Intentionally Left Blank</w:t>
      </w:r>
    </w:p>
    <w:p>
      <w:pPr>
        <w:spacing w:after="0" w:line="200" w:lineRule="exact"/>
        <w:rPr>
          <w:sz w:val="20"/>
          <w:szCs w:val="20"/>
          <w:color w:val="auto"/>
        </w:rPr>
      </w:pPr>
    </w:p>
    <w:p>
      <w:pPr>
        <w:spacing w:after="0" w:line="389"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19"/>
          <w:szCs w:val="19"/>
          <w:color w:val="auto"/>
        </w:rPr>
        <w:t>PA 03735</w:t>
      </w:r>
      <w:r>
        <w:rPr>
          <w:sz w:val="20"/>
          <w:szCs w:val="20"/>
          <w:color w:val="auto"/>
        </w:rPr>
        <w:tab/>
      </w:r>
      <w:r>
        <w:rPr>
          <w:rFonts w:ascii="Arial" w:cs="Arial" w:eastAsia="Arial" w:hAnsi="Arial"/>
          <w:sz w:val="18"/>
          <w:szCs w:val="18"/>
          <w:color w:val="auto"/>
        </w:rPr>
        <w:t>SA-9, Page 3</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BOEING PROPRIETARY</w:t>
      </w:r>
    </w:p>
    <w:p>
      <w:pPr>
        <w:spacing w:after="0" w:line="8"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356" w:right="219" w:bottom="1440" w:gutter="0" w:footer="0" w:header="0"/>
        </w:sectPr>
      </w:pPr>
    </w:p>
    <w:bookmarkStart w:id="209" w:name="page210"/>
    <w:bookmarkEnd w:id="209"/>
    <w:p>
      <w:pPr>
        <w:ind w:left="1160"/>
        <w:spacing w:after="0"/>
        <w:rPr>
          <w:sz w:val="20"/>
          <w:szCs w:val="20"/>
          <w:color w:val="auto"/>
        </w:rPr>
      </w:pPr>
      <w:r>
        <w:rPr>
          <w:rFonts w:ascii="Arial" w:cs="Arial" w:eastAsia="Arial" w:hAnsi="Arial"/>
          <w:sz w:val="14"/>
          <w:szCs w:val="14"/>
          <w:color w:val="auto"/>
        </w:rPr>
        <w:t>AGREED AND ACCEPTED this</w:t>
      </w:r>
    </w:p>
    <w:p>
      <w:pPr>
        <w:spacing w:after="0" w:line="35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10160</wp:posOffset>
            </wp:positionV>
            <wp:extent cx="267398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2673985" cy="76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Date</w:t>
      </w:r>
    </w:p>
    <w:p>
      <w:pPr>
        <w:spacing w:after="0" w:line="313"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THE BOEING COMPANY</w:t>
      </w:r>
    </w:p>
    <w:p>
      <w:pPr>
        <w:spacing w:after="0" w:line="34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10160</wp:posOffset>
            </wp:positionV>
            <wp:extent cx="267398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2673985" cy="76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Signature</w:t>
      </w:r>
    </w:p>
    <w:p>
      <w:pPr>
        <w:spacing w:after="0" w:line="33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10160</wp:posOffset>
            </wp:positionV>
            <wp:extent cx="267398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2673985" cy="76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Printed name</w:t>
      </w:r>
    </w:p>
    <w:p>
      <w:pPr>
        <w:spacing w:after="0" w:line="33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10160</wp:posOffset>
            </wp:positionV>
            <wp:extent cx="267398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2673985" cy="76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479"/>
        <w:spacing w:after="0"/>
        <w:rPr>
          <w:sz w:val="20"/>
          <w:szCs w:val="20"/>
          <w:color w:val="auto"/>
        </w:rPr>
      </w:pPr>
      <w:r>
        <w:rPr>
          <w:rFonts w:ascii="Arial" w:cs="Arial" w:eastAsia="Arial" w:hAnsi="Arial"/>
          <w:sz w:val="14"/>
          <w:szCs w:val="14"/>
          <w:b w:val="1"/>
          <w:bCs w:val="1"/>
          <w:color w:val="auto"/>
        </w:rPr>
        <w:t>AMERICAN AIRLINES, INC.</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10160</wp:posOffset>
            </wp:positionV>
            <wp:extent cx="290449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10160</wp:posOffset>
            </wp:positionV>
            <wp:extent cx="290449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24765</wp:posOffset>
            </wp:positionV>
            <wp:extent cx="290449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ectPr>
          <w:pgSz w:w="11900" w:h="16838" w:orient="portrait"/>
          <w:cols w:equalWidth="0" w:num="2">
            <w:col w:w="5020" w:space="720"/>
            <w:col w:w="4479"/>
          </w:cols>
          <w:pgMar w:left="240" w:top="50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tabs>
          <w:tab w:leader="none" w:pos="2500" w:val="left"/>
        </w:tabs>
        <w:rPr>
          <w:sz w:val="20"/>
          <w:szCs w:val="20"/>
          <w:color w:val="auto"/>
        </w:rPr>
      </w:pPr>
      <w:r>
        <w:rPr>
          <w:rFonts w:ascii="Arial" w:cs="Arial" w:eastAsia="Arial" w:hAnsi="Arial"/>
          <w:sz w:val="19"/>
          <w:szCs w:val="19"/>
          <w:color w:val="auto"/>
        </w:rPr>
        <w:t>PA 03735</w:t>
      </w:r>
      <w:r>
        <w:rPr>
          <w:sz w:val="20"/>
          <w:szCs w:val="20"/>
          <w:color w:val="auto"/>
        </w:rPr>
        <w:tab/>
      </w:r>
      <w:r>
        <w:rPr>
          <w:rFonts w:ascii="Arial" w:cs="Arial" w:eastAsia="Arial" w:hAnsi="Arial"/>
          <w:sz w:val="18"/>
          <w:szCs w:val="18"/>
          <w:color w:val="auto"/>
        </w:rPr>
        <w:t>SA-9, Page 4</w:t>
      </w:r>
    </w:p>
    <w:p>
      <w:pPr>
        <w:spacing w:after="0" w:line="7" w:lineRule="exact"/>
        <w:rPr>
          <w:sz w:val="20"/>
          <w:szCs w:val="20"/>
          <w:color w:val="auto"/>
        </w:rPr>
      </w:pPr>
    </w:p>
    <w:p>
      <w:pPr>
        <w:jc w:val="right"/>
        <w:ind w:right="3439"/>
        <w:spacing w:after="0"/>
        <w:rPr>
          <w:sz w:val="20"/>
          <w:szCs w:val="20"/>
          <w:color w:val="auto"/>
        </w:rPr>
      </w:pPr>
      <w:r>
        <w:rPr>
          <w:rFonts w:ascii="Arial" w:cs="Arial" w:eastAsia="Arial" w:hAnsi="Arial"/>
          <w:sz w:val="19"/>
          <w:szCs w:val="19"/>
          <w:b w:val="1"/>
          <w:bCs w:val="1"/>
          <w:color w:val="auto"/>
        </w:rPr>
        <w:t>BOEING PROPRIETARY</w:t>
      </w:r>
    </w:p>
    <w:p>
      <w:pPr>
        <w:sectPr>
          <w:pgSz w:w="11900" w:h="16838" w:orient="portrait"/>
          <w:cols w:equalWidth="0" w:num="1">
            <w:col w:w="10219"/>
          </w:cols>
          <w:pgMar w:left="240" w:top="501" w:right="1440" w:bottom="1440" w:gutter="0" w:footer="0" w:header="0"/>
          <w:type w:val="continuous"/>
        </w:sectPr>
      </w:pPr>
    </w:p>
    <w:bookmarkStart w:id="210" w:name="page211"/>
    <w:bookmarkEnd w:id="210"/>
    <w:tbl>
      <w:tblPr>
        <w:tblLayout w:type="fixed"/>
        <w:tblInd w:w="2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980" w:type="dxa"/>
            <w:vAlign w:val="bottom"/>
            <w:gridSpan w:val="2"/>
          </w:tcPr>
          <w:p>
            <w:pPr>
              <w:ind w:left="780"/>
              <w:spacing w:after="0"/>
              <w:rPr>
                <w:sz w:val="20"/>
                <w:szCs w:val="20"/>
                <w:color w:val="auto"/>
              </w:rPr>
            </w:pPr>
            <w:r>
              <w:rPr>
                <w:rFonts w:ascii="Arial" w:cs="Arial" w:eastAsia="Arial" w:hAnsi="Arial"/>
                <w:sz w:val="19"/>
                <w:szCs w:val="19"/>
                <w:b w:val="1"/>
                <w:bCs w:val="1"/>
                <w:color w:val="auto"/>
              </w:rPr>
              <w:t>TABLE OF CONTENTS</w:t>
            </w:r>
          </w:p>
        </w:tc>
        <w:tc>
          <w:tcPr>
            <w:tcW w:w="2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1"/>
        </w:trPr>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8"/>
              </w:rPr>
              <w:t>SA</w:t>
            </w:r>
          </w:p>
        </w:tc>
        <w:tc>
          <w:tcPr>
            <w:tcW w:w="0" w:type="dxa"/>
            <w:vAlign w:val="bottom"/>
          </w:tcPr>
          <w:p>
            <w:pPr>
              <w:spacing w:after="0"/>
              <w:rPr>
                <w:sz w:val="1"/>
                <w:szCs w:val="1"/>
                <w:color w:val="auto"/>
              </w:rPr>
            </w:pPr>
          </w:p>
        </w:tc>
      </w:tr>
      <w:tr>
        <w:trPr>
          <w:trHeight w:val="353"/>
        </w:trPr>
        <w:tc>
          <w:tcPr>
            <w:tcW w:w="3920" w:type="dxa"/>
            <w:vAlign w:val="bottom"/>
            <w:gridSpan w:val="7"/>
            <w:vMerge w:val="restart"/>
          </w:tcPr>
          <w:p>
            <w:pPr>
              <w:spacing w:after="0"/>
              <w:rPr>
                <w:sz w:val="20"/>
                <w:szCs w:val="20"/>
                <w:color w:val="auto"/>
              </w:rPr>
            </w:pPr>
            <w:r>
              <w:rPr>
                <w:rFonts w:ascii="Arial" w:cs="Arial" w:eastAsia="Arial" w:hAnsi="Arial"/>
                <w:sz w:val="19"/>
                <w:szCs w:val="19"/>
                <w:b w:val="1"/>
                <w:bCs w:val="1"/>
                <w:color w:val="auto"/>
              </w:rPr>
              <w:t>ARTICLES</w:t>
            </w:r>
          </w:p>
        </w:tc>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60" w:type="dxa"/>
            <w:vAlign w:val="bottom"/>
            <w:vMerge w:val="restart"/>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NUMBER</w:t>
            </w:r>
          </w:p>
        </w:tc>
        <w:tc>
          <w:tcPr>
            <w:tcW w:w="0" w:type="dxa"/>
            <w:vAlign w:val="bottom"/>
          </w:tcPr>
          <w:p>
            <w:pPr>
              <w:spacing w:after="0"/>
              <w:rPr>
                <w:sz w:val="1"/>
                <w:szCs w:val="1"/>
                <w:color w:val="auto"/>
              </w:rPr>
            </w:pPr>
          </w:p>
        </w:tc>
      </w:tr>
      <w:tr>
        <w:trPr>
          <w:trHeight w:val="27"/>
        </w:trPr>
        <w:tc>
          <w:tcPr>
            <w:tcW w:w="3920" w:type="dxa"/>
            <w:vAlign w:val="bottom"/>
            <w:gridSpan w:val="7"/>
            <w:vMerge w:val="continue"/>
          </w:tcPr>
          <w:p>
            <w:pPr>
              <w:spacing w:after="0"/>
              <w:rPr>
                <w:sz w:val="2"/>
                <w:szCs w:val="2"/>
                <w:color w:val="auto"/>
              </w:rPr>
            </w:pPr>
          </w:p>
        </w:tc>
        <w:tc>
          <w:tcPr>
            <w:tcW w:w="2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Quantity, Model and Description</w:t>
            </w: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2.</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Delivery Schedule</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3.</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Price</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4.</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Payment</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5.</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Additional Terms</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Article 6.</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Confidentiality</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20" w:type="dxa"/>
            <w:vAlign w:val="bottom"/>
            <w:gridSpan w:val="7"/>
          </w:tcPr>
          <w:p>
            <w:pPr>
              <w:spacing w:after="0" w:line="214" w:lineRule="exact"/>
              <w:rPr>
                <w:sz w:val="20"/>
                <w:szCs w:val="20"/>
                <w:color w:val="auto"/>
              </w:rPr>
            </w:pPr>
            <w:r>
              <w:rPr>
                <w:rFonts w:ascii="Arial" w:cs="Arial" w:eastAsia="Arial" w:hAnsi="Arial"/>
                <w:sz w:val="19"/>
                <w:szCs w:val="19"/>
                <w:b w:val="1"/>
                <w:bCs w:val="1"/>
                <w:color w:val="auto"/>
              </w:rPr>
              <w:t>TABLE</w:t>
            </w:r>
          </w:p>
        </w:tc>
        <w:tc>
          <w:tcPr>
            <w:tcW w:w="2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b w:val="1"/>
                <w:bCs w:val="1"/>
                <w:color w:val="auto"/>
                <w:w w:val="99"/>
              </w:rPr>
              <w:t>1R4.</w:t>
            </w:r>
          </w:p>
        </w:tc>
        <w:tc>
          <w:tcPr>
            <w:tcW w:w="3980" w:type="dxa"/>
            <w:vAlign w:val="bottom"/>
            <w:gridSpan w:val="2"/>
          </w:tcPr>
          <w:p>
            <w:pPr>
              <w:ind w:left="80"/>
              <w:spacing w:after="0"/>
              <w:rPr>
                <w:sz w:val="20"/>
                <w:szCs w:val="20"/>
                <w:color w:val="auto"/>
              </w:rPr>
            </w:pPr>
            <w:r>
              <w:rPr>
                <w:rFonts w:ascii="Arial" w:cs="Arial" w:eastAsia="Arial" w:hAnsi="Arial"/>
                <w:sz w:val="19"/>
                <w:szCs w:val="19"/>
                <w:b w:val="1"/>
                <w:bCs w:val="1"/>
                <w:color w:val="auto"/>
              </w:rPr>
              <w:t>Aircraft Information Table</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47"/>
        </w:trPr>
        <w:tc>
          <w:tcPr>
            <w:tcW w:w="2420" w:type="dxa"/>
            <w:vAlign w:val="bottom"/>
            <w:gridSpan w:val="6"/>
          </w:tcPr>
          <w:p>
            <w:pPr>
              <w:jc w:val="center"/>
              <w:ind w:left="1446"/>
              <w:spacing w:after="0"/>
              <w:rPr>
                <w:sz w:val="20"/>
                <w:szCs w:val="20"/>
                <w:color w:val="auto"/>
              </w:rPr>
            </w:pPr>
            <w:r>
              <w:rPr>
                <w:rFonts w:ascii="Arial" w:cs="Arial" w:eastAsia="Arial" w:hAnsi="Arial"/>
                <w:sz w:val="19"/>
                <w:szCs w:val="19"/>
                <w:b w:val="1"/>
                <w:bCs w:val="1"/>
                <w:color w:val="auto"/>
              </w:rPr>
              <w:t>1-2</w:t>
            </w:r>
          </w:p>
        </w:tc>
        <w:tc>
          <w:tcPr>
            <w:tcW w:w="150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9"/>
                <w:szCs w:val="19"/>
                <w:b w:val="1"/>
                <w:bCs w:val="1"/>
                <w:color w:val="auto"/>
                <w:w w:val="99"/>
              </w:rPr>
              <w:t>Revised Delivery Aircraft Information Table</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13"/>
        </w:trPr>
        <w:tc>
          <w:tcPr>
            <w:tcW w:w="3920" w:type="dxa"/>
            <w:vAlign w:val="bottom"/>
            <w:gridSpan w:val="7"/>
          </w:tcPr>
          <w:p>
            <w:pPr>
              <w:spacing w:after="0" w:line="214" w:lineRule="exact"/>
              <w:rPr>
                <w:sz w:val="20"/>
                <w:szCs w:val="20"/>
                <w:color w:val="auto"/>
              </w:rPr>
            </w:pPr>
            <w:r>
              <w:rPr>
                <w:rFonts w:ascii="Arial" w:cs="Arial" w:eastAsia="Arial" w:hAnsi="Arial"/>
                <w:sz w:val="19"/>
                <w:szCs w:val="19"/>
                <w:b w:val="1"/>
                <w:bCs w:val="1"/>
                <w:color w:val="auto"/>
              </w:rPr>
              <w:t>EXHIBITS</w:t>
            </w:r>
          </w:p>
        </w:tc>
        <w:tc>
          <w:tcPr>
            <w:tcW w:w="2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7"/>
              </w:rPr>
              <w:t>AR1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Aircraft Configuration</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b w:val="1"/>
                <w:bCs w:val="1"/>
                <w:color w:val="auto"/>
                <w:w w:val="98"/>
              </w:rPr>
              <w:t>A2</w:t>
            </w:r>
          </w:p>
        </w:tc>
        <w:tc>
          <w:tcPr>
            <w:tcW w:w="3980" w:type="dxa"/>
            <w:vAlign w:val="bottom"/>
            <w:gridSpan w:val="2"/>
          </w:tcPr>
          <w:p>
            <w:pPr>
              <w:ind w:left="80"/>
              <w:spacing w:after="0"/>
              <w:rPr>
                <w:sz w:val="20"/>
                <w:szCs w:val="20"/>
                <w:color w:val="auto"/>
              </w:rPr>
            </w:pPr>
            <w:r>
              <w:rPr>
                <w:rFonts w:ascii="Arial" w:cs="Arial" w:eastAsia="Arial" w:hAnsi="Arial"/>
                <w:sz w:val="19"/>
                <w:szCs w:val="19"/>
                <w:b w:val="1"/>
                <w:bCs w:val="1"/>
                <w:color w:val="auto"/>
              </w:rPr>
              <w:t>Revised Delivery Aircraft Configuration</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88"/>
              </w:rPr>
              <w:t>B.</w:t>
            </w:r>
          </w:p>
        </w:tc>
        <w:tc>
          <w:tcPr>
            <w:tcW w:w="7160" w:type="dxa"/>
            <w:vAlign w:val="bottom"/>
            <w:gridSpan w:val="4"/>
          </w:tcPr>
          <w:p>
            <w:pPr>
              <w:ind w:left="80"/>
              <w:spacing w:after="0"/>
              <w:rPr>
                <w:sz w:val="20"/>
                <w:szCs w:val="20"/>
                <w:color w:val="auto"/>
              </w:rPr>
            </w:pPr>
            <w:r>
              <w:rPr>
                <w:rFonts w:ascii="Arial" w:cs="Arial" w:eastAsia="Arial" w:hAnsi="Arial"/>
                <w:sz w:val="19"/>
                <w:szCs w:val="19"/>
                <w:color w:val="auto"/>
              </w:rPr>
              <w:t>Aircraft Delivery Requirements and Responsibilities</w:t>
            </w: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rPr>
              <w:t>C.</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Definitions</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20" w:type="dxa"/>
            <w:vAlign w:val="bottom"/>
            <w:gridSpan w:val="7"/>
          </w:tcPr>
          <w:p>
            <w:pPr>
              <w:spacing w:after="0" w:line="214" w:lineRule="exact"/>
              <w:rPr>
                <w:sz w:val="20"/>
                <w:szCs w:val="20"/>
                <w:color w:val="auto"/>
              </w:rPr>
            </w:pPr>
            <w:r>
              <w:rPr>
                <w:rFonts w:ascii="Arial" w:cs="Arial" w:eastAsia="Arial" w:hAnsi="Arial"/>
                <w:sz w:val="19"/>
                <w:szCs w:val="19"/>
                <w:b w:val="1"/>
                <w:bCs w:val="1"/>
                <w:color w:val="auto"/>
              </w:rPr>
              <w:t>SUPPLEMENTAL EXHIBITS</w:t>
            </w:r>
          </w:p>
        </w:tc>
        <w:tc>
          <w:tcPr>
            <w:tcW w:w="2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2"/>
          </w:tcPr>
          <w:p>
            <w:pPr>
              <w:jc w:val="center"/>
              <w:ind w:left="426"/>
              <w:spacing w:after="0"/>
              <w:rPr>
                <w:sz w:val="20"/>
                <w:szCs w:val="20"/>
                <w:color w:val="auto"/>
              </w:rPr>
            </w:pPr>
            <w:r>
              <w:rPr>
                <w:rFonts w:ascii="Arial" w:cs="Arial" w:eastAsia="Arial" w:hAnsi="Arial"/>
                <w:sz w:val="19"/>
                <w:szCs w:val="19"/>
                <w:color w:val="auto"/>
                <w:w w:val="96"/>
              </w:rPr>
              <w:t>AE1.</w:t>
            </w:r>
          </w:p>
        </w:tc>
        <w:tc>
          <w:tcPr>
            <w:tcW w:w="1500" w:type="dxa"/>
            <w:vAlign w:val="bottom"/>
          </w:tcPr>
          <w:p>
            <w:pPr>
              <w:spacing w:after="0"/>
              <w:rPr>
                <w:sz w:val="24"/>
                <w:szCs w:val="24"/>
                <w:color w:val="auto"/>
              </w:rPr>
            </w:pP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8"/>
              </w:rPr>
              <w:t>BFE1.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BFE Variables</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6"/>
              </w:rPr>
              <w:t>CS1R1.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Customer Support Variables</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w w:val="96"/>
              </w:rPr>
              <w:t>EE1.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3"/>
          </w:tcPr>
          <w:p>
            <w:pPr>
              <w:jc w:val="center"/>
              <w:ind w:right="886"/>
              <w:spacing w:after="0"/>
              <w:rPr>
                <w:sz w:val="20"/>
                <w:szCs w:val="20"/>
                <w:color w:val="auto"/>
              </w:rPr>
            </w:pPr>
            <w:r>
              <w:rPr>
                <w:rFonts w:ascii="Arial" w:cs="Arial" w:eastAsia="Arial" w:hAnsi="Arial"/>
                <w:sz w:val="19"/>
                <w:szCs w:val="19"/>
                <w:color w:val="auto"/>
              </w:rPr>
              <w:t>SLP1.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100" w:type="dxa"/>
            <w:vAlign w:val="bottom"/>
            <w:tcBorders>
              <w:bottom w:val="single" w:sz="8" w:color="auto"/>
            </w:tcBorders>
            <w:gridSpan w:val="5"/>
          </w:tcPr>
          <w:p>
            <w:pPr>
              <w:spacing w:after="0" w:line="214" w:lineRule="exact"/>
              <w:rPr>
                <w:sz w:val="20"/>
                <w:szCs w:val="20"/>
                <w:color w:val="auto"/>
              </w:rPr>
            </w:pPr>
            <w:r>
              <w:rPr>
                <w:rFonts w:ascii="Arial" w:cs="Arial" w:eastAsia="Arial" w:hAnsi="Arial"/>
                <w:sz w:val="19"/>
                <w:szCs w:val="19"/>
                <w:b w:val="1"/>
                <w:bCs w:val="1"/>
                <w:color w:val="auto"/>
                <w:w w:val="97"/>
              </w:rPr>
              <w:t>LETTER AGREEMENTS</w:t>
            </w:r>
          </w:p>
        </w:tc>
        <w:tc>
          <w:tcPr>
            <w:tcW w:w="182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20" w:type="dxa"/>
            <w:vAlign w:val="bottom"/>
            <w:gridSpan w:val="7"/>
          </w:tcPr>
          <w:p>
            <w:pPr>
              <w:spacing w:after="0"/>
              <w:rPr>
                <w:sz w:val="20"/>
                <w:szCs w:val="20"/>
                <w:color w:val="auto"/>
              </w:rPr>
            </w:pPr>
            <w:r>
              <w:rPr>
                <w:rFonts w:ascii="Arial" w:cs="Arial" w:eastAsia="Arial" w:hAnsi="Arial"/>
                <w:sz w:val="19"/>
                <w:szCs w:val="19"/>
                <w:color w:val="auto"/>
              </w:rPr>
              <w:t>LA-1106648R1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Special Matters</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LA-1106649</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b w:val="1"/>
                <w:bCs w:val="1"/>
                <w:color w:val="auto"/>
              </w:rPr>
              <w:t>LA-1106650R3</w:t>
            </w:r>
          </w:p>
        </w:tc>
        <w:tc>
          <w:tcPr>
            <w:tcW w:w="3980" w:type="dxa"/>
            <w:vAlign w:val="bottom"/>
            <w:gridSpan w:val="2"/>
          </w:tcPr>
          <w:p>
            <w:pPr>
              <w:ind w:left="80"/>
              <w:spacing w:after="0"/>
              <w:rPr>
                <w:sz w:val="20"/>
                <w:szCs w:val="20"/>
                <w:color w:val="auto"/>
              </w:rPr>
            </w:pPr>
            <w:r>
              <w:rPr>
                <w:rFonts w:ascii="Arial" w:cs="Arial" w:eastAsia="Arial" w:hAnsi="Arial"/>
                <w:sz w:val="19"/>
                <w:szCs w:val="19"/>
                <w:b w:val="1"/>
                <w:bCs w:val="1"/>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b w:val="1"/>
                <w:bCs w:val="1"/>
                <w:color w:val="auto"/>
              </w:rPr>
              <w:t>LA-1106651R1</w:t>
            </w:r>
          </w:p>
        </w:tc>
        <w:tc>
          <w:tcPr>
            <w:tcW w:w="3980" w:type="dxa"/>
            <w:vAlign w:val="bottom"/>
            <w:gridSpan w:val="2"/>
          </w:tcPr>
          <w:p>
            <w:pPr>
              <w:ind w:left="80"/>
              <w:spacing w:after="0"/>
              <w:rPr>
                <w:sz w:val="20"/>
                <w:szCs w:val="20"/>
                <w:color w:val="auto"/>
              </w:rPr>
            </w:pPr>
            <w:r>
              <w:rPr>
                <w:rFonts w:ascii="Arial" w:cs="Arial" w:eastAsia="Arial" w:hAnsi="Arial"/>
                <w:sz w:val="19"/>
                <w:szCs w:val="19"/>
                <w:b w:val="1"/>
                <w:bCs w:val="1"/>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LA-1106652</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Aircraft Model Substitution</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LA-1106654</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AGTA Terms Revisions for MAX</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20" w:type="dxa"/>
            <w:vAlign w:val="bottom"/>
            <w:gridSpan w:val="4"/>
          </w:tcPr>
          <w:p>
            <w:pPr>
              <w:spacing w:after="0"/>
              <w:rPr>
                <w:sz w:val="20"/>
                <w:szCs w:val="20"/>
                <w:color w:val="auto"/>
              </w:rPr>
            </w:pPr>
            <w:r>
              <w:rPr>
                <w:rFonts w:ascii="Arial" w:cs="Arial" w:eastAsia="Arial" w:hAnsi="Arial"/>
                <w:sz w:val="19"/>
                <w:szCs w:val="19"/>
                <w:color w:val="auto"/>
                <w:strike w:val="1"/>
                <w:w w:val="96"/>
              </w:rPr>
              <w:t>LA-1106655</w:t>
            </w:r>
          </w:p>
        </w:tc>
        <w:tc>
          <w:tcPr>
            <w:tcW w:w="2900" w:type="dxa"/>
            <w:vAlign w:val="bottom"/>
            <w:gridSpan w:val="3"/>
          </w:tcPr>
          <w:p>
            <w:pPr>
              <w:spacing w:after="0"/>
              <w:rPr>
                <w:sz w:val="22"/>
                <w:szCs w:val="22"/>
                <w:color w:val="auto"/>
              </w:rPr>
            </w:pPr>
          </w:p>
        </w:tc>
        <w:tc>
          <w:tcPr>
            <w:tcW w:w="2160" w:type="dxa"/>
            <w:vAlign w:val="bottom"/>
          </w:tcPr>
          <w:p>
            <w:pPr>
              <w:ind w:left="80"/>
              <w:spacing w:after="0"/>
              <w:rPr>
                <w:sz w:val="20"/>
                <w:szCs w:val="20"/>
                <w:color w:val="auto"/>
              </w:rPr>
            </w:pPr>
            <w:r>
              <w:rPr>
                <w:rFonts w:ascii="Arial" w:cs="Arial" w:eastAsia="Arial" w:hAnsi="Arial"/>
                <w:sz w:val="19"/>
                <w:szCs w:val="19"/>
                <w:color w:val="auto"/>
                <w:strike w:val="1"/>
                <w:w w:val="98"/>
              </w:rPr>
              <w:t>Open Matters - 737 MAX</w:t>
            </w:r>
          </w:p>
        </w:tc>
        <w:tc>
          <w:tcPr>
            <w:tcW w:w="1820" w:type="dxa"/>
            <w:vAlign w:val="bottom"/>
          </w:tcPr>
          <w:p>
            <w:pPr>
              <w:ind w:left="100"/>
              <w:spacing w:after="0"/>
              <w:rPr>
                <w:sz w:val="20"/>
                <w:szCs w:val="20"/>
                <w:color w:val="auto"/>
              </w:rPr>
            </w:pPr>
            <w:r>
              <w:rPr>
                <w:rFonts w:ascii="Arial" w:cs="Arial" w:eastAsia="Arial" w:hAnsi="Arial"/>
                <w:sz w:val="19"/>
                <w:szCs w:val="19"/>
                <w:color w:val="auto"/>
              </w:rPr>
              <w:t>Withdrawn</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LA-1106656R1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1</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LA-1106657R1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LA-1106663 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LA-1106664 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2</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LA-1106658</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LA-1106659R1</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[*CTR]</w:t>
            </w:r>
          </w:p>
        </w:tc>
        <w:tc>
          <w:tcPr>
            <w:tcW w:w="3180" w:type="dxa"/>
            <w:vAlign w:val="bottom"/>
            <w:gridSpan w:val="2"/>
          </w:tcPr>
          <w:p>
            <w:pPr>
              <w:jc w:val="center"/>
              <w:ind w:left="2266"/>
              <w:spacing w:after="0"/>
              <w:rPr>
                <w:sz w:val="20"/>
                <w:szCs w:val="20"/>
                <w:color w:val="auto"/>
              </w:rPr>
            </w:pPr>
            <w:r>
              <w:rPr>
                <w:rFonts w:ascii="Arial" w:cs="Arial" w:eastAsia="Arial" w:hAnsi="Arial"/>
                <w:sz w:val="19"/>
                <w:szCs w:val="19"/>
                <w:color w:val="auto"/>
                <w:w w:val="94"/>
              </w:rPr>
              <w:t>1</w:t>
            </w:r>
          </w:p>
        </w:tc>
        <w:tc>
          <w:tcPr>
            <w:tcW w:w="0" w:type="dxa"/>
            <w:vAlign w:val="bottom"/>
          </w:tcPr>
          <w:p>
            <w:pPr>
              <w:spacing w:after="0"/>
              <w:rPr>
                <w:sz w:val="1"/>
                <w:szCs w:val="1"/>
                <w:color w:val="auto"/>
              </w:rPr>
            </w:pPr>
          </w:p>
        </w:tc>
      </w:tr>
      <w:tr>
        <w:trPr>
          <w:trHeight w:val="257"/>
        </w:trPr>
        <w:tc>
          <w:tcPr>
            <w:tcW w:w="3920" w:type="dxa"/>
            <w:vAlign w:val="bottom"/>
            <w:gridSpan w:val="7"/>
          </w:tcPr>
          <w:p>
            <w:pPr>
              <w:spacing w:after="0"/>
              <w:rPr>
                <w:sz w:val="20"/>
                <w:szCs w:val="20"/>
                <w:color w:val="auto"/>
              </w:rPr>
            </w:pPr>
            <w:r>
              <w:rPr>
                <w:rFonts w:ascii="Arial" w:cs="Arial" w:eastAsia="Arial" w:hAnsi="Arial"/>
                <w:sz w:val="19"/>
                <w:szCs w:val="19"/>
                <w:color w:val="auto"/>
              </w:rPr>
              <w:t>LA-1106660</w:t>
            </w:r>
          </w:p>
        </w:tc>
        <w:tc>
          <w:tcPr>
            <w:tcW w:w="3980" w:type="dxa"/>
            <w:vAlign w:val="bottom"/>
            <w:gridSpan w:val="2"/>
          </w:tcPr>
          <w:p>
            <w:pPr>
              <w:ind w:left="80"/>
              <w:spacing w:after="0"/>
              <w:rPr>
                <w:sz w:val="20"/>
                <w:szCs w:val="20"/>
                <w:color w:val="auto"/>
              </w:rPr>
            </w:pPr>
            <w:r>
              <w:rPr>
                <w:rFonts w:ascii="Arial" w:cs="Arial" w:eastAsia="Arial" w:hAnsi="Arial"/>
                <w:sz w:val="19"/>
                <w:szCs w:val="19"/>
                <w:color w:val="auto"/>
              </w:rPr>
              <w:t>Spare Parts Initial Provisioning</w:t>
            </w:r>
          </w:p>
        </w:tc>
        <w:tc>
          <w:tcPr>
            <w:tcW w:w="2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0"/>
        </w:trPr>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Arial" w:cs="Arial" w:eastAsia="Arial" w:hAnsi="Arial"/>
                <w:sz w:val="19"/>
                <w:szCs w:val="19"/>
                <w:color w:val="auto"/>
              </w:rPr>
              <w:t>PA-03735</w:t>
            </w:r>
          </w:p>
        </w:tc>
        <w:tc>
          <w:tcPr>
            <w:tcW w:w="3980" w:type="dxa"/>
            <w:vAlign w:val="bottom"/>
            <w:gridSpan w:val="2"/>
          </w:tcPr>
          <w:p>
            <w:pPr>
              <w:ind w:left="400"/>
              <w:spacing w:after="0"/>
              <w:rPr>
                <w:sz w:val="20"/>
                <w:szCs w:val="20"/>
                <w:color w:val="auto"/>
              </w:rPr>
            </w:pPr>
            <w:r>
              <w:rPr>
                <w:rFonts w:ascii="Arial" w:cs="Arial" w:eastAsia="Arial" w:hAnsi="Arial"/>
                <w:sz w:val="19"/>
                <w:szCs w:val="19"/>
                <w:color w:val="auto"/>
              </w:rPr>
              <w:t>TABLE OF CONTENTS, Page 1 of 2</w:t>
            </w:r>
          </w:p>
        </w:tc>
        <w:tc>
          <w:tcPr>
            <w:tcW w:w="3180" w:type="dxa"/>
            <w:vAlign w:val="bottom"/>
            <w:gridSpan w:val="2"/>
          </w:tcPr>
          <w:p>
            <w:pPr>
              <w:ind w:left="80"/>
              <w:spacing w:after="0"/>
              <w:rPr>
                <w:sz w:val="20"/>
                <w:szCs w:val="20"/>
                <w:color w:val="auto"/>
              </w:rPr>
            </w:pPr>
            <w:r>
              <w:rPr>
                <w:rFonts w:ascii="Arial" w:cs="Arial" w:eastAsia="Arial" w:hAnsi="Arial"/>
                <w:sz w:val="19"/>
                <w:szCs w:val="19"/>
                <w:color w:val="auto"/>
              </w:rPr>
              <w:t>SA-9</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980" w:type="dxa"/>
            <w:vAlign w:val="bottom"/>
            <w:gridSpan w:val="2"/>
          </w:tcPr>
          <w:p>
            <w:pPr>
              <w:ind w:left="720"/>
              <w:spacing w:after="0"/>
              <w:rPr>
                <w:sz w:val="20"/>
                <w:szCs w:val="20"/>
                <w:color w:val="auto"/>
              </w:rPr>
            </w:pPr>
            <w:r>
              <w:rPr>
                <w:rFonts w:ascii="Arial" w:cs="Arial" w:eastAsia="Arial" w:hAnsi="Arial"/>
                <w:sz w:val="19"/>
                <w:szCs w:val="19"/>
                <w:b w:val="1"/>
                <w:bCs w:val="1"/>
                <w:color w:val="auto"/>
              </w:rPr>
              <w:t>BOEING PROPRIETARY</w:t>
            </w: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00"/>
          </w:cols>
          <w:pgMar w:left="240" w:top="334" w:right="559" w:bottom="1440" w:gutter="0" w:footer="0" w:header="0"/>
        </w:sectPr>
      </w:pPr>
    </w:p>
    <w:bookmarkStart w:id="211" w:name="page212"/>
    <w:bookmarkEnd w:id="211"/>
    <w:tbl>
      <w:tblPr>
        <w:tblLayout w:type="fixed"/>
        <w:tblInd w:w="2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9"/>
                <w:szCs w:val="19"/>
                <w:b w:val="1"/>
                <w:bCs w:val="1"/>
                <w:color w:val="auto"/>
                <w:w w:val="98"/>
              </w:rPr>
              <w:t>SA</w:t>
            </w:r>
          </w:p>
        </w:tc>
      </w:tr>
      <w:tr>
        <w:trPr>
          <w:trHeight w:val="203"/>
        </w:trPr>
        <w:tc>
          <w:tcPr>
            <w:tcW w:w="3100" w:type="dxa"/>
            <w:vAlign w:val="bottom"/>
            <w:tcBorders>
              <w:bottom w:val="single" w:sz="8" w:color="auto"/>
            </w:tcBorders>
          </w:tcPr>
          <w:p>
            <w:pPr>
              <w:spacing w:after="0" w:line="204" w:lineRule="exact"/>
              <w:rPr>
                <w:sz w:val="20"/>
                <w:szCs w:val="20"/>
                <w:color w:val="auto"/>
              </w:rPr>
            </w:pPr>
            <w:r>
              <w:rPr>
                <w:rFonts w:ascii="Arial" w:cs="Arial" w:eastAsia="Arial" w:hAnsi="Arial"/>
                <w:sz w:val="19"/>
                <w:szCs w:val="19"/>
                <w:b w:val="1"/>
                <w:bCs w:val="1"/>
                <w:color w:val="auto"/>
                <w:w w:val="97"/>
              </w:rPr>
              <w:t>LETTER AGREEMENTS, continued</w:t>
            </w:r>
          </w:p>
        </w:tc>
        <w:tc>
          <w:tcPr>
            <w:tcW w:w="4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9"/>
                <w:szCs w:val="19"/>
                <w:b w:val="1"/>
                <w:bCs w:val="1"/>
                <w:color w:val="auto"/>
                <w:w w:val="98"/>
              </w:rPr>
              <w:t>NUMBER</w:t>
            </w:r>
          </w:p>
        </w:tc>
      </w:tr>
      <w:tr>
        <w:trPr>
          <w:trHeight w:val="282"/>
        </w:trPr>
        <w:tc>
          <w:tcPr>
            <w:tcW w:w="3560" w:type="dxa"/>
            <w:vAlign w:val="bottom"/>
            <w:gridSpan w:val="2"/>
          </w:tcPr>
          <w:p>
            <w:pPr>
              <w:spacing w:after="0"/>
              <w:rPr>
                <w:sz w:val="20"/>
                <w:szCs w:val="20"/>
                <w:color w:val="auto"/>
              </w:rPr>
            </w:pPr>
            <w:r>
              <w:rPr>
                <w:rFonts w:ascii="Arial" w:cs="Arial" w:eastAsia="Arial" w:hAnsi="Arial"/>
                <w:sz w:val="19"/>
                <w:szCs w:val="19"/>
                <w:color w:val="auto"/>
              </w:rPr>
              <w:t>LA-1106661R2</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2</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LA-1106667</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LA-1106668R1</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8</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LA-1106669</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LA-1106670</w:t>
            </w:r>
          </w:p>
        </w:tc>
        <w:tc>
          <w:tcPr>
            <w:tcW w:w="4780" w:type="dxa"/>
            <w:vAlign w:val="bottom"/>
          </w:tcPr>
          <w:p>
            <w:pPr>
              <w:ind w:left="440"/>
              <w:spacing w:after="0"/>
              <w:rPr>
                <w:sz w:val="20"/>
                <w:szCs w:val="20"/>
                <w:color w:val="auto"/>
              </w:rPr>
            </w:pPr>
            <w:r>
              <w:rPr>
                <w:rFonts w:ascii="Arial" w:cs="Arial" w:eastAsia="Arial" w:hAnsi="Arial"/>
                <w:sz w:val="19"/>
                <w:szCs w:val="19"/>
                <w:color w:val="auto"/>
              </w:rPr>
              <w:t>Confidentiality</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LA-1106671R1</w:t>
            </w:r>
          </w:p>
        </w:tc>
        <w:tc>
          <w:tcPr>
            <w:tcW w:w="4780" w:type="dxa"/>
            <w:vAlign w:val="bottom"/>
          </w:tcPr>
          <w:p>
            <w:pPr>
              <w:ind w:left="440"/>
              <w:spacing w:after="0"/>
              <w:rPr>
                <w:sz w:val="20"/>
                <w:szCs w:val="20"/>
                <w:color w:val="auto"/>
              </w:rPr>
            </w:pPr>
            <w:r>
              <w:rPr>
                <w:rFonts w:ascii="Arial" w:cs="Arial" w:eastAsia="Arial" w:hAnsi="Arial"/>
                <w:sz w:val="19"/>
                <w:szCs w:val="19"/>
                <w:color w:val="auto"/>
              </w:rPr>
              <w:t>Miscellaneous Commitments</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1</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LA-1106672</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LA-1106673R1*</w:t>
            </w:r>
          </w:p>
        </w:tc>
        <w:tc>
          <w:tcPr>
            <w:tcW w:w="4780" w:type="dxa"/>
            <w:vAlign w:val="bottom"/>
          </w:tcPr>
          <w:p>
            <w:pPr>
              <w:ind w:left="440"/>
              <w:spacing w:after="0"/>
              <w:rPr>
                <w:sz w:val="20"/>
                <w:szCs w:val="20"/>
                <w:color w:val="auto"/>
              </w:rPr>
            </w:pPr>
            <w:r>
              <w:rPr>
                <w:rFonts w:ascii="Arial" w:cs="Arial" w:eastAsia="Arial" w:hAnsi="Arial"/>
                <w:sz w:val="19"/>
                <w:szCs w:val="19"/>
                <w:color w:val="auto"/>
              </w:rPr>
              <w:t>CS1 Special Matters</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4</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LA-1106677</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LA-1600073</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4</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LA-1600852</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5</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LA-1603773</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5</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LA-1605402</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6</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color w:val="auto"/>
              </w:rPr>
              <w:t>LA-1700919</w:t>
            </w:r>
          </w:p>
        </w:tc>
        <w:tc>
          <w:tcPr>
            <w:tcW w:w="4780" w:type="dxa"/>
            <w:vAlign w:val="bottom"/>
          </w:tcPr>
          <w:p>
            <w:pPr>
              <w:ind w:left="440"/>
              <w:spacing w:after="0"/>
              <w:rPr>
                <w:sz w:val="20"/>
                <w:szCs w:val="20"/>
                <w:color w:val="auto"/>
              </w:rPr>
            </w:pPr>
            <w:r>
              <w:rPr>
                <w:rFonts w:ascii="Arial" w:cs="Arial" w:eastAsia="Arial" w:hAnsi="Arial"/>
                <w:sz w:val="19"/>
                <w:szCs w:val="19"/>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7</w:t>
            </w:r>
          </w:p>
        </w:tc>
      </w:tr>
      <w:tr>
        <w:trPr>
          <w:trHeight w:val="257"/>
        </w:trPr>
        <w:tc>
          <w:tcPr>
            <w:tcW w:w="3560" w:type="dxa"/>
            <w:vAlign w:val="bottom"/>
            <w:gridSpan w:val="2"/>
          </w:tcPr>
          <w:p>
            <w:pPr>
              <w:spacing w:after="0"/>
              <w:rPr>
                <w:sz w:val="20"/>
                <w:szCs w:val="20"/>
                <w:color w:val="auto"/>
              </w:rPr>
            </w:pPr>
            <w:r>
              <w:rPr>
                <w:rFonts w:ascii="Arial" w:cs="Arial" w:eastAsia="Arial" w:hAnsi="Arial"/>
                <w:sz w:val="19"/>
                <w:szCs w:val="19"/>
                <w:b w:val="1"/>
                <w:bCs w:val="1"/>
                <w:color w:val="auto"/>
              </w:rPr>
              <w:t>LA-1801206</w:t>
            </w:r>
          </w:p>
        </w:tc>
        <w:tc>
          <w:tcPr>
            <w:tcW w:w="4780" w:type="dxa"/>
            <w:vAlign w:val="bottom"/>
          </w:tcPr>
          <w:p>
            <w:pPr>
              <w:ind w:left="440"/>
              <w:spacing w:after="0"/>
              <w:rPr>
                <w:sz w:val="20"/>
                <w:szCs w:val="20"/>
                <w:color w:val="auto"/>
              </w:rPr>
            </w:pPr>
            <w:r>
              <w:rPr>
                <w:rFonts w:ascii="Arial" w:cs="Arial" w:eastAsia="Arial" w:hAnsi="Arial"/>
                <w:sz w:val="19"/>
                <w:szCs w:val="19"/>
                <w:b w:val="1"/>
                <w:bCs w:val="1"/>
                <w:color w:val="auto"/>
              </w:rPr>
              <w:t>[*CTR]</w:t>
            </w:r>
          </w:p>
        </w:tc>
        <w:tc>
          <w:tcPr>
            <w:tcW w:w="2740" w:type="dxa"/>
            <w:vAlign w:val="bottom"/>
            <w:gridSpan w:val="2"/>
          </w:tcPr>
          <w:p>
            <w:pPr>
              <w:jc w:val="center"/>
              <w:ind w:left="1826"/>
              <w:spacing w:after="0"/>
              <w:rPr>
                <w:sz w:val="20"/>
                <w:szCs w:val="20"/>
                <w:color w:val="auto"/>
              </w:rPr>
            </w:pPr>
            <w:r>
              <w:rPr>
                <w:rFonts w:ascii="Arial" w:cs="Arial" w:eastAsia="Arial" w:hAnsi="Arial"/>
                <w:sz w:val="19"/>
                <w:szCs w:val="19"/>
                <w:color w:val="auto"/>
                <w:w w:val="94"/>
              </w:rPr>
              <w:t>9</w:t>
            </w:r>
          </w:p>
        </w:tc>
      </w:tr>
    </w:tbl>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This is an intended gap as there are no Letter Agreements LA-1106674 through LA</w:t>
      </w:r>
      <w:r>
        <w:rPr>
          <w:rFonts w:ascii="MS PGothic" w:cs="MS PGothic" w:eastAsia="MS PGothic" w:hAnsi="MS PGothic"/>
          <w:sz w:val="18"/>
          <w:szCs w:val="18"/>
          <w:color w:val="auto"/>
        </w:rPr>
        <w:t>‑</w:t>
      </w:r>
      <w:r>
        <w:rPr>
          <w:rFonts w:ascii="Arial" w:cs="Arial" w:eastAsia="Arial" w:hAnsi="Arial"/>
          <w:sz w:val="18"/>
          <w:szCs w:val="18"/>
          <w:color w:val="auto"/>
        </w:rPr>
        <w:t>1106676 incorporated by the Purchase Agreement.</w:t>
      </w:r>
    </w:p>
    <w:p>
      <w:pPr>
        <w:spacing w:after="0" w:line="200" w:lineRule="exact"/>
        <w:rPr>
          <w:sz w:val="20"/>
          <w:szCs w:val="20"/>
          <w:color w:val="auto"/>
        </w:rPr>
      </w:pPr>
    </w:p>
    <w:p>
      <w:pPr>
        <w:spacing w:after="0" w:line="394"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1060" w:type="dxa"/>
            <w:vAlign w:val="bottom"/>
          </w:tcPr>
          <w:p>
            <w:pPr>
              <w:spacing w:after="0"/>
              <w:rPr>
                <w:sz w:val="20"/>
                <w:szCs w:val="20"/>
                <w:color w:val="auto"/>
              </w:rPr>
            </w:pPr>
            <w:r>
              <w:rPr>
                <w:rFonts w:ascii="Arial" w:cs="Arial" w:eastAsia="Arial" w:hAnsi="Arial"/>
                <w:sz w:val="19"/>
                <w:szCs w:val="19"/>
                <w:color w:val="auto"/>
              </w:rPr>
              <w:t>PA-03735</w:t>
            </w:r>
          </w:p>
        </w:tc>
        <w:tc>
          <w:tcPr>
            <w:tcW w:w="3600" w:type="dxa"/>
            <w:vAlign w:val="bottom"/>
          </w:tcPr>
          <w:p>
            <w:pPr>
              <w:ind w:left="260"/>
              <w:spacing w:after="0"/>
              <w:rPr>
                <w:sz w:val="20"/>
                <w:szCs w:val="20"/>
                <w:color w:val="auto"/>
              </w:rPr>
            </w:pPr>
            <w:r>
              <w:rPr>
                <w:rFonts w:ascii="Arial" w:cs="Arial" w:eastAsia="Arial" w:hAnsi="Arial"/>
                <w:sz w:val="19"/>
                <w:szCs w:val="19"/>
                <w:color w:val="auto"/>
              </w:rPr>
              <w:t>TABLE OF CONTENTS, Page 2 of 2</w:t>
            </w:r>
          </w:p>
        </w:tc>
        <w:tc>
          <w:tcPr>
            <w:tcW w:w="740" w:type="dxa"/>
            <w:vAlign w:val="bottom"/>
          </w:tcPr>
          <w:p>
            <w:pPr>
              <w:ind w:left="320"/>
              <w:spacing w:after="0"/>
              <w:rPr>
                <w:sz w:val="20"/>
                <w:szCs w:val="20"/>
                <w:color w:val="auto"/>
              </w:rPr>
            </w:pPr>
            <w:r>
              <w:rPr>
                <w:rFonts w:ascii="Arial" w:cs="Arial" w:eastAsia="Arial" w:hAnsi="Arial"/>
                <w:sz w:val="19"/>
                <w:szCs w:val="19"/>
                <w:color w:val="auto"/>
                <w:w w:val="94"/>
              </w:rPr>
              <w:t>SA-9</w:t>
            </w:r>
          </w:p>
        </w:tc>
      </w:tr>
      <w:tr>
        <w:trPr>
          <w:trHeight w:val="240"/>
        </w:trPr>
        <w:tc>
          <w:tcPr>
            <w:tcW w:w="1060" w:type="dxa"/>
            <w:vAlign w:val="bottom"/>
          </w:tcPr>
          <w:p>
            <w:pPr>
              <w:spacing w:after="0"/>
              <w:rPr>
                <w:sz w:val="20"/>
                <w:szCs w:val="20"/>
                <w:color w:val="auto"/>
              </w:rPr>
            </w:pPr>
          </w:p>
        </w:tc>
        <w:tc>
          <w:tcPr>
            <w:tcW w:w="3600" w:type="dxa"/>
            <w:vAlign w:val="bottom"/>
          </w:tcPr>
          <w:p>
            <w:pPr>
              <w:ind w:left="580"/>
              <w:spacing w:after="0"/>
              <w:rPr>
                <w:sz w:val="20"/>
                <w:szCs w:val="20"/>
                <w:color w:val="auto"/>
              </w:rPr>
            </w:pPr>
            <w:r>
              <w:rPr>
                <w:rFonts w:ascii="Arial" w:cs="Arial" w:eastAsia="Arial" w:hAnsi="Arial"/>
                <w:sz w:val="19"/>
                <w:szCs w:val="19"/>
                <w:b w:val="1"/>
                <w:bCs w:val="1"/>
                <w:color w:val="auto"/>
              </w:rPr>
              <w:t>BOEING PROPRIETARY</w:t>
            </w:r>
          </w:p>
        </w:tc>
        <w:tc>
          <w:tcPr>
            <w:tcW w:w="74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20"/>
          </w:cols>
          <w:pgMar w:left="240" w:top="1122" w:right="239" w:bottom="1440" w:gutter="0" w:footer="0" w:header="0"/>
        </w:sectPr>
      </w:pPr>
    </w:p>
    <w:bookmarkStart w:id="212" w:name="page213"/>
    <w:bookmarkEnd w:id="212"/>
    <w:tbl>
      <w:tblPr>
        <w:tblLayout w:type="fixed"/>
        <w:tblInd w:w="370" w:type="dxa"/>
        <w:tblCellMar>
          <w:top w:w="0" w:type="dxa"/>
          <w:left w:w="0" w:type="dxa"/>
          <w:bottom w:w="0" w:type="dxa"/>
          <w:right w:w="0" w:type="dxa"/>
        </w:tblCellMar>
      </w:tblPr>
      <w:tr>
        <w:trPr>
          <w:trHeight w:val="191"/>
        </w:trPr>
        <w:tc>
          <w:tcPr>
            <w:tcW w:w="28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 xml:space="preserve">Airframe Model/MTOW:  </w:t>
            </w:r>
            <w:r>
              <w:rPr>
                <w:rFonts w:ascii="Arial" w:cs="Arial" w:eastAsia="Arial" w:hAnsi="Arial"/>
                <w:sz w:val="16"/>
                <w:szCs w:val="16"/>
                <w:color w:val="auto"/>
              </w:rPr>
              <w:t>737-8</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Detail Specification:</w:t>
            </w: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w w:val="95"/>
              </w:rPr>
              <w:t>[*CTR]</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8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pounds</w:t>
            </w: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 xml:space="preserve">Engine Model/Thrust: </w:t>
            </w:r>
            <w:r>
              <w:rPr>
                <w:rFonts w:ascii="Arial" w:cs="Arial" w:eastAsia="Arial" w:hAnsi="Arial"/>
                <w:sz w:val="16"/>
                <w:szCs w:val="16"/>
                <w:color w:val="auto"/>
                <w:w w:val="95"/>
              </w:rPr>
              <w:t>CFMLEAP-1B25</w:t>
            </w: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spacing w:after="0"/>
              <w:rPr>
                <w:sz w:val="20"/>
                <w:szCs w:val="20"/>
                <w:color w:val="auto"/>
              </w:rPr>
            </w:pPr>
            <w:r>
              <w:rPr>
                <w:rFonts w:ascii="Arial" w:cs="Arial" w:eastAsia="Arial" w:hAnsi="Arial"/>
                <w:sz w:val="16"/>
                <w:szCs w:val="16"/>
                <w:b w:val="1"/>
                <w:bCs w:val="1"/>
                <w:color w:val="auto"/>
              </w:rPr>
              <w:t>Airframe Price Base Year/Escalation</w:t>
            </w: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[*CTR] [*CTR]</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pounds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Formula:</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Airframe Price: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spacing w:after="0"/>
              <w:rPr>
                <w:sz w:val="20"/>
                <w:szCs w:val="20"/>
                <w:color w:val="auto"/>
              </w:rPr>
            </w:pPr>
            <w:r>
              <w:rPr>
                <w:rFonts w:ascii="Arial" w:cs="Arial" w:eastAsia="Arial" w:hAnsi="Arial"/>
                <w:sz w:val="16"/>
                <w:szCs w:val="16"/>
                <w:b w:val="1"/>
                <w:bCs w:val="1"/>
                <w:color w:val="auto"/>
              </w:rPr>
              <w:t>Engine Price Base Year/Escalation</w:t>
            </w: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Formula:</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Optional Features: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$[*CTR]</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rPr>
              <w:t>Sub-Total of Airframe and Features:</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w w:val="95"/>
              </w:rPr>
              <w:t>Airframe Escalation Data:</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rPr>
              <w:t>Engine Price (Per Aircraft):</w:t>
            </w: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Base Year Index (ECI):</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Arial" w:cs="Arial" w:eastAsia="Arial" w:hAnsi="Arial"/>
                <w:sz w:val="16"/>
                <w:szCs w:val="16"/>
                <w:color w:val="auto"/>
              </w:rPr>
              <w:t>[*CTR]</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rPr>
              <w:t>Aircraft Basic Price (Excluding</w:t>
            </w: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6"/>
                <w:szCs w:val="16"/>
                <w:color w:val="auto"/>
              </w:rPr>
              <w:t>[*CTR]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80"/>
              <w:spacing w:after="0" w:line="180" w:lineRule="exact"/>
              <w:rPr>
                <w:sz w:val="20"/>
                <w:szCs w:val="20"/>
                <w:color w:val="auto"/>
              </w:rPr>
            </w:pPr>
            <w:r>
              <w:rPr>
                <w:rFonts w:ascii="Arial" w:cs="Arial" w:eastAsia="Arial" w:hAnsi="Arial"/>
                <w:sz w:val="16"/>
                <w:szCs w:val="16"/>
                <w:b w:val="1"/>
                <w:bCs w:val="1"/>
                <w:color w:val="auto"/>
              </w:rPr>
              <w:t>BFE/SPE):</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gridSpan w:val="3"/>
          </w:tcPr>
          <w:p>
            <w:pPr>
              <w:ind w:left="80"/>
              <w:spacing w:after="0" w:line="181" w:lineRule="exact"/>
              <w:rPr>
                <w:sz w:val="20"/>
                <w:szCs w:val="20"/>
                <w:color w:val="auto"/>
              </w:rPr>
            </w:pPr>
            <w:r>
              <w:rPr>
                <w:rFonts w:ascii="Arial" w:cs="Arial" w:eastAsia="Arial" w:hAnsi="Arial"/>
                <w:sz w:val="16"/>
                <w:szCs w:val="16"/>
                <w:b w:val="1"/>
                <w:bCs w:val="1"/>
                <w:color w:val="auto"/>
              </w:rPr>
              <w:t>Buyer Furnished Equipment (BFE)</w:t>
            </w:r>
          </w:p>
        </w:tc>
        <w:tc>
          <w:tcPr>
            <w:tcW w:w="220" w:type="dxa"/>
            <w:vAlign w:val="bottom"/>
          </w:tcPr>
          <w:p>
            <w:pPr>
              <w:spacing w:after="0"/>
              <w:rPr>
                <w:sz w:val="15"/>
                <w:szCs w:val="15"/>
                <w:color w:val="auto"/>
              </w:rPr>
            </w:pPr>
          </w:p>
        </w:tc>
        <w:tc>
          <w:tcPr>
            <w:tcW w:w="8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$[*CTR]</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Estimate:</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rPr>
              <w:t>Seller Purchased Equipment (SPE)</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Estimate:</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60" w:type="dxa"/>
            <w:vAlign w:val="bottom"/>
            <w:gridSpan w:val="3"/>
          </w:tcPr>
          <w:p>
            <w:pPr>
              <w:ind w:left="80"/>
              <w:spacing w:after="0"/>
              <w:rPr>
                <w:sz w:val="20"/>
                <w:szCs w:val="20"/>
                <w:color w:val="auto"/>
              </w:rPr>
            </w:pPr>
            <w:r>
              <w:rPr>
                <w:rFonts w:ascii="Arial" w:cs="Arial" w:eastAsia="Arial" w:hAnsi="Arial"/>
                <w:sz w:val="16"/>
                <w:szCs w:val="16"/>
                <w:b w:val="1"/>
                <w:bCs w:val="1"/>
                <w:color w:val="auto"/>
              </w:rPr>
              <w:t>LIFT Seats Provided by Boeing</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(Estimate):</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Deposit per Aircraft: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$[*CTR]</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9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center"/>
              <w:ind w:right="222"/>
              <w:spacing w:after="0"/>
              <w:rPr>
                <w:sz w:val="20"/>
                <w:szCs w:val="20"/>
                <w:color w:val="auto"/>
              </w:rPr>
            </w:pPr>
            <w:r>
              <w:rPr>
                <w:rFonts w:ascii="Arial" w:cs="Arial" w:eastAsia="Arial" w:hAnsi="Arial"/>
                <w:sz w:val="16"/>
                <w:szCs w:val="16"/>
                <w:b w:val="1"/>
                <w:bCs w:val="1"/>
                <w:color w:val="auto"/>
                <w:w w:val="84"/>
              </w:rPr>
              <w:t>Escalation</w:t>
            </w:r>
          </w:p>
        </w:tc>
        <w:tc>
          <w:tcPr>
            <w:tcW w:w="220" w:type="dxa"/>
            <w:vAlign w:val="bottom"/>
            <w:shd w:val="clear" w:color="auto" w:fill="C1C1C1"/>
          </w:tcPr>
          <w:p>
            <w:pPr>
              <w:spacing w:after="0"/>
              <w:rPr>
                <w:sz w:val="16"/>
                <w:szCs w:val="16"/>
                <w:color w:val="auto"/>
              </w:rPr>
            </w:pPr>
          </w:p>
        </w:tc>
        <w:tc>
          <w:tcPr>
            <w:tcW w:w="720" w:type="dxa"/>
            <w:vAlign w:val="bottom"/>
            <w:shd w:val="clear" w:color="auto" w:fill="C1C1C1"/>
          </w:tcPr>
          <w:p>
            <w:pPr>
              <w:spacing w:after="0"/>
              <w:rPr>
                <w:sz w:val="16"/>
                <w:szCs w:val="16"/>
                <w:color w:val="auto"/>
              </w:rPr>
            </w:pPr>
          </w:p>
        </w:tc>
        <w:tc>
          <w:tcPr>
            <w:tcW w:w="80" w:type="dxa"/>
            <w:vAlign w:val="bottom"/>
            <w:tcBorders>
              <w:right w:val="single" w:sz="8" w:color="auto"/>
            </w:tcBorders>
            <w:shd w:val="clear" w:color="auto" w:fill="C1C1C1"/>
          </w:tcPr>
          <w:p>
            <w:pPr>
              <w:spacing w:after="0"/>
              <w:rPr>
                <w:sz w:val="16"/>
                <w:szCs w:val="16"/>
                <w:color w:val="auto"/>
              </w:rPr>
            </w:pPr>
          </w:p>
        </w:tc>
        <w:tc>
          <w:tcPr>
            <w:tcW w:w="1040" w:type="dxa"/>
            <w:vAlign w:val="bottom"/>
            <w:tcBorders>
              <w:right w:val="single" w:sz="8" w:color="auto"/>
            </w:tcBorders>
            <w:shd w:val="clear" w:color="auto" w:fill="C1C1C1"/>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right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7"/>
              </w:rPr>
              <w:t>Escalation</w:t>
            </w:r>
          </w:p>
        </w:tc>
        <w:tc>
          <w:tcPr>
            <w:tcW w:w="4520" w:type="dxa"/>
            <w:vAlign w:val="bottom"/>
            <w:tcBorders>
              <w:right w:val="single" w:sz="8" w:color="auto"/>
            </w:tcBorders>
            <w:gridSpan w:val="6"/>
          </w:tcPr>
          <w:p>
            <w:pPr>
              <w:jc w:val="center"/>
              <w:ind w:left="343"/>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17"/>
        </w:trPr>
        <w:tc>
          <w:tcPr>
            <w:tcW w:w="98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Number</w:t>
            </w:r>
          </w:p>
        </w:tc>
        <w:tc>
          <w:tcPr>
            <w:tcW w:w="11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gridSpan w:val="3"/>
            <w:vMerge w:val="restart"/>
            <w:shd w:val="clear" w:color="auto" w:fill="C1C1C1"/>
          </w:tcPr>
          <w:p>
            <w:pPr>
              <w:jc w:val="center"/>
              <w:ind w:right="20"/>
              <w:spacing w:after="0"/>
              <w:rPr>
                <w:sz w:val="20"/>
                <w:szCs w:val="20"/>
                <w:color w:val="auto"/>
              </w:rPr>
            </w:pPr>
            <w:r>
              <w:rPr>
                <w:rFonts w:ascii="Arial" w:cs="Arial" w:eastAsia="Arial" w:hAnsi="Arial"/>
                <w:sz w:val="16"/>
                <w:szCs w:val="16"/>
                <w:b w:val="1"/>
                <w:bCs w:val="1"/>
                <w:color w:val="auto"/>
                <w:w w:val="94"/>
              </w:rPr>
              <w:t>Manufacturer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Delivery):</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80" w:type="dxa"/>
            <w:vAlign w:val="bottom"/>
            <w:tcBorders>
              <w:left w:val="single" w:sz="8" w:color="auto"/>
              <w:right w:val="single" w:sz="8" w:color="auto"/>
            </w:tcBorders>
          </w:tcPr>
          <w:p>
            <w:pPr>
              <w:ind w:left="300"/>
              <w:spacing w:after="0" w:line="168" w:lineRule="exact"/>
              <w:rPr>
                <w:sz w:val="20"/>
                <w:szCs w:val="20"/>
                <w:color w:val="auto"/>
              </w:rPr>
            </w:pPr>
            <w:r>
              <w:rPr>
                <w:rFonts w:ascii="Arial" w:cs="Arial" w:eastAsia="Arial" w:hAnsi="Arial"/>
                <w:sz w:val="16"/>
                <w:szCs w:val="16"/>
                <w:b w:val="1"/>
                <w:bCs w:val="1"/>
                <w:color w:val="auto"/>
              </w:rPr>
              <w:t>Delivery</w:t>
            </w:r>
          </w:p>
        </w:tc>
        <w:tc>
          <w:tcPr>
            <w:tcW w:w="74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tcPr>
          <w:p>
            <w:pPr>
              <w:jc w:val="center"/>
              <w:ind w:right="222"/>
              <w:spacing w:after="0" w:line="168" w:lineRule="exact"/>
              <w:rPr>
                <w:sz w:val="20"/>
                <w:szCs w:val="20"/>
                <w:color w:val="auto"/>
              </w:rPr>
            </w:pPr>
            <w:r>
              <w:rPr>
                <w:rFonts w:ascii="Arial" w:cs="Arial" w:eastAsia="Arial" w:hAnsi="Arial"/>
                <w:sz w:val="16"/>
                <w:szCs w:val="16"/>
                <w:b w:val="1"/>
                <w:bCs w:val="1"/>
                <w:color w:val="auto"/>
                <w:w w:val="89"/>
              </w:rPr>
              <w:t>Factor</w:t>
            </w:r>
          </w:p>
        </w:tc>
        <w:tc>
          <w:tcPr>
            <w:tcW w:w="1020" w:type="dxa"/>
            <w:vAlign w:val="bottom"/>
            <w:tcBorders>
              <w:bottom w:val="single" w:sz="8" w:color="C1C1C1"/>
              <w:right w:val="single" w:sz="8" w:color="auto"/>
            </w:tcBorders>
            <w:gridSpan w:val="3"/>
            <w:vMerge w:val="continue"/>
            <w:shd w:val="clear" w:color="auto" w:fill="C1C1C1"/>
          </w:tcPr>
          <w:p>
            <w:pPr>
              <w:spacing w:after="0"/>
              <w:rPr>
                <w:sz w:val="14"/>
                <w:szCs w:val="14"/>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98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6"/>
                <w:szCs w:val="16"/>
                <w:b w:val="1"/>
                <w:bCs w:val="1"/>
                <w:color w:val="auto"/>
              </w:rPr>
              <w:t>Date</w:t>
            </w:r>
          </w:p>
        </w:tc>
        <w:tc>
          <w:tcPr>
            <w:tcW w:w="7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of</w:t>
            </w:r>
          </w:p>
        </w:tc>
        <w:tc>
          <w:tcPr>
            <w:tcW w:w="1140" w:type="dxa"/>
            <w:vAlign w:val="bottom"/>
            <w:tcBorders>
              <w:right w:val="single" w:sz="8" w:color="auto"/>
            </w:tcBorders>
            <w:vMerge w:val="restart"/>
          </w:tcPr>
          <w:p>
            <w:pPr>
              <w:jc w:val="center"/>
              <w:ind w:right="222"/>
              <w:spacing w:after="0"/>
              <w:rPr>
                <w:sz w:val="20"/>
                <w:szCs w:val="20"/>
                <w:color w:val="auto"/>
              </w:rPr>
            </w:pPr>
            <w:r>
              <w:rPr>
                <w:rFonts w:ascii="Arial" w:cs="Arial" w:eastAsia="Arial" w:hAnsi="Arial"/>
                <w:sz w:val="16"/>
                <w:szCs w:val="16"/>
                <w:b w:val="1"/>
                <w:bCs w:val="1"/>
                <w:color w:val="auto"/>
                <w:w w:val="94"/>
              </w:rPr>
              <w:t>(Airframe)</w:t>
            </w:r>
          </w:p>
        </w:tc>
        <w:tc>
          <w:tcPr>
            <w:tcW w:w="220" w:type="dxa"/>
            <w:vAlign w:val="bottom"/>
            <w:shd w:val="clear" w:color="auto" w:fill="C1C1C1"/>
          </w:tcPr>
          <w:p>
            <w:pPr>
              <w:spacing w:after="0"/>
              <w:rPr>
                <w:sz w:val="8"/>
                <w:szCs w:val="8"/>
                <w:color w:val="auto"/>
              </w:rPr>
            </w:pPr>
          </w:p>
        </w:tc>
        <w:tc>
          <w:tcPr>
            <w:tcW w:w="800" w:type="dxa"/>
            <w:vAlign w:val="bottom"/>
            <w:tcBorders>
              <w:right w:val="single" w:sz="8" w:color="auto"/>
            </w:tcBorders>
            <w:gridSpan w:val="2"/>
            <w:shd w:val="clear" w:color="auto" w:fill="C1C1C1"/>
          </w:tcPr>
          <w:p>
            <w:pPr>
              <w:jc w:val="center"/>
              <w:ind w:right="240"/>
              <w:spacing w:after="0" w:line="99" w:lineRule="exact"/>
              <w:rPr>
                <w:sz w:val="20"/>
                <w:szCs w:val="20"/>
                <w:color w:val="auto"/>
              </w:rPr>
            </w:pPr>
            <w:r>
              <w:rPr>
                <w:rFonts w:ascii="Arial" w:cs="Arial" w:eastAsia="Arial" w:hAnsi="Arial"/>
                <w:sz w:val="11"/>
                <w:szCs w:val="11"/>
                <w:b w:val="1"/>
                <w:bCs w:val="1"/>
                <w:color w:val="auto"/>
              </w:rPr>
              <w:t>Serial</w:t>
            </w:r>
          </w:p>
        </w:tc>
        <w:tc>
          <w:tcPr>
            <w:tcW w:w="104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160" w:type="dxa"/>
            <w:vAlign w:val="bottom"/>
            <w:tcBorders>
              <w:right w:val="single" w:sz="8" w:color="auto"/>
            </w:tcBorders>
            <w:gridSpan w:val="2"/>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gridSpan w:val="2"/>
          </w:tcPr>
          <w:p>
            <w:pPr>
              <w:ind w:left="20"/>
              <w:spacing w:after="0" w:line="99" w:lineRule="exact"/>
              <w:rPr>
                <w:sz w:val="20"/>
                <w:szCs w:val="20"/>
                <w:color w:val="auto"/>
              </w:rPr>
            </w:pPr>
            <w:r>
              <w:rPr>
                <w:rFonts w:ascii="Arial" w:cs="Arial" w:eastAsia="Arial" w:hAnsi="Arial"/>
                <w:sz w:val="11"/>
                <w:szCs w:val="11"/>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280" w:type="dxa"/>
            <w:vAlign w:val="bottom"/>
          </w:tcPr>
          <w:p>
            <w:pPr>
              <w:spacing w:after="0"/>
              <w:rPr>
                <w:sz w:val="8"/>
                <w:szCs w:val="8"/>
                <w:color w:val="auto"/>
              </w:rPr>
            </w:pPr>
          </w:p>
        </w:tc>
        <w:tc>
          <w:tcPr>
            <w:tcW w:w="880" w:type="dxa"/>
            <w:vAlign w:val="bottom"/>
            <w:tcBorders>
              <w:right w:val="single" w:sz="8" w:color="auto"/>
            </w:tcBorders>
            <w:vMerge w:val="restart"/>
          </w:tcPr>
          <w:p>
            <w:pPr>
              <w:jc w:val="center"/>
              <w:ind w:right="202"/>
              <w:spacing w:after="0"/>
              <w:rPr>
                <w:sz w:val="20"/>
                <w:szCs w:val="20"/>
                <w:color w:val="auto"/>
              </w:rPr>
            </w:pPr>
            <w:r>
              <w:rPr>
                <w:rFonts w:ascii="Arial" w:cs="Arial" w:eastAsia="Arial" w:hAnsi="Arial"/>
                <w:sz w:val="16"/>
                <w:szCs w:val="16"/>
                <w:b w:val="1"/>
                <w:bCs w:val="1"/>
                <w:color w:val="auto"/>
              </w:rPr>
              <w:t>[*CTR]</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[*CTR]</w:t>
            </w:r>
          </w:p>
        </w:tc>
        <w:tc>
          <w:tcPr>
            <w:tcW w:w="0" w:type="dxa"/>
            <w:vAlign w:val="bottom"/>
          </w:tcPr>
          <w:p>
            <w:pPr>
              <w:spacing w:after="0"/>
              <w:rPr>
                <w:sz w:val="1"/>
                <w:szCs w:val="1"/>
                <w:color w:val="auto"/>
              </w:rPr>
            </w:pPr>
          </w:p>
        </w:tc>
      </w:tr>
      <w:tr>
        <w:trPr>
          <w:trHeight w:val="140"/>
        </w:trPr>
        <w:tc>
          <w:tcPr>
            <w:tcW w:w="980" w:type="dxa"/>
            <w:vAlign w:val="bottom"/>
            <w:tcBorders>
              <w:left w:val="single" w:sz="8" w:color="auto"/>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40" w:type="dxa"/>
            <w:vAlign w:val="bottom"/>
            <w:tcBorders>
              <w:right w:val="single" w:sz="8" w:color="auto"/>
            </w:tcBorders>
            <w:vMerge w:val="continue"/>
          </w:tcPr>
          <w:p>
            <w:pPr>
              <w:spacing w:after="0"/>
              <w:rPr>
                <w:sz w:val="12"/>
                <w:szCs w:val="12"/>
                <w:color w:val="auto"/>
              </w:rPr>
            </w:pPr>
          </w:p>
        </w:tc>
        <w:tc>
          <w:tcPr>
            <w:tcW w:w="220" w:type="dxa"/>
            <w:vAlign w:val="bottom"/>
            <w:shd w:val="clear" w:color="auto" w:fill="C1C1C1"/>
          </w:tcPr>
          <w:p>
            <w:pPr>
              <w:spacing w:after="0"/>
              <w:rPr>
                <w:sz w:val="12"/>
                <w:szCs w:val="12"/>
                <w:color w:val="auto"/>
              </w:rPr>
            </w:pPr>
          </w:p>
        </w:tc>
        <w:tc>
          <w:tcPr>
            <w:tcW w:w="800" w:type="dxa"/>
            <w:vAlign w:val="bottom"/>
            <w:tcBorders>
              <w:right w:val="single" w:sz="8" w:color="auto"/>
            </w:tcBorders>
            <w:gridSpan w:val="2"/>
            <w:vMerge w:val="restart"/>
            <w:shd w:val="clear" w:color="auto" w:fill="C1C1C1"/>
          </w:tcPr>
          <w:p>
            <w:pPr>
              <w:jc w:val="center"/>
              <w:ind w:right="240"/>
              <w:spacing w:after="0"/>
              <w:rPr>
                <w:sz w:val="20"/>
                <w:szCs w:val="20"/>
                <w:color w:val="auto"/>
              </w:rPr>
            </w:pPr>
            <w:r>
              <w:rPr>
                <w:rFonts w:ascii="Arial" w:cs="Arial" w:eastAsia="Arial" w:hAnsi="Arial"/>
                <w:sz w:val="16"/>
                <w:szCs w:val="16"/>
                <w:b w:val="1"/>
                <w:bCs w:val="1"/>
                <w:color w:val="auto"/>
                <w:w w:val="92"/>
              </w:rPr>
              <w:t>Number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[*CTR]</w:t>
            </w:r>
          </w:p>
        </w:tc>
        <w:tc>
          <w:tcPr>
            <w:tcW w:w="84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20" w:type="dxa"/>
            <w:vAlign w:val="bottom"/>
            <w:tcBorders>
              <w:bottom w:val="single" w:sz="8" w:color="C1C1C1"/>
            </w:tcBorders>
            <w:shd w:val="clear" w:color="auto" w:fill="C1C1C1"/>
          </w:tcPr>
          <w:p>
            <w:pPr>
              <w:spacing w:after="0"/>
              <w:rPr>
                <w:sz w:val="10"/>
                <w:szCs w:val="10"/>
                <w:color w:val="auto"/>
              </w:rPr>
            </w:pPr>
          </w:p>
        </w:tc>
        <w:tc>
          <w:tcPr>
            <w:tcW w:w="800" w:type="dxa"/>
            <w:vAlign w:val="bottom"/>
            <w:tcBorders>
              <w:bottom w:val="single" w:sz="8" w:color="C1C1C1"/>
              <w:right w:val="single" w:sz="8" w:color="auto"/>
            </w:tcBorders>
            <w:gridSpan w:val="2"/>
            <w:vMerge w:val="continue"/>
            <w:shd w:val="clear" w:color="auto" w:fill="C1C1C1"/>
          </w:tcPr>
          <w:p>
            <w:pPr>
              <w:spacing w:after="0"/>
              <w:rPr>
                <w:sz w:val="10"/>
                <w:szCs w:val="10"/>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160" w:type="dxa"/>
            <w:vAlign w:val="bottom"/>
            <w:tcBorders>
              <w:right w:val="single" w:sz="8" w:color="auto"/>
            </w:tcBorders>
            <w:gridSpan w:val="2"/>
            <w:vMerge w:val="continue"/>
          </w:tcPr>
          <w:p>
            <w:pPr>
              <w:spacing w:after="0"/>
              <w:rPr>
                <w:sz w:val="10"/>
                <w:szCs w:val="10"/>
                <w:color w:val="auto"/>
              </w:rPr>
            </w:pPr>
          </w:p>
        </w:tc>
        <w:tc>
          <w:tcPr>
            <w:tcW w:w="940" w:type="dxa"/>
            <w:vAlign w:val="bottom"/>
            <w:tcBorders>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[*CTR]-2017</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1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44459</w:t>
            </w:r>
          </w:p>
        </w:tc>
        <w:tc>
          <w:tcPr>
            <w:tcW w:w="8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44463</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44465</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44446</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44447</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44451</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44448</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44449</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44455</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44450</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44452</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44453</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89"/>
              </w:rPr>
              <w:t>44454</w:t>
            </w:r>
          </w:p>
        </w:tc>
        <w:tc>
          <w:tcPr>
            <w:tcW w:w="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center"/>
              <w:ind w:right="162"/>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280" w:type="dxa"/>
            <w:vAlign w:val="bottom"/>
          </w:tcPr>
          <w:p>
            <w:pPr>
              <w:spacing w:after="0"/>
              <w:rPr>
                <w:sz w:val="17"/>
                <w:szCs w:val="17"/>
                <w:color w:val="auto"/>
              </w:rPr>
            </w:pPr>
          </w:p>
        </w:tc>
        <w:tc>
          <w:tcPr>
            <w:tcW w:w="88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0960"/>
          </w:cols>
          <w:pgMar w:left="240" w:top="626" w:right="699" w:bottom="1440" w:gutter="0" w:footer="0" w:header="0"/>
        </w:sectPr>
      </w:pPr>
    </w:p>
    <w:bookmarkStart w:id="213" w:name="page214"/>
    <w:bookmarkEnd w:id="213"/>
    <w:p>
      <w:pPr>
        <w:ind w:left="5100"/>
        <w:spacing w:after="0"/>
        <w:rPr>
          <w:sz w:val="20"/>
          <w:szCs w:val="20"/>
          <w:color w:val="auto"/>
        </w:rPr>
      </w:pPr>
      <w:r>
        <w:rPr>
          <w:rFonts w:ascii="Arial" w:cs="Arial" w:eastAsia="Arial" w:hAnsi="Arial"/>
          <w:sz w:val="22"/>
          <w:szCs w:val="22"/>
          <w:b w:val="1"/>
          <w:bCs w:val="1"/>
          <w:color w:val="auto"/>
        </w:rPr>
        <w:t>Table 1R4 To</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Purchase Agreement No. PA-03735</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vMerge w:val="restart"/>
          </w:tcPr>
          <w:p>
            <w:pPr>
              <w:jc w:val="center"/>
              <w:ind w:right="242"/>
              <w:spacing w:after="0"/>
              <w:rPr>
                <w:sz w:val="20"/>
                <w:szCs w:val="20"/>
                <w:color w:val="auto"/>
              </w:rPr>
            </w:pPr>
            <w:r>
              <w:rPr>
                <w:rFonts w:ascii="Arial" w:cs="Arial" w:eastAsia="Arial" w:hAnsi="Arial"/>
                <w:sz w:val="16"/>
                <w:szCs w:val="16"/>
                <w:b w:val="1"/>
                <w:bCs w:val="1"/>
                <w:color w:val="auto"/>
                <w:w w:val="84"/>
              </w:rPr>
              <w:t>Escalation</w:t>
            </w:r>
          </w:p>
        </w:tc>
        <w:tc>
          <w:tcPr>
            <w:tcW w:w="1000" w:type="dxa"/>
            <w:vAlign w:val="bottom"/>
            <w:tcBorders>
              <w:top w:val="single" w:sz="8" w:color="auto"/>
              <w:right w:val="single" w:sz="8" w:color="auto"/>
            </w:tcBorders>
            <w:shd w:val="clear" w:color="auto" w:fill="C1C1C1"/>
          </w:tcPr>
          <w:p>
            <w:pPr>
              <w:spacing w:after="0"/>
              <w:rPr>
                <w:sz w:val="18"/>
                <w:szCs w:val="18"/>
                <w:color w:val="auto"/>
              </w:rPr>
            </w:pPr>
          </w:p>
        </w:tc>
        <w:tc>
          <w:tcPr>
            <w:tcW w:w="1040" w:type="dxa"/>
            <w:vAlign w:val="bottom"/>
            <w:tcBorders>
              <w:top w:val="single" w:sz="8" w:color="auto"/>
              <w:right w:val="single" w:sz="8" w:color="auto"/>
            </w:tcBorders>
            <w:shd w:val="clear" w:color="auto" w:fill="C1C1C1"/>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520" w:type="dxa"/>
            <w:vAlign w:val="bottom"/>
            <w:tcBorders>
              <w:top w:val="single" w:sz="8" w:color="auto"/>
              <w:right w:val="single" w:sz="8" w:color="auto"/>
            </w:tcBorders>
            <w:gridSpan w:val="4"/>
          </w:tcPr>
          <w:p>
            <w:pPr>
              <w:jc w:val="center"/>
              <w:ind w:left="343"/>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Number</w:t>
            </w: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4"/>
              </w:rPr>
              <w:t>Manufacturer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vMerge w:val="restart"/>
          </w:tcPr>
          <w:p>
            <w:pPr>
              <w:jc w:val="center"/>
              <w:ind w:left="142"/>
              <w:spacing w:after="0"/>
              <w:rPr>
                <w:sz w:val="20"/>
                <w:szCs w:val="20"/>
                <w:color w:val="auto"/>
              </w:rPr>
            </w:pPr>
            <w:r>
              <w:rPr>
                <w:rFonts w:ascii="Arial" w:cs="Arial" w:eastAsia="Arial" w:hAnsi="Arial"/>
                <w:sz w:val="16"/>
                <w:szCs w:val="16"/>
                <w:b w:val="1"/>
                <w:bCs w:val="1"/>
                <w:color w:val="auto"/>
                <w:w w:val="90"/>
              </w:rPr>
              <w:t>Delivery):</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260"/>
              <w:spacing w:after="0" w:line="168" w:lineRule="exact"/>
              <w:rPr>
                <w:sz w:val="20"/>
                <w:szCs w:val="20"/>
                <w:color w:val="auto"/>
              </w:rPr>
            </w:pPr>
            <w:r>
              <w:rPr>
                <w:rFonts w:ascii="Arial" w:cs="Arial" w:eastAsia="Arial" w:hAnsi="Arial"/>
                <w:sz w:val="16"/>
                <w:szCs w:val="16"/>
                <w:b w:val="1"/>
                <w:bCs w:val="1"/>
                <w:color w:val="auto"/>
              </w:rPr>
              <w:t>Delivery</w:t>
            </w:r>
          </w:p>
        </w:tc>
        <w:tc>
          <w:tcPr>
            <w:tcW w:w="74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ind w:right="242"/>
              <w:spacing w:after="0" w:line="168" w:lineRule="exact"/>
              <w:rPr>
                <w:sz w:val="20"/>
                <w:szCs w:val="20"/>
                <w:color w:val="auto"/>
              </w:rPr>
            </w:pPr>
            <w:r>
              <w:rPr>
                <w:rFonts w:ascii="Arial" w:cs="Arial" w:eastAsia="Arial" w:hAnsi="Arial"/>
                <w:sz w:val="16"/>
                <w:szCs w:val="16"/>
                <w:b w:val="1"/>
                <w:bCs w:val="1"/>
                <w:color w:val="auto"/>
                <w:w w:val="89"/>
              </w:rPr>
              <w:t>Factor</w:t>
            </w:r>
          </w:p>
        </w:tc>
        <w:tc>
          <w:tcPr>
            <w:tcW w:w="100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4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6"/>
                <w:szCs w:val="16"/>
                <w:b w:val="1"/>
                <w:bCs w:val="1"/>
                <w:color w:val="auto"/>
              </w:rPr>
              <w:t>Date</w:t>
            </w:r>
          </w:p>
        </w:tc>
        <w:tc>
          <w:tcPr>
            <w:tcW w:w="7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of</w:t>
            </w:r>
          </w:p>
        </w:tc>
        <w:tc>
          <w:tcPr>
            <w:tcW w:w="1160" w:type="dxa"/>
            <w:vAlign w:val="bottom"/>
            <w:tcBorders>
              <w:right w:val="single" w:sz="8" w:color="auto"/>
            </w:tcBorders>
            <w:vMerge w:val="restart"/>
          </w:tcPr>
          <w:p>
            <w:pPr>
              <w:jc w:val="center"/>
              <w:ind w:right="242"/>
              <w:spacing w:after="0"/>
              <w:rPr>
                <w:sz w:val="20"/>
                <w:szCs w:val="20"/>
                <w:color w:val="auto"/>
              </w:rPr>
            </w:pPr>
            <w:r>
              <w:rPr>
                <w:rFonts w:ascii="Arial" w:cs="Arial" w:eastAsia="Arial" w:hAnsi="Arial"/>
                <w:sz w:val="16"/>
                <w:szCs w:val="16"/>
                <w:b w:val="1"/>
                <w:bCs w:val="1"/>
                <w:color w:val="auto"/>
                <w:w w:val="94"/>
              </w:rPr>
              <w:t>(Airframe)</w:t>
            </w:r>
          </w:p>
        </w:tc>
        <w:tc>
          <w:tcPr>
            <w:tcW w:w="100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Serial</w:t>
            </w:r>
          </w:p>
        </w:tc>
        <w:tc>
          <w:tcPr>
            <w:tcW w:w="104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[*CTR]</w:t>
            </w:r>
          </w:p>
        </w:tc>
        <w:tc>
          <w:tcPr>
            <w:tcW w:w="0" w:type="dxa"/>
            <w:vAlign w:val="bottom"/>
          </w:tcPr>
          <w:p>
            <w:pPr>
              <w:spacing w:after="0"/>
              <w:rPr>
                <w:sz w:val="1"/>
                <w:szCs w:val="1"/>
                <w:color w:val="auto"/>
              </w:rPr>
            </w:pPr>
          </w:p>
        </w:tc>
      </w:tr>
      <w:tr>
        <w:trPr>
          <w:trHeight w:val="140"/>
        </w:trPr>
        <w:tc>
          <w:tcPr>
            <w:tcW w:w="4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[*CTR]</w:t>
            </w:r>
          </w:p>
        </w:tc>
        <w:tc>
          <w:tcPr>
            <w:tcW w:w="8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44456</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44457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44458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44460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44462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44464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[*CTR]-2019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58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3"/>
        </w:trPr>
        <w:tc>
          <w:tcPr>
            <w:tcW w:w="2080" w:type="dxa"/>
            <w:vAlign w:val="bottom"/>
            <w:gridSpan w:val="3"/>
          </w:tcPr>
          <w:p>
            <w:pPr>
              <w:spacing w:after="0"/>
              <w:rPr>
                <w:sz w:val="20"/>
                <w:szCs w:val="20"/>
                <w:color w:val="auto"/>
              </w:rPr>
            </w:pPr>
            <w:r>
              <w:rPr>
                <w:rFonts w:ascii="Arial" w:cs="Arial" w:eastAsia="Arial" w:hAnsi="Arial"/>
                <w:sz w:val="16"/>
                <w:szCs w:val="16"/>
                <w:color w:val="auto"/>
                <w:w w:val="97"/>
              </w:rPr>
              <w:t>AAL-PA-03735 108567-1F.txt</w:t>
            </w:r>
          </w:p>
        </w:tc>
        <w:tc>
          <w:tcPr>
            <w:tcW w:w="11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9"/>
                <w:szCs w:val="19"/>
                <w:b w:val="1"/>
                <w:bCs w:val="1"/>
                <w:color w:val="auto"/>
              </w:rPr>
              <w:t>Boeing Proprietary</w:t>
            </w:r>
          </w:p>
        </w:tc>
        <w:tc>
          <w:tcPr>
            <w:tcW w:w="2100" w:type="dxa"/>
            <w:vAlign w:val="bottom"/>
            <w:gridSpan w:val="2"/>
          </w:tcPr>
          <w:p>
            <w:pPr>
              <w:ind w:left="1000"/>
              <w:spacing w:after="0"/>
              <w:rPr>
                <w:sz w:val="20"/>
                <w:szCs w:val="20"/>
                <w:color w:val="auto"/>
              </w:rPr>
            </w:pPr>
            <w:r>
              <w:rPr>
                <w:rFonts w:ascii="Arial" w:cs="Arial" w:eastAsia="Arial" w:hAnsi="Arial"/>
                <w:sz w:val="19"/>
                <w:szCs w:val="19"/>
                <w:color w:val="auto"/>
              </w:rPr>
              <w:t>SA-9</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520"/>
          </w:cols>
          <w:pgMar w:left="240" w:top="155" w:right="139" w:bottom="1440" w:gutter="0" w:footer="0" w:header="0"/>
        </w:sectPr>
      </w:pPr>
    </w:p>
    <w:bookmarkStart w:id="214" w:name="page215"/>
    <w:bookmarkEnd w:id="214"/>
    <w:p>
      <w:pPr>
        <w:ind w:left="5100"/>
        <w:spacing w:after="0"/>
        <w:rPr>
          <w:sz w:val="20"/>
          <w:szCs w:val="20"/>
          <w:color w:val="auto"/>
        </w:rPr>
      </w:pPr>
      <w:r>
        <w:rPr>
          <w:rFonts w:ascii="Arial" w:cs="Arial" w:eastAsia="Arial" w:hAnsi="Arial"/>
          <w:sz w:val="22"/>
          <w:szCs w:val="22"/>
          <w:b w:val="1"/>
          <w:bCs w:val="1"/>
          <w:color w:val="auto"/>
        </w:rPr>
        <w:t>Table 1R4 To</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Purchase Agreement No. PA-03735</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Number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1000" w:type="dxa"/>
            <w:vAlign w:val="bottom"/>
            <w:tcBorders>
              <w:top w:val="single" w:sz="8" w:color="auto"/>
              <w:right w:val="single" w:sz="8" w:color="auto"/>
            </w:tcBorders>
            <w:shd w:val="clear" w:color="auto" w:fill="C1C1C1"/>
          </w:tcPr>
          <w:p>
            <w:pPr>
              <w:spacing w:after="0"/>
              <w:rPr>
                <w:sz w:val="18"/>
                <w:szCs w:val="18"/>
                <w:color w:val="auto"/>
              </w:rPr>
            </w:pPr>
          </w:p>
        </w:tc>
        <w:tc>
          <w:tcPr>
            <w:tcW w:w="1040" w:type="dxa"/>
            <w:vAlign w:val="bottom"/>
            <w:tcBorders>
              <w:top w:val="single" w:sz="8" w:color="auto"/>
              <w:right w:val="single" w:sz="8" w:color="auto"/>
            </w:tcBorders>
            <w:shd w:val="clear" w:color="auto" w:fill="C1C1C1"/>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460" w:type="dxa"/>
            <w:vAlign w:val="bottom"/>
            <w:tcBorders>
              <w:top w:val="single" w:sz="8" w:color="auto"/>
              <w:right w:val="single" w:sz="8" w:color="auto"/>
            </w:tcBorders>
            <w:gridSpan w:val="4"/>
          </w:tcPr>
          <w:p>
            <w:pPr>
              <w:jc w:val="center"/>
              <w:ind w:left="363"/>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2"/>
              </w:rPr>
              <w:t>Manufacturer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vMerge w:val="restart"/>
          </w:tcPr>
          <w:p>
            <w:pPr>
              <w:jc w:val="center"/>
              <w:ind w:left="162"/>
              <w:spacing w:after="0"/>
              <w:rPr>
                <w:sz w:val="20"/>
                <w:szCs w:val="20"/>
                <w:color w:val="auto"/>
              </w:rPr>
            </w:pPr>
            <w:r>
              <w:rPr>
                <w:rFonts w:ascii="Arial" w:cs="Arial" w:eastAsia="Arial" w:hAnsi="Arial"/>
                <w:sz w:val="16"/>
                <w:szCs w:val="16"/>
                <w:b w:val="1"/>
                <w:bCs w:val="1"/>
                <w:color w:val="auto"/>
                <w:w w:val="90"/>
              </w:rPr>
              <w:t>Delivery):</w:t>
            </w: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Delivery</w:t>
            </w:r>
          </w:p>
        </w:tc>
        <w:tc>
          <w:tcPr>
            <w:tcW w:w="740" w:type="dxa"/>
            <w:vAlign w:val="bottom"/>
            <w:tcBorders>
              <w:right w:val="single" w:sz="8" w:color="auto"/>
            </w:tcBorders>
          </w:tcPr>
          <w:p>
            <w:pPr>
              <w:jc w:val="right"/>
              <w:ind w:right="242"/>
              <w:spacing w:after="0" w:line="168" w:lineRule="exact"/>
              <w:rPr>
                <w:sz w:val="20"/>
                <w:szCs w:val="20"/>
                <w:color w:val="auto"/>
              </w:rPr>
            </w:pPr>
            <w:r>
              <w:rPr>
                <w:rFonts w:ascii="Arial" w:cs="Arial" w:eastAsia="Arial" w:hAnsi="Arial"/>
                <w:sz w:val="16"/>
                <w:szCs w:val="16"/>
                <w:b w:val="1"/>
                <w:bCs w:val="1"/>
                <w:color w:val="auto"/>
              </w:rPr>
              <w:t>of</w:t>
            </w:r>
          </w:p>
        </w:tc>
        <w:tc>
          <w:tcPr>
            <w:tcW w:w="11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Factor</w:t>
            </w:r>
          </w:p>
        </w:tc>
        <w:tc>
          <w:tcPr>
            <w:tcW w:w="100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4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Date</w:t>
            </w:r>
          </w:p>
        </w:tc>
        <w:tc>
          <w:tcPr>
            <w:tcW w:w="74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Aircraft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(Airframe)</w:t>
            </w:r>
          </w:p>
        </w:tc>
        <w:tc>
          <w:tcPr>
            <w:tcW w:w="100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Serial</w:t>
            </w:r>
          </w:p>
        </w:tc>
        <w:tc>
          <w:tcPr>
            <w:tcW w:w="104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b w:val="1"/>
                <w:bCs w:val="1"/>
                <w:color w:val="auto"/>
              </w:rPr>
              <w:t>At Signing</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[*CTR]</w:t>
            </w:r>
          </w:p>
        </w:tc>
        <w:tc>
          <w:tcPr>
            <w:tcW w:w="0" w:type="dxa"/>
            <w:vAlign w:val="bottom"/>
          </w:tcPr>
          <w:p>
            <w:pPr>
              <w:spacing w:after="0"/>
              <w:rPr>
                <w:sz w:val="1"/>
                <w:szCs w:val="1"/>
                <w:color w:val="auto"/>
              </w:rPr>
            </w:pPr>
          </w:p>
        </w:tc>
      </w:tr>
      <w:tr>
        <w:trPr>
          <w:trHeight w:val="140"/>
        </w:trPr>
        <w:tc>
          <w:tcPr>
            <w:tcW w:w="4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9"/>
              </w:rPr>
              <w:t>Number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5"/>
              </w:rPr>
              <w:t>Month</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[*CTR]</w:t>
            </w:r>
          </w:p>
        </w:tc>
        <w:tc>
          <w:tcPr>
            <w:tcW w:w="8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[*CTR]-2019</w:t>
            </w:r>
          </w:p>
        </w:tc>
        <w:tc>
          <w:tcPr>
            <w:tcW w:w="740" w:type="dxa"/>
            <w:vAlign w:val="bottom"/>
            <w:tcBorders>
              <w:top w:val="single" w:sz="8" w:color="auto"/>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[*CTR]-2019</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[*CTR]-2020</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6"/>
                <w:szCs w:val="16"/>
                <w:color w:val="0000FF"/>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3"/>
        </w:trPr>
        <w:tc>
          <w:tcPr>
            <w:tcW w:w="2080" w:type="dxa"/>
            <w:vAlign w:val="bottom"/>
            <w:gridSpan w:val="3"/>
          </w:tcPr>
          <w:p>
            <w:pPr>
              <w:jc w:val="right"/>
              <w:spacing w:after="0"/>
              <w:rPr>
                <w:sz w:val="20"/>
                <w:szCs w:val="20"/>
                <w:color w:val="auto"/>
              </w:rPr>
            </w:pPr>
            <w:r>
              <w:rPr>
                <w:rFonts w:ascii="Arial" w:cs="Arial" w:eastAsia="Arial" w:hAnsi="Arial"/>
                <w:sz w:val="16"/>
                <w:szCs w:val="16"/>
                <w:color w:val="auto"/>
                <w:w w:val="95"/>
              </w:rPr>
              <w:t>AAL-PA-03735 108567-1F.txt</w:t>
            </w:r>
          </w:p>
        </w:tc>
        <w:tc>
          <w:tcPr>
            <w:tcW w:w="11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9"/>
                <w:szCs w:val="19"/>
                <w:b w:val="1"/>
                <w:bCs w:val="1"/>
                <w:color w:val="auto"/>
              </w:rPr>
              <w:t>Boeing Proprietary</w:t>
            </w:r>
          </w:p>
        </w:tc>
        <w:tc>
          <w:tcPr>
            <w:tcW w:w="2100" w:type="dxa"/>
            <w:vAlign w:val="bottom"/>
            <w:gridSpan w:val="2"/>
          </w:tcPr>
          <w:p>
            <w:pPr>
              <w:ind w:left="1000"/>
              <w:spacing w:after="0"/>
              <w:rPr>
                <w:sz w:val="20"/>
                <w:szCs w:val="20"/>
                <w:color w:val="auto"/>
              </w:rPr>
            </w:pPr>
            <w:r>
              <w:rPr>
                <w:rFonts w:ascii="Arial" w:cs="Arial" w:eastAsia="Arial" w:hAnsi="Arial"/>
                <w:sz w:val="19"/>
                <w:szCs w:val="19"/>
                <w:color w:val="auto"/>
              </w:rPr>
              <w:t>SA-9</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520"/>
          </w:cols>
          <w:pgMar w:left="240" w:top="155" w:right="139" w:bottom="1440" w:gutter="0" w:footer="0" w:header="0"/>
        </w:sectPr>
      </w:pPr>
    </w:p>
    <w:bookmarkStart w:id="215" w:name="page216"/>
    <w:bookmarkEnd w:id="215"/>
    <w:p>
      <w:pPr>
        <w:ind w:left="5100"/>
        <w:spacing w:after="0"/>
        <w:rPr>
          <w:sz w:val="20"/>
          <w:szCs w:val="20"/>
          <w:color w:val="auto"/>
        </w:rPr>
      </w:pPr>
      <w:r>
        <w:rPr>
          <w:rFonts w:ascii="Arial" w:cs="Arial" w:eastAsia="Arial" w:hAnsi="Arial"/>
          <w:sz w:val="22"/>
          <w:szCs w:val="22"/>
          <w:b w:val="1"/>
          <w:bCs w:val="1"/>
          <w:color w:val="auto"/>
        </w:rPr>
        <w:t>Table 1R4 To</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Purchase Agreement No. PA-03735</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1000" w:type="dxa"/>
            <w:vAlign w:val="bottom"/>
            <w:tcBorders>
              <w:top w:val="single" w:sz="8" w:color="auto"/>
              <w:right w:val="single" w:sz="8" w:color="auto"/>
            </w:tcBorders>
            <w:shd w:val="clear" w:color="auto" w:fill="C1C1C1"/>
          </w:tcPr>
          <w:p>
            <w:pPr>
              <w:spacing w:after="0"/>
              <w:rPr>
                <w:sz w:val="18"/>
                <w:szCs w:val="18"/>
                <w:color w:val="auto"/>
              </w:rPr>
            </w:pPr>
          </w:p>
        </w:tc>
        <w:tc>
          <w:tcPr>
            <w:tcW w:w="1040" w:type="dxa"/>
            <w:vAlign w:val="bottom"/>
            <w:tcBorders>
              <w:top w:val="single" w:sz="8" w:color="auto"/>
              <w:right w:val="single" w:sz="8" w:color="auto"/>
            </w:tcBorders>
            <w:shd w:val="clear" w:color="auto" w:fill="C1C1C1"/>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460" w:type="dxa"/>
            <w:vAlign w:val="bottom"/>
            <w:tcBorders>
              <w:top w:val="single" w:sz="8" w:color="auto"/>
              <w:right w:val="single" w:sz="8" w:color="auto"/>
            </w:tcBorders>
            <w:gridSpan w:val="4"/>
          </w:tcPr>
          <w:p>
            <w:pPr>
              <w:jc w:val="center"/>
              <w:ind w:left="364"/>
              <w:spacing w:after="0"/>
              <w:rPr>
                <w:sz w:val="20"/>
                <w:szCs w:val="20"/>
                <w:color w:val="auto"/>
              </w:rPr>
            </w:pPr>
            <w:r>
              <w:rPr>
                <w:rFonts w:ascii="Arial" w:cs="Arial" w:eastAsia="Arial" w:hAnsi="Arial"/>
                <w:sz w:val="16"/>
                <w:szCs w:val="16"/>
                <w:b w:val="1"/>
                <w:bCs w:val="1"/>
                <w:color w:val="auto"/>
                <w:w w:val="89"/>
              </w:rPr>
              <w:t>Advance Payment Per Aircraft (Amts. Due/Mos. Prior to</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2"/>
              </w:rPr>
              <w:t>Manufacturer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vMerge w:val="restart"/>
          </w:tcPr>
          <w:p>
            <w:pPr>
              <w:jc w:val="center"/>
              <w:ind w:left="162"/>
              <w:spacing w:after="0"/>
              <w:rPr>
                <w:sz w:val="20"/>
                <w:szCs w:val="20"/>
                <w:color w:val="auto"/>
              </w:rPr>
            </w:pPr>
            <w:r>
              <w:rPr>
                <w:rFonts w:ascii="Arial" w:cs="Arial" w:eastAsia="Arial" w:hAnsi="Arial"/>
                <w:sz w:val="16"/>
                <w:szCs w:val="16"/>
                <w:b w:val="1"/>
                <w:bCs w:val="1"/>
                <w:color w:val="auto"/>
                <w:w w:val="90"/>
              </w:rPr>
              <w:t>Delivery):</w:t>
            </w: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Delivery</w:t>
            </w:r>
          </w:p>
        </w:tc>
        <w:tc>
          <w:tcPr>
            <w:tcW w:w="7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79"/>
              </w:rPr>
              <w:t>of</w:t>
            </w:r>
          </w:p>
        </w:tc>
        <w:tc>
          <w:tcPr>
            <w:tcW w:w="11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Factor</w:t>
            </w:r>
          </w:p>
        </w:tc>
        <w:tc>
          <w:tcPr>
            <w:tcW w:w="100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4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Date</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(Airframe)</w:t>
            </w:r>
          </w:p>
        </w:tc>
        <w:tc>
          <w:tcPr>
            <w:tcW w:w="100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Serial</w:t>
            </w:r>
          </w:p>
        </w:tc>
        <w:tc>
          <w:tcPr>
            <w:tcW w:w="104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b w:val="1"/>
                <w:bCs w:val="1"/>
                <w:color w:val="auto"/>
              </w:rPr>
              <w:t>At Signing</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[*CTR]</w:t>
            </w:r>
          </w:p>
        </w:tc>
        <w:tc>
          <w:tcPr>
            <w:tcW w:w="0" w:type="dxa"/>
            <w:vAlign w:val="bottom"/>
          </w:tcPr>
          <w:p>
            <w:pPr>
              <w:spacing w:after="0"/>
              <w:rPr>
                <w:sz w:val="1"/>
                <w:szCs w:val="1"/>
                <w:color w:val="auto"/>
              </w:rPr>
            </w:pPr>
          </w:p>
        </w:tc>
      </w:tr>
      <w:tr>
        <w:trPr>
          <w:trHeight w:val="140"/>
        </w:trPr>
        <w:tc>
          <w:tcPr>
            <w:tcW w:w="4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9"/>
              </w:rPr>
              <w:t>Number</w:t>
            </w:r>
          </w:p>
        </w:tc>
        <w:tc>
          <w:tcPr>
            <w:tcW w:w="104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5"/>
              </w:rPr>
              <w:t>Month</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[*CTR]</w:t>
            </w:r>
          </w:p>
        </w:tc>
        <w:tc>
          <w:tcPr>
            <w:tcW w:w="8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04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00FF"/>
                <w:w w:val="89"/>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00FF"/>
                <w:w w:val="89"/>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00FF"/>
                <w:w w:val="89"/>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00FF"/>
                <w:w w:val="89"/>
              </w:rPr>
              <w:t>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4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[*CTR]-2021</w:t>
            </w:r>
          </w:p>
        </w:tc>
        <w:tc>
          <w:tcPr>
            <w:tcW w:w="74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10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$[*CTR]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17"/>
        </w:trPr>
        <w:tc>
          <w:tcPr>
            <w:tcW w:w="4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0" w:type="dxa"/>
            <w:vAlign w:val="bottom"/>
            <w:tcBorders>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Total  60</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80" w:type="dxa"/>
            <w:vAlign w:val="bottom"/>
            <w:gridSpan w:val="3"/>
          </w:tcPr>
          <w:p>
            <w:pPr>
              <w:spacing w:after="0"/>
              <w:rPr>
                <w:sz w:val="20"/>
                <w:szCs w:val="20"/>
                <w:color w:val="auto"/>
              </w:rPr>
            </w:pPr>
            <w:r>
              <w:rPr>
                <w:rFonts w:ascii="Arial" w:cs="Arial" w:eastAsia="Arial" w:hAnsi="Arial"/>
                <w:sz w:val="16"/>
                <w:szCs w:val="16"/>
                <w:color w:val="auto"/>
                <w:w w:val="97"/>
              </w:rPr>
              <w:t>AAL-PA-03735 108567-1F.txt</w:t>
            </w:r>
          </w:p>
        </w:tc>
        <w:tc>
          <w:tcPr>
            <w:tcW w:w="11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9"/>
                <w:szCs w:val="19"/>
                <w:b w:val="1"/>
                <w:bCs w:val="1"/>
                <w:color w:val="auto"/>
              </w:rPr>
              <w:t>Boeing Proprietary</w:t>
            </w:r>
          </w:p>
        </w:tc>
        <w:tc>
          <w:tcPr>
            <w:tcW w:w="2100" w:type="dxa"/>
            <w:vAlign w:val="bottom"/>
            <w:gridSpan w:val="2"/>
          </w:tcPr>
          <w:p>
            <w:pPr>
              <w:ind w:left="1000"/>
              <w:spacing w:after="0"/>
              <w:rPr>
                <w:sz w:val="20"/>
                <w:szCs w:val="20"/>
                <w:color w:val="auto"/>
              </w:rPr>
            </w:pPr>
            <w:r>
              <w:rPr>
                <w:rFonts w:ascii="Arial" w:cs="Arial" w:eastAsia="Arial" w:hAnsi="Arial"/>
                <w:sz w:val="19"/>
                <w:szCs w:val="19"/>
                <w:color w:val="auto"/>
              </w:rPr>
              <w:t>SA-9</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520"/>
          </w:cols>
          <w:pgMar w:left="240" w:top="155" w:right="139" w:bottom="1440" w:gutter="0" w:footer="0" w:header="0"/>
        </w:sectPr>
      </w:pPr>
    </w:p>
    <w:bookmarkStart w:id="216" w:name="page217"/>
    <w:bookmarkEnd w:id="216"/>
    <w:p>
      <w:pPr>
        <w:jc w:val="center"/>
        <w:ind w:right="-219"/>
        <w:spacing w:after="0"/>
        <w:rPr>
          <w:sz w:val="20"/>
          <w:szCs w:val="20"/>
          <w:color w:val="auto"/>
        </w:rPr>
      </w:pPr>
      <w:r>
        <w:rPr>
          <w:rFonts w:ascii="Arial" w:cs="Arial" w:eastAsia="Arial" w:hAnsi="Arial"/>
          <w:sz w:val="22"/>
          <w:szCs w:val="22"/>
          <w:b w:val="1"/>
          <w:bCs w:val="1"/>
          <w:color w:val="auto"/>
        </w:rPr>
        <w:t>Table 1-2 To</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Purchase Agreement No. PA-03735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737-8 Revised Delivery Aircraft Delivery, Description, Price and Advance Payments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296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 xml:space="preserve">Airframe Model/MTOW:  </w:t>
            </w:r>
            <w:r>
              <w:rPr>
                <w:rFonts w:ascii="Arial" w:cs="Arial" w:eastAsia="Arial" w:hAnsi="Arial"/>
                <w:sz w:val="16"/>
                <w:szCs w:val="16"/>
                <w:color w:val="auto"/>
              </w:rPr>
              <w:t>737-8</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rPr>
              <w:t>[*CTR]</w:t>
            </w:r>
          </w:p>
        </w:tc>
        <w:tc>
          <w:tcPr>
            <w:tcW w:w="60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w w:val="99"/>
              </w:rPr>
              <w:t>Detail Specification:</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Arial" w:cs="Arial" w:eastAsia="Arial" w:hAnsi="Arial"/>
                <w:sz w:val="16"/>
                <w:szCs w:val="16"/>
                <w:color w:val="auto"/>
              </w:rPr>
              <w:t>[*CTR]</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4"/>
            <w:vMerge w:val="restart"/>
          </w:tcPr>
          <w:p>
            <w:pPr>
              <w:jc w:val="right"/>
              <w:ind w:right="642"/>
              <w:spacing w:after="0"/>
              <w:rPr>
                <w:sz w:val="20"/>
                <w:szCs w:val="20"/>
                <w:color w:val="auto"/>
              </w:rPr>
            </w:pPr>
            <w:r>
              <w:rPr>
                <w:rFonts w:ascii="Arial" w:cs="Arial" w:eastAsia="Arial" w:hAnsi="Arial"/>
                <w:sz w:val="16"/>
                <w:szCs w:val="16"/>
                <w:color w:val="auto"/>
              </w:rPr>
              <w:t>pounds</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3740" w:type="dxa"/>
            <w:vAlign w:val="bottom"/>
            <w:gridSpan w:val="8"/>
          </w:tcPr>
          <w:p>
            <w:pPr>
              <w:ind w:left="480"/>
              <w:spacing w:after="0"/>
              <w:rPr>
                <w:sz w:val="20"/>
                <w:szCs w:val="20"/>
                <w:color w:val="auto"/>
              </w:rPr>
            </w:pPr>
            <w:r>
              <w:rPr>
                <w:rFonts w:ascii="Arial" w:cs="Arial" w:eastAsia="Arial" w:hAnsi="Arial"/>
                <w:sz w:val="16"/>
                <w:szCs w:val="16"/>
                <w:b w:val="1"/>
                <w:bCs w:val="1"/>
                <w:color w:val="auto"/>
              </w:rPr>
              <w:t xml:space="preserve">Engine Model/Thrust: </w:t>
            </w:r>
            <w:r>
              <w:rPr>
                <w:rFonts w:ascii="Arial" w:cs="Arial" w:eastAsia="Arial" w:hAnsi="Arial"/>
                <w:sz w:val="16"/>
                <w:szCs w:val="16"/>
                <w:color w:val="auto"/>
              </w:rPr>
              <w:t>CFMLEAP-1B25</w:t>
            </w: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rPr>
              <w:t>[*CTR]</w:t>
            </w:r>
          </w:p>
        </w:tc>
        <w:tc>
          <w:tcPr>
            <w:tcW w:w="600" w:type="dxa"/>
            <w:vAlign w:val="bottom"/>
          </w:tcPr>
          <w:p>
            <w:pPr>
              <w:spacing w:after="0"/>
              <w:rPr>
                <w:sz w:val="21"/>
                <w:szCs w:val="21"/>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w w:val="92"/>
              </w:rPr>
              <w:t>Airframe Price Base Year/Escalation</w:t>
            </w:r>
          </w:p>
        </w:tc>
        <w:tc>
          <w:tcPr>
            <w:tcW w:w="740" w:type="dxa"/>
            <w:vAlign w:val="bottom"/>
          </w:tcPr>
          <w:p>
            <w:pPr>
              <w:spacing w:after="0"/>
              <w:rPr>
                <w:sz w:val="21"/>
                <w:szCs w:val="21"/>
                <w:color w:val="auto"/>
              </w:rPr>
            </w:pPr>
          </w:p>
        </w:tc>
        <w:tc>
          <w:tcPr>
            <w:tcW w:w="1520" w:type="dxa"/>
            <w:vAlign w:val="bottom"/>
            <w:gridSpan w:val="2"/>
          </w:tcPr>
          <w:p>
            <w:pPr>
              <w:ind w:left="20"/>
              <w:spacing w:after="0" w:line="246" w:lineRule="exact"/>
              <w:rPr>
                <w:sz w:val="20"/>
                <w:szCs w:val="20"/>
                <w:color w:val="auto"/>
              </w:rPr>
            </w:pPr>
            <w:r>
              <w:rPr>
                <w:rFonts w:ascii="Arial" w:cs="Arial" w:eastAsia="Arial" w:hAnsi="Arial"/>
                <w:sz w:val="28"/>
                <w:szCs w:val="28"/>
                <w:color w:val="auto"/>
                <w:vertAlign w:val="superscript"/>
              </w:rPr>
              <w:t>[*CTR]</w:t>
            </w:r>
            <w:r>
              <w:rPr>
                <w:rFonts w:ascii="Arial" w:cs="Arial" w:eastAsia="Arial" w:hAnsi="Arial"/>
                <w:sz w:val="15"/>
                <w:szCs w:val="15"/>
                <w:color w:val="auto"/>
              </w:rPr>
              <w:t xml:space="preserve">  [*CTR]</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rPr>
              <w:t>pounds</w:t>
            </w:r>
          </w:p>
        </w:tc>
        <w:tc>
          <w:tcPr>
            <w:tcW w:w="60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w w:val="90"/>
              </w:rPr>
              <w:t>Formula:</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920" w:type="dxa"/>
            <w:vAlign w:val="bottom"/>
            <w:gridSpan w:val="4"/>
          </w:tcPr>
          <w:p>
            <w:pPr>
              <w:ind w:left="480"/>
              <w:spacing w:after="0"/>
              <w:rPr>
                <w:sz w:val="20"/>
                <w:szCs w:val="20"/>
                <w:color w:val="auto"/>
              </w:rPr>
            </w:pPr>
            <w:r>
              <w:rPr>
                <w:rFonts w:ascii="Arial" w:cs="Arial" w:eastAsia="Arial" w:hAnsi="Arial"/>
                <w:sz w:val="16"/>
                <w:szCs w:val="16"/>
                <w:b w:val="1"/>
                <w:bCs w:val="1"/>
                <w:color w:val="auto"/>
              </w:rPr>
              <w:t>Airframe Price: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16"/>
                <w:szCs w:val="16"/>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w w:val="96"/>
              </w:rPr>
              <w:t>Engine Price Base Year/Escalation</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w w:val="90"/>
              </w:rPr>
              <w:t>Formula:</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1920" w:type="dxa"/>
            <w:vAlign w:val="bottom"/>
            <w:gridSpan w:val="4"/>
          </w:tcPr>
          <w:p>
            <w:pPr>
              <w:ind w:left="480"/>
              <w:spacing w:after="0"/>
              <w:rPr>
                <w:sz w:val="20"/>
                <w:szCs w:val="20"/>
                <w:color w:val="auto"/>
              </w:rPr>
            </w:pPr>
            <w:r>
              <w:rPr>
                <w:rFonts w:ascii="Arial" w:cs="Arial" w:eastAsia="Arial" w:hAnsi="Arial"/>
                <w:sz w:val="16"/>
                <w:szCs w:val="16"/>
                <w:b w:val="1"/>
                <w:bCs w:val="1"/>
                <w:color w:val="auto"/>
              </w:rPr>
              <w:t>Optional Features:</w:t>
            </w: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$[*CTR]</w:t>
            </w:r>
          </w:p>
        </w:tc>
        <w:tc>
          <w:tcPr>
            <w:tcW w:w="7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2960" w:type="dxa"/>
            <w:vAlign w:val="bottom"/>
            <w:gridSpan w:val="5"/>
          </w:tcPr>
          <w:p>
            <w:pPr>
              <w:ind w:left="480"/>
              <w:spacing w:after="0"/>
              <w:rPr>
                <w:sz w:val="20"/>
                <w:szCs w:val="20"/>
                <w:color w:val="auto"/>
              </w:rPr>
            </w:pPr>
            <w:r>
              <w:rPr>
                <w:rFonts w:ascii="Arial" w:cs="Arial" w:eastAsia="Arial" w:hAnsi="Arial"/>
                <w:sz w:val="16"/>
                <w:szCs w:val="16"/>
                <w:b w:val="1"/>
                <w:bCs w:val="1"/>
                <w:color w:val="auto"/>
                <w:w w:val="89"/>
              </w:rPr>
              <w:t>Sub-Total of Airframe and Features: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18"/>
                <w:szCs w:val="18"/>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rPr>
              <w:t>Airframe Escalation Data:</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2960" w:type="dxa"/>
            <w:vAlign w:val="bottom"/>
            <w:gridSpan w:val="5"/>
          </w:tcPr>
          <w:p>
            <w:pPr>
              <w:ind w:left="480"/>
              <w:spacing w:after="0"/>
              <w:rPr>
                <w:sz w:val="20"/>
                <w:szCs w:val="20"/>
                <w:color w:val="auto"/>
              </w:rPr>
            </w:pPr>
            <w:r>
              <w:rPr>
                <w:rFonts w:ascii="Arial" w:cs="Arial" w:eastAsia="Arial" w:hAnsi="Arial"/>
                <w:sz w:val="16"/>
                <w:szCs w:val="16"/>
                <w:b w:val="1"/>
                <w:bCs w:val="1"/>
                <w:color w:val="auto"/>
              </w:rPr>
              <w:t>Engine Price (Per Aircraft):</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21"/>
                <w:szCs w:val="21"/>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w w:val="89"/>
              </w:rPr>
              <w:t>Base Year Index (ECI):</w:t>
            </w:r>
          </w:p>
        </w:tc>
        <w:tc>
          <w:tcPr>
            <w:tcW w:w="20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[*CTR]</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960" w:type="dxa"/>
            <w:vAlign w:val="bottom"/>
            <w:gridSpan w:val="5"/>
          </w:tcPr>
          <w:p>
            <w:pPr>
              <w:ind w:left="480"/>
              <w:spacing w:after="0"/>
              <w:rPr>
                <w:sz w:val="20"/>
                <w:szCs w:val="20"/>
                <w:color w:val="auto"/>
              </w:rPr>
            </w:pPr>
            <w:r>
              <w:rPr>
                <w:rFonts w:ascii="Arial" w:cs="Arial" w:eastAsia="Arial" w:hAnsi="Arial"/>
                <w:sz w:val="16"/>
                <w:szCs w:val="16"/>
                <w:b w:val="1"/>
                <w:bCs w:val="1"/>
                <w:color w:val="auto"/>
              </w:rPr>
              <w:t>Aircraft Basic Price (Excluding</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w w:val="89"/>
              </w:rPr>
              <w:t>Base Year Index (CPI):</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[*CTR]</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1260" w:type="dxa"/>
            <w:vAlign w:val="bottom"/>
            <w:gridSpan w:val="2"/>
          </w:tcPr>
          <w:p>
            <w:pPr>
              <w:ind w:left="480"/>
              <w:spacing w:after="0" w:line="180" w:lineRule="exact"/>
              <w:rPr>
                <w:sz w:val="20"/>
                <w:szCs w:val="20"/>
                <w:color w:val="auto"/>
              </w:rPr>
            </w:pPr>
            <w:r>
              <w:rPr>
                <w:rFonts w:ascii="Arial" w:cs="Arial" w:eastAsia="Arial" w:hAnsi="Arial"/>
                <w:sz w:val="16"/>
                <w:szCs w:val="16"/>
                <w:b w:val="1"/>
                <w:bCs w:val="1"/>
                <w:color w:val="auto"/>
                <w:w w:val="95"/>
              </w:rPr>
              <w:t>BFE/SPE):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960" w:type="dxa"/>
            <w:vAlign w:val="bottom"/>
            <w:gridSpan w:val="5"/>
          </w:tcPr>
          <w:p>
            <w:pPr>
              <w:ind w:left="480"/>
              <w:spacing w:after="0" w:line="181" w:lineRule="exact"/>
              <w:rPr>
                <w:sz w:val="20"/>
                <w:szCs w:val="20"/>
                <w:color w:val="auto"/>
              </w:rPr>
            </w:pPr>
            <w:r>
              <w:rPr>
                <w:rFonts w:ascii="Arial" w:cs="Arial" w:eastAsia="Arial" w:hAnsi="Arial"/>
                <w:sz w:val="16"/>
                <w:szCs w:val="16"/>
                <w:b w:val="1"/>
                <w:bCs w:val="1"/>
                <w:color w:val="auto"/>
                <w:w w:val="93"/>
              </w:rPr>
              <w:t>Buyer Furnished Equipment (BFE)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642"/>
              <w:spacing w:after="0" w:line="181" w:lineRule="exact"/>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260" w:type="dxa"/>
            <w:vAlign w:val="bottom"/>
            <w:gridSpan w:val="2"/>
          </w:tcPr>
          <w:p>
            <w:pPr>
              <w:ind w:left="480"/>
              <w:spacing w:after="0"/>
              <w:rPr>
                <w:sz w:val="20"/>
                <w:szCs w:val="20"/>
                <w:color w:val="auto"/>
              </w:rPr>
            </w:pPr>
            <w:r>
              <w:rPr>
                <w:rFonts w:ascii="Arial" w:cs="Arial" w:eastAsia="Arial" w:hAnsi="Arial"/>
                <w:sz w:val="16"/>
                <w:szCs w:val="16"/>
                <w:b w:val="1"/>
                <w:bCs w:val="1"/>
                <w:color w:val="auto"/>
              </w:rPr>
              <w:t>Estimate: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960" w:type="dxa"/>
            <w:vAlign w:val="bottom"/>
            <w:gridSpan w:val="5"/>
          </w:tcPr>
          <w:p>
            <w:pPr>
              <w:ind w:left="480"/>
              <w:spacing w:after="0"/>
              <w:rPr>
                <w:sz w:val="20"/>
                <w:szCs w:val="20"/>
                <w:color w:val="auto"/>
              </w:rPr>
            </w:pPr>
            <w:r>
              <w:rPr>
                <w:rFonts w:ascii="Arial" w:cs="Arial" w:eastAsia="Arial" w:hAnsi="Arial"/>
                <w:sz w:val="16"/>
                <w:szCs w:val="16"/>
                <w:b w:val="1"/>
                <w:bCs w:val="1"/>
                <w:color w:val="auto"/>
                <w:w w:val="92"/>
              </w:rPr>
              <w:t>Seller Purchased Equipment (SPE)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260" w:type="dxa"/>
            <w:vAlign w:val="bottom"/>
            <w:gridSpan w:val="2"/>
          </w:tcPr>
          <w:p>
            <w:pPr>
              <w:ind w:left="480"/>
              <w:spacing w:after="0"/>
              <w:rPr>
                <w:sz w:val="20"/>
                <w:szCs w:val="20"/>
                <w:color w:val="auto"/>
              </w:rPr>
            </w:pPr>
            <w:r>
              <w:rPr>
                <w:rFonts w:ascii="Arial" w:cs="Arial" w:eastAsia="Arial" w:hAnsi="Arial"/>
                <w:sz w:val="16"/>
                <w:szCs w:val="16"/>
                <w:b w:val="1"/>
                <w:bCs w:val="1"/>
                <w:color w:val="auto"/>
              </w:rPr>
              <w:t>Estimate: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2960" w:type="dxa"/>
            <w:vAlign w:val="bottom"/>
            <w:gridSpan w:val="5"/>
          </w:tcPr>
          <w:p>
            <w:pPr>
              <w:ind w:left="480"/>
              <w:spacing w:after="0"/>
              <w:rPr>
                <w:sz w:val="20"/>
                <w:szCs w:val="20"/>
                <w:color w:val="auto"/>
              </w:rPr>
            </w:pPr>
            <w:r>
              <w:rPr>
                <w:rFonts w:ascii="Arial" w:cs="Arial" w:eastAsia="Arial" w:hAnsi="Arial"/>
                <w:sz w:val="16"/>
                <w:szCs w:val="16"/>
                <w:b w:val="1"/>
                <w:bCs w:val="1"/>
                <w:color w:val="auto"/>
              </w:rPr>
              <w:t>LIFT Seats Provided by Boeing</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260" w:type="dxa"/>
            <w:vAlign w:val="bottom"/>
            <w:gridSpan w:val="2"/>
          </w:tcPr>
          <w:p>
            <w:pPr>
              <w:ind w:left="480"/>
              <w:spacing w:after="0"/>
              <w:rPr>
                <w:sz w:val="20"/>
                <w:szCs w:val="20"/>
                <w:color w:val="auto"/>
              </w:rPr>
            </w:pPr>
            <w:r>
              <w:rPr>
                <w:rFonts w:ascii="Arial" w:cs="Arial" w:eastAsia="Arial" w:hAnsi="Arial"/>
                <w:sz w:val="16"/>
                <w:szCs w:val="16"/>
                <w:b w:val="1"/>
                <w:bCs w:val="1"/>
                <w:color w:val="auto"/>
                <w:w w:val="91"/>
              </w:rPr>
              <w:t>(Estimate):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920" w:type="dxa"/>
            <w:vAlign w:val="bottom"/>
            <w:gridSpan w:val="4"/>
          </w:tcPr>
          <w:p>
            <w:pPr>
              <w:ind w:left="480"/>
              <w:spacing w:after="0"/>
              <w:rPr>
                <w:sz w:val="20"/>
                <w:szCs w:val="20"/>
                <w:color w:val="auto"/>
              </w:rPr>
            </w:pPr>
            <w:r>
              <w:rPr>
                <w:rFonts w:ascii="Arial" w:cs="Arial" w:eastAsia="Arial" w:hAnsi="Arial"/>
                <w:sz w:val="16"/>
                <w:szCs w:val="16"/>
                <w:b w:val="1"/>
                <w:bCs w:val="1"/>
                <w:color w:val="auto"/>
                <w:w w:val="91"/>
              </w:rPr>
              <w:t>Deposit per Aircraft:</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642"/>
              <w:spacing w:after="0"/>
              <w:rPr>
                <w:sz w:val="20"/>
                <w:szCs w:val="20"/>
                <w:color w:val="auto"/>
              </w:rPr>
            </w:pPr>
            <w:r>
              <w:rPr>
                <w:rFonts w:ascii="Arial" w:cs="Arial" w:eastAsia="Arial" w:hAnsi="Arial"/>
                <w:sz w:val="16"/>
                <w:szCs w:val="16"/>
                <w:color w:val="auto"/>
                <w:w w:val="98"/>
              </w:rPr>
              <w:t>$[*CTR]</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60" w:type="dxa"/>
            <w:vAlign w:val="bottom"/>
          </w:tcPr>
          <w:p>
            <w:pPr>
              <w:spacing w:after="0"/>
              <w:rPr>
                <w:sz w:val="16"/>
                <w:szCs w:val="16"/>
                <w:color w:val="auto"/>
              </w:rPr>
            </w:pPr>
          </w:p>
        </w:tc>
        <w:tc>
          <w:tcPr>
            <w:tcW w:w="1040" w:type="dxa"/>
            <w:vAlign w:val="bottom"/>
            <w:tcBorders>
              <w:right w:val="single" w:sz="8" w:color="auto"/>
            </w:tcBorders>
            <w:vMerge w:val="restart"/>
          </w:tcPr>
          <w:p>
            <w:pPr>
              <w:jc w:val="center"/>
              <w:ind w:right="121"/>
              <w:spacing w:after="0"/>
              <w:rPr>
                <w:sz w:val="20"/>
                <w:szCs w:val="20"/>
                <w:color w:val="auto"/>
              </w:rPr>
            </w:pPr>
            <w:r>
              <w:rPr>
                <w:rFonts w:ascii="Arial" w:cs="Arial" w:eastAsia="Arial" w:hAnsi="Arial"/>
                <w:sz w:val="16"/>
                <w:szCs w:val="16"/>
                <w:b w:val="1"/>
                <w:bCs w:val="1"/>
                <w:color w:val="auto"/>
                <w:w w:val="84"/>
              </w:rPr>
              <w:t>Escalation</w:t>
            </w:r>
          </w:p>
        </w:tc>
        <w:tc>
          <w:tcPr>
            <w:tcW w:w="380" w:type="dxa"/>
            <w:vAlign w:val="bottom"/>
            <w:shd w:val="clear" w:color="auto" w:fill="C1C1C1"/>
          </w:tcPr>
          <w:p>
            <w:pPr>
              <w:spacing w:after="0"/>
              <w:rPr>
                <w:sz w:val="16"/>
                <w:szCs w:val="16"/>
                <w:color w:val="auto"/>
              </w:rPr>
            </w:pPr>
          </w:p>
        </w:tc>
        <w:tc>
          <w:tcPr>
            <w:tcW w:w="260" w:type="dxa"/>
            <w:vAlign w:val="bottom"/>
            <w:shd w:val="clear" w:color="auto" w:fill="C1C1C1"/>
          </w:tcPr>
          <w:p>
            <w:pPr>
              <w:spacing w:after="0"/>
              <w:rPr>
                <w:sz w:val="16"/>
                <w:szCs w:val="16"/>
                <w:color w:val="auto"/>
              </w:rPr>
            </w:pPr>
          </w:p>
        </w:tc>
        <w:tc>
          <w:tcPr>
            <w:tcW w:w="140" w:type="dxa"/>
            <w:vAlign w:val="bottom"/>
            <w:shd w:val="clear" w:color="auto" w:fill="C1C1C1"/>
          </w:tcPr>
          <w:p>
            <w:pPr>
              <w:spacing w:after="0"/>
              <w:rPr>
                <w:sz w:val="16"/>
                <w:szCs w:val="16"/>
                <w:color w:val="auto"/>
              </w:rPr>
            </w:pPr>
          </w:p>
        </w:tc>
        <w:tc>
          <w:tcPr>
            <w:tcW w:w="220" w:type="dxa"/>
            <w:vAlign w:val="bottom"/>
            <w:tcBorders>
              <w:right w:val="single" w:sz="8" w:color="auto"/>
            </w:tcBorders>
            <w:shd w:val="clear" w:color="auto" w:fill="C1C1C1"/>
          </w:tcPr>
          <w:p>
            <w:pPr>
              <w:spacing w:after="0"/>
              <w:rPr>
                <w:sz w:val="16"/>
                <w:szCs w:val="16"/>
                <w:color w:val="auto"/>
              </w:rPr>
            </w:pPr>
          </w:p>
        </w:tc>
        <w:tc>
          <w:tcPr>
            <w:tcW w:w="360" w:type="dxa"/>
            <w:vAlign w:val="bottom"/>
            <w:shd w:val="clear" w:color="auto" w:fill="C1C1C1"/>
          </w:tcPr>
          <w:p>
            <w:pPr>
              <w:spacing w:after="0"/>
              <w:rPr>
                <w:sz w:val="16"/>
                <w:szCs w:val="16"/>
                <w:color w:val="auto"/>
              </w:rPr>
            </w:pPr>
          </w:p>
        </w:tc>
        <w:tc>
          <w:tcPr>
            <w:tcW w:w="20" w:type="dxa"/>
            <w:vAlign w:val="bottom"/>
            <w:shd w:val="clear" w:color="auto" w:fill="C1C1C1"/>
          </w:tcPr>
          <w:p>
            <w:pPr>
              <w:spacing w:after="0"/>
              <w:rPr>
                <w:sz w:val="16"/>
                <w:szCs w:val="16"/>
                <w:color w:val="auto"/>
              </w:rPr>
            </w:pPr>
          </w:p>
        </w:tc>
        <w:tc>
          <w:tcPr>
            <w:tcW w:w="700" w:type="dxa"/>
            <w:vAlign w:val="bottom"/>
            <w:tcBorders>
              <w:right w:val="single" w:sz="8" w:color="auto"/>
            </w:tcBorders>
            <w:shd w:val="clear" w:color="auto" w:fill="C1C1C1"/>
          </w:tcPr>
          <w:p>
            <w:pPr>
              <w:spacing w:after="0"/>
              <w:rPr>
                <w:sz w:val="16"/>
                <w:szCs w:val="16"/>
                <w:color w:val="auto"/>
              </w:rPr>
            </w:pP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0" w:type="dxa"/>
            <w:vAlign w:val="bottom"/>
          </w:tcPr>
          <w:p>
            <w:pPr>
              <w:spacing w:after="0"/>
              <w:rPr>
                <w:sz w:val="16"/>
                <w:szCs w:val="16"/>
                <w:color w:val="auto"/>
              </w:rPr>
            </w:pPr>
          </w:p>
        </w:tc>
        <w:tc>
          <w:tcPr>
            <w:tcW w:w="4600" w:type="dxa"/>
            <w:vAlign w:val="bottom"/>
            <w:tcBorders>
              <w:right w:val="single" w:sz="8" w:color="auto"/>
            </w:tcBorders>
            <w:gridSpan w:val="8"/>
          </w:tcPr>
          <w:p>
            <w:pPr>
              <w:jc w:val="center"/>
              <w:ind w:left="323"/>
              <w:spacing w:after="0"/>
              <w:rPr>
                <w:sz w:val="20"/>
                <w:szCs w:val="20"/>
                <w:color w:val="auto"/>
              </w:rPr>
            </w:pPr>
            <w:r>
              <w:rPr>
                <w:rFonts w:ascii="Arial" w:cs="Arial" w:eastAsia="Arial" w:hAnsi="Arial"/>
                <w:sz w:val="16"/>
                <w:szCs w:val="16"/>
                <w:b w:val="1"/>
                <w:bCs w:val="1"/>
                <w:color w:val="auto"/>
                <w:w w:val="90"/>
              </w:rPr>
              <w:t>Advance Payment Per Aircraft (Amts. Due/Mos. Prior to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gridSpan w:val="4"/>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4"/>
              </w:rPr>
              <w:t>Manufacturer</w:t>
            </w:r>
          </w:p>
        </w:tc>
        <w:tc>
          <w:tcPr>
            <w:tcW w:w="1080" w:type="dxa"/>
            <w:vAlign w:val="bottom"/>
            <w:tcBorders>
              <w:right w:val="single" w:sz="8" w:color="auto"/>
            </w:tcBorders>
            <w:gridSpan w:val="3"/>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3"/>
            <w:vMerge w:val="restart"/>
          </w:tcPr>
          <w:p>
            <w:pPr>
              <w:jc w:val="center"/>
              <w:ind w:right="1022"/>
              <w:spacing w:after="0"/>
              <w:rPr>
                <w:sz w:val="20"/>
                <w:szCs w:val="20"/>
                <w:color w:val="auto"/>
              </w:rPr>
            </w:pPr>
            <w:r>
              <w:rPr>
                <w:rFonts w:ascii="Arial" w:cs="Arial" w:eastAsia="Arial" w:hAnsi="Arial"/>
                <w:sz w:val="16"/>
                <w:szCs w:val="16"/>
                <w:b w:val="1"/>
                <w:bCs w:val="1"/>
                <w:color w:val="auto"/>
                <w:w w:val="93"/>
              </w:rPr>
              <w:t>Delivery):</w:t>
            </w: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right w:val="single" w:sz="8" w:color="auto"/>
            </w:tcBorders>
          </w:tcPr>
          <w:p>
            <w:pPr>
              <w:jc w:val="center"/>
              <w:ind w:right="222"/>
              <w:spacing w:after="0" w:line="168" w:lineRule="exact"/>
              <w:rPr>
                <w:sz w:val="20"/>
                <w:szCs w:val="20"/>
                <w:color w:val="auto"/>
              </w:rPr>
            </w:pPr>
            <w:r>
              <w:rPr>
                <w:rFonts w:ascii="Arial" w:cs="Arial" w:eastAsia="Arial" w:hAnsi="Arial"/>
                <w:sz w:val="16"/>
                <w:szCs w:val="16"/>
                <w:b w:val="1"/>
                <w:bCs w:val="1"/>
                <w:color w:val="auto"/>
                <w:w w:val="79"/>
              </w:rPr>
              <w:t>of</w:t>
            </w:r>
          </w:p>
        </w:tc>
        <w:tc>
          <w:tcPr>
            <w:tcW w:w="160" w:type="dxa"/>
            <w:vAlign w:val="bottom"/>
          </w:tcPr>
          <w:p>
            <w:pPr>
              <w:spacing w:after="0"/>
              <w:rPr>
                <w:sz w:val="14"/>
                <w:szCs w:val="14"/>
                <w:color w:val="auto"/>
              </w:rPr>
            </w:pPr>
          </w:p>
        </w:tc>
        <w:tc>
          <w:tcPr>
            <w:tcW w:w="1040" w:type="dxa"/>
            <w:vAlign w:val="bottom"/>
            <w:tcBorders>
              <w:right w:val="single" w:sz="8" w:color="auto"/>
            </w:tcBorders>
          </w:tcPr>
          <w:p>
            <w:pPr>
              <w:jc w:val="center"/>
              <w:ind w:right="121"/>
              <w:spacing w:after="0" w:line="168" w:lineRule="exact"/>
              <w:rPr>
                <w:sz w:val="20"/>
                <w:szCs w:val="20"/>
                <w:color w:val="auto"/>
              </w:rPr>
            </w:pPr>
            <w:r>
              <w:rPr>
                <w:rFonts w:ascii="Arial" w:cs="Arial" w:eastAsia="Arial" w:hAnsi="Arial"/>
                <w:sz w:val="16"/>
                <w:szCs w:val="16"/>
                <w:b w:val="1"/>
                <w:bCs w:val="1"/>
                <w:color w:val="auto"/>
                <w:w w:val="89"/>
              </w:rPr>
              <w:t>Factor</w:t>
            </w:r>
          </w:p>
        </w:tc>
        <w:tc>
          <w:tcPr>
            <w:tcW w:w="1000" w:type="dxa"/>
            <w:vAlign w:val="bottom"/>
            <w:tcBorders>
              <w:bottom w:val="single" w:sz="8" w:color="C1C1C1"/>
              <w:right w:val="single" w:sz="8" w:color="auto"/>
            </w:tcBorders>
            <w:gridSpan w:val="4"/>
            <w:vMerge w:val="continue"/>
            <w:shd w:val="clear" w:color="auto" w:fill="C1C1C1"/>
          </w:tcPr>
          <w:p>
            <w:pPr>
              <w:spacing w:after="0"/>
              <w:rPr>
                <w:sz w:val="14"/>
                <w:szCs w:val="14"/>
                <w:color w:val="auto"/>
              </w:rPr>
            </w:pPr>
          </w:p>
        </w:tc>
        <w:tc>
          <w:tcPr>
            <w:tcW w:w="1080" w:type="dxa"/>
            <w:vAlign w:val="bottom"/>
            <w:tcBorders>
              <w:bottom w:val="single" w:sz="8" w:color="C1C1C1"/>
              <w:right w:val="single" w:sz="8" w:color="auto"/>
            </w:tcBorders>
            <w:gridSpan w:val="3"/>
            <w:vMerge w:val="continue"/>
            <w:shd w:val="clear" w:color="auto" w:fill="C1C1C1"/>
          </w:tcPr>
          <w:p>
            <w:pPr>
              <w:spacing w:after="0"/>
              <w:rPr>
                <w:sz w:val="14"/>
                <w:szCs w:val="14"/>
                <w:color w:val="auto"/>
              </w:rPr>
            </w:pPr>
          </w:p>
        </w:tc>
        <w:tc>
          <w:tcPr>
            <w:tcW w:w="1200" w:type="dxa"/>
            <w:vAlign w:val="bottom"/>
            <w:tcBorders>
              <w:right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Delivery Date</w:t>
            </w: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60" w:type="dxa"/>
            <w:vAlign w:val="bottom"/>
          </w:tcPr>
          <w:p>
            <w:pPr>
              <w:spacing w:after="0"/>
              <w:rPr>
                <w:sz w:val="8"/>
                <w:szCs w:val="8"/>
                <w:color w:val="auto"/>
              </w:rPr>
            </w:pPr>
          </w:p>
        </w:tc>
        <w:tc>
          <w:tcPr>
            <w:tcW w:w="1040" w:type="dxa"/>
            <w:vAlign w:val="bottom"/>
            <w:tcBorders>
              <w:right w:val="single" w:sz="8" w:color="auto"/>
            </w:tcBorders>
            <w:vMerge w:val="restart"/>
          </w:tcPr>
          <w:p>
            <w:pPr>
              <w:jc w:val="center"/>
              <w:ind w:right="121"/>
              <w:spacing w:after="0"/>
              <w:rPr>
                <w:sz w:val="20"/>
                <w:szCs w:val="20"/>
                <w:color w:val="auto"/>
              </w:rPr>
            </w:pPr>
            <w:r>
              <w:rPr>
                <w:rFonts w:ascii="Arial" w:cs="Arial" w:eastAsia="Arial" w:hAnsi="Arial"/>
                <w:sz w:val="16"/>
                <w:szCs w:val="16"/>
                <w:b w:val="1"/>
                <w:bCs w:val="1"/>
                <w:color w:val="auto"/>
                <w:w w:val="94"/>
              </w:rPr>
              <w:t>(Airframe)</w:t>
            </w:r>
          </w:p>
        </w:tc>
        <w:tc>
          <w:tcPr>
            <w:tcW w:w="780" w:type="dxa"/>
            <w:vAlign w:val="bottom"/>
            <w:gridSpan w:val="3"/>
            <w:shd w:val="clear" w:color="auto" w:fill="C1C1C1"/>
          </w:tcPr>
          <w:p>
            <w:pPr>
              <w:jc w:val="center"/>
              <w:ind w:left="109"/>
              <w:spacing w:after="0" w:line="99" w:lineRule="exact"/>
              <w:rPr>
                <w:sz w:val="20"/>
                <w:szCs w:val="20"/>
                <w:color w:val="auto"/>
              </w:rPr>
            </w:pPr>
            <w:r>
              <w:rPr>
                <w:rFonts w:ascii="Arial" w:cs="Arial" w:eastAsia="Arial" w:hAnsi="Arial"/>
                <w:sz w:val="11"/>
                <w:szCs w:val="11"/>
                <w:b w:val="1"/>
                <w:bCs w:val="1"/>
                <w:color w:val="auto"/>
              </w:rPr>
              <w:t>Serial</w:t>
            </w:r>
          </w:p>
        </w:tc>
        <w:tc>
          <w:tcPr>
            <w:tcW w:w="220" w:type="dxa"/>
            <w:vAlign w:val="bottom"/>
            <w:tcBorders>
              <w:right w:val="single" w:sz="8" w:color="auto"/>
            </w:tcBorders>
            <w:shd w:val="clear" w:color="auto" w:fill="C1C1C1"/>
          </w:tcPr>
          <w:p>
            <w:pPr>
              <w:spacing w:after="0"/>
              <w:rPr>
                <w:sz w:val="8"/>
                <w:szCs w:val="8"/>
                <w:color w:val="auto"/>
              </w:rPr>
            </w:pPr>
          </w:p>
        </w:tc>
        <w:tc>
          <w:tcPr>
            <w:tcW w:w="1080" w:type="dxa"/>
            <w:vAlign w:val="bottom"/>
            <w:tcBorders>
              <w:right w:val="single" w:sz="8" w:color="auto"/>
            </w:tcBorders>
            <w:gridSpan w:val="3"/>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200" w:type="dxa"/>
            <w:vAlign w:val="bottom"/>
            <w:tcBorders>
              <w:right w:val="single" w:sz="8" w:color="auto"/>
            </w:tcBorders>
            <w:gridSpan w:val="2"/>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40" w:type="dxa"/>
            <w:vAlign w:val="bottom"/>
          </w:tcPr>
          <w:p>
            <w:pPr>
              <w:spacing w:after="0"/>
              <w:rPr>
                <w:sz w:val="8"/>
                <w:szCs w:val="8"/>
                <w:color w:val="auto"/>
              </w:rPr>
            </w:pPr>
          </w:p>
        </w:tc>
        <w:tc>
          <w:tcPr>
            <w:tcW w:w="9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b w:val="1"/>
                <w:bCs w:val="1"/>
                <w:color w:val="auto"/>
              </w:rPr>
              <w:t>At Signing</w:t>
            </w:r>
          </w:p>
        </w:tc>
        <w:tc>
          <w:tcPr>
            <w:tcW w:w="88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rPr>
              <w:t>[*CTR]</w:t>
            </w:r>
          </w:p>
        </w:tc>
        <w:tc>
          <w:tcPr>
            <w:tcW w:w="120" w:type="dxa"/>
            <w:vAlign w:val="bottom"/>
          </w:tcPr>
          <w:p>
            <w:pPr>
              <w:spacing w:after="0"/>
              <w:rPr>
                <w:sz w:val="8"/>
                <w:szCs w:val="8"/>
                <w:color w:val="auto"/>
              </w:rPr>
            </w:pPr>
          </w:p>
        </w:tc>
        <w:tc>
          <w:tcPr>
            <w:tcW w:w="740" w:type="dxa"/>
            <w:vAlign w:val="bottom"/>
            <w:vMerge w:val="restart"/>
          </w:tcPr>
          <w:p>
            <w:pPr>
              <w:jc w:val="center"/>
              <w:ind w:left="102"/>
              <w:spacing w:after="0"/>
              <w:rPr>
                <w:sz w:val="20"/>
                <w:szCs w:val="20"/>
                <w:color w:val="auto"/>
              </w:rPr>
            </w:pPr>
            <w:r>
              <w:rPr>
                <w:rFonts w:ascii="Arial" w:cs="Arial" w:eastAsia="Arial" w:hAnsi="Arial"/>
                <w:sz w:val="16"/>
                <w:szCs w:val="16"/>
                <w:b w:val="1"/>
                <w:bCs w:val="1"/>
                <w:color w:val="auto"/>
              </w:rPr>
              <w:t>[*CTR]</w:t>
            </w:r>
          </w:p>
        </w:tc>
        <w:tc>
          <w:tcPr>
            <w:tcW w:w="320" w:type="dxa"/>
            <w:vAlign w:val="bottom"/>
            <w:tcBorders>
              <w:right w:val="single" w:sz="8" w:color="auto"/>
            </w:tcBorders>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Total [*CTR]</w:t>
            </w:r>
          </w:p>
        </w:tc>
        <w:tc>
          <w:tcPr>
            <w:tcW w:w="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780" w:type="dxa"/>
            <w:vAlign w:val="bottom"/>
            <w:gridSpan w:val="3"/>
            <w:vMerge w:val="restart"/>
            <w:shd w:val="clear" w:color="auto" w:fill="C1C1C1"/>
          </w:tcPr>
          <w:p>
            <w:pPr>
              <w:jc w:val="center"/>
              <w:ind w:left="109"/>
              <w:spacing w:after="0"/>
              <w:rPr>
                <w:sz w:val="20"/>
                <w:szCs w:val="20"/>
                <w:color w:val="auto"/>
              </w:rPr>
            </w:pPr>
            <w:r>
              <w:rPr>
                <w:rFonts w:ascii="Arial" w:cs="Arial" w:eastAsia="Arial" w:hAnsi="Arial"/>
                <w:sz w:val="16"/>
                <w:szCs w:val="16"/>
                <w:b w:val="1"/>
                <w:bCs w:val="1"/>
                <w:color w:val="auto"/>
                <w:w w:val="92"/>
              </w:rPr>
              <w:t>Number</w:t>
            </w:r>
          </w:p>
        </w:tc>
        <w:tc>
          <w:tcPr>
            <w:tcW w:w="220" w:type="dxa"/>
            <w:vAlign w:val="bottom"/>
            <w:tcBorders>
              <w:right w:val="single" w:sz="8" w:color="auto"/>
            </w:tcBorders>
            <w:shd w:val="clear" w:color="auto" w:fill="C1C1C1"/>
          </w:tcPr>
          <w:p>
            <w:pPr>
              <w:spacing w:after="0"/>
              <w:rPr>
                <w:sz w:val="12"/>
                <w:szCs w:val="12"/>
                <w:color w:val="auto"/>
              </w:rPr>
            </w:pPr>
          </w:p>
        </w:tc>
        <w:tc>
          <w:tcPr>
            <w:tcW w:w="1080" w:type="dxa"/>
            <w:vAlign w:val="bottom"/>
            <w:tcBorders>
              <w:right w:val="single" w:sz="8" w:color="auto"/>
            </w:tcBorders>
            <w:gridSpan w:val="3"/>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40" w:type="dxa"/>
            <w:vAlign w:val="bottom"/>
          </w:tcPr>
          <w:p>
            <w:pPr>
              <w:spacing w:after="0"/>
              <w:rPr>
                <w:sz w:val="12"/>
                <w:szCs w:val="12"/>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[*CTR]</w:t>
            </w:r>
          </w:p>
        </w:tc>
        <w:tc>
          <w:tcPr>
            <w:tcW w:w="88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80" w:type="dxa"/>
            <w:vAlign w:val="bottom"/>
            <w:tcBorders>
              <w:bottom w:val="single" w:sz="8" w:color="C1C1C1"/>
            </w:tcBorders>
            <w:gridSpan w:val="3"/>
            <w:vMerge w:val="continue"/>
            <w:shd w:val="clear" w:color="auto" w:fill="C1C1C1"/>
          </w:tcPr>
          <w:p>
            <w:pPr>
              <w:spacing w:after="0"/>
              <w:rPr>
                <w:sz w:val="10"/>
                <w:szCs w:val="10"/>
                <w:color w:val="auto"/>
              </w:rPr>
            </w:pPr>
          </w:p>
        </w:tc>
        <w:tc>
          <w:tcPr>
            <w:tcW w:w="220" w:type="dxa"/>
            <w:vAlign w:val="bottom"/>
            <w:tcBorders>
              <w:bottom w:val="single" w:sz="8" w:color="C1C1C1"/>
              <w:right w:val="single" w:sz="8" w:color="auto"/>
            </w:tcBorders>
            <w:shd w:val="clear" w:color="auto" w:fill="C1C1C1"/>
          </w:tcPr>
          <w:p>
            <w:pPr>
              <w:spacing w:after="0"/>
              <w:rPr>
                <w:sz w:val="10"/>
                <w:szCs w:val="10"/>
                <w:color w:val="auto"/>
              </w:rPr>
            </w:pPr>
          </w:p>
        </w:tc>
        <w:tc>
          <w:tcPr>
            <w:tcW w:w="1080" w:type="dxa"/>
            <w:vAlign w:val="bottom"/>
            <w:tcBorders>
              <w:bottom w:val="single" w:sz="8" w:color="C1C1C1"/>
              <w:right w:val="single" w:sz="8" w:color="auto"/>
            </w:tcBorders>
            <w:gridSpan w:val="3"/>
            <w:vMerge w:val="continue"/>
            <w:shd w:val="clear" w:color="auto" w:fill="C1C1C1"/>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2</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jc w:val="center"/>
              <w:ind w:right="222"/>
              <w:spacing w:after="0"/>
              <w:rPr>
                <w:sz w:val="20"/>
                <w:szCs w:val="20"/>
                <w:color w:val="auto"/>
              </w:rPr>
            </w:pPr>
            <w:r>
              <w:rPr>
                <w:rFonts w:ascii="Arial" w:cs="Arial" w:eastAsia="Arial" w:hAnsi="Arial"/>
                <w:sz w:val="16"/>
                <w:szCs w:val="16"/>
                <w:color w:val="0000FF"/>
                <w:w w:val="89"/>
              </w:rPr>
              <w:t>1</w:t>
            </w: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2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9"/>
              </w:rPr>
              <w:t>[*CTR]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right w:val="single" w:sz="8" w:color="auto"/>
            </w:tcBorders>
          </w:tcPr>
          <w:p>
            <w:pPr>
              <w:jc w:val="center"/>
              <w:ind w:right="322"/>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40" w:type="dxa"/>
            <w:vAlign w:val="bottom"/>
          </w:tcPr>
          <w:p>
            <w:pPr>
              <w:spacing w:after="0"/>
              <w:rPr>
                <w:sz w:val="17"/>
                <w:szCs w:val="17"/>
                <w:color w:val="auto"/>
              </w:rPr>
            </w:pP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8"/>
              </w:rPr>
              <w:t>$[*CTR]</w:t>
            </w:r>
          </w:p>
        </w:tc>
        <w:tc>
          <w:tcPr>
            <w:tcW w:w="120" w:type="dxa"/>
            <w:vAlign w:val="bottom"/>
          </w:tcPr>
          <w:p>
            <w:pPr>
              <w:spacing w:after="0"/>
              <w:rPr>
                <w:sz w:val="17"/>
                <w:szCs w:val="17"/>
                <w:color w:val="auto"/>
              </w:rPr>
            </w:pPr>
          </w:p>
        </w:tc>
        <w:tc>
          <w:tcPr>
            <w:tcW w:w="740" w:type="dxa"/>
            <w:vAlign w:val="bottom"/>
          </w:tcPr>
          <w:p>
            <w:pPr>
              <w:jc w:val="center"/>
              <w:ind w:left="102"/>
              <w:spacing w:after="0"/>
              <w:rPr>
                <w:sz w:val="20"/>
                <w:szCs w:val="20"/>
                <w:color w:val="auto"/>
              </w:rPr>
            </w:pPr>
            <w:r>
              <w:rPr>
                <w:rFonts w:ascii="Arial" w:cs="Arial" w:eastAsia="Arial" w:hAnsi="Arial"/>
                <w:sz w:val="16"/>
                <w:szCs w:val="16"/>
                <w:color w:val="auto"/>
                <w:w w:val="98"/>
              </w:rPr>
              <w:t>$[*CTR]</w:t>
            </w:r>
          </w:p>
        </w:tc>
        <w:tc>
          <w:tcPr>
            <w:tcW w:w="320" w:type="dxa"/>
            <w:vAlign w:val="bottom"/>
            <w:tcBorders>
              <w:right w:val="single" w:sz="8" w:color="auto"/>
            </w:tcBorders>
          </w:tcPr>
          <w:p>
            <w:pPr>
              <w:spacing w:after="0"/>
              <w:rPr>
                <w:sz w:val="17"/>
                <w:szCs w:val="17"/>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right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0740" w:type="dxa"/>
            <w:vAlign w:val="bottom"/>
            <w:gridSpan w:val="23"/>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w w:val="89"/>
              </w:rPr>
              <w:t>SA-9</w:t>
            </w:r>
          </w:p>
        </w:tc>
        <w:tc>
          <w:tcPr>
            <w:tcW w:w="0" w:type="dxa"/>
            <w:vAlign w:val="bottom"/>
          </w:tcPr>
          <w:p>
            <w:pPr>
              <w:spacing w:after="0"/>
              <w:rPr>
                <w:sz w:val="1"/>
                <w:szCs w:val="1"/>
                <w:color w:val="auto"/>
              </w:rPr>
            </w:pPr>
          </w:p>
        </w:tc>
      </w:tr>
      <w:tr>
        <w:trPr>
          <w:trHeight w:val="247"/>
        </w:trPr>
        <w:tc>
          <w:tcPr>
            <w:tcW w:w="2200" w:type="dxa"/>
            <w:vAlign w:val="bottom"/>
            <w:gridSpan w:val="5"/>
          </w:tcPr>
          <w:p>
            <w:pPr>
              <w:spacing w:after="0"/>
              <w:rPr>
                <w:sz w:val="20"/>
                <w:szCs w:val="20"/>
                <w:color w:val="auto"/>
              </w:rPr>
            </w:pPr>
            <w:r>
              <w:rPr>
                <w:rFonts w:ascii="Arial" w:cs="Arial" w:eastAsia="Arial" w:hAnsi="Arial"/>
                <w:sz w:val="16"/>
                <w:szCs w:val="16"/>
                <w:color w:val="auto"/>
              </w:rPr>
              <w:t>AAL-PA-03735 108716-1F.txt</w:t>
            </w:r>
          </w:p>
        </w:tc>
        <w:tc>
          <w:tcPr>
            <w:tcW w:w="3120" w:type="dxa"/>
            <w:vAlign w:val="bottom"/>
            <w:gridSpan w:val="8"/>
          </w:tcPr>
          <w:p>
            <w:pPr>
              <w:ind w:left="860"/>
              <w:spacing w:after="0"/>
              <w:rPr>
                <w:sz w:val="20"/>
                <w:szCs w:val="20"/>
                <w:color w:val="auto"/>
              </w:rPr>
            </w:pPr>
            <w:r>
              <w:rPr>
                <w:rFonts w:ascii="Arial" w:cs="Arial" w:eastAsia="Arial" w:hAnsi="Arial"/>
                <w:sz w:val="19"/>
                <w:szCs w:val="19"/>
                <w:b w:val="1"/>
                <w:bCs w:val="1"/>
                <w:color w:val="auto"/>
              </w:rPr>
              <w:t>Boeing Proprietary</w:t>
            </w:r>
          </w:p>
        </w:tc>
        <w:tc>
          <w:tcPr>
            <w:tcW w:w="600" w:type="dxa"/>
            <w:vAlign w:val="bottom"/>
          </w:tcPr>
          <w:p>
            <w:pPr>
              <w:spacing w:after="0"/>
              <w:rPr>
                <w:sz w:val="21"/>
                <w:szCs w:val="21"/>
                <w:color w:val="auto"/>
              </w:rPr>
            </w:pPr>
          </w:p>
        </w:tc>
        <w:tc>
          <w:tcPr>
            <w:tcW w:w="1560" w:type="dxa"/>
            <w:vAlign w:val="bottom"/>
            <w:gridSpan w:val="3"/>
          </w:tcPr>
          <w:p>
            <w:pPr>
              <w:ind w:left="280"/>
              <w:spacing w:after="0"/>
              <w:rPr>
                <w:sz w:val="20"/>
                <w:szCs w:val="20"/>
                <w:color w:val="auto"/>
              </w:rPr>
            </w:pPr>
            <w:r>
              <w:rPr>
                <w:rFonts w:ascii="Arial" w:cs="Arial" w:eastAsia="Arial" w:hAnsi="Arial"/>
                <w:sz w:val="16"/>
                <w:szCs w:val="16"/>
                <w:color w:val="auto"/>
              </w:rPr>
              <w:t>Page 1</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0" w:right="459" w:bottom="1440" w:gutter="0" w:footer="0" w:header="0"/>
        </w:sectPr>
      </w:pPr>
    </w:p>
    <w:bookmarkStart w:id="217" w:name="page218"/>
    <w:bookmarkEnd w:id="217"/>
    <w:p>
      <w:pPr>
        <w:jc w:val="center"/>
        <w:ind w:right="-219"/>
        <w:spacing w:after="0"/>
        <w:rPr>
          <w:sz w:val="20"/>
          <w:szCs w:val="20"/>
          <w:color w:val="auto"/>
        </w:rPr>
      </w:pPr>
      <w:r>
        <w:rPr>
          <w:rFonts w:ascii="Arial" w:cs="Arial" w:eastAsia="Arial" w:hAnsi="Arial"/>
          <w:sz w:val="22"/>
          <w:szCs w:val="22"/>
          <w:b w:val="1"/>
          <w:bCs w:val="1"/>
          <w:color w:val="auto"/>
        </w:rPr>
        <w:t>Table 1-2 To</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Purchase Agreement No. PA-03735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737-8 Revised Delivery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w:t>
            </w:r>
          </w:p>
        </w:tc>
        <w:tc>
          <w:tcPr>
            <w:tcW w:w="980" w:type="dxa"/>
            <w:vAlign w:val="bottom"/>
            <w:tcBorders>
              <w:top w:val="single" w:sz="8" w:color="auto"/>
            </w:tcBorders>
            <w:vMerge w:val="restart"/>
          </w:tcPr>
          <w:p>
            <w:pPr>
              <w:jc w:val="center"/>
              <w:ind w:left="102"/>
              <w:spacing w:after="0"/>
              <w:rPr>
                <w:sz w:val="20"/>
                <w:szCs w:val="20"/>
                <w:color w:val="auto"/>
              </w:rPr>
            </w:pPr>
            <w:r>
              <w:rPr>
                <w:rFonts w:ascii="Arial" w:cs="Arial" w:eastAsia="Arial" w:hAnsi="Arial"/>
                <w:sz w:val="16"/>
                <w:szCs w:val="16"/>
                <w:b w:val="1"/>
                <w:bCs w:val="1"/>
                <w:color w:val="auto"/>
                <w:w w:val="84"/>
              </w:rPr>
              <w:t>Escalation</w:t>
            </w:r>
          </w:p>
        </w:tc>
        <w:tc>
          <w:tcPr>
            <w:tcW w:w="2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shd w:val="clear" w:color="auto" w:fill="C1C1C1"/>
          </w:tcPr>
          <w:p>
            <w:pPr>
              <w:spacing w:after="0"/>
              <w:rPr>
                <w:sz w:val="18"/>
                <w:szCs w:val="18"/>
                <w:color w:val="auto"/>
              </w:rPr>
            </w:pPr>
          </w:p>
        </w:tc>
        <w:tc>
          <w:tcPr>
            <w:tcW w:w="1080" w:type="dxa"/>
            <w:vAlign w:val="bottom"/>
            <w:tcBorders>
              <w:top w:val="single" w:sz="8" w:color="auto"/>
              <w:right w:val="single" w:sz="8" w:color="auto"/>
            </w:tcBorders>
            <w:shd w:val="clear" w:color="auto" w:fill="C1C1C1"/>
          </w:tcPr>
          <w:p>
            <w:pPr>
              <w:spacing w:after="0"/>
              <w:rPr>
                <w:sz w:val="18"/>
                <w:szCs w:val="18"/>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40" w:type="dxa"/>
            <w:vAlign w:val="bottom"/>
            <w:tcBorders>
              <w:top w:val="single" w:sz="8" w:color="auto"/>
              <w:right w:val="single" w:sz="8" w:color="auto"/>
            </w:tcBorders>
            <w:gridSpan w:val="5"/>
          </w:tcPr>
          <w:p>
            <w:pPr>
              <w:jc w:val="center"/>
              <w:ind w:left="363"/>
              <w:spacing w:after="0"/>
              <w:rPr>
                <w:sz w:val="20"/>
                <w:szCs w:val="20"/>
                <w:color w:val="auto"/>
              </w:rPr>
            </w:pPr>
            <w:r>
              <w:rPr>
                <w:rFonts w:ascii="Arial" w:cs="Arial" w:eastAsia="Arial" w:hAnsi="Arial"/>
                <w:sz w:val="16"/>
                <w:szCs w:val="16"/>
                <w:b w:val="1"/>
                <w:bCs w:val="1"/>
                <w:color w:val="auto"/>
                <w:w w:val="90"/>
              </w:rPr>
              <w:t>Advance Payment Per Aircraft (Amts. Due/Mos. Prior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4"/>
              </w:rPr>
              <w:t>Manufacturer</w:t>
            </w:r>
          </w:p>
        </w:tc>
        <w:tc>
          <w:tcPr>
            <w:tcW w:w="108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80" w:type="dxa"/>
            <w:vAlign w:val="bottom"/>
            <w:vMerge w:val="restart"/>
          </w:tcPr>
          <w:p>
            <w:pPr>
              <w:jc w:val="center"/>
              <w:ind w:left="142"/>
              <w:spacing w:after="0"/>
              <w:rPr>
                <w:sz w:val="20"/>
                <w:szCs w:val="20"/>
                <w:color w:val="auto"/>
              </w:rPr>
            </w:pPr>
            <w:r>
              <w:rPr>
                <w:rFonts w:ascii="Arial" w:cs="Arial" w:eastAsia="Arial" w:hAnsi="Arial"/>
                <w:sz w:val="16"/>
                <w:szCs w:val="16"/>
                <w:b w:val="1"/>
                <w:bCs w:val="1"/>
                <w:color w:val="auto"/>
                <w:w w:val="93"/>
              </w:rPr>
              <w:t>Delivery):</w:t>
            </w:r>
          </w:p>
        </w:tc>
        <w:tc>
          <w:tcPr>
            <w:tcW w:w="1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79"/>
              </w:rPr>
              <w:t>of</w:t>
            </w:r>
          </w:p>
        </w:tc>
        <w:tc>
          <w:tcPr>
            <w:tcW w:w="980" w:type="dxa"/>
            <w:vAlign w:val="bottom"/>
          </w:tcPr>
          <w:p>
            <w:pPr>
              <w:jc w:val="center"/>
              <w:ind w:left="102"/>
              <w:spacing w:after="0" w:line="168" w:lineRule="exact"/>
              <w:rPr>
                <w:sz w:val="20"/>
                <w:szCs w:val="20"/>
                <w:color w:val="auto"/>
              </w:rPr>
            </w:pPr>
            <w:r>
              <w:rPr>
                <w:rFonts w:ascii="Arial" w:cs="Arial" w:eastAsia="Arial" w:hAnsi="Arial"/>
                <w:sz w:val="16"/>
                <w:szCs w:val="16"/>
                <w:b w:val="1"/>
                <w:bCs w:val="1"/>
                <w:color w:val="auto"/>
                <w:w w:val="89"/>
              </w:rPr>
              <w:t>Factor</w:t>
            </w:r>
          </w:p>
        </w:tc>
        <w:tc>
          <w:tcPr>
            <w:tcW w:w="220" w:type="dxa"/>
            <w:vAlign w:val="bottom"/>
            <w:tcBorders>
              <w:right w:val="single" w:sz="8" w:color="auto"/>
            </w:tcBorders>
          </w:tcPr>
          <w:p>
            <w:pPr>
              <w:spacing w:after="0"/>
              <w:rPr>
                <w:sz w:val="14"/>
                <w:szCs w:val="14"/>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08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Delivery Date</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980" w:type="dxa"/>
            <w:vAlign w:val="bottom"/>
            <w:vMerge w:val="restart"/>
          </w:tcPr>
          <w:p>
            <w:pPr>
              <w:jc w:val="center"/>
              <w:ind w:left="102"/>
              <w:spacing w:after="0"/>
              <w:rPr>
                <w:sz w:val="20"/>
                <w:szCs w:val="20"/>
                <w:color w:val="auto"/>
              </w:rPr>
            </w:pPr>
            <w:r>
              <w:rPr>
                <w:rFonts w:ascii="Arial" w:cs="Arial" w:eastAsia="Arial" w:hAnsi="Arial"/>
                <w:sz w:val="16"/>
                <w:szCs w:val="16"/>
                <w:b w:val="1"/>
                <w:bCs w:val="1"/>
                <w:color w:val="auto"/>
                <w:w w:val="94"/>
              </w:rPr>
              <w:t>(Airframe)</w:t>
            </w:r>
          </w:p>
        </w:tc>
        <w:tc>
          <w:tcPr>
            <w:tcW w:w="2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Serial</w:t>
            </w:r>
          </w:p>
        </w:tc>
        <w:tc>
          <w:tcPr>
            <w:tcW w:w="108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2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60" w:type="dxa"/>
            <w:vAlign w:val="bottom"/>
            <w:tcBorders>
              <w:right w:val="single" w:sz="8" w:color="auto"/>
            </w:tcBorders>
          </w:tcPr>
          <w:p>
            <w:pPr>
              <w:ind w:left="40"/>
              <w:spacing w:after="0" w:line="99" w:lineRule="exact"/>
              <w:rPr>
                <w:sz w:val="20"/>
                <w:szCs w:val="20"/>
                <w:color w:val="auto"/>
              </w:rPr>
            </w:pPr>
            <w:r>
              <w:rPr>
                <w:rFonts w:ascii="Arial" w:cs="Arial" w:eastAsia="Arial" w:hAnsi="Arial"/>
                <w:sz w:val="11"/>
                <w:szCs w:val="11"/>
                <w:b w:val="1"/>
                <w:bCs w:val="1"/>
                <w:color w:val="auto"/>
              </w:rPr>
              <w:t>At Signing</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2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Total [*CTR]</w:t>
            </w:r>
          </w:p>
        </w:tc>
        <w:tc>
          <w:tcPr>
            <w:tcW w:w="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8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[*CTR]</w:t>
            </w:r>
          </w:p>
        </w:tc>
        <w:tc>
          <w:tcPr>
            <w:tcW w:w="8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08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tcBorders>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9"/>
                <w:szCs w:val="19"/>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10740" w:type="dxa"/>
            <w:vAlign w:val="bottom"/>
            <w:gridSpan w:val="12"/>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w w:val="89"/>
              </w:rPr>
              <w:t>SA-9</w:t>
            </w:r>
          </w:p>
        </w:tc>
        <w:tc>
          <w:tcPr>
            <w:tcW w:w="0" w:type="dxa"/>
            <w:vAlign w:val="bottom"/>
          </w:tcPr>
          <w:p>
            <w:pPr>
              <w:spacing w:after="0"/>
              <w:rPr>
                <w:sz w:val="1"/>
                <w:szCs w:val="1"/>
                <w:color w:val="auto"/>
              </w:rPr>
            </w:pPr>
          </w:p>
        </w:tc>
      </w:tr>
      <w:tr>
        <w:trPr>
          <w:trHeight w:val="247"/>
        </w:trPr>
        <w:tc>
          <w:tcPr>
            <w:tcW w:w="2040" w:type="dxa"/>
            <w:vAlign w:val="bottom"/>
            <w:gridSpan w:val="3"/>
          </w:tcPr>
          <w:p>
            <w:pPr>
              <w:spacing w:after="0"/>
              <w:rPr>
                <w:sz w:val="20"/>
                <w:szCs w:val="20"/>
                <w:color w:val="auto"/>
              </w:rPr>
            </w:pPr>
            <w:r>
              <w:rPr>
                <w:rFonts w:ascii="Arial" w:cs="Arial" w:eastAsia="Arial" w:hAnsi="Arial"/>
                <w:sz w:val="16"/>
                <w:szCs w:val="16"/>
                <w:color w:val="auto"/>
                <w:w w:val="95"/>
              </w:rPr>
              <w:t>AAL-PA-03735 108716-1F.txt</w:t>
            </w:r>
          </w:p>
        </w:tc>
        <w:tc>
          <w:tcPr>
            <w:tcW w:w="980" w:type="dxa"/>
            <w:vAlign w:val="bottom"/>
          </w:tcPr>
          <w:p>
            <w:pPr>
              <w:spacing w:after="0"/>
              <w:rPr>
                <w:sz w:val="21"/>
                <w:szCs w:val="21"/>
                <w:color w:val="auto"/>
              </w:rPr>
            </w:pPr>
          </w:p>
        </w:tc>
        <w:tc>
          <w:tcPr>
            <w:tcW w:w="2300" w:type="dxa"/>
            <w:vAlign w:val="bottom"/>
            <w:gridSpan w:val="3"/>
          </w:tcPr>
          <w:p>
            <w:pPr>
              <w:ind w:left="40"/>
              <w:spacing w:after="0"/>
              <w:rPr>
                <w:sz w:val="20"/>
                <w:szCs w:val="20"/>
                <w:color w:val="auto"/>
              </w:rPr>
            </w:pPr>
            <w:r>
              <w:rPr>
                <w:rFonts w:ascii="Arial" w:cs="Arial" w:eastAsia="Arial" w:hAnsi="Arial"/>
                <w:sz w:val="19"/>
                <w:szCs w:val="19"/>
                <w:b w:val="1"/>
                <w:bCs w:val="1"/>
                <w:color w:val="auto"/>
              </w:rPr>
              <w:t>Boeing Proprietary</w:t>
            </w:r>
          </w:p>
        </w:tc>
        <w:tc>
          <w:tcPr>
            <w:tcW w:w="2160" w:type="dxa"/>
            <w:vAlign w:val="bottom"/>
            <w:gridSpan w:val="2"/>
          </w:tcPr>
          <w:p>
            <w:pPr>
              <w:ind w:left="880"/>
              <w:spacing w:after="0"/>
              <w:rPr>
                <w:sz w:val="20"/>
                <w:szCs w:val="20"/>
                <w:color w:val="auto"/>
              </w:rPr>
            </w:pPr>
            <w:r>
              <w:rPr>
                <w:rFonts w:ascii="Arial" w:cs="Arial" w:eastAsia="Arial" w:hAnsi="Arial"/>
                <w:sz w:val="16"/>
                <w:szCs w:val="16"/>
                <w:color w:val="auto"/>
              </w:rPr>
              <w:t>Page 2</w:t>
            </w: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0" w:right="459" w:bottom="1440" w:gutter="0" w:footer="0" w:header="0"/>
        </w:sectPr>
      </w:pPr>
    </w:p>
    <w:bookmarkStart w:id="218" w:name="page219"/>
    <w:bookmarkEnd w:id="218"/>
    <w:p>
      <w:pPr>
        <w:jc w:val="center"/>
        <w:ind w:right="-219"/>
        <w:spacing w:after="0"/>
        <w:rPr>
          <w:sz w:val="20"/>
          <w:szCs w:val="20"/>
          <w:color w:val="auto"/>
        </w:rPr>
      </w:pPr>
      <w:r>
        <w:rPr>
          <w:rFonts w:ascii="Arial" w:cs="Arial" w:eastAsia="Arial" w:hAnsi="Arial"/>
          <w:sz w:val="22"/>
          <w:szCs w:val="22"/>
          <w:b w:val="1"/>
          <w:bCs w:val="1"/>
          <w:color w:val="auto"/>
        </w:rPr>
        <w:t>Table 1-2 To</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Purchase Agreement No. PA-03735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737-8 Revised Delivery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w:t>
            </w:r>
          </w:p>
        </w:tc>
        <w:tc>
          <w:tcPr>
            <w:tcW w:w="980" w:type="dxa"/>
            <w:vAlign w:val="bottom"/>
            <w:tcBorders>
              <w:top w:val="single" w:sz="8" w:color="auto"/>
            </w:tcBorders>
            <w:vMerge w:val="restart"/>
          </w:tcPr>
          <w:p>
            <w:pPr>
              <w:jc w:val="center"/>
              <w:ind w:left="102"/>
              <w:spacing w:after="0"/>
              <w:rPr>
                <w:sz w:val="20"/>
                <w:szCs w:val="20"/>
                <w:color w:val="auto"/>
              </w:rPr>
            </w:pPr>
            <w:r>
              <w:rPr>
                <w:rFonts w:ascii="Arial" w:cs="Arial" w:eastAsia="Arial" w:hAnsi="Arial"/>
                <w:sz w:val="16"/>
                <w:szCs w:val="16"/>
                <w:b w:val="1"/>
                <w:bCs w:val="1"/>
                <w:color w:val="auto"/>
                <w:w w:val="84"/>
              </w:rPr>
              <w:t>Escalation</w:t>
            </w:r>
          </w:p>
        </w:tc>
        <w:tc>
          <w:tcPr>
            <w:tcW w:w="2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shd w:val="clear" w:color="auto" w:fill="C1C1C1"/>
          </w:tcPr>
          <w:p>
            <w:pPr>
              <w:spacing w:after="0"/>
              <w:rPr>
                <w:sz w:val="18"/>
                <w:szCs w:val="18"/>
                <w:color w:val="auto"/>
              </w:rPr>
            </w:pPr>
          </w:p>
        </w:tc>
        <w:tc>
          <w:tcPr>
            <w:tcW w:w="1080" w:type="dxa"/>
            <w:vAlign w:val="bottom"/>
            <w:tcBorders>
              <w:top w:val="single" w:sz="8" w:color="auto"/>
              <w:right w:val="single" w:sz="8" w:color="auto"/>
            </w:tcBorders>
            <w:shd w:val="clear" w:color="auto" w:fill="C1C1C1"/>
          </w:tcPr>
          <w:p>
            <w:pPr>
              <w:spacing w:after="0"/>
              <w:rPr>
                <w:sz w:val="18"/>
                <w:szCs w:val="18"/>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40" w:type="dxa"/>
            <w:vAlign w:val="bottom"/>
            <w:tcBorders>
              <w:top w:val="single" w:sz="8" w:color="auto"/>
              <w:right w:val="single" w:sz="8" w:color="auto"/>
            </w:tcBorders>
            <w:gridSpan w:val="5"/>
          </w:tcPr>
          <w:p>
            <w:pPr>
              <w:jc w:val="center"/>
              <w:ind w:left="363"/>
              <w:spacing w:after="0"/>
              <w:rPr>
                <w:sz w:val="20"/>
                <w:szCs w:val="20"/>
                <w:color w:val="auto"/>
              </w:rPr>
            </w:pPr>
            <w:r>
              <w:rPr>
                <w:rFonts w:ascii="Arial" w:cs="Arial" w:eastAsia="Arial" w:hAnsi="Arial"/>
                <w:sz w:val="16"/>
                <w:szCs w:val="16"/>
                <w:b w:val="1"/>
                <w:bCs w:val="1"/>
                <w:color w:val="auto"/>
                <w:w w:val="90"/>
              </w:rPr>
              <w:t>Advance Payment Per Aircraft (Amts. Due/Mos. Prior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4"/>
              </w:rPr>
              <w:t>Manufacturer</w:t>
            </w:r>
          </w:p>
        </w:tc>
        <w:tc>
          <w:tcPr>
            <w:tcW w:w="108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80" w:type="dxa"/>
            <w:vAlign w:val="bottom"/>
            <w:vMerge w:val="restart"/>
          </w:tcPr>
          <w:p>
            <w:pPr>
              <w:jc w:val="center"/>
              <w:ind w:left="142"/>
              <w:spacing w:after="0"/>
              <w:rPr>
                <w:sz w:val="20"/>
                <w:szCs w:val="20"/>
                <w:color w:val="auto"/>
              </w:rPr>
            </w:pPr>
            <w:r>
              <w:rPr>
                <w:rFonts w:ascii="Arial" w:cs="Arial" w:eastAsia="Arial" w:hAnsi="Arial"/>
                <w:sz w:val="16"/>
                <w:szCs w:val="16"/>
                <w:b w:val="1"/>
                <w:bCs w:val="1"/>
                <w:color w:val="auto"/>
                <w:w w:val="93"/>
              </w:rPr>
              <w:t>Delivery):</w:t>
            </w:r>
          </w:p>
        </w:tc>
        <w:tc>
          <w:tcPr>
            <w:tcW w:w="1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79"/>
              </w:rPr>
              <w:t>of</w:t>
            </w:r>
          </w:p>
        </w:tc>
        <w:tc>
          <w:tcPr>
            <w:tcW w:w="980" w:type="dxa"/>
            <w:vAlign w:val="bottom"/>
          </w:tcPr>
          <w:p>
            <w:pPr>
              <w:jc w:val="center"/>
              <w:ind w:left="102"/>
              <w:spacing w:after="0" w:line="168" w:lineRule="exact"/>
              <w:rPr>
                <w:sz w:val="20"/>
                <w:szCs w:val="20"/>
                <w:color w:val="auto"/>
              </w:rPr>
            </w:pPr>
            <w:r>
              <w:rPr>
                <w:rFonts w:ascii="Arial" w:cs="Arial" w:eastAsia="Arial" w:hAnsi="Arial"/>
                <w:sz w:val="16"/>
                <w:szCs w:val="16"/>
                <w:b w:val="1"/>
                <w:bCs w:val="1"/>
                <w:color w:val="auto"/>
                <w:w w:val="89"/>
              </w:rPr>
              <w:t>Factor</w:t>
            </w:r>
          </w:p>
        </w:tc>
        <w:tc>
          <w:tcPr>
            <w:tcW w:w="220" w:type="dxa"/>
            <w:vAlign w:val="bottom"/>
            <w:tcBorders>
              <w:right w:val="single" w:sz="8" w:color="auto"/>
            </w:tcBorders>
          </w:tcPr>
          <w:p>
            <w:pPr>
              <w:spacing w:after="0"/>
              <w:rPr>
                <w:sz w:val="14"/>
                <w:szCs w:val="14"/>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080" w:type="dxa"/>
            <w:vAlign w:val="bottom"/>
            <w:tcBorders>
              <w:bottom w:val="single" w:sz="8" w:color="C1C1C1"/>
              <w:right w:val="single" w:sz="8" w:color="auto"/>
            </w:tcBorders>
            <w:vMerge w:val="continue"/>
            <w:shd w:val="clear" w:color="auto" w:fill="C1C1C1"/>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Delivery Date</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980" w:type="dxa"/>
            <w:vAlign w:val="bottom"/>
            <w:vMerge w:val="restart"/>
          </w:tcPr>
          <w:p>
            <w:pPr>
              <w:jc w:val="center"/>
              <w:ind w:left="102"/>
              <w:spacing w:after="0"/>
              <w:rPr>
                <w:sz w:val="20"/>
                <w:szCs w:val="20"/>
                <w:color w:val="auto"/>
              </w:rPr>
            </w:pPr>
            <w:r>
              <w:rPr>
                <w:rFonts w:ascii="Arial" w:cs="Arial" w:eastAsia="Arial" w:hAnsi="Arial"/>
                <w:sz w:val="16"/>
                <w:szCs w:val="16"/>
                <w:b w:val="1"/>
                <w:bCs w:val="1"/>
                <w:color w:val="auto"/>
                <w:w w:val="94"/>
              </w:rPr>
              <w:t>(Airframe)</w:t>
            </w:r>
          </w:p>
        </w:tc>
        <w:tc>
          <w:tcPr>
            <w:tcW w:w="2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Serial</w:t>
            </w:r>
          </w:p>
        </w:tc>
        <w:tc>
          <w:tcPr>
            <w:tcW w:w="1080" w:type="dxa"/>
            <w:vAlign w:val="bottom"/>
            <w:tcBorders>
              <w:right w:val="single" w:sz="8" w:color="auto"/>
            </w:tcBorders>
            <w:shd w:val="clear" w:color="auto" w:fill="C1C1C1"/>
          </w:tcPr>
          <w:p>
            <w:pPr>
              <w:jc w:val="center"/>
              <w:spacing w:after="0" w:line="99" w:lineRule="exact"/>
              <w:rPr>
                <w:sz w:val="20"/>
                <w:szCs w:val="20"/>
                <w:color w:val="auto"/>
              </w:rPr>
            </w:pPr>
            <w:r>
              <w:rPr>
                <w:rFonts w:ascii="Arial" w:cs="Arial" w:eastAsia="Arial" w:hAnsi="Arial"/>
                <w:sz w:val="11"/>
                <w:szCs w:val="11"/>
                <w:b w:val="1"/>
                <w:bCs w:val="1"/>
                <w:color w:val="auto"/>
              </w:rPr>
              <w:t>Delivery</w:t>
            </w:r>
          </w:p>
        </w:tc>
        <w:tc>
          <w:tcPr>
            <w:tcW w:w="12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Payment Base</w:t>
            </w:r>
          </w:p>
        </w:tc>
        <w:tc>
          <w:tcPr>
            <w:tcW w:w="960" w:type="dxa"/>
            <w:vAlign w:val="bottom"/>
            <w:tcBorders>
              <w:right w:val="single" w:sz="8" w:color="auto"/>
            </w:tcBorders>
          </w:tcPr>
          <w:p>
            <w:pPr>
              <w:ind w:left="40"/>
              <w:spacing w:after="0" w:line="99" w:lineRule="exact"/>
              <w:rPr>
                <w:sz w:val="20"/>
                <w:szCs w:val="20"/>
                <w:color w:val="auto"/>
              </w:rPr>
            </w:pPr>
            <w:r>
              <w:rPr>
                <w:rFonts w:ascii="Arial" w:cs="Arial" w:eastAsia="Arial" w:hAnsi="Arial"/>
                <w:sz w:val="11"/>
                <w:szCs w:val="11"/>
                <w:b w:val="1"/>
                <w:bCs w:val="1"/>
                <w:color w:val="auto"/>
              </w:rPr>
              <w:t>At Signing</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2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Total [*CTR]</w:t>
            </w:r>
          </w:p>
        </w:tc>
        <w:tc>
          <w:tcPr>
            <w:tcW w:w="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80" w:type="dxa"/>
            <w:vAlign w:val="bottom"/>
            <w:tcBorders>
              <w:right w:val="single" w:sz="8" w:color="auto"/>
            </w:tcBorders>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Price Per A/P</w:t>
            </w:r>
          </w:p>
        </w:tc>
        <w:tc>
          <w:tcPr>
            <w:tcW w:w="9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[*CTR]</w:t>
            </w:r>
          </w:p>
        </w:tc>
        <w:tc>
          <w:tcPr>
            <w:tcW w:w="8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080" w:type="dxa"/>
            <w:vAlign w:val="bottom"/>
            <w:tcBorders>
              <w:bottom w:val="single" w:sz="8" w:color="C1C1C1"/>
              <w:right w:val="single" w:sz="8" w:color="auto"/>
            </w:tcBorders>
            <w:vMerge w:val="continue"/>
            <w:shd w:val="clear" w:color="auto" w:fill="C1C1C1"/>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tcBorders>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9"/>
              </w:rPr>
              <w:t>Yes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ind w:left="102"/>
              <w:spacing w:after="0"/>
              <w:rPr>
                <w:sz w:val="20"/>
                <w:szCs w:val="20"/>
                <w:color w:val="auto"/>
              </w:rPr>
            </w:pPr>
            <w:r>
              <w:rPr>
                <w:rFonts w:ascii="Arial" w:cs="Arial" w:eastAsia="Arial" w:hAnsi="Arial"/>
                <w:sz w:val="16"/>
                <w:szCs w:val="16"/>
                <w:color w:val="auto"/>
                <w:w w:val="99"/>
              </w:rPr>
              <w:t>[*CTR]</w:t>
            </w:r>
          </w:p>
        </w:tc>
        <w:tc>
          <w:tcPr>
            <w:tcW w:w="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No</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$[*CTR]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200" w:type="dxa"/>
            <w:vAlign w:val="bottom"/>
          </w:tcPr>
          <w:p>
            <w:pPr>
              <w:ind w:left="520"/>
              <w:spacing w:after="0"/>
              <w:rPr>
                <w:sz w:val="20"/>
                <w:szCs w:val="20"/>
                <w:color w:val="auto"/>
              </w:rPr>
            </w:pPr>
            <w:r>
              <w:rPr>
                <w:rFonts w:ascii="Arial" w:cs="Arial" w:eastAsia="Arial" w:hAnsi="Arial"/>
                <w:sz w:val="16"/>
                <w:szCs w:val="16"/>
                <w:color w:val="auto"/>
              </w:rPr>
              <w:t>$[*CTR]</w:t>
            </w: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Total  40</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10740" w:type="dxa"/>
            <w:vAlign w:val="bottom"/>
            <w:gridSpan w:val="12"/>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w w:val="89"/>
              </w:rPr>
              <w:t>SA-9</w:t>
            </w:r>
          </w:p>
        </w:tc>
        <w:tc>
          <w:tcPr>
            <w:tcW w:w="0" w:type="dxa"/>
            <w:vAlign w:val="bottom"/>
          </w:tcPr>
          <w:p>
            <w:pPr>
              <w:spacing w:after="0"/>
              <w:rPr>
                <w:sz w:val="1"/>
                <w:szCs w:val="1"/>
                <w:color w:val="auto"/>
              </w:rPr>
            </w:pPr>
          </w:p>
        </w:tc>
      </w:tr>
      <w:tr>
        <w:trPr>
          <w:trHeight w:val="247"/>
        </w:trPr>
        <w:tc>
          <w:tcPr>
            <w:tcW w:w="2040" w:type="dxa"/>
            <w:vAlign w:val="bottom"/>
            <w:gridSpan w:val="3"/>
          </w:tcPr>
          <w:p>
            <w:pPr>
              <w:spacing w:after="0"/>
              <w:rPr>
                <w:sz w:val="20"/>
                <w:szCs w:val="20"/>
                <w:color w:val="auto"/>
              </w:rPr>
            </w:pPr>
            <w:r>
              <w:rPr>
                <w:rFonts w:ascii="Arial" w:cs="Arial" w:eastAsia="Arial" w:hAnsi="Arial"/>
                <w:sz w:val="16"/>
                <w:szCs w:val="16"/>
                <w:color w:val="auto"/>
                <w:w w:val="95"/>
              </w:rPr>
              <w:t>AAL-PA-03735 108716-1F.txt</w:t>
            </w:r>
          </w:p>
        </w:tc>
        <w:tc>
          <w:tcPr>
            <w:tcW w:w="980" w:type="dxa"/>
            <w:vAlign w:val="bottom"/>
          </w:tcPr>
          <w:p>
            <w:pPr>
              <w:spacing w:after="0"/>
              <w:rPr>
                <w:sz w:val="21"/>
                <w:szCs w:val="21"/>
                <w:color w:val="auto"/>
              </w:rPr>
            </w:pPr>
          </w:p>
        </w:tc>
        <w:tc>
          <w:tcPr>
            <w:tcW w:w="2300" w:type="dxa"/>
            <w:vAlign w:val="bottom"/>
            <w:gridSpan w:val="3"/>
          </w:tcPr>
          <w:p>
            <w:pPr>
              <w:ind w:left="40"/>
              <w:spacing w:after="0"/>
              <w:rPr>
                <w:sz w:val="20"/>
                <w:szCs w:val="20"/>
                <w:color w:val="auto"/>
              </w:rPr>
            </w:pPr>
            <w:r>
              <w:rPr>
                <w:rFonts w:ascii="Arial" w:cs="Arial" w:eastAsia="Arial" w:hAnsi="Arial"/>
                <w:sz w:val="19"/>
                <w:szCs w:val="19"/>
                <w:b w:val="1"/>
                <w:bCs w:val="1"/>
                <w:color w:val="auto"/>
              </w:rPr>
              <w:t>Boeing Proprietary</w:t>
            </w:r>
          </w:p>
        </w:tc>
        <w:tc>
          <w:tcPr>
            <w:tcW w:w="2160" w:type="dxa"/>
            <w:vAlign w:val="bottom"/>
            <w:gridSpan w:val="2"/>
          </w:tcPr>
          <w:p>
            <w:pPr>
              <w:ind w:left="880"/>
              <w:spacing w:after="0"/>
              <w:rPr>
                <w:sz w:val="20"/>
                <w:szCs w:val="20"/>
                <w:color w:val="auto"/>
              </w:rPr>
            </w:pPr>
            <w:r>
              <w:rPr>
                <w:rFonts w:ascii="Arial" w:cs="Arial" w:eastAsia="Arial" w:hAnsi="Arial"/>
                <w:sz w:val="16"/>
                <w:szCs w:val="16"/>
                <w:color w:val="auto"/>
              </w:rPr>
              <w:t>Page 3</w:t>
            </w: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0" w:right="459" w:bottom="1440" w:gutter="0" w:footer="0" w:header="0"/>
        </w:sectPr>
      </w:pPr>
    </w:p>
    <w:bookmarkStart w:id="219" w:name="page220"/>
    <w:bookmarkEnd w:id="219"/>
    <w:p>
      <w:pPr>
        <w:ind w:left="3780"/>
        <w:spacing w:after="0"/>
        <w:rPr>
          <w:sz w:val="20"/>
          <w:szCs w:val="20"/>
          <w:color w:val="auto"/>
        </w:rPr>
      </w:pPr>
      <w:r>
        <w:rPr>
          <w:rFonts w:ascii="Arial" w:cs="Arial" w:eastAsia="Arial" w:hAnsi="Arial"/>
          <w:sz w:val="28"/>
          <w:szCs w:val="28"/>
          <w:b w:val="1"/>
          <w:bCs w:val="1"/>
          <w:color w:val="auto"/>
        </w:rPr>
        <w:t>AIRCRAFT CONFIGURATION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28"/>
          <w:szCs w:val="2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00"/>
        <w:spacing w:after="0"/>
        <w:rPr>
          <w:sz w:val="20"/>
          <w:szCs w:val="20"/>
          <w:color w:val="auto"/>
        </w:rPr>
      </w:pPr>
      <w:r>
        <w:rPr>
          <w:rFonts w:ascii="Arial" w:cs="Arial" w:eastAsia="Arial" w:hAnsi="Arial"/>
          <w:sz w:val="28"/>
          <w:szCs w:val="28"/>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19"/>
        <w:spacing w:after="0"/>
        <w:rPr>
          <w:sz w:val="20"/>
          <w:szCs w:val="20"/>
          <w:color w:val="auto"/>
        </w:rPr>
      </w:pPr>
      <w:r>
        <w:rPr>
          <w:rFonts w:ascii="Arial" w:cs="Arial" w:eastAsia="Arial" w:hAnsi="Arial"/>
          <w:sz w:val="28"/>
          <w:szCs w:val="28"/>
          <w:b w:val="1"/>
          <w:bCs w:val="1"/>
          <w:color w:val="auto"/>
        </w:rPr>
        <w:t>and American Airlines, Inc.</w:t>
      </w:r>
    </w:p>
    <w:p>
      <w:pPr>
        <w:spacing w:after="0" w:line="368" w:lineRule="exact"/>
        <w:rPr>
          <w:sz w:val="20"/>
          <w:szCs w:val="20"/>
          <w:color w:val="auto"/>
        </w:rPr>
      </w:pPr>
    </w:p>
    <w:p>
      <w:pPr>
        <w:ind w:left="2400"/>
        <w:spacing w:after="0"/>
        <w:rPr>
          <w:sz w:val="20"/>
          <w:szCs w:val="20"/>
          <w:color w:val="auto"/>
        </w:rPr>
      </w:pPr>
      <w:r>
        <w:rPr>
          <w:rFonts w:ascii="Arial" w:cs="Arial" w:eastAsia="Arial" w:hAnsi="Arial"/>
          <w:sz w:val="28"/>
          <w:szCs w:val="28"/>
          <w:b w:val="1"/>
          <w:bCs w:val="1"/>
          <w:color w:val="auto"/>
        </w:rPr>
        <w:t>Exhibit A2 to Purchase Agreement Number 03735</w:t>
      </w:r>
    </w:p>
    <w:p>
      <w:pPr>
        <w:spacing w:after="0" w:line="200" w:lineRule="exact"/>
        <w:rPr>
          <w:sz w:val="20"/>
          <w:szCs w:val="20"/>
          <w:color w:val="auto"/>
        </w:rPr>
      </w:pPr>
    </w:p>
    <w:p>
      <w:pPr>
        <w:spacing w:after="0" w:line="224"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AAL-PA-03735-EXA2</w:t>
      </w:r>
      <w:r>
        <w:rPr>
          <w:sz w:val="20"/>
          <w:szCs w:val="20"/>
          <w:color w:val="auto"/>
        </w:rPr>
        <w:tab/>
      </w:r>
      <w:r>
        <w:rPr>
          <w:rFonts w:ascii="Arial" w:cs="Arial" w:eastAsia="Arial" w:hAnsi="Arial"/>
          <w:sz w:val="17"/>
          <w:szCs w:val="17"/>
          <w:color w:val="auto"/>
        </w:rPr>
        <w:t>SA-9, Page 1 of 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366" w:right="11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9"/>
          <w:szCs w:val="19"/>
          <w:b w:val="1"/>
          <w:bCs w:val="1"/>
          <w:color w:val="auto"/>
        </w:rPr>
        <w:t>Exhibit A2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AIRCRAFT CONFIGURATION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 as of the SA-9 Effective Date relating to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BOEING MODEL 737-8 MAX AIRCRAFT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9"/>
          <w:szCs w:val="19"/>
          <w:color w:val="auto"/>
        </w:rPr>
        <w:t>The Detail Specification is Boeing document number [*CTR], as may subsequently be amended. The Detail Specification provides [*CTR] set forth in this Exhibit A2. Such Detail Specification will be comprised of Boeing configuration specification [*CTR]. [*CTR], Boeing will furnish to Customer copies of the Detail Specification, which will reflect [*CTR]. The [*CTR], except such [*CTR].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AAL-PA-03735-EXA2</w:t>
      </w:r>
      <w:r>
        <w:rPr>
          <w:sz w:val="20"/>
          <w:szCs w:val="20"/>
          <w:color w:val="auto"/>
        </w:rPr>
        <w:tab/>
      </w:r>
      <w:r>
        <w:rPr>
          <w:rFonts w:ascii="Arial" w:cs="Arial" w:eastAsia="Arial" w:hAnsi="Arial"/>
          <w:sz w:val="17"/>
          <w:szCs w:val="17"/>
          <w:color w:val="auto"/>
        </w:rPr>
        <w:t>SA-9, Page 2 of 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1024" w:right="219" w:bottom="1440" w:gutter="0" w:footer="0" w:header="0"/>
        </w:sectPr>
      </w:pPr>
    </w:p>
    <w:bookmarkStart w:id="221" w:name="page222"/>
    <w:bookmarkEnd w:id="221"/>
    <w:p>
      <w:pPr>
        <w:jc w:val="center"/>
        <w:ind w:right="-119"/>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70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rPr>
              <w:t>Revised</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Delivery Aircraft</w:t>
            </w:r>
          </w:p>
        </w:tc>
        <w:tc>
          <w:tcPr>
            <w:tcW w:w="0" w:type="dxa"/>
            <w:vAlign w:val="bottom"/>
          </w:tcPr>
          <w:p>
            <w:pPr>
              <w:spacing w:after="0"/>
              <w:rPr>
                <w:sz w:val="1"/>
                <w:szCs w:val="1"/>
                <w:color w:val="auto"/>
              </w:rPr>
            </w:pPr>
          </w:p>
        </w:tc>
      </w:tr>
      <w:tr>
        <w:trPr>
          <w:trHeight w:val="213"/>
        </w:trPr>
        <w:tc>
          <w:tcPr>
            <w:tcW w:w="1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Configuration Item</w:t>
            </w: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1080" w:type="dxa"/>
            <w:vAlign w:val="bottom"/>
            <w:vMerge w:val="restart"/>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8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Title</w:t>
            </w:r>
          </w:p>
        </w:tc>
        <w:tc>
          <w:tcPr>
            <w:tcW w:w="3700" w:type="dxa"/>
            <w:vAlign w:val="bottom"/>
            <w:tcBorders>
              <w:right w:val="single" w:sz="8" w:color="auto"/>
            </w:tcBorders>
          </w:tcPr>
          <w:p>
            <w:pPr>
              <w:spacing w:after="0"/>
              <w:rPr>
                <w:sz w:val="8"/>
                <w:szCs w:val="8"/>
                <w:color w:val="auto"/>
              </w:rPr>
            </w:pPr>
          </w:p>
        </w:tc>
        <w:tc>
          <w:tcPr>
            <w:tcW w:w="1080" w:type="dxa"/>
            <w:vAlign w:val="bottom"/>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tcBorders>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0820" w:type="dxa"/>
            <w:vAlign w:val="bottom"/>
            <w:gridSpan w:val="7"/>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80" w:type="dxa"/>
            <w:vAlign w:val="bottom"/>
          </w:tcPr>
          <w:p>
            <w:pPr>
              <w:ind w:left="40"/>
              <w:spacing w:after="0"/>
              <w:rPr>
                <w:sz w:val="20"/>
                <w:szCs w:val="20"/>
                <w:color w:val="auto"/>
              </w:rPr>
            </w:pPr>
            <w:r>
              <w:rPr>
                <w:rFonts w:ascii="Arial" w:cs="Arial" w:eastAsia="Arial" w:hAnsi="Arial"/>
                <w:sz w:val="16"/>
                <w:szCs w:val="16"/>
                <w:color w:val="auto"/>
              </w:rPr>
              <w:t>SA-9</w:t>
            </w:r>
          </w:p>
        </w:tc>
        <w:tc>
          <w:tcPr>
            <w:tcW w:w="0" w:type="dxa"/>
            <w:vAlign w:val="bottom"/>
          </w:tcPr>
          <w:p>
            <w:pPr>
              <w:spacing w:after="0"/>
              <w:rPr>
                <w:sz w:val="1"/>
                <w:szCs w:val="1"/>
                <w:color w:val="auto"/>
              </w:rPr>
            </w:pPr>
          </w:p>
        </w:tc>
      </w:tr>
      <w:tr>
        <w:trPr>
          <w:trHeight w:val="247"/>
        </w:trPr>
        <w:tc>
          <w:tcPr>
            <w:tcW w:w="2620" w:type="dxa"/>
            <w:vAlign w:val="bottom"/>
            <w:gridSpan w:val="3"/>
          </w:tcPr>
          <w:p>
            <w:pPr>
              <w:spacing w:after="0"/>
              <w:rPr>
                <w:sz w:val="20"/>
                <w:szCs w:val="20"/>
                <w:color w:val="auto"/>
              </w:rPr>
            </w:pPr>
            <w:r>
              <w:rPr>
                <w:rFonts w:ascii="Arial" w:cs="Arial" w:eastAsia="Arial" w:hAnsi="Arial"/>
                <w:sz w:val="16"/>
                <w:szCs w:val="16"/>
                <w:color w:val="auto"/>
              </w:rPr>
              <w:t>AAL-PA-03735 108716-1F.txt</w:t>
            </w:r>
          </w:p>
        </w:tc>
        <w:tc>
          <w:tcPr>
            <w:tcW w:w="2540" w:type="dxa"/>
            <w:vAlign w:val="bottom"/>
          </w:tcPr>
          <w:p>
            <w:pPr>
              <w:ind w:left="440"/>
              <w:spacing w:after="0"/>
              <w:rPr>
                <w:sz w:val="20"/>
                <w:szCs w:val="20"/>
                <w:color w:val="auto"/>
              </w:rPr>
            </w:pPr>
            <w:r>
              <w:rPr>
                <w:rFonts w:ascii="Arial" w:cs="Arial" w:eastAsia="Arial" w:hAnsi="Arial"/>
                <w:sz w:val="19"/>
                <w:szCs w:val="19"/>
                <w:b w:val="1"/>
                <w:bCs w:val="1"/>
                <w:color w:val="auto"/>
              </w:rPr>
              <w:t>Boeing Proprietary</w:t>
            </w:r>
          </w:p>
        </w:tc>
        <w:tc>
          <w:tcPr>
            <w:tcW w:w="880" w:type="dxa"/>
            <w:vAlign w:val="bottom"/>
          </w:tcPr>
          <w:p>
            <w:pPr>
              <w:spacing w:after="0"/>
              <w:rPr>
                <w:sz w:val="21"/>
                <w:szCs w:val="21"/>
                <w:color w:val="auto"/>
              </w:rPr>
            </w:pPr>
          </w:p>
        </w:tc>
        <w:tc>
          <w:tcPr>
            <w:tcW w:w="4780" w:type="dxa"/>
            <w:vAlign w:val="bottom"/>
            <w:gridSpan w:val="2"/>
          </w:tcPr>
          <w:p>
            <w:pPr>
              <w:ind w:left="160"/>
              <w:spacing w:after="0"/>
              <w:rPr>
                <w:sz w:val="20"/>
                <w:szCs w:val="20"/>
                <w:color w:val="auto"/>
              </w:rPr>
            </w:pPr>
            <w:r>
              <w:rPr>
                <w:rFonts w:ascii="Arial" w:cs="Arial" w:eastAsia="Arial" w:hAnsi="Arial"/>
                <w:sz w:val="16"/>
                <w:szCs w:val="16"/>
                <w:color w:val="auto"/>
              </w:rPr>
              <w:t>Page 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2" w:right="359" w:bottom="1440" w:gutter="0" w:footer="0" w:header="0"/>
        </w:sectPr>
      </w:pPr>
    </w:p>
    <w:bookmarkStart w:id="222" w:name="page223"/>
    <w:bookmarkEnd w:id="222"/>
    <w:p>
      <w:pPr>
        <w:jc w:val="center"/>
        <w:ind w:right="-119"/>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c>
          <w:tcPr>
            <w:tcW w:w="376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rPr>
              <w:t>Revised</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Configuration Item</w:t>
            </w: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Delivery Aircraft</w:t>
            </w:r>
          </w:p>
        </w:tc>
        <w:tc>
          <w:tcPr>
            <w:tcW w:w="0" w:type="dxa"/>
            <w:vAlign w:val="bottom"/>
          </w:tcPr>
          <w:p>
            <w:pPr>
              <w:spacing w:after="0"/>
              <w:rPr>
                <w:sz w:val="1"/>
                <w:szCs w:val="1"/>
                <w:color w:val="auto"/>
              </w:rPr>
            </w:pPr>
          </w:p>
        </w:tc>
      </w:tr>
      <w:tr>
        <w:trPr>
          <w:trHeight w:val="131"/>
        </w:trPr>
        <w:tc>
          <w:tcPr>
            <w:tcW w:w="1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76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6"/>
                <w:szCs w:val="16"/>
                <w:color w:val="auto"/>
              </w:rPr>
            </w:pPr>
          </w:p>
        </w:tc>
        <w:tc>
          <w:tcPr>
            <w:tcW w:w="3360" w:type="dxa"/>
            <w:vAlign w:val="bottom"/>
          </w:tcPr>
          <w:p>
            <w:pPr>
              <w:ind w:left="2860"/>
              <w:spacing w:after="0"/>
              <w:rPr>
                <w:sz w:val="20"/>
                <w:szCs w:val="20"/>
                <w:color w:val="auto"/>
              </w:rPr>
            </w:pPr>
            <w:r>
              <w:rPr>
                <w:rFonts w:ascii="Arial" w:cs="Arial" w:eastAsia="Arial" w:hAnsi="Arial"/>
                <w:sz w:val="14"/>
                <w:szCs w:val="14"/>
                <w:b w:val="1"/>
                <w:bCs w:val="1"/>
                <w:color w:val="auto"/>
              </w:rPr>
              <w:t>Title</w:t>
            </w:r>
          </w:p>
        </w:tc>
        <w:tc>
          <w:tcPr>
            <w:tcW w:w="3760" w:type="dxa"/>
            <w:vAlign w:val="bottom"/>
            <w:tcBorders>
              <w:right w:val="single" w:sz="8" w:color="auto"/>
            </w:tcBorders>
          </w:tcPr>
          <w:p>
            <w:pPr>
              <w:spacing w:after="0"/>
              <w:rPr>
                <w:sz w:val="16"/>
                <w:szCs w:val="16"/>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Borders>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0820" w:type="dxa"/>
            <w:vAlign w:val="bottom"/>
            <w:gridSpan w:val="6"/>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80" w:type="dxa"/>
            <w:vAlign w:val="bottom"/>
          </w:tcPr>
          <w:p>
            <w:pPr>
              <w:ind w:left="40"/>
              <w:spacing w:after="0"/>
              <w:rPr>
                <w:sz w:val="20"/>
                <w:szCs w:val="20"/>
                <w:color w:val="auto"/>
              </w:rPr>
            </w:pPr>
            <w:r>
              <w:rPr>
                <w:rFonts w:ascii="Arial" w:cs="Arial" w:eastAsia="Arial" w:hAnsi="Arial"/>
                <w:sz w:val="16"/>
                <w:szCs w:val="16"/>
                <w:color w:val="auto"/>
              </w:rPr>
              <w:t>SA-9</w:t>
            </w:r>
          </w:p>
        </w:tc>
        <w:tc>
          <w:tcPr>
            <w:tcW w:w="0" w:type="dxa"/>
            <w:vAlign w:val="bottom"/>
          </w:tcPr>
          <w:p>
            <w:pPr>
              <w:spacing w:after="0"/>
              <w:rPr>
                <w:sz w:val="1"/>
                <w:szCs w:val="1"/>
                <w:color w:val="auto"/>
              </w:rPr>
            </w:pPr>
          </w:p>
        </w:tc>
      </w:tr>
      <w:tr>
        <w:trPr>
          <w:trHeight w:val="247"/>
        </w:trPr>
        <w:tc>
          <w:tcPr>
            <w:tcW w:w="2620" w:type="dxa"/>
            <w:vAlign w:val="bottom"/>
            <w:gridSpan w:val="3"/>
          </w:tcPr>
          <w:p>
            <w:pPr>
              <w:spacing w:after="0"/>
              <w:rPr>
                <w:sz w:val="20"/>
                <w:szCs w:val="20"/>
                <w:color w:val="auto"/>
              </w:rPr>
            </w:pPr>
            <w:r>
              <w:rPr>
                <w:rFonts w:ascii="Arial" w:cs="Arial" w:eastAsia="Arial" w:hAnsi="Arial"/>
                <w:sz w:val="16"/>
                <w:szCs w:val="16"/>
                <w:color w:val="auto"/>
              </w:rPr>
              <w:t>AAL-PA-03735 108716-1F.txt</w:t>
            </w:r>
          </w:p>
        </w:tc>
        <w:tc>
          <w:tcPr>
            <w:tcW w:w="3360" w:type="dxa"/>
            <w:vAlign w:val="bottom"/>
          </w:tcPr>
          <w:p>
            <w:pPr>
              <w:ind w:left="440"/>
              <w:spacing w:after="0"/>
              <w:rPr>
                <w:sz w:val="20"/>
                <w:szCs w:val="20"/>
                <w:color w:val="auto"/>
              </w:rPr>
            </w:pPr>
            <w:r>
              <w:rPr>
                <w:rFonts w:ascii="Arial" w:cs="Arial" w:eastAsia="Arial" w:hAnsi="Arial"/>
                <w:sz w:val="19"/>
                <w:szCs w:val="19"/>
                <w:b w:val="1"/>
                <w:bCs w:val="1"/>
                <w:color w:val="auto"/>
              </w:rPr>
              <w:t>Boeing Proprietary</w:t>
            </w:r>
          </w:p>
        </w:tc>
        <w:tc>
          <w:tcPr>
            <w:tcW w:w="4840" w:type="dxa"/>
            <w:vAlign w:val="bottom"/>
            <w:gridSpan w:val="2"/>
          </w:tcPr>
          <w:p>
            <w:pPr>
              <w:ind w:left="220"/>
              <w:spacing w:after="0"/>
              <w:rPr>
                <w:sz w:val="20"/>
                <w:szCs w:val="20"/>
                <w:color w:val="auto"/>
              </w:rPr>
            </w:pPr>
            <w:r>
              <w:rPr>
                <w:rFonts w:ascii="Arial" w:cs="Arial" w:eastAsia="Arial" w:hAnsi="Arial"/>
                <w:sz w:val="16"/>
                <w:szCs w:val="16"/>
                <w:color w:val="auto"/>
              </w:rPr>
              <w:t>Page 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1" w:right="359" w:bottom="1440" w:gutter="0" w:footer="0" w:header="0"/>
        </w:sectPr>
      </w:pPr>
    </w:p>
    <w:bookmarkStart w:id="223" w:name="page224"/>
    <w:bookmarkEnd w:id="223"/>
    <w:p>
      <w:pPr>
        <w:jc w:val="center"/>
        <w:ind w:right="-119"/>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c>
          <w:tcPr>
            <w:tcW w:w="376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top w:val="single" w:sz="8" w:color="auto"/>
              <w:right w:val="single" w:sz="8" w:color="auto"/>
            </w:tcBorders>
          </w:tcPr>
          <w:p>
            <w:pPr>
              <w:spacing w:after="0"/>
              <w:rPr>
                <w:sz w:val="17"/>
                <w:szCs w:val="17"/>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rPr>
              <w:t>Revised</w:t>
            </w:r>
          </w:p>
        </w:tc>
        <w:tc>
          <w:tcPr>
            <w:tcW w:w="480" w:type="dxa"/>
            <w:vAlign w:val="bottom"/>
            <w:tcBorders>
              <w:right w:val="single" w:sz="8" w:color="auto"/>
            </w:tcBorders>
          </w:tcPr>
          <w:p>
            <w:pPr>
              <w:spacing w:after="0"/>
              <w:rPr>
                <w:sz w:val="24"/>
                <w:szCs w:val="24"/>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Configuration</w:t>
            </w: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Delivery Aircraft</w:t>
            </w: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Item Number</w:t>
            </w:r>
          </w:p>
        </w:tc>
        <w:tc>
          <w:tcPr>
            <w:tcW w:w="880" w:type="dxa"/>
            <w:vAlign w:val="bottom"/>
          </w:tcPr>
          <w:p>
            <w:pPr>
              <w:spacing w:after="0"/>
              <w:rPr>
                <w:sz w:val="24"/>
                <w:szCs w:val="24"/>
                <w:color w:val="auto"/>
              </w:rPr>
            </w:pPr>
          </w:p>
        </w:tc>
        <w:tc>
          <w:tcPr>
            <w:tcW w:w="3360" w:type="dxa"/>
            <w:vAlign w:val="bottom"/>
          </w:tcPr>
          <w:p>
            <w:pPr>
              <w:ind w:left="2860"/>
              <w:spacing w:after="0"/>
              <w:rPr>
                <w:sz w:val="20"/>
                <w:szCs w:val="20"/>
                <w:color w:val="auto"/>
              </w:rPr>
            </w:pPr>
            <w:r>
              <w:rPr>
                <w:rFonts w:ascii="Arial" w:cs="Arial" w:eastAsia="Arial" w:hAnsi="Arial"/>
                <w:sz w:val="14"/>
                <w:szCs w:val="14"/>
                <w:b w:val="1"/>
                <w:bCs w:val="1"/>
                <w:color w:val="auto"/>
              </w:rPr>
              <w:t>Title</w:t>
            </w:r>
          </w:p>
        </w:tc>
        <w:tc>
          <w:tcPr>
            <w:tcW w:w="376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right w:val="single" w:sz="8" w:color="auto"/>
            </w:tcBorders>
          </w:tcPr>
          <w:p>
            <w:pPr>
              <w:spacing w:after="0"/>
              <w:rPr>
                <w:sz w:val="24"/>
                <w:szCs w:val="24"/>
                <w:color w:val="auto"/>
              </w:rPr>
            </w:pPr>
          </w:p>
        </w:tc>
      </w:tr>
      <w:tr>
        <w:trPr>
          <w:trHeight w:val="169"/>
        </w:trPr>
        <w:tc>
          <w:tcPr>
            <w:tcW w:w="180" w:type="dxa"/>
            <w:vAlign w:val="bottom"/>
            <w:tcBorders>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6"/>
                <w:szCs w:val="16"/>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r>
      <w:tr>
        <w:trPr>
          <w:trHeight w:val="382"/>
        </w:trPr>
        <w:tc>
          <w:tcPr>
            <w:tcW w:w="10820" w:type="dxa"/>
            <w:vAlign w:val="bottom"/>
            <w:gridSpan w:val="6"/>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80" w:type="dxa"/>
            <w:vAlign w:val="bottom"/>
          </w:tcPr>
          <w:p>
            <w:pPr>
              <w:ind w:left="40"/>
              <w:spacing w:after="0"/>
              <w:rPr>
                <w:sz w:val="20"/>
                <w:szCs w:val="20"/>
                <w:color w:val="auto"/>
              </w:rPr>
            </w:pPr>
            <w:r>
              <w:rPr>
                <w:rFonts w:ascii="Arial" w:cs="Arial" w:eastAsia="Arial" w:hAnsi="Arial"/>
                <w:sz w:val="16"/>
                <w:szCs w:val="16"/>
                <w:color w:val="auto"/>
              </w:rPr>
              <w:t>SA-9</w:t>
            </w:r>
          </w:p>
        </w:tc>
      </w:tr>
      <w:tr>
        <w:trPr>
          <w:trHeight w:val="247"/>
        </w:trPr>
        <w:tc>
          <w:tcPr>
            <w:tcW w:w="2620" w:type="dxa"/>
            <w:vAlign w:val="bottom"/>
            <w:gridSpan w:val="3"/>
          </w:tcPr>
          <w:p>
            <w:pPr>
              <w:spacing w:after="0"/>
              <w:rPr>
                <w:sz w:val="20"/>
                <w:szCs w:val="20"/>
                <w:color w:val="auto"/>
              </w:rPr>
            </w:pPr>
            <w:r>
              <w:rPr>
                <w:rFonts w:ascii="Arial" w:cs="Arial" w:eastAsia="Arial" w:hAnsi="Arial"/>
                <w:sz w:val="16"/>
                <w:szCs w:val="16"/>
                <w:color w:val="auto"/>
              </w:rPr>
              <w:t>AAL-PA-03735 108716-1F.txt</w:t>
            </w:r>
          </w:p>
        </w:tc>
        <w:tc>
          <w:tcPr>
            <w:tcW w:w="3360" w:type="dxa"/>
            <w:vAlign w:val="bottom"/>
          </w:tcPr>
          <w:p>
            <w:pPr>
              <w:ind w:left="440"/>
              <w:spacing w:after="0"/>
              <w:rPr>
                <w:sz w:val="20"/>
                <w:szCs w:val="20"/>
                <w:color w:val="auto"/>
              </w:rPr>
            </w:pPr>
            <w:r>
              <w:rPr>
                <w:rFonts w:ascii="Arial" w:cs="Arial" w:eastAsia="Arial" w:hAnsi="Arial"/>
                <w:sz w:val="19"/>
                <w:szCs w:val="19"/>
                <w:b w:val="1"/>
                <w:bCs w:val="1"/>
                <w:color w:val="auto"/>
              </w:rPr>
              <w:t>Boeing Proprietary</w:t>
            </w:r>
          </w:p>
        </w:tc>
        <w:tc>
          <w:tcPr>
            <w:tcW w:w="4840" w:type="dxa"/>
            <w:vAlign w:val="bottom"/>
            <w:gridSpan w:val="2"/>
          </w:tcPr>
          <w:p>
            <w:pPr>
              <w:ind w:left="220"/>
              <w:spacing w:after="0"/>
              <w:rPr>
                <w:sz w:val="20"/>
                <w:szCs w:val="20"/>
                <w:color w:val="auto"/>
              </w:rPr>
            </w:pPr>
            <w:r>
              <w:rPr>
                <w:rFonts w:ascii="Arial" w:cs="Arial" w:eastAsia="Arial" w:hAnsi="Arial"/>
                <w:sz w:val="16"/>
                <w:szCs w:val="16"/>
                <w:color w:val="auto"/>
              </w:rPr>
              <w:t>Page 3</w:t>
            </w:r>
          </w:p>
        </w:tc>
        <w:tc>
          <w:tcPr>
            <w:tcW w:w="480" w:type="dxa"/>
            <w:vAlign w:val="bottom"/>
          </w:tcPr>
          <w:p>
            <w:pPr>
              <w:spacing w:after="0"/>
              <w:rPr>
                <w:sz w:val="21"/>
                <w:szCs w:val="21"/>
                <w:color w:val="auto"/>
              </w:rPr>
            </w:pPr>
          </w:p>
        </w:tc>
      </w:tr>
    </w:tbl>
    <w:p>
      <w:pPr>
        <w:sectPr>
          <w:pgSz w:w="11900" w:h="16838" w:orient="portrait"/>
          <w:cols w:equalWidth="0" w:num="1">
            <w:col w:w="11300"/>
          </w:cols>
          <w:pgMar w:left="240" w:top="111" w:right="359" w:bottom="1440" w:gutter="0" w:footer="0" w:header="0"/>
        </w:sectPr>
      </w:pPr>
    </w:p>
    <w:bookmarkStart w:id="224" w:name="page225"/>
    <w:bookmarkEnd w:id="224"/>
    <w:p>
      <w:pPr>
        <w:jc w:val="center"/>
        <w:ind w:right="-119"/>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72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2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rPr>
              <w:t>Revised</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Configuration Item</w:t>
            </w: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Delivery Aircraft</w:t>
            </w:r>
          </w:p>
        </w:tc>
        <w:tc>
          <w:tcPr>
            <w:tcW w:w="0" w:type="dxa"/>
            <w:vAlign w:val="bottom"/>
          </w:tcPr>
          <w:p>
            <w:pPr>
              <w:spacing w:after="0"/>
              <w:rPr>
                <w:sz w:val="1"/>
                <w:szCs w:val="1"/>
                <w:color w:val="auto"/>
              </w:rPr>
            </w:pPr>
          </w:p>
        </w:tc>
      </w:tr>
      <w:tr>
        <w:trPr>
          <w:trHeight w:val="131"/>
        </w:trPr>
        <w:tc>
          <w:tcPr>
            <w:tcW w:w="1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2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rPr>
              <w:t>Title</w:t>
            </w:r>
          </w:p>
        </w:tc>
        <w:tc>
          <w:tcPr>
            <w:tcW w:w="3720" w:type="dxa"/>
            <w:vAlign w:val="bottom"/>
            <w:tcBorders>
              <w:right w:val="single" w:sz="8" w:color="auto"/>
            </w:tcBorders>
          </w:tcPr>
          <w:p>
            <w:pPr>
              <w:spacing w:after="0"/>
              <w:rPr>
                <w:sz w:val="16"/>
                <w:szCs w:val="16"/>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Borders>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7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0820" w:type="dxa"/>
            <w:vAlign w:val="bottom"/>
            <w:gridSpan w:val="7"/>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80" w:type="dxa"/>
            <w:vAlign w:val="bottom"/>
          </w:tcPr>
          <w:p>
            <w:pPr>
              <w:ind w:left="40"/>
              <w:spacing w:after="0"/>
              <w:rPr>
                <w:sz w:val="20"/>
                <w:szCs w:val="20"/>
                <w:color w:val="auto"/>
              </w:rPr>
            </w:pPr>
            <w:r>
              <w:rPr>
                <w:rFonts w:ascii="Arial" w:cs="Arial" w:eastAsia="Arial" w:hAnsi="Arial"/>
                <w:sz w:val="16"/>
                <w:szCs w:val="16"/>
                <w:color w:val="auto"/>
              </w:rPr>
              <w:t>SA-9</w:t>
            </w:r>
          </w:p>
        </w:tc>
        <w:tc>
          <w:tcPr>
            <w:tcW w:w="0" w:type="dxa"/>
            <w:vAlign w:val="bottom"/>
          </w:tcPr>
          <w:p>
            <w:pPr>
              <w:spacing w:after="0"/>
              <w:rPr>
                <w:sz w:val="1"/>
                <w:szCs w:val="1"/>
                <w:color w:val="auto"/>
              </w:rPr>
            </w:pPr>
          </w:p>
        </w:tc>
      </w:tr>
      <w:tr>
        <w:trPr>
          <w:trHeight w:val="247"/>
        </w:trPr>
        <w:tc>
          <w:tcPr>
            <w:tcW w:w="2620" w:type="dxa"/>
            <w:vAlign w:val="bottom"/>
            <w:gridSpan w:val="3"/>
          </w:tcPr>
          <w:p>
            <w:pPr>
              <w:spacing w:after="0"/>
              <w:rPr>
                <w:sz w:val="20"/>
                <w:szCs w:val="20"/>
                <w:color w:val="auto"/>
              </w:rPr>
            </w:pPr>
            <w:r>
              <w:rPr>
                <w:rFonts w:ascii="Arial" w:cs="Arial" w:eastAsia="Arial" w:hAnsi="Arial"/>
                <w:sz w:val="16"/>
                <w:szCs w:val="16"/>
                <w:color w:val="auto"/>
              </w:rPr>
              <w:t>AAL-PA-03735 108716-1F.txt</w:t>
            </w:r>
          </w:p>
        </w:tc>
        <w:tc>
          <w:tcPr>
            <w:tcW w:w="2540" w:type="dxa"/>
            <w:vAlign w:val="bottom"/>
          </w:tcPr>
          <w:p>
            <w:pPr>
              <w:ind w:left="440"/>
              <w:spacing w:after="0"/>
              <w:rPr>
                <w:sz w:val="20"/>
                <w:szCs w:val="20"/>
                <w:color w:val="auto"/>
              </w:rPr>
            </w:pPr>
            <w:r>
              <w:rPr>
                <w:rFonts w:ascii="Arial" w:cs="Arial" w:eastAsia="Arial" w:hAnsi="Arial"/>
                <w:sz w:val="19"/>
                <w:szCs w:val="19"/>
                <w:b w:val="1"/>
                <w:bCs w:val="1"/>
                <w:color w:val="auto"/>
              </w:rPr>
              <w:t>Boeing Proprietary</w:t>
            </w:r>
          </w:p>
        </w:tc>
        <w:tc>
          <w:tcPr>
            <w:tcW w:w="860" w:type="dxa"/>
            <w:vAlign w:val="bottom"/>
          </w:tcPr>
          <w:p>
            <w:pPr>
              <w:spacing w:after="0"/>
              <w:rPr>
                <w:sz w:val="21"/>
                <w:szCs w:val="21"/>
                <w:color w:val="auto"/>
              </w:rPr>
            </w:pPr>
          </w:p>
        </w:tc>
        <w:tc>
          <w:tcPr>
            <w:tcW w:w="480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1" w:right="359" w:bottom="1440" w:gutter="0" w:footer="0" w:header="0"/>
        </w:sectPr>
      </w:pPr>
    </w:p>
    <w:bookmarkStart w:id="225" w:name="page226"/>
    <w:bookmarkEnd w:id="225"/>
    <w:p>
      <w:pPr>
        <w:jc w:val="center"/>
        <w:ind w:right="-119"/>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c>
          <w:tcPr>
            <w:tcW w:w="376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rPr>
              <w:t>Revised</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8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Configuration Item</w:t>
            </w:r>
          </w:p>
        </w:tc>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Delivery Aircraft</w:t>
            </w:r>
          </w:p>
        </w:tc>
        <w:tc>
          <w:tcPr>
            <w:tcW w:w="0" w:type="dxa"/>
            <w:vAlign w:val="bottom"/>
          </w:tcPr>
          <w:p>
            <w:pPr>
              <w:spacing w:after="0"/>
              <w:rPr>
                <w:sz w:val="1"/>
                <w:szCs w:val="1"/>
                <w:color w:val="auto"/>
              </w:rPr>
            </w:pPr>
          </w:p>
        </w:tc>
      </w:tr>
      <w:tr>
        <w:trPr>
          <w:trHeight w:val="131"/>
        </w:trPr>
        <w:tc>
          <w:tcPr>
            <w:tcW w:w="18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76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6"/>
                <w:szCs w:val="16"/>
                <w:color w:val="auto"/>
              </w:rPr>
            </w:pPr>
          </w:p>
        </w:tc>
        <w:tc>
          <w:tcPr>
            <w:tcW w:w="3360" w:type="dxa"/>
            <w:vAlign w:val="bottom"/>
          </w:tcPr>
          <w:p>
            <w:pPr>
              <w:ind w:left="2860"/>
              <w:spacing w:after="0"/>
              <w:rPr>
                <w:sz w:val="20"/>
                <w:szCs w:val="20"/>
                <w:color w:val="auto"/>
              </w:rPr>
            </w:pPr>
            <w:r>
              <w:rPr>
                <w:rFonts w:ascii="Arial" w:cs="Arial" w:eastAsia="Arial" w:hAnsi="Arial"/>
                <w:sz w:val="14"/>
                <w:szCs w:val="14"/>
                <w:b w:val="1"/>
                <w:bCs w:val="1"/>
                <w:color w:val="auto"/>
              </w:rPr>
              <w:t>Title</w:t>
            </w:r>
          </w:p>
        </w:tc>
        <w:tc>
          <w:tcPr>
            <w:tcW w:w="3760" w:type="dxa"/>
            <w:vAlign w:val="bottom"/>
            <w:tcBorders>
              <w:right w:val="single" w:sz="8" w:color="auto"/>
            </w:tcBorders>
          </w:tcPr>
          <w:p>
            <w:pPr>
              <w:spacing w:after="0"/>
              <w:rPr>
                <w:sz w:val="16"/>
                <w:szCs w:val="16"/>
                <w:color w:val="auto"/>
              </w:rPr>
            </w:pPr>
          </w:p>
        </w:tc>
        <w:tc>
          <w:tcPr>
            <w:tcW w:w="1080" w:type="dxa"/>
            <w:vAlign w:val="bottom"/>
          </w:tcPr>
          <w:p>
            <w:pPr>
              <w:jc w:val="center"/>
              <w:ind w:left="390"/>
              <w:spacing w:after="0"/>
              <w:rPr>
                <w:sz w:val="20"/>
                <w:szCs w:val="20"/>
                <w:color w:val="auto"/>
              </w:rPr>
            </w:pPr>
            <w:r>
              <w:rPr>
                <w:rFonts w:ascii="Arial" w:cs="Arial" w:eastAsia="Arial" w:hAnsi="Arial"/>
                <w:sz w:val="14"/>
                <w:szCs w:val="14"/>
                <w:b w:val="1"/>
                <w:bCs w:val="1"/>
                <w:color w:val="auto"/>
                <w:w w:val="96"/>
              </w:rPr>
              <w:t>[*CTR]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Borders>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[*CTR]</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3360" w:type="dxa"/>
            <w:vAlign w:val="bottom"/>
            <w:tcBorders>
              <w:bottom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9"/>
              </w:rPr>
              <w:t>[*CTR]</w:t>
            </w: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6"/>
        </w:trPr>
        <w:tc>
          <w:tcPr>
            <w:tcW w:w="10820" w:type="dxa"/>
            <w:vAlign w:val="bottom"/>
            <w:gridSpan w:val="6"/>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480" w:type="dxa"/>
            <w:vAlign w:val="bottom"/>
          </w:tcPr>
          <w:p>
            <w:pPr>
              <w:ind w:left="40"/>
              <w:spacing w:after="0"/>
              <w:rPr>
                <w:sz w:val="20"/>
                <w:szCs w:val="20"/>
                <w:color w:val="auto"/>
              </w:rPr>
            </w:pPr>
            <w:r>
              <w:rPr>
                <w:rFonts w:ascii="Arial" w:cs="Arial" w:eastAsia="Arial" w:hAnsi="Arial"/>
                <w:sz w:val="16"/>
                <w:szCs w:val="16"/>
                <w:color w:val="auto"/>
              </w:rPr>
              <w:t>SA-9</w:t>
            </w:r>
          </w:p>
        </w:tc>
        <w:tc>
          <w:tcPr>
            <w:tcW w:w="0" w:type="dxa"/>
            <w:vAlign w:val="bottom"/>
          </w:tcPr>
          <w:p>
            <w:pPr>
              <w:spacing w:after="0"/>
              <w:rPr>
                <w:sz w:val="1"/>
                <w:szCs w:val="1"/>
                <w:color w:val="auto"/>
              </w:rPr>
            </w:pPr>
          </w:p>
        </w:tc>
      </w:tr>
      <w:tr>
        <w:trPr>
          <w:trHeight w:val="247"/>
        </w:trPr>
        <w:tc>
          <w:tcPr>
            <w:tcW w:w="2620" w:type="dxa"/>
            <w:vAlign w:val="bottom"/>
            <w:gridSpan w:val="3"/>
          </w:tcPr>
          <w:p>
            <w:pPr>
              <w:spacing w:after="0"/>
              <w:rPr>
                <w:sz w:val="20"/>
                <w:szCs w:val="20"/>
                <w:color w:val="auto"/>
              </w:rPr>
            </w:pPr>
            <w:r>
              <w:rPr>
                <w:rFonts w:ascii="Arial" w:cs="Arial" w:eastAsia="Arial" w:hAnsi="Arial"/>
                <w:sz w:val="16"/>
                <w:szCs w:val="16"/>
                <w:color w:val="auto"/>
              </w:rPr>
              <w:t>AAL-PA-03735 108716-1F.txt</w:t>
            </w:r>
          </w:p>
        </w:tc>
        <w:tc>
          <w:tcPr>
            <w:tcW w:w="3360" w:type="dxa"/>
            <w:vAlign w:val="bottom"/>
          </w:tcPr>
          <w:p>
            <w:pPr>
              <w:ind w:left="440"/>
              <w:spacing w:after="0"/>
              <w:rPr>
                <w:sz w:val="20"/>
                <w:szCs w:val="20"/>
                <w:color w:val="auto"/>
              </w:rPr>
            </w:pPr>
            <w:r>
              <w:rPr>
                <w:rFonts w:ascii="Arial" w:cs="Arial" w:eastAsia="Arial" w:hAnsi="Arial"/>
                <w:sz w:val="19"/>
                <w:szCs w:val="19"/>
                <w:b w:val="1"/>
                <w:bCs w:val="1"/>
                <w:color w:val="auto"/>
              </w:rPr>
              <w:t>Boeing Proprietary</w:t>
            </w:r>
          </w:p>
        </w:tc>
        <w:tc>
          <w:tcPr>
            <w:tcW w:w="4840" w:type="dxa"/>
            <w:vAlign w:val="bottom"/>
            <w:gridSpan w:val="2"/>
          </w:tcPr>
          <w:p>
            <w:pPr>
              <w:ind w:left="220"/>
              <w:spacing w:after="0"/>
              <w:rPr>
                <w:sz w:val="20"/>
                <w:szCs w:val="20"/>
                <w:color w:val="auto"/>
              </w:rPr>
            </w:pPr>
            <w:r>
              <w:rPr>
                <w:rFonts w:ascii="Arial" w:cs="Arial" w:eastAsia="Arial" w:hAnsi="Arial"/>
                <w:sz w:val="16"/>
                <w:szCs w:val="16"/>
                <w:color w:val="auto"/>
              </w:rPr>
              <w:t>Page 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12" w:right="359" w:bottom="1440" w:gutter="0" w:footer="0" w:header="0"/>
        </w:sectPr>
      </w:pPr>
    </w:p>
    <w:bookmarkStart w:id="226" w:name="page227"/>
    <w:bookmarkEnd w:id="226"/>
    <w:p>
      <w:pPr>
        <w:jc w:val="center"/>
        <w:ind w:right="20"/>
        <w:spacing w:after="0"/>
        <w:rPr>
          <w:sz w:val="20"/>
          <w:szCs w:val="20"/>
          <w:color w:val="auto"/>
        </w:rPr>
      </w:pPr>
      <w:r>
        <w:rPr>
          <w:rFonts w:ascii="Arial" w:cs="Arial" w:eastAsia="Arial" w:hAnsi="Arial"/>
          <w:sz w:val="19"/>
          <w:szCs w:val="19"/>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620" w:type="dxa"/>
            <w:vAlign w:val="bottom"/>
            <w:tcBorders>
              <w:top w:val="single" w:sz="8" w:color="auto"/>
              <w:left w:val="single" w:sz="8" w:color="auto"/>
              <w:right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48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450"/>
              <w:spacing w:after="0"/>
              <w:rPr>
                <w:sz w:val="20"/>
                <w:szCs w:val="20"/>
                <w:color w:val="auto"/>
              </w:rPr>
            </w:pPr>
            <w:r>
              <w:rPr>
                <w:rFonts w:ascii="Arial" w:cs="Arial" w:eastAsia="Arial" w:hAnsi="Arial"/>
                <w:sz w:val="14"/>
                <w:szCs w:val="14"/>
                <w:b w:val="1"/>
                <w:bCs w:val="1"/>
                <w:color w:val="auto"/>
              </w:rPr>
              <w:t>[*CTR]</w:t>
            </w:r>
          </w:p>
        </w:tc>
        <w:tc>
          <w:tcPr>
            <w:tcW w:w="6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620" w:type="dxa"/>
            <w:vAlign w:val="bottom"/>
            <w:tcBorders>
              <w:left w:val="single" w:sz="8" w:color="auto"/>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450"/>
              <w:spacing w:after="0"/>
              <w:rPr>
                <w:sz w:val="20"/>
                <w:szCs w:val="20"/>
                <w:color w:val="auto"/>
              </w:rPr>
            </w:pPr>
            <w:r>
              <w:rPr>
                <w:rFonts w:ascii="Arial" w:cs="Arial" w:eastAsia="Arial" w:hAnsi="Arial"/>
                <w:sz w:val="14"/>
                <w:szCs w:val="14"/>
                <w:b w:val="1"/>
                <w:bCs w:val="1"/>
                <w:color w:val="auto"/>
                <w:w w:val="85"/>
              </w:rPr>
              <w:t>Revised</w:t>
            </w: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2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Configuration Item</w:t>
            </w: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right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w w:val="94"/>
              </w:rPr>
              <w:t>Delivery Aircraft</w:t>
            </w: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vMerge w:val="continue"/>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4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100" w:type="dxa"/>
            <w:vAlign w:val="bottom"/>
          </w:tcPr>
          <w:p>
            <w:pPr>
              <w:jc w:val="center"/>
              <w:ind w:left="450"/>
              <w:spacing w:after="0"/>
              <w:rPr>
                <w:sz w:val="20"/>
                <w:szCs w:val="20"/>
                <w:color w:val="auto"/>
              </w:rPr>
            </w:pPr>
            <w:r>
              <w:rPr>
                <w:rFonts w:ascii="Arial" w:cs="Arial" w:eastAsia="Arial" w:hAnsi="Arial"/>
                <w:sz w:val="14"/>
                <w:szCs w:val="14"/>
                <w:b w:val="1"/>
                <w:bCs w:val="1"/>
                <w:color w:val="auto"/>
              </w:rPr>
              <w:t>[*CTR]</w:t>
            </w: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220" w:type="dxa"/>
            <w:vAlign w:val="bottom"/>
            <w:tcBorders>
              <w:bottom w:val="single" w:sz="8" w:color="auto"/>
            </w:tcBorders>
          </w:tcPr>
          <w:p>
            <w:pPr>
              <w:spacing w:after="0"/>
              <w:rPr>
                <w:sz w:val="16"/>
                <w:szCs w:val="16"/>
                <w:color w:val="auto"/>
              </w:rPr>
            </w:pPr>
          </w:p>
        </w:tc>
        <w:tc>
          <w:tcPr>
            <w:tcW w:w="48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450"/>
              <w:spacing w:after="0"/>
              <w:rPr>
                <w:sz w:val="20"/>
                <w:szCs w:val="20"/>
                <w:color w:val="auto"/>
              </w:rPr>
            </w:pPr>
            <w:r>
              <w:rPr>
                <w:rFonts w:ascii="Arial" w:cs="Arial" w:eastAsia="Arial" w:hAnsi="Arial"/>
                <w:sz w:val="14"/>
                <w:szCs w:val="14"/>
                <w:color w:val="auto"/>
                <w:w w:val="99"/>
              </w:rPr>
              <w:t>[*CTR]</w:t>
            </w:r>
          </w:p>
        </w:tc>
        <w:tc>
          <w:tcPr>
            <w:tcW w:w="6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2220" w:type="dxa"/>
            <w:vAlign w:val="bottom"/>
            <w:tcBorders>
              <w:bottom w:val="single" w:sz="8" w:color="auto"/>
            </w:tcBorders>
          </w:tcPr>
          <w:p>
            <w:pPr>
              <w:spacing w:after="0"/>
              <w:rPr>
                <w:sz w:val="17"/>
                <w:szCs w:val="17"/>
                <w:color w:val="auto"/>
              </w:rPr>
            </w:pPr>
          </w:p>
        </w:tc>
        <w:tc>
          <w:tcPr>
            <w:tcW w:w="4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450"/>
              <w:spacing w:after="0"/>
              <w:rPr>
                <w:sz w:val="20"/>
                <w:szCs w:val="20"/>
                <w:color w:val="auto"/>
              </w:rPr>
            </w:pPr>
            <w:r>
              <w:rPr>
                <w:rFonts w:ascii="Arial" w:cs="Arial" w:eastAsia="Arial" w:hAnsi="Arial"/>
                <w:sz w:val="14"/>
                <w:szCs w:val="14"/>
                <w:color w:val="auto"/>
                <w:w w:val="99"/>
              </w:rPr>
              <w:t>[*CTR]</w:t>
            </w:r>
          </w:p>
        </w:tc>
        <w:tc>
          <w:tcPr>
            <w:tcW w:w="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 [*CTR] - EXHBIT A:</w:t>
            </w: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40" w:type="dxa"/>
            <w:vAlign w:val="bottom"/>
            <w:gridSpan w:val="2"/>
            <w:vMerge w:val="continue"/>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18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[*CTR]: 191</w:t>
            </w:r>
          </w:p>
        </w:tc>
        <w:tc>
          <w:tcPr>
            <w:tcW w:w="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auto"/>
              </w:rPr>
              <w:t>SA-9</w:t>
            </w:r>
          </w:p>
        </w:tc>
        <w:tc>
          <w:tcPr>
            <w:tcW w:w="0" w:type="dxa"/>
            <w:vAlign w:val="bottom"/>
          </w:tcPr>
          <w:p>
            <w:pPr>
              <w:spacing w:after="0"/>
              <w:rPr>
                <w:sz w:val="1"/>
                <w:szCs w:val="1"/>
                <w:color w:val="auto"/>
              </w:rPr>
            </w:pPr>
          </w:p>
        </w:tc>
      </w:tr>
      <w:tr>
        <w:trPr>
          <w:trHeight w:val="562"/>
        </w:trPr>
        <w:tc>
          <w:tcPr>
            <w:tcW w:w="10820" w:type="dxa"/>
            <w:vAlign w:val="bottom"/>
            <w:gridSpan w:val="6"/>
          </w:tcPr>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60" w:type="dxa"/>
            <w:vAlign w:val="bottom"/>
            <w:gridSpan w:val="2"/>
          </w:tcPr>
          <w:p>
            <w:pPr>
              <w:spacing w:after="0"/>
              <w:rPr>
                <w:sz w:val="20"/>
                <w:szCs w:val="20"/>
                <w:color w:val="auto"/>
              </w:rPr>
            </w:pPr>
            <w:r>
              <w:rPr>
                <w:rFonts w:ascii="Arial" w:cs="Arial" w:eastAsia="Arial" w:hAnsi="Arial"/>
                <w:sz w:val="16"/>
                <w:szCs w:val="16"/>
                <w:color w:val="auto"/>
              </w:rPr>
              <w:t>AAL-PA-03735 108716-1F.txt</w:t>
            </w:r>
          </w:p>
        </w:tc>
        <w:tc>
          <w:tcPr>
            <w:tcW w:w="2220" w:type="dxa"/>
            <w:vAlign w:val="bottom"/>
          </w:tcPr>
          <w:p>
            <w:pPr>
              <w:ind w:left="500"/>
              <w:spacing w:after="0"/>
              <w:rPr>
                <w:sz w:val="20"/>
                <w:szCs w:val="20"/>
                <w:color w:val="auto"/>
              </w:rPr>
            </w:pPr>
            <w:r>
              <w:rPr>
                <w:rFonts w:ascii="Arial" w:cs="Arial" w:eastAsia="Arial" w:hAnsi="Arial"/>
                <w:sz w:val="19"/>
                <w:szCs w:val="19"/>
                <w:b w:val="1"/>
                <w:bCs w:val="1"/>
                <w:color w:val="auto"/>
                <w:w w:val="99"/>
              </w:rPr>
              <w:t>Boeing Proprietary</w:t>
            </w:r>
          </w:p>
        </w:tc>
        <w:tc>
          <w:tcPr>
            <w:tcW w:w="4940" w:type="dxa"/>
            <w:vAlign w:val="bottom"/>
            <w:gridSpan w:val="2"/>
          </w:tcPr>
          <w:p>
            <w:pPr>
              <w:ind w:left="1420"/>
              <w:spacing w:after="0"/>
              <w:rPr>
                <w:sz w:val="20"/>
                <w:szCs w:val="20"/>
                <w:color w:val="auto"/>
              </w:rPr>
            </w:pPr>
            <w:r>
              <w:rPr>
                <w:rFonts w:ascii="Arial" w:cs="Arial" w:eastAsia="Arial" w:hAnsi="Arial"/>
                <w:sz w:val="16"/>
                <w:szCs w:val="16"/>
                <w:color w:val="auto"/>
              </w:rPr>
              <w:t>Page 6</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1" w:right="2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1"/>
          <w:szCs w:val="11"/>
          <w:color w:val="808080"/>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The Boeing Company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808080"/>
        </w:rPr>
        <w:t>P.O. Box 3707</w:t>
      </w:r>
    </w:p>
    <w:p>
      <w:pPr>
        <w:spacing w:after="0" w:line="2" w:lineRule="exact"/>
        <w:rPr>
          <w:sz w:val="20"/>
          <w:szCs w:val="20"/>
          <w:color w:val="auto"/>
        </w:rPr>
      </w:pPr>
    </w:p>
    <w:p>
      <w:pPr>
        <w:jc w:val="right"/>
        <w:spacing w:after="0" w:line="127" w:lineRule="exact"/>
        <w:rPr>
          <w:sz w:val="20"/>
          <w:szCs w:val="20"/>
          <w:color w:val="auto"/>
        </w:rPr>
      </w:pPr>
      <w:r>
        <w:rPr>
          <w:rFonts w:ascii="Arial" w:cs="Arial" w:eastAsia="Arial" w:hAnsi="Arial"/>
          <w:sz w:val="11"/>
          <w:szCs w:val="11"/>
          <w:color w:val="808080"/>
        </w:rPr>
        <w:t>Seattle, WA 98124</w:t>
      </w:r>
      <w:r>
        <w:rPr>
          <w:rFonts w:ascii="MS PGothic" w:cs="MS PGothic" w:eastAsia="MS PGothic" w:hAnsi="MS PGothic"/>
          <w:sz w:val="11"/>
          <w:szCs w:val="11"/>
          <w:color w:val="808080"/>
        </w:rPr>
        <w:t>‑</w:t>
      </w:r>
      <w:r>
        <w:rPr>
          <w:rFonts w:ascii="Arial" w:cs="Arial" w:eastAsia="Arial" w:hAnsi="Arial"/>
          <w:sz w:val="11"/>
          <w:szCs w:val="11"/>
          <w:color w:val="808080"/>
        </w:rPr>
        <w:t>2207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AAL-PA-03735-LA-1801206</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Dallas-Fort Worth Airport, Texas 75261-9616</w:t>
      </w:r>
    </w:p>
    <w:p>
      <w:pPr>
        <w:spacing w:after="0" w:line="226"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color w:val="auto"/>
        </w:rPr>
        <w:t>Subject:</w:t>
      </w:r>
      <w:r>
        <w:rPr>
          <w:sz w:val="20"/>
          <w:szCs w:val="20"/>
          <w:color w:val="auto"/>
        </w:rPr>
        <w:tab/>
      </w:r>
      <w:r>
        <w:rPr>
          <w:rFonts w:ascii="Arial" w:cs="Arial" w:eastAsia="Arial" w:hAnsi="Arial"/>
          <w:sz w:val="19"/>
          <w:szCs w:val="19"/>
          <w:color w:val="auto"/>
        </w:rPr>
        <w:t>[*CTR]</w:t>
      </w:r>
    </w:p>
    <w:p>
      <w:pPr>
        <w:spacing w:after="0" w:line="204" w:lineRule="exact"/>
        <w:rPr>
          <w:sz w:val="20"/>
          <w:szCs w:val="20"/>
          <w:color w:val="auto"/>
        </w:rPr>
      </w:pPr>
    </w:p>
    <w:p>
      <w:pPr>
        <w:ind w:left="1120" w:right="20" w:hanging="1119"/>
        <w:spacing w:after="0" w:line="275" w:lineRule="auto"/>
        <w:tabs>
          <w:tab w:leader="none" w:pos="1100" w:val="left"/>
        </w:tabs>
        <w:rPr>
          <w:sz w:val="20"/>
          <w:szCs w:val="20"/>
          <w:color w:val="auto"/>
        </w:rPr>
      </w:pPr>
      <w:r>
        <w:rPr>
          <w:rFonts w:ascii="Arial" w:cs="Arial" w:eastAsia="Arial" w:hAnsi="Arial"/>
          <w:sz w:val="19"/>
          <w:szCs w:val="19"/>
          <w:color w:val="auto"/>
        </w:rPr>
        <w:t>Reference:</w:t>
        <w:tab/>
        <w:t>Purchase Agreement No. PA-3735 (</w:t>
      </w:r>
      <w:r>
        <w:rPr>
          <w:rFonts w:ascii="Arial" w:cs="Arial" w:eastAsia="Arial" w:hAnsi="Arial"/>
          <w:sz w:val="19"/>
          <w:szCs w:val="19"/>
          <w:b w:val="1"/>
          <w:b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color w:val="auto"/>
        </w:rPr>
        <w:t>Customer</w:t>
      </w:r>
      <w:r>
        <w:rPr>
          <w:rFonts w:ascii="Arial" w:cs="Arial" w:eastAsia="Arial" w:hAnsi="Arial"/>
          <w:sz w:val="19"/>
          <w:szCs w:val="19"/>
          <w:color w:val="auto"/>
        </w:rPr>
        <w:t>) relating to Model 737-8 aircraft (</w:t>
      </w:r>
      <w:r>
        <w:rPr>
          <w:rFonts w:ascii="Arial" w:cs="Arial" w:eastAsia="Arial" w:hAnsi="Arial"/>
          <w:sz w:val="19"/>
          <w:szCs w:val="19"/>
          <w:b w:val="1"/>
          <w:bCs w:val="1"/>
          <w:color w:val="auto"/>
        </w:rPr>
        <w:t>Aircraft</w:t>
      </w:r>
      <w:r>
        <w:rPr>
          <w:rFonts w:ascii="Arial" w:cs="Arial" w:eastAsia="Arial" w:hAnsi="Arial"/>
          <w:sz w:val="19"/>
          <w:szCs w:val="19"/>
          <w:color w:val="auto"/>
        </w:rPr>
        <w:t>)</w:t>
      </w:r>
    </w:p>
    <w:p>
      <w:pPr>
        <w:spacing w:after="0" w:line="260" w:lineRule="exact"/>
        <w:rPr>
          <w:sz w:val="20"/>
          <w:szCs w:val="20"/>
          <w:color w:val="auto"/>
        </w:rPr>
      </w:pPr>
    </w:p>
    <w:p>
      <w:pPr>
        <w:ind w:right="20" w:firstLine="561"/>
        <w:spacing w:after="0" w:line="27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amends and supplements the Purchase Agreement. All terms used but not defined in this Letter Agreement will have the same meaning as in the Purchase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terms and conditions described in this Letter Agreement are applicable only to the aircraft described in Section 1 below.</w:t>
      </w:r>
    </w:p>
    <w:p>
      <w:pPr>
        <w:spacing w:after="0" w:line="226" w:lineRule="exact"/>
        <w:rPr>
          <w:sz w:val="20"/>
          <w:szCs w:val="20"/>
          <w:color w:val="auto"/>
        </w:rPr>
      </w:pPr>
    </w:p>
    <w:p>
      <w:pPr>
        <w:ind w:left="840" w:hanging="285"/>
        <w:spacing w:after="0"/>
        <w:tabs>
          <w:tab w:leader="none" w:pos="84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Revised Delivery Schedule</w:t>
      </w:r>
      <w:r>
        <w:rPr>
          <w:rFonts w:ascii="Arial" w:cs="Arial" w:eastAsia="Arial" w:hAnsi="Arial"/>
          <w:sz w:val="19"/>
          <w:szCs w:val="19"/>
          <w:color w:val="auto"/>
        </w:rPr>
        <w:t>.</w:t>
      </w:r>
    </w:p>
    <w:p>
      <w:pPr>
        <w:spacing w:after="0" w:line="226" w:lineRule="exact"/>
        <w:rPr>
          <w:sz w:val="20"/>
          <w:szCs w:val="20"/>
          <w:color w:val="auto"/>
        </w:rPr>
      </w:pPr>
    </w:p>
    <w:p>
      <w:pPr>
        <w:jc w:val="both"/>
        <w:ind w:firstLine="842"/>
        <w:spacing w:after="0" w:line="245" w:lineRule="auto"/>
        <w:rPr>
          <w:sz w:val="20"/>
          <w:szCs w:val="20"/>
          <w:color w:val="auto"/>
        </w:rPr>
      </w:pPr>
      <w:r>
        <w:rPr>
          <w:rFonts w:ascii="Arial" w:cs="Arial" w:eastAsia="Arial" w:hAnsi="Arial"/>
          <w:sz w:val="19"/>
          <w:szCs w:val="19"/>
          <w:color w:val="auto"/>
        </w:rPr>
        <w:t>This Letter Agreement revises the Scheduled Delivery Month of forty (40) Aircraft currently scheduled to deliver in calendar years [*CTR] (</w:t>
      </w:r>
      <w:r>
        <w:rPr>
          <w:rFonts w:ascii="Arial" w:cs="Arial" w:eastAsia="Arial" w:hAnsi="Arial"/>
          <w:sz w:val="19"/>
          <w:szCs w:val="19"/>
          <w:b w:val="1"/>
          <w:bCs w:val="1"/>
          <w:color w:val="auto"/>
        </w:rPr>
        <w:t>Revised Delivery Aircraft</w:t>
      </w:r>
      <w:r>
        <w:rPr>
          <w:rFonts w:ascii="Arial" w:cs="Arial" w:eastAsia="Arial" w:hAnsi="Arial"/>
          <w:sz w:val="19"/>
          <w:szCs w:val="19"/>
          <w:color w:val="auto"/>
        </w:rPr>
        <w:t>) and moves the Scheduled Delivery Months to calendar years [*CTR]. For avoidance of doubt, Revised Delivery Aircraft remain Aircraft under the Purchase Agreement. Attachment A of this Letter Agreement identifies the Revised Delivery Aircraft by the original delivery month (</w:t>
      </w:r>
      <w:r>
        <w:rPr>
          <w:rFonts w:ascii="Arial" w:cs="Arial" w:eastAsia="Arial" w:hAnsi="Arial"/>
          <w:sz w:val="19"/>
          <w:szCs w:val="19"/>
          <w:b w:val="1"/>
          <w:bCs w:val="1"/>
          <w:color w:val="auto"/>
        </w:rPr>
        <w:t>Original Contract Delivery Month</w:t>
      </w:r>
      <w:r>
        <w:rPr>
          <w:rFonts w:ascii="Arial" w:cs="Arial" w:eastAsia="Arial" w:hAnsi="Arial"/>
          <w:sz w:val="19"/>
          <w:szCs w:val="19"/>
          <w:color w:val="auto"/>
        </w:rPr>
        <w:t>) and sets forth the revised delivery month (</w:t>
      </w:r>
      <w:r>
        <w:rPr>
          <w:rFonts w:ascii="Arial" w:cs="Arial" w:eastAsia="Arial" w:hAnsi="Arial"/>
          <w:sz w:val="19"/>
          <w:szCs w:val="19"/>
          <w:b w:val="1"/>
          <w:bCs w:val="1"/>
          <w:color w:val="auto"/>
        </w:rPr>
        <w:t>Revised</w:t>
      </w:r>
      <w:r>
        <w:rPr>
          <w:rFonts w:ascii="Arial" w:cs="Arial" w:eastAsia="Arial" w:hAnsi="Arial"/>
          <w:sz w:val="19"/>
          <w:szCs w:val="19"/>
          <w:color w:val="auto"/>
        </w:rPr>
        <w:t xml:space="preserve"> </w:t>
      </w:r>
      <w:r>
        <w:rPr>
          <w:rFonts w:ascii="Arial" w:cs="Arial" w:eastAsia="Arial" w:hAnsi="Arial"/>
          <w:sz w:val="19"/>
          <w:szCs w:val="19"/>
          <w:b w:val="1"/>
          <w:bCs w:val="1"/>
          <w:color w:val="auto"/>
        </w:rPr>
        <w:t>Contract Delivery Month</w:t>
      </w:r>
      <w:r>
        <w:rPr>
          <w:rFonts w:ascii="Arial" w:cs="Arial" w:eastAsia="Arial" w:hAnsi="Arial"/>
          <w:sz w:val="19"/>
          <w:szCs w:val="19"/>
          <w:color w:val="auto"/>
        </w:rPr>
        <w:t>) for the Revised Delivery Aircraft. Additionally, Table 1-2 of the Purchase Agreement includes the Revised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Aircraft per the revisions of this Letter Agreement.</w:t>
      </w:r>
    </w:p>
    <w:p>
      <w:pPr>
        <w:spacing w:after="0" w:line="218" w:lineRule="exact"/>
        <w:rPr>
          <w:sz w:val="20"/>
          <w:szCs w:val="20"/>
          <w:color w:val="auto"/>
        </w:rPr>
      </w:pPr>
    </w:p>
    <w:p>
      <w:pPr>
        <w:ind w:left="840" w:hanging="285"/>
        <w:spacing w:after="0"/>
        <w:tabs>
          <w:tab w:leader="none" w:pos="840"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26"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19"/>
          <w:szCs w:val="19"/>
          <w:color w:val="auto"/>
        </w:rPr>
        <w:t>Boeing agrees that it is [*CTR] revising the delivery schedule of the Revised Delivery Aircraft.</w:t>
      </w:r>
    </w:p>
    <w:p>
      <w:pPr>
        <w:spacing w:after="0" w:line="354" w:lineRule="exact"/>
        <w:rPr>
          <w:rFonts w:ascii="Arial" w:cs="Arial" w:eastAsia="Arial" w:hAnsi="Arial"/>
          <w:sz w:val="19"/>
          <w:szCs w:val="19"/>
          <w:color w:val="auto"/>
        </w:rPr>
      </w:pPr>
    </w:p>
    <w:p>
      <w:pPr>
        <w:ind w:left="840" w:hanging="285"/>
        <w:spacing w:after="0"/>
        <w:tabs>
          <w:tab w:leader="none" w:pos="840"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Delivery [*CTR]</w:t>
      </w:r>
      <w:r>
        <w:rPr>
          <w:rFonts w:ascii="Arial" w:cs="Arial" w:eastAsia="Arial" w:hAnsi="Arial"/>
          <w:sz w:val="19"/>
          <w:szCs w:val="19"/>
          <w:color w:val="auto"/>
        </w:rPr>
        <w:t>.</w:t>
      </w:r>
    </w:p>
    <w:p>
      <w:pPr>
        <w:spacing w:after="0" w:line="226" w:lineRule="exact"/>
        <w:rPr>
          <w:sz w:val="20"/>
          <w:szCs w:val="20"/>
          <w:color w:val="auto"/>
        </w:rPr>
      </w:pPr>
    </w:p>
    <w:p>
      <w:pPr>
        <w:ind w:firstLine="842"/>
        <w:spacing w:after="0" w:line="251" w:lineRule="auto"/>
        <w:rPr>
          <w:sz w:val="20"/>
          <w:szCs w:val="20"/>
          <w:color w:val="auto"/>
        </w:rPr>
      </w:pPr>
      <w:r>
        <w:rPr>
          <w:rFonts w:ascii="Arial" w:cs="Arial" w:eastAsia="Arial" w:hAnsi="Arial"/>
          <w:sz w:val="19"/>
          <w:szCs w:val="19"/>
          <w:color w:val="auto"/>
        </w:rPr>
        <w:t>3.1 The Aircraft Basic Price for each of the Revised Delivery Aircraft [*CTR]. For the avoidance of doubt, Boeing agrees to [*CTR] the Aircraft Basic Price for the Revised Delivery Aircraft for [*CTR].</w:t>
      </w:r>
    </w:p>
    <w:p>
      <w:pPr>
        <w:spacing w:after="0" w:line="198" w:lineRule="exact"/>
        <w:rPr>
          <w:sz w:val="20"/>
          <w:szCs w:val="20"/>
          <w:color w:val="auto"/>
        </w:rPr>
      </w:pPr>
    </w:p>
    <w:p>
      <w:pPr>
        <w:spacing w:after="0"/>
        <w:tabs>
          <w:tab w:leader="none" w:pos="2900" w:val="left"/>
        </w:tabs>
        <w:rPr>
          <w:sz w:val="20"/>
          <w:szCs w:val="20"/>
          <w:color w:val="auto"/>
        </w:rPr>
      </w:pPr>
      <w:r>
        <w:rPr>
          <w:rFonts w:ascii="Arial" w:cs="Arial" w:eastAsia="Arial" w:hAnsi="Arial"/>
          <w:sz w:val="19"/>
          <w:szCs w:val="19"/>
          <w:color w:val="auto"/>
        </w:rPr>
        <w:t>PA No. 3735</w:t>
      </w:r>
      <w:r>
        <w:rPr>
          <w:sz w:val="20"/>
          <w:szCs w:val="20"/>
          <w:color w:val="auto"/>
        </w:rPr>
        <w:tab/>
      </w:r>
      <w:r>
        <w:rPr>
          <w:rFonts w:ascii="Arial" w:cs="Arial" w:eastAsia="Arial" w:hAnsi="Arial"/>
          <w:sz w:val="17"/>
          <w:szCs w:val="17"/>
          <w:color w:val="auto"/>
        </w:rPr>
        <w:t>SA-9</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Attachment A to AAL-PA-03735-LA-1801206</w:t>
      </w:r>
    </w:p>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0"/>
          </w:cols>
          <w:pgMar w:left="240" w:top="626" w:right="219" w:bottom="1440" w:gutter="0" w:footer="0" w:header="0"/>
        </w:sectPr>
      </w:pPr>
    </w:p>
    <w:bookmarkStart w:id="228" w:name="page229"/>
    <w:bookmarkEnd w:id="228"/>
    <w:p>
      <w:pPr>
        <w:ind w:right="20" w:firstLine="842"/>
        <w:spacing w:after="0" w:line="25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t>3.2 If the delivery of the Revised Delivery Aircraft [*CTR] in the Revised Contract Delivery Month, then [*CTR] in accordance with and subject to the terms and conditions of the Purchase Agreement (that is, if the Purchase Agreement [*CTR]).</w:t>
      </w:r>
    </w:p>
    <w:p>
      <w:pPr>
        <w:spacing w:after="0" w:line="210" w:lineRule="exact"/>
        <w:rPr>
          <w:sz w:val="20"/>
          <w:szCs w:val="20"/>
          <w:color w:val="auto"/>
        </w:rPr>
      </w:pPr>
    </w:p>
    <w:p>
      <w:pPr>
        <w:ind w:right="20" w:firstLine="842"/>
        <w:spacing w:after="0" w:line="251" w:lineRule="auto"/>
        <w:rPr>
          <w:sz w:val="20"/>
          <w:szCs w:val="20"/>
          <w:color w:val="auto"/>
        </w:rPr>
      </w:pPr>
      <w:r>
        <w:rPr>
          <w:rFonts w:ascii="Arial" w:cs="Arial" w:eastAsia="Arial" w:hAnsi="Arial"/>
          <w:sz w:val="19"/>
          <w:szCs w:val="19"/>
          <w:color w:val="auto"/>
        </w:rPr>
        <w:t>3.3. The delivery [*CTR] for the Revised Delivery Aircraft will [*CTR] the Aircraft Basic Price in accordance with Sections 3.1 and 3.2, above.</w:t>
      </w:r>
    </w:p>
    <w:p>
      <w:pPr>
        <w:spacing w:after="0" w:line="210" w:lineRule="exact"/>
        <w:rPr>
          <w:sz w:val="20"/>
          <w:szCs w:val="20"/>
          <w:color w:val="auto"/>
        </w:rPr>
      </w:pPr>
    </w:p>
    <w:p>
      <w:pPr>
        <w:ind w:left="840" w:hanging="285"/>
        <w:spacing w:after="0"/>
        <w:tabs>
          <w:tab w:leader="none" w:pos="840"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Advance Payments</w:t>
      </w:r>
      <w:r>
        <w:rPr>
          <w:rFonts w:ascii="Arial" w:cs="Arial" w:eastAsia="Arial" w:hAnsi="Arial"/>
          <w:sz w:val="19"/>
          <w:szCs w:val="19"/>
          <w:color w:val="auto"/>
        </w:rPr>
        <w:t>.</w:t>
      </w:r>
    </w:p>
    <w:p>
      <w:pPr>
        <w:spacing w:after="0" w:line="226" w:lineRule="exact"/>
        <w:rPr>
          <w:sz w:val="20"/>
          <w:szCs w:val="20"/>
          <w:color w:val="auto"/>
        </w:rPr>
      </w:pPr>
    </w:p>
    <w:p>
      <w:pPr>
        <w:jc w:val="both"/>
        <w:ind w:right="20" w:firstLine="842"/>
        <w:spacing w:after="0" w:line="247" w:lineRule="auto"/>
        <w:rPr>
          <w:sz w:val="20"/>
          <w:szCs w:val="20"/>
          <w:color w:val="auto"/>
        </w:rPr>
      </w:pPr>
      <w:r>
        <w:rPr>
          <w:rFonts w:ascii="Arial" w:cs="Arial" w:eastAsia="Arial" w:hAnsi="Arial"/>
          <w:sz w:val="19"/>
          <w:szCs w:val="19"/>
          <w:color w:val="auto"/>
        </w:rPr>
        <w:t>Advance Payments for the Revised Delivery Aircraft are [*CTR] Letter Agreement AAL-PA-03735-LA-1106650R3 entitled “[</w:t>
      </w:r>
      <w:r>
        <w:rPr>
          <w:rFonts w:ascii="Arial" w:cs="Arial" w:eastAsia="Arial" w:hAnsi="Arial"/>
          <w:sz w:val="19"/>
          <w:szCs w:val="19"/>
          <w:u w:val="single" w:color="auto"/>
          <w:color w:val="auto"/>
        </w:rPr>
        <w:t>*CTR]”</w:t>
      </w:r>
      <w:r>
        <w:rPr>
          <w:rFonts w:ascii="Arial" w:cs="Arial" w:eastAsia="Arial" w:hAnsi="Arial"/>
          <w:sz w:val="19"/>
          <w:szCs w:val="19"/>
          <w:color w:val="auto"/>
        </w:rPr>
        <w:t>. The Advance Payments for the Revised Delivery Aircraft will be paid per the Advance Payment Base Price as found on Table 1-2 [*CTR] as set forth in Section 3.1 of this Letter Agreement.</w:t>
      </w:r>
    </w:p>
    <w:p>
      <w:pPr>
        <w:spacing w:after="0" w:line="214" w:lineRule="exact"/>
        <w:rPr>
          <w:sz w:val="20"/>
          <w:szCs w:val="20"/>
          <w:color w:val="auto"/>
        </w:rPr>
      </w:pPr>
    </w:p>
    <w:p>
      <w:pPr>
        <w:ind w:left="840" w:hanging="285"/>
        <w:spacing w:after="0"/>
        <w:tabs>
          <w:tab w:leader="none" w:pos="84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26" w:lineRule="exact"/>
        <w:rPr>
          <w:sz w:val="20"/>
          <w:szCs w:val="20"/>
          <w:color w:val="auto"/>
        </w:rPr>
      </w:pPr>
    </w:p>
    <w:p>
      <w:pPr>
        <w:jc w:val="both"/>
        <w:ind w:right="20" w:firstLine="842"/>
        <w:spacing w:after="0" w:line="247"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4" w:lineRule="exact"/>
        <w:rPr>
          <w:sz w:val="20"/>
          <w:szCs w:val="20"/>
          <w:color w:val="auto"/>
        </w:rPr>
      </w:pPr>
    </w:p>
    <w:p>
      <w:pPr>
        <w:ind w:left="840" w:hanging="285"/>
        <w:spacing w:after="0"/>
        <w:tabs>
          <w:tab w:leader="none" w:pos="84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26" w:lineRule="exact"/>
        <w:rPr>
          <w:sz w:val="20"/>
          <w:szCs w:val="20"/>
          <w:color w:val="auto"/>
        </w:rPr>
      </w:pPr>
    </w:p>
    <w:p>
      <w:pPr>
        <w:jc w:val="both"/>
        <w:ind w:firstLine="842"/>
        <w:spacing w:after="0" w:line="247"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ectPr>
          <w:pgSz w:w="11900" w:h="16838" w:orient="portrait"/>
          <w:cols w:equalWidth="0" w:num="1">
            <w:col w:w="11440"/>
          </w:cols>
          <w:pgMar w:left="240" w:top="1374" w:right="21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AAL-PA-03735-LA-1801206</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SA-9</w:t>
      </w:r>
    </w:p>
    <w:p>
      <w:pPr>
        <w:spacing w:after="0" w:line="3" w:lineRule="exact"/>
        <w:rPr>
          <w:sz w:val="20"/>
          <w:szCs w:val="20"/>
          <w:color w:val="auto"/>
        </w:rPr>
      </w:pPr>
    </w:p>
    <w:p>
      <w:pPr>
        <w:sectPr>
          <w:pgSz w:w="11900" w:h="16838" w:orient="portrait"/>
          <w:cols w:equalWidth="0" w:num="2">
            <w:col w:w="2580" w:space="720"/>
            <w:col w:w="8140"/>
          </w:cols>
          <w:pgMar w:left="240" w:top="1374" w:right="219" w:bottom="1440" w:gutter="0" w:footer="0" w:header="0"/>
          <w:type w:val="continuous"/>
        </w:sectPr>
      </w:pPr>
    </w:p>
    <w:p>
      <w:pPr>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 2 of 3</w:t>
      </w:r>
    </w:p>
    <w:p>
      <w:pPr>
        <w:spacing w:after="0" w:line="26" w:lineRule="exact"/>
        <w:rPr>
          <w:sz w:val="20"/>
          <w:szCs w:val="20"/>
          <w:color w:val="auto"/>
        </w:rPr>
      </w:pPr>
    </w:p>
    <w:p>
      <w:pPr>
        <w:sectPr>
          <w:pgSz w:w="11900" w:h="16838" w:orient="portrait"/>
          <w:cols w:equalWidth="0" w:num="2">
            <w:col w:w="1640" w:space="720"/>
            <w:col w:w="9080"/>
          </w:cols>
          <w:pgMar w:left="240" w:top="1374" w:right="2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0"/>
          </w:cols>
          <w:pgMar w:left="240" w:top="1374" w:right="219" w:bottom="1440" w:gutter="0" w:footer="0" w:header="0"/>
          <w:type w:val="continuous"/>
        </w:sectPr>
      </w:pPr>
    </w:p>
    <w:bookmarkStart w:id="229" w:name="page230"/>
    <w:bookmarkEnd w:id="229"/>
    <w:p>
      <w:pPr>
        <w:spacing w:after="0" w:line="2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3240" w:type="dxa"/>
            <w:vAlign w:val="bottom"/>
            <w:gridSpan w:val="3"/>
          </w:tcPr>
          <w:p>
            <w:pPr>
              <w:spacing w:after="0"/>
              <w:rPr>
                <w:sz w:val="20"/>
                <w:szCs w:val="20"/>
                <w:color w:val="auto"/>
              </w:rPr>
            </w:pPr>
            <w:r>
              <w:rPr>
                <w:rFonts w:ascii="Arial" w:cs="Arial" w:eastAsia="Arial" w:hAnsi="Arial"/>
                <w:sz w:val="19"/>
                <w:szCs w:val="19"/>
                <w:color w:val="auto"/>
              </w:rPr>
              <w:t>Very truly yours,</w:t>
            </w:r>
          </w:p>
        </w:tc>
        <w:tc>
          <w:tcPr>
            <w:tcW w:w="2820" w:type="dxa"/>
            <w:vAlign w:val="bottom"/>
          </w:tcPr>
          <w:p>
            <w:pPr>
              <w:spacing w:after="0"/>
              <w:rPr>
                <w:sz w:val="19"/>
                <w:szCs w:val="19"/>
                <w:color w:val="auto"/>
              </w:rPr>
            </w:pPr>
          </w:p>
        </w:tc>
      </w:tr>
      <w:tr>
        <w:trPr>
          <w:trHeight w:val="573"/>
        </w:trPr>
        <w:tc>
          <w:tcPr>
            <w:tcW w:w="3240" w:type="dxa"/>
            <w:vAlign w:val="bottom"/>
            <w:gridSpan w:val="3"/>
          </w:tcPr>
          <w:p>
            <w:pPr>
              <w:ind w:left="20"/>
              <w:spacing w:after="0"/>
              <w:rPr>
                <w:sz w:val="20"/>
                <w:szCs w:val="20"/>
                <w:color w:val="auto"/>
              </w:rPr>
            </w:pPr>
            <w:r>
              <w:rPr>
                <w:rFonts w:ascii="Arial" w:cs="Arial" w:eastAsia="Arial" w:hAnsi="Arial"/>
                <w:sz w:val="19"/>
                <w:szCs w:val="19"/>
                <w:color w:val="auto"/>
              </w:rPr>
              <w:t>THE BOEING COMPANY</w:t>
            </w:r>
          </w:p>
        </w:tc>
        <w:tc>
          <w:tcPr>
            <w:tcW w:w="2820" w:type="dxa"/>
            <w:vAlign w:val="bottom"/>
          </w:tcPr>
          <w:p>
            <w:pPr>
              <w:spacing w:after="0"/>
              <w:rPr>
                <w:sz w:val="24"/>
                <w:szCs w:val="24"/>
                <w:color w:val="auto"/>
              </w:rPr>
            </w:pPr>
          </w:p>
        </w:tc>
      </w:tr>
      <w:tr>
        <w:trPr>
          <w:trHeight w:val="522"/>
        </w:trPr>
        <w:tc>
          <w:tcPr>
            <w:tcW w:w="660" w:type="dxa"/>
            <w:vAlign w:val="bottom"/>
          </w:tcPr>
          <w:p>
            <w:pPr>
              <w:ind w:left="20"/>
              <w:spacing w:after="0"/>
              <w:rPr>
                <w:sz w:val="20"/>
                <w:szCs w:val="20"/>
                <w:color w:val="auto"/>
              </w:rPr>
            </w:pPr>
            <w:r>
              <w:rPr>
                <w:rFonts w:ascii="Arial" w:cs="Arial" w:eastAsia="Arial" w:hAnsi="Arial"/>
                <w:sz w:val="19"/>
                <w:szCs w:val="19"/>
                <w:color w:val="auto"/>
              </w:rPr>
              <w:t>By</w:t>
            </w:r>
          </w:p>
        </w:tc>
        <w:tc>
          <w:tcPr>
            <w:tcW w:w="258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The Boeing Company</w:t>
            </w:r>
          </w:p>
        </w:tc>
        <w:tc>
          <w:tcPr>
            <w:tcW w:w="2820" w:type="dxa"/>
            <w:vAlign w:val="bottom"/>
            <w:tcBorders>
              <w:bottom w:val="single" w:sz="8" w:color="auto"/>
            </w:tcBorders>
          </w:tcPr>
          <w:p>
            <w:pPr>
              <w:spacing w:after="0"/>
              <w:rPr>
                <w:sz w:val="24"/>
                <w:szCs w:val="24"/>
                <w:color w:val="auto"/>
              </w:rPr>
            </w:pPr>
          </w:p>
        </w:tc>
      </w:tr>
      <w:tr>
        <w:trPr>
          <w:trHeight w:val="495"/>
        </w:trPr>
        <w:tc>
          <w:tcPr>
            <w:tcW w:w="660" w:type="dxa"/>
            <w:vAlign w:val="bottom"/>
          </w:tcPr>
          <w:p>
            <w:pPr>
              <w:ind w:left="20"/>
              <w:spacing w:after="0"/>
              <w:rPr>
                <w:sz w:val="20"/>
                <w:szCs w:val="20"/>
                <w:color w:val="auto"/>
              </w:rPr>
            </w:pPr>
            <w:r>
              <w:rPr>
                <w:rFonts w:ascii="Arial" w:cs="Arial" w:eastAsia="Arial" w:hAnsi="Arial"/>
                <w:sz w:val="19"/>
                <w:szCs w:val="19"/>
                <w:color w:val="auto"/>
              </w:rPr>
              <w:t>Its</w:t>
            </w:r>
          </w:p>
        </w:tc>
        <w:tc>
          <w:tcPr>
            <w:tcW w:w="258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Attorney-In-Fact</w:t>
            </w:r>
          </w:p>
        </w:tc>
        <w:tc>
          <w:tcPr>
            <w:tcW w:w="2820" w:type="dxa"/>
            <w:vAlign w:val="bottom"/>
            <w:tcBorders>
              <w:bottom w:val="single" w:sz="8" w:color="auto"/>
            </w:tcBorders>
          </w:tcPr>
          <w:p>
            <w:pPr>
              <w:spacing w:after="0"/>
              <w:rPr>
                <w:sz w:val="24"/>
                <w:szCs w:val="24"/>
                <w:color w:val="auto"/>
              </w:rPr>
            </w:pPr>
          </w:p>
        </w:tc>
      </w:tr>
      <w:tr>
        <w:trPr>
          <w:trHeight w:val="488"/>
        </w:trPr>
        <w:tc>
          <w:tcPr>
            <w:tcW w:w="3240" w:type="dxa"/>
            <w:vAlign w:val="bottom"/>
            <w:gridSpan w:val="3"/>
          </w:tcPr>
          <w:p>
            <w:pPr>
              <w:ind w:left="20"/>
              <w:spacing w:after="0"/>
              <w:rPr>
                <w:sz w:val="20"/>
                <w:szCs w:val="20"/>
                <w:color w:val="auto"/>
              </w:rPr>
            </w:pPr>
            <w:r>
              <w:rPr>
                <w:rFonts w:ascii="Arial" w:cs="Arial" w:eastAsia="Arial" w:hAnsi="Arial"/>
                <w:sz w:val="19"/>
                <w:szCs w:val="19"/>
                <w:color w:val="auto"/>
              </w:rPr>
              <w:t>ACCEPTED AND AGREED TO this</w:t>
            </w:r>
          </w:p>
        </w:tc>
        <w:tc>
          <w:tcPr>
            <w:tcW w:w="2820" w:type="dxa"/>
            <w:vAlign w:val="bottom"/>
          </w:tcPr>
          <w:p>
            <w:pPr>
              <w:spacing w:after="0"/>
              <w:rPr>
                <w:sz w:val="24"/>
                <w:szCs w:val="24"/>
                <w:color w:val="auto"/>
              </w:rPr>
            </w:pPr>
          </w:p>
        </w:tc>
      </w:tr>
      <w:tr>
        <w:trPr>
          <w:trHeight w:val="522"/>
        </w:trPr>
        <w:tc>
          <w:tcPr>
            <w:tcW w:w="660" w:type="dxa"/>
            <w:vAlign w:val="bottom"/>
          </w:tcPr>
          <w:p>
            <w:pPr>
              <w:ind w:left="20"/>
              <w:spacing w:after="0"/>
              <w:rPr>
                <w:sz w:val="20"/>
                <w:szCs w:val="20"/>
                <w:color w:val="auto"/>
              </w:rPr>
            </w:pPr>
            <w:r>
              <w:rPr>
                <w:rFonts w:ascii="Arial" w:cs="Arial" w:eastAsia="Arial" w:hAnsi="Arial"/>
                <w:sz w:val="19"/>
                <w:szCs w:val="19"/>
                <w:color w:val="auto"/>
              </w:rPr>
              <w:t>Date:</w:t>
            </w:r>
          </w:p>
        </w:tc>
        <w:tc>
          <w:tcPr>
            <w:tcW w:w="380" w:type="dxa"/>
            <w:vAlign w:val="bottom"/>
          </w:tcPr>
          <w:p>
            <w:pPr>
              <w:spacing w:after="0"/>
              <w:rPr>
                <w:sz w:val="24"/>
                <w:szCs w:val="24"/>
                <w:color w:val="auto"/>
              </w:rPr>
            </w:pPr>
          </w:p>
        </w:tc>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April 6, 2016</w:t>
            </w:r>
          </w:p>
        </w:tc>
        <w:tc>
          <w:tcPr>
            <w:tcW w:w="2820" w:type="dxa"/>
            <w:vAlign w:val="bottom"/>
            <w:tcBorders>
              <w:bottom w:val="single" w:sz="8" w:color="auto"/>
            </w:tcBorders>
          </w:tcPr>
          <w:p>
            <w:pPr>
              <w:spacing w:after="0"/>
              <w:rPr>
                <w:sz w:val="24"/>
                <w:szCs w:val="24"/>
                <w:color w:val="auto"/>
              </w:rPr>
            </w:pPr>
          </w:p>
        </w:tc>
      </w:tr>
      <w:tr>
        <w:trPr>
          <w:trHeight w:val="488"/>
        </w:trPr>
        <w:tc>
          <w:tcPr>
            <w:tcW w:w="3240" w:type="dxa"/>
            <w:vAlign w:val="bottom"/>
            <w:gridSpan w:val="3"/>
          </w:tcPr>
          <w:p>
            <w:pPr>
              <w:ind w:left="20"/>
              <w:spacing w:after="0"/>
              <w:rPr>
                <w:sz w:val="20"/>
                <w:szCs w:val="20"/>
                <w:color w:val="auto"/>
              </w:rPr>
            </w:pPr>
            <w:r>
              <w:rPr>
                <w:rFonts w:ascii="Arial" w:cs="Arial" w:eastAsia="Arial" w:hAnsi="Arial"/>
                <w:sz w:val="19"/>
                <w:szCs w:val="19"/>
                <w:color w:val="auto"/>
              </w:rPr>
              <w:t>AMERICAN AIRLINES, INC.</w:t>
            </w:r>
          </w:p>
        </w:tc>
        <w:tc>
          <w:tcPr>
            <w:tcW w:w="2820" w:type="dxa"/>
            <w:vAlign w:val="bottom"/>
          </w:tcPr>
          <w:p>
            <w:pPr>
              <w:spacing w:after="0"/>
              <w:rPr>
                <w:sz w:val="24"/>
                <w:szCs w:val="24"/>
                <w:color w:val="auto"/>
              </w:rPr>
            </w:pPr>
          </w:p>
        </w:tc>
      </w:tr>
      <w:tr>
        <w:trPr>
          <w:trHeight w:val="522"/>
        </w:trPr>
        <w:tc>
          <w:tcPr>
            <w:tcW w:w="660" w:type="dxa"/>
            <w:vAlign w:val="bottom"/>
          </w:tcPr>
          <w:p>
            <w:pPr>
              <w:ind w:left="20"/>
              <w:spacing w:after="0"/>
              <w:rPr>
                <w:sz w:val="20"/>
                <w:szCs w:val="20"/>
                <w:color w:val="auto"/>
              </w:rPr>
            </w:pPr>
            <w:r>
              <w:rPr>
                <w:rFonts w:ascii="Arial" w:cs="Arial" w:eastAsia="Arial" w:hAnsi="Arial"/>
                <w:sz w:val="19"/>
                <w:szCs w:val="19"/>
                <w:color w:val="auto"/>
              </w:rPr>
              <w:t>By</w:t>
            </w:r>
          </w:p>
        </w:tc>
        <w:tc>
          <w:tcPr>
            <w:tcW w:w="258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American Airlines, Inc.</w:t>
            </w:r>
          </w:p>
        </w:tc>
        <w:tc>
          <w:tcPr>
            <w:tcW w:w="2820" w:type="dxa"/>
            <w:vAlign w:val="bottom"/>
            <w:tcBorders>
              <w:bottom w:val="single" w:sz="8" w:color="auto"/>
            </w:tcBorders>
          </w:tcPr>
          <w:p>
            <w:pPr>
              <w:spacing w:after="0"/>
              <w:rPr>
                <w:sz w:val="24"/>
                <w:szCs w:val="24"/>
                <w:color w:val="auto"/>
              </w:rPr>
            </w:pPr>
          </w:p>
        </w:tc>
      </w:tr>
      <w:tr>
        <w:trPr>
          <w:trHeight w:val="495"/>
        </w:trPr>
        <w:tc>
          <w:tcPr>
            <w:tcW w:w="660" w:type="dxa"/>
            <w:vAlign w:val="bottom"/>
          </w:tcPr>
          <w:p>
            <w:pPr>
              <w:ind w:left="20"/>
              <w:spacing w:after="0"/>
              <w:rPr>
                <w:sz w:val="20"/>
                <w:szCs w:val="20"/>
                <w:color w:val="auto"/>
              </w:rPr>
            </w:pPr>
            <w:r>
              <w:rPr>
                <w:rFonts w:ascii="Arial" w:cs="Arial" w:eastAsia="Arial" w:hAnsi="Arial"/>
                <w:sz w:val="19"/>
                <w:szCs w:val="19"/>
                <w:color w:val="auto"/>
              </w:rPr>
              <w:t>Its</w:t>
            </w:r>
          </w:p>
        </w:tc>
        <w:tc>
          <w:tcPr>
            <w:tcW w:w="258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Vice President and Treasurer</w:t>
            </w:r>
          </w:p>
        </w:tc>
        <w:tc>
          <w:tcPr>
            <w:tcW w:w="2820" w:type="dxa"/>
            <w:vAlign w:val="bottom"/>
            <w:tcBorders>
              <w:bottom w:val="single" w:sz="8" w:color="auto"/>
            </w:tcBorders>
          </w:tcPr>
          <w:p>
            <w:pPr>
              <w:spacing w:after="0"/>
              <w:rPr>
                <w:sz w:val="24"/>
                <w:szCs w:val="24"/>
                <w:color w:val="auto"/>
              </w:rPr>
            </w:pPr>
          </w:p>
        </w:tc>
      </w:tr>
      <w:tr>
        <w:trPr>
          <w:trHeight w:val="829"/>
        </w:trPr>
        <w:tc>
          <w:tcPr>
            <w:tcW w:w="3240" w:type="dxa"/>
            <w:vAlign w:val="bottom"/>
            <w:gridSpan w:val="3"/>
          </w:tcPr>
          <w:p>
            <w:pPr>
              <w:spacing w:after="0"/>
              <w:rPr>
                <w:sz w:val="20"/>
                <w:szCs w:val="20"/>
                <w:color w:val="auto"/>
              </w:rPr>
            </w:pPr>
            <w:r>
              <w:rPr>
                <w:rFonts w:ascii="Arial" w:cs="Arial" w:eastAsia="Arial" w:hAnsi="Arial"/>
                <w:sz w:val="16"/>
                <w:szCs w:val="16"/>
                <w:color w:val="auto"/>
              </w:rPr>
              <w:t>AAL-PA-03735-LA-1801206</w:t>
            </w:r>
          </w:p>
        </w:tc>
        <w:tc>
          <w:tcPr>
            <w:tcW w:w="2820" w:type="dxa"/>
            <w:vAlign w:val="bottom"/>
          </w:tcPr>
          <w:p>
            <w:pPr>
              <w:ind w:left="60"/>
              <w:spacing w:after="0"/>
              <w:rPr>
                <w:sz w:val="20"/>
                <w:szCs w:val="20"/>
                <w:color w:val="auto"/>
              </w:rPr>
            </w:pPr>
            <w:r>
              <w:rPr>
                <w:rFonts w:ascii="Arial" w:cs="Arial" w:eastAsia="Arial" w:hAnsi="Arial"/>
                <w:sz w:val="16"/>
                <w:szCs w:val="16"/>
                <w:color w:val="auto"/>
              </w:rPr>
              <w:t>SA-9</w:t>
            </w:r>
          </w:p>
        </w:tc>
      </w:tr>
      <w:tr>
        <w:trPr>
          <w:trHeight w:val="187"/>
        </w:trPr>
        <w:tc>
          <w:tcPr>
            <w:tcW w:w="660" w:type="dxa"/>
            <w:vAlign w:val="bottom"/>
          </w:tcPr>
          <w:p>
            <w:pPr>
              <w:spacing w:after="0"/>
              <w:rPr>
                <w:sz w:val="20"/>
                <w:szCs w:val="20"/>
                <w:color w:val="auto"/>
              </w:rPr>
            </w:pPr>
            <w:r>
              <w:rPr>
                <w:rFonts w:ascii="Arial" w:cs="Arial" w:eastAsia="Arial" w:hAnsi="Arial"/>
                <w:sz w:val="16"/>
                <w:szCs w:val="16"/>
                <w:color w:val="auto"/>
              </w:rPr>
              <w:t>[*CTR]</w:t>
            </w:r>
          </w:p>
        </w:tc>
        <w:tc>
          <w:tcPr>
            <w:tcW w:w="380" w:type="dxa"/>
            <w:vAlign w:val="bottom"/>
          </w:tcPr>
          <w:p>
            <w:pPr>
              <w:spacing w:after="0"/>
              <w:rPr>
                <w:sz w:val="16"/>
                <w:szCs w:val="16"/>
                <w:color w:val="auto"/>
              </w:rPr>
            </w:pPr>
          </w:p>
        </w:tc>
        <w:tc>
          <w:tcPr>
            <w:tcW w:w="2200" w:type="dxa"/>
            <w:vAlign w:val="bottom"/>
          </w:tcPr>
          <w:p>
            <w:pPr>
              <w:ind w:left="1320"/>
              <w:spacing w:after="0"/>
              <w:rPr>
                <w:sz w:val="20"/>
                <w:szCs w:val="20"/>
                <w:color w:val="auto"/>
              </w:rPr>
            </w:pPr>
            <w:r>
              <w:rPr>
                <w:rFonts w:ascii="Arial" w:cs="Arial" w:eastAsia="Arial" w:hAnsi="Arial"/>
                <w:sz w:val="16"/>
                <w:szCs w:val="16"/>
                <w:color w:val="auto"/>
              </w:rPr>
              <w:t>Page 3 of 3</w:t>
            </w:r>
          </w:p>
        </w:tc>
        <w:tc>
          <w:tcPr>
            <w:tcW w:w="2820" w:type="dxa"/>
            <w:vAlign w:val="bottom"/>
          </w:tcPr>
          <w:p>
            <w:pPr>
              <w:spacing w:after="0"/>
              <w:rPr>
                <w:sz w:val="16"/>
                <w:szCs w:val="16"/>
                <w:color w:val="auto"/>
              </w:rPr>
            </w:pPr>
          </w:p>
        </w:tc>
      </w:tr>
    </w:tbl>
    <w:p>
      <w:pPr>
        <w:ind w:left="4840"/>
        <w:spacing w:after="0"/>
        <w:rPr>
          <w:sz w:val="20"/>
          <w:szCs w:val="20"/>
          <w:color w:val="auto"/>
        </w:rPr>
      </w:pPr>
      <w:r>
        <w:rPr>
          <w:rFonts w:ascii="Arial" w:cs="Arial" w:eastAsia="Arial" w:hAnsi="Arial"/>
          <w:sz w:val="16"/>
          <w:szCs w:val="16"/>
          <w:b w:val="1"/>
          <w:bCs w:val="1"/>
          <w:color w:val="auto"/>
        </w:rPr>
        <w:t>BOEING PROPRIETARY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440" w:right="11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00" w:type="dxa"/>
            <w:vAlign w:val="bottom"/>
            <w:gridSpan w:val="2"/>
          </w:tcPr>
          <w:p>
            <w:pPr>
              <w:jc w:val="right"/>
              <w:spacing w:after="0"/>
              <w:rPr>
                <w:sz w:val="20"/>
                <w:szCs w:val="20"/>
                <w:color w:val="auto"/>
              </w:rPr>
            </w:pPr>
            <w:r>
              <w:rPr>
                <w:rFonts w:ascii="Arial" w:cs="Arial" w:eastAsia="Arial" w:hAnsi="Arial"/>
                <w:sz w:val="11"/>
                <w:szCs w:val="11"/>
                <w:color w:val="808080"/>
              </w:rPr>
              <w:t>The Boeing Company</w:t>
            </w:r>
          </w:p>
        </w:tc>
      </w:tr>
      <w:tr>
        <w:trPr>
          <w:trHeight w:val="129"/>
        </w:trPr>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00" w:type="dxa"/>
            <w:vAlign w:val="bottom"/>
            <w:gridSpan w:val="2"/>
          </w:tcPr>
          <w:p>
            <w:pPr>
              <w:jc w:val="right"/>
              <w:spacing w:after="0"/>
              <w:rPr>
                <w:sz w:val="20"/>
                <w:szCs w:val="20"/>
                <w:color w:val="auto"/>
              </w:rPr>
            </w:pPr>
            <w:r>
              <w:rPr>
                <w:rFonts w:ascii="Arial" w:cs="Arial" w:eastAsia="Arial" w:hAnsi="Arial"/>
                <w:sz w:val="11"/>
                <w:szCs w:val="11"/>
                <w:color w:val="808080"/>
              </w:rPr>
              <w:t>P.O. Box 3707</w:t>
            </w:r>
          </w:p>
        </w:tc>
      </w:tr>
      <w:tr>
        <w:trPr>
          <w:trHeight w:val="131"/>
        </w:trPr>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500" w:type="dxa"/>
            <w:vAlign w:val="bottom"/>
            <w:gridSpan w:val="2"/>
          </w:tcPr>
          <w:p>
            <w:pPr>
              <w:jc w:val="right"/>
              <w:spacing w:after="0" w:line="127" w:lineRule="exact"/>
              <w:rPr>
                <w:sz w:val="20"/>
                <w:szCs w:val="20"/>
                <w:color w:val="auto"/>
              </w:rPr>
            </w:pPr>
            <w:r>
              <w:rPr>
                <w:rFonts w:ascii="Arial" w:cs="Arial" w:eastAsia="Arial" w:hAnsi="Arial"/>
                <w:sz w:val="11"/>
                <w:szCs w:val="11"/>
                <w:color w:val="808080"/>
              </w:rPr>
              <w:t>Seattle, WA 98124</w:t>
            </w:r>
            <w:r>
              <w:rPr>
                <w:rFonts w:ascii="MS PGothic" w:cs="MS PGothic" w:eastAsia="MS PGothic" w:hAnsi="MS PGothic"/>
                <w:sz w:val="11"/>
                <w:szCs w:val="11"/>
                <w:color w:val="808080"/>
              </w:rPr>
              <w:t>‑</w:t>
            </w:r>
            <w:r>
              <w:rPr>
                <w:rFonts w:ascii="Arial" w:cs="Arial" w:eastAsia="Arial" w:hAnsi="Arial"/>
                <w:sz w:val="11"/>
                <w:szCs w:val="11"/>
                <w:color w:val="808080"/>
              </w:rPr>
              <w:t>2207</w:t>
            </w:r>
          </w:p>
        </w:tc>
      </w:tr>
      <w:tr>
        <w:trPr>
          <w:trHeight w:val="518"/>
        </w:trPr>
        <w:tc>
          <w:tcPr>
            <w:tcW w:w="300" w:type="dxa"/>
            <w:vAlign w:val="bottom"/>
          </w:tcPr>
          <w:p>
            <w:pPr>
              <w:spacing w:after="0"/>
              <w:rPr>
                <w:sz w:val="24"/>
                <w:szCs w:val="24"/>
                <w:color w:val="auto"/>
              </w:rPr>
            </w:pPr>
          </w:p>
        </w:tc>
        <w:tc>
          <w:tcPr>
            <w:tcW w:w="2380" w:type="dxa"/>
            <w:vAlign w:val="bottom"/>
            <w:tcBorders>
              <w:bottom w:val="single" w:sz="8" w:color="00000A"/>
            </w:tcBorders>
          </w:tcPr>
          <w:p>
            <w:pPr>
              <w:spacing w:after="0"/>
              <w:rPr>
                <w:sz w:val="24"/>
                <w:szCs w:val="24"/>
                <w:color w:val="auto"/>
              </w:rPr>
            </w:pPr>
          </w:p>
        </w:tc>
        <w:tc>
          <w:tcPr>
            <w:tcW w:w="4260" w:type="dxa"/>
            <w:vAlign w:val="bottom"/>
            <w:tcBorders>
              <w:bottom w:val="single" w:sz="8" w:color="00000A"/>
            </w:tcBorders>
          </w:tcPr>
          <w:p>
            <w:pPr>
              <w:spacing w:after="0"/>
              <w:rPr>
                <w:sz w:val="24"/>
                <w:szCs w:val="24"/>
                <w:color w:val="auto"/>
              </w:rPr>
            </w:pPr>
          </w:p>
        </w:tc>
        <w:tc>
          <w:tcPr>
            <w:tcW w:w="4260" w:type="dxa"/>
            <w:vAlign w:val="bottom"/>
            <w:tcBorders>
              <w:bottom w:val="single" w:sz="8" w:color="00000A"/>
            </w:tcBorders>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300" w:type="dxa"/>
            <w:vAlign w:val="bottom"/>
            <w:tcBorders>
              <w:right w:val="single" w:sz="8" w:color="00000A"/>
            </w:tcBorders>
          </w:tcPr>
          <w:p>
            <w:pPr>
              <w:spacing w:after="0"/>
              <w:rPr>
                <w:sz w:val="19"/>
                <w:szCs w:val="19"/>
                <w:color w:val="auto"/>
              </w:rPr>
            </w:pPr>
          </w:p>
        </w:tc>
        <w:tc>
          <w:tcPr>
            <w:tcW w:w="2380" w:type="dxa"/>
            <w:vAlign w:val="bottom"/>
            <w:tcBorders>
              <w:bottom w:val="single" w:sz="8" w:color="00000A"/>
              <w:right w:val="single" w:sz="8" w:color="D9D9D9"/>
            </w:tcBorders>
            <w:shd w:val="clear" w:color="auto" w:fill="D9D9D9"/>
          </w:tcPr>
          <w:p>
            <w:pPr>
              <w:spacing w:after="0"/>
              <w:rPr>
                <w:sz w:val="19"/>
                <w:szCs w:val="19"/>
                <w:color w:val="auto"/>
              </w:rPr>
            </w:pPr>
          </w:p>
        </w:tc>
        <w:tc>
          <w:tcPr>
            <w:tcW w:w="8520" w:type="dxa"/>
            <w:vAlign w:val="bottom"/>
            <w:tcBorders>
              <w:bottom w:val="single" w:sz="8" w:color="00000A"/>
              <w:right w:val="single" w:sz="8" w:color="00000A"/>
            </w:tcBorders>
            <w:gridSpan w:val="2"/>
            <w:shd w:val="clear" w:color="auto" w:fill="D9D9D9"/>
          </w:tcPr>
          <w:p>
            <w:pPr>
              <w:ind w:left="1260"/>
              <w:spacing w:after="0"/>
              <w:rPr>
                <w:sz w:val="20"/>
                <w:szCs w:val="20"/>
                <w:color w:val="auto"/>
              </w:rPr>
            </w:pPr>
            <w:r>
              <w:rPr>
                <w:rFonts w:ascii="Arial" w:cs="Arial" w:eastAsia="Arial" w:hAnsi="Arial"/>
                <w:sz w:val="17"/>
                <w:szCs w:val="17"/>
                <w:b w:val="1"/>
                <w:bCs w:val="1"/>
                <w:color w:val="auto"/>
              </w:rPr>
              <w:t>Attachment A to AAL-PA-03735-LA-1801206</w:t>
            </w:r>
          </w:p>
        </w:tc>
        <w:tc>
          <w:tcPr>
            <w:tcW w:w="240" w:type="dxa"/>
            <w:vAlign w:val="bottom"/>
          </w:tcPr>
          <w:p>
            <w:pPr>
              <w:spacing w:after="0"/>
              <w:rPr>
                <w:sz w:val="19"/>
                <w:szCs w:val="19"/>
                <w:color w:val="auto"/>
              </w:rPr>
            </w:pPr>
          </w:p>
        </w:tc>
      </w:tr>
      <w:tr>
        <w:trPr>
          <w:trHeight w:val="226"/>
        </w:trPr>
        <w:tc>
          <w:tcPr>
            <w:tcW w:w="300" w:type="dxa"/>
            <w:vAlign w:val="bottom"/>
            <w:tcBorders>
              <w:right w:val="single" w:sz="8" w:color="00000A"/>
            </w:tcBorders>
          </w:tcPr>
          <w:p>
            <w:pPr>
              <w:spacing w:after="0"/>
              <w:rPr>
                <w:sz w:val="19"/>
                <w:szCs w:val="19"/>
                <w:color w:val="auto"/>
              </w:rPr>
            </w:pPr>
          </w:p>
        </w:tc>
        <w:tc>
          <w:tcPr>
            <w:tcW w:w="2380" w:type="dxa"/>
            <w:vAlign w:val="bottom"/>
            <w:tcBorders>
              <w:bottom w:val="single" w:sz="8" w:color="00000A"/>
              <w:right w:val="single" w:sz="8" w:color="00000A"/>
            </w:tcBorders>
            <w:shd w:val="clear" w:color="auto" w:fill="D9D9D9"/>
          </w:tcPr>
          <w:p>
            <w:pPr>
              <w:spacing w:after="0"/>
              <w:rPr>
                <w:sz w:val="19"/>
                <w:szCs w:val="19"/>
                <w:color w:val="auto"/>
              </w:rPr>
            </w:pPr>
          </w:p>
        </w:tc>
        <w:tc>
          <w:tcPr>
            <w:tcW w:w="4260" w:type="dxa"/>
            <w:vAlign w:val="bottom"/>
            <w:tcBorders>
              <w:bottom w:val="single" w:sz="8" w:color="00000A"/>
              <w:right w:val="single" w:sz="8" w:color="00000A"/>
            </w:tcBorders>
            <w:shd w:val="clear" w:color="auto" w:fill="D9D9D9"/>
          </w:tcPr>
          <w:p>
            <w:pPr>
              <w:ind w:left="780"/>
              <w:spacing w:after="0"/>
              <w:rPr>
                <w:sz w:val="20"/>
                <w:szCs w:val="20"/>
                <w:color w:val="auto"/>
              </w:rPr>
            </w:pPr>
            <w:r>
              <w:rPr>
                <w:rFonts w:ascii="Arial" w:cs="Arial" w:eastAsia="Arial" w:hAnsi="Arial"/>
                <w:sz w:val="17"/>
                <w:szCs w:val="17"/>
                <w:b w:val="1"/>
                <w:bCs w:val="1"/>
                <w:color w:val="auto"/>
              </w:rPr>
              <w:t>Original Contract Delivery Month</w:t>
            </w:r>
          </w:p>
        </w:tc>
        <w:tc>
          <w:tcPr>
            <w:tcW w:w="4260" w:type="dxa"/>
            <w:vAlign w:val="bottom"/>
            <w:tcBorders>
              <w:bottom w:val="single" w:sz="8" w:color="00000A"/>
              <w:right w:val="single" w:sz="8" w:color="00000A"/>
            </w:tcBorders>
            <w:shd w:val="clear" w:color="auto" w:fill="D9D9D9"/>
          </w:tcPr>
          <w:p>
            <w:pPr>
              <w:ind w:left="780"/>
              <w:spacing w:after="0"/>
              <w:rPr>
                <w:sz w:val="20"/>
                <w:szCs w:val="20"/>
                <w:color w:val="auto"/>
              </w:rPr>
            </w:pPr>
            <w:r>
              <w:rPr>
                <w:rFonts w:ascii="Arial" w:cs="Arial" w:eastAsia="Arial" w:hAnsi="Arial"/>
                <w:sz w:val="17"/>
                <w:szCs w:val="17"/>
                <w:b w:val="1"/>
                <w:bCs w:val="1"/>
                <w:color w:val="auto"/>
              </w:rPr>
              <w:t>Original Contract Delivery Month</w:t>
            </w:r>
          </w:p>
        </w:tc>
        <w:tc>
          <w:tcPr>
            <w:tcW w:w="240" w:type="dxa"/>
            <w:vAlign w:val="bottom"/>
          </w:tcPr>
          <w:p>
            <w:pPr>
              <w:spacing w:after="0"/>
              <w:rPr>
                <w:sz w:val="19"/>
                <w:szCs w:val="19"/>
                <w:color w:val="auto"/>
              </w:rPr>
            </w:pPr>
          </w:p>
        </w:tc>
      </w:tr>
      <w:tr>
        <w:trPr>
          <w:trHeight w:val="246"/>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1</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2</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3</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4</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5</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6</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7</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8</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75"/>
              </w:rPr>
              <w:t>9</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10</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4"/>
              </w:rPr>
              <w:t>11</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12</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13</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14</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15</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16</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17</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18</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19</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20</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21</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22</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23</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24</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25</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26</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27</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28</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29</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30</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31</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32</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33</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34</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35</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36</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37</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38</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39</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249"/>
        </w:trPr>
        <w:tc>
          <w:tcPr>
            <w:tcW w:w="300" w:type="dxa"/>
            <w:vAlign w:val="bottom"/>
            <w:tcBorders>
              <w:right w:val="single" w:sz="8" w:color="00000A"/>
            </w:tcBorders>
          </w:tcPr>
          <w:p>
            <w:pPr>
              <w:spacing w:after="0"/>
              <w:rPr>
                <w:sz w:val="21"/>
                <w:szCs w:val="21"/>
                <w:color w:val="auto"/>
              </w:rPr>
            </w:pP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4"/>
              </w:rPr>
              <w:t>40</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4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[*CTR]</w:t>
            </w:r>
          </w:p>
        </w:tc>
        <w:tc>
          <w:tcPr>
            <w:tcW w:w="240" w:type="dxa"/>
            <w:vAlign w:val="bottom"/>
          </w:tcPr>
          <w:p>
            <w:pPr>
              <w:spacing w:after="0"/>
              <w:rPr>
                <w:sz w:val="21"/>
                <w:szCs w:val="21"/>
                <w:color w:val="auto"/>
              </w:rPr>
            </w:pPr>
          </w:p>
        </w:tc>
      </w:tr>
      <w:tr>
        <w:trPr>
          <w:trHeight w:val="441"/>
        </w:trPr>
        <w:tc>
          <w:tcPr>
            <w:tcW w:w="2680" w:type="dxa"/>
            <w:vAlign w:val="bottom"/>
            <w:gridSpan w:val="2"/>
          </w:tcPr>
          <w:p>
            <w:pPr>
              <w:spacing w:after="0"/>
              <w:rPr>
                <w:sz w:val="20"/>
                <w:szCs w:val="20"/>
                <w:color w:val="auto"/>
              </w:rPr>
            </w:pPr>
            <w:r>
              <w:rPr>
                <w:rFonts w:ascii="Arial" w:cs="Arial" w:eastAsia="Arial" w:hAnsi="Arial"/>
                <w:sz w:val="19"/>
                <w:szCs w:val="19"/>
                <w:color w:val="auto"/>
              </w:rPr>
              <w:t>PA No. 3735</w:t>
            </w:r>
          </w:p>
        </w:tc>
        <w:tc>
          <w:tcPr>
            <w:tcW w:w="4260" w:type="dxa"/>
            <w:vAlign w:val="bottom"/>
          </w:tcPr>
          <w:p>
            <w:pPr>
              <w:ind w:left="240"/>
              <w:spacing w:after="0"/>
              <w:rPr>
                <w:sz w:val="20"/>
                <w:szCs w:val="20"/>
                <w:color w:val="auto"/>
              </w:rPr>
            </w:pPr>
            <w:r>
              <w:rPr>
                <w:rFonts w:ascii="Arial" w:cs="Arial" w:eastAsia="Arial" w:hAnsi="Arial"/>
                <w:sz w:val="19"/>
                <w:szCs w:val="19"/>
                <w:color w:val="auto"/>
              </w:rPr>
              <w:t>SA-9</w:t>
            </w: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Attachment A to AAL-PA-03735-LA-1801206</w:t>
      </w:r>
    </w:p>
    <w:p>
      <w:pPr>
        <w:sectPr>
          <w:pgSz w:w="11900" w:h="16838" w:orient="portrait"/>
          <w:cols w:equalWidth="0" w:num="1">
            <w:col w:w="11440"/>
          </w:cols>
          <w:pgMar w:left="240" w:top="626" w:right="219" w:bottom="1440" w:gutter="0" w:footer="0" w:header="0"/>
        </w:sect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0"/>
          </w:cols>
          <w:pgMar w:left="240" w:top="626" w:right="219" w:bottom="1440" w:gutter="0" w:footer="0" w:header="0"/>
          <w:type w:val="continuous"/>
        </w:sectPr>
      </w:pPr>
    </w:p>
    <w:bookmarkStart w:id="231" w:name="page232"/>
    <w:bookmarkEnd w:id="231"/>
    <w:p>
      <w:pPr>
        <w:jc w:val="right"/>
        <w:spacing w:after="0"/>
        <w:rPr>
          <w:sz w:val="20"/>
          <w:szCs w:val="20"/>
          <w:color w:val="auto"/>
        </w:rPr>
      </w:pPr>
      <w:r>
        <w:rPr>
          <w:rFonts w:ascii="Arial" w:cs="Arial" w:eastAsia="Arial" w:hAnsi="Arial"/>
          <w:sz w:val="11"/>
          <w:szCs w:val="11"/>
          <w:color w:val="808080"/>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The Boeing Company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808080"/>
        </w:rPr>
        <w:t>P.O. Box 3707</w:t>
      </w:r>
    </w:p>
    <w:p>
      <w:pPr>
        <w:spacing w:after="0" w:line="2" w:lineRule="exact"/>
        <w:rPr>
          <w:sz w:val="20"/>
          <w:szCs w:val="20"/>
          <w:color w:val="auto"/>
        </w:rPr>
      </w:pPr>
    </w:p>
    <w:p>
      <w:pPr>
        <w:jc w:val="right"/>
        <w:spacing w:after="0" w:line="127" w:lineRule="exact"/>
        <w:rPr>
          <w:sz w:val="20"/>
          <w:szCs w:val="20"/>
          <w:color w:val="auto"/>
        </w:rPr>
      </w:pPr>
      <w:r>
        <w:rPr>
          <w:rFonts w:ascii="Arial" w:cs="Arial" w:eastAsia="Arial" w:hAnsi="Arial"/>
          <w:sz w:val="11"/>
          <w:szCs w:val="11"/>
          <w:color w:val="808080"/>
        </w:rPr>
        <w:t>Seattle, WA 98124</w:t>
      </w:r>
      <w:r>
        <w:rPr>
          <w:rFonts w:ascii="MS PGothic" w:cs="MS PGothic" w:eastAsia="MS PGothic" w:hAnsi="MS PGothic"/>
          <w:sz w:val="11"/>
          <w:szCs w:val="11"/>
          <w:color w:val="808080"/>
        </w:rPr>
        <w:t>‑</w:t>
      </w:r>
      <w:r>
        <w:rPr>
          <w:rFonts w:ascii="Arial" w:cs="Arial" w:eastAsia="Arial" w:hAnsi="Arial"/>
          <w:sz w:val="11"/>
          <w:szCs w:val="11"/>
          <w:color w:val="808080"/>
        </w:rPr>
        <w:t>2207</w:t>
      </w:r>
    </w:p>
    <w:p>
      <w:pPr>
        <w:spacing w:after="0" w:line="200" w:lineRule="exact"/>
        <w:rPr>
          <w:sz w:val="20"/>
          <w:szCs w:val="20"/>
          <w:color w:val="auto"/>
        </w:rPr>
      </w:pPr>
    </w:p>
    <w:p>
      <w:pPr>
        <w:spacing w:after="0" w:line="305" w:lineRule="exact"/>
        <w:rPr>
          <w:sz w:val="20"/>
          <w:szCs w:val="20"/>
          <w:color w:val="auto"/>
        </w:rPr>
      </w:pPr>
    </w:p>
    <w:p>
      <w:pPr>
        <w:ind w:left="6"/>
        <w:spacing w:after="0"/>
        <w:rPr>
          <w:sz w:val="20"/>
          <w:szCs w:val="20"/>
          <w:color w:val="auto"/>
        </w:rPr>
      </w:pPr>
      <w:r>
        <w:rPr>
          <w:rFonts w:ascii="Arial" w:cs="Arial" w:eastAsia="Arial" w:hAnsi="Arial"/>
          <w:sz w:val="19"/>
          <w:szCs w:val="19"/>
          <w:color w:val="auto"/>
        </w:rPr>
        <w:t>AAL-PA-03735-LA-1106650R3</w:t>
      </w:r>
    </w:p>
    <w:p>
      <w:pPr>
        <w:spacing w:after="0" w:line="378"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Dallas-Fort Worth Airport, Texas 75261-9616</w:t>
      </w:r>
    </w:p>
    <w:p>
      <w:pPr>
        <w:spacing w:after="0" w:line="200" w:lineRule="exact"/>
        <w:rPr>
          <w:sz w:val="20"/>
          <w:szCs w:val="20"/>
          <w:color w:val="auto"/>
        </w:rPr>
      </w:pPr>
    </w:p>
    <w:p>
      <w:pPr>
        <w:spacing w:after="0" w:line="213" w:lineRule="exact"/>
        <w:rPr>
          <w:sz w:val="20"/>
          <w:szCs w:val="20"/>
          <w:color w:val="auto"/>
        </w:rPr>
      </w:pPr>
    </w:p>
    <w:p>
      <w:pPr>
        <w:ind w:left="6"/>
        <w:spacing w:after="0"/>
        <w:tabs>
          <w:tab w:leader="none" w:pos="1106" w:val="left"/>
        </w:tabs>
        <w:rPr>
          <w:sz w:val="20"/>
          <w:szCs w:val="20"/>
          <w:color w:val="auto"/>
        </w:rPr>
      </w:pPr>
      <w:r>
        <w:rPr>
          <w:rFonts w:ascii="Arial" w:cs="Arial" w:eastAsia="Arial" w:hAnsi="Arial"/>
          <w:sz w:val="19"/>
          <w:szCs w:val="19"/>
          <w:color w:val="auto"/>
        </w:rPr>
        <w:t>Subject:</w:t>
      </w:r>
      <w:r>
        <w:rPr>
          <w:sz w:val="20"/>
          <w:szCs w:val="20"/>
          <w:color w:val="auto"/>
        </w:rPr>
        <w:tab/>
      </w:r>
      <w:r>
        <w:rPr>
          <w:rFonts w:ascii="Arial" w:cs="Arial" w:eastAsia="Arial" w:hAnsi="Arial"/>
          <w:sz w:val="19"/>
          <w:szCs w:val="19"/>
          <w:color w:val="auto"/>
        </w:rPr>
        <w:t>[*CTR]</w:t>
      </w:r>
    </w:p>
    <w:p>
      <w:pPr>
        <w:spacing w:after="0" w:line="298" w:lineRule="exact"/>
        <w:rPr>
          <w:sz w:val="20"/>
          <w:szCs w:val="20"/>
          <w:color w:val="auto"/>
        </w:rPr>
      </w:pPr>
    </w:p>
    <w:p>
      <w:pPr>
        <w:ind w:left="1126" w:hanging="1119"/>
        <w:spacing w:after="0" w:line="275" w:lineRule="auto"/>
        <w:tabs>
          <w:tab w:leader="none" w:pos="1106" w:val="left"/>
        </w:tabs>
        <w:rPr>
          <w:sz w:val="20"/>
          <w:szCs w:val="20"/>
          <w:color w:val="auto"/>
        </w:rPr>
      </w:pPr>
      <w:r>
        <w:rPr>
          <w:rFonts w:ascii="Arial" w:cs="Arial" w:eastAsia="Arial" w:hAnsi="Arial"/>
          <w:sz w:val="19"/>
          <w:szCs w:val="19"/>
          <w:color w:val="auto"/>
        </w:rPr>
        <w:t>Reference:</w:t>
        <w:tab/>
        <w:t>Purchase Agreement No. 03735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737 MAX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pacing w:after="0" w:line="376" w:lineRule="exact"/>
        <w:rPr>
          <w:sz w:val="20"/>
          <w:szCs w:val="20"/>
          <w:color w:val="auto"/>
        </w:rPr>
      </w:pPr>
    </w:p>
    <w:p>
      <w:pPr>
        <w:ind w:left="6" w:right="20" w:firstLine="561"/>
        <w:spacing w:after="0" w:line="27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shall have the same meaning as in the Purchase Agreement.</w:t>
      </w:r>
    </w:p>
    <w:p>
      <w:pPr>
        <w:spacing w:after="0" w:line="153" w:lineRule="exact"/>
        <w:rPr>
          <w:sz w:val="20"/>
          <w:szCs w:val="20"/>
          <w:color w:val="auto"/>
        </w:rPr>
      </w:pPr>
    </w:p>
    <w:p>
      <w:pPr>
        <w:ind w:left="6" w:right="20" w:firstLine="561"/>
        <w:spacing w:after="0" w:line="251" w:lineRule="auto"/>
        <w:rPr>
          <w:sz w:val="20"/>
          <w:szCs w:val="20"/>
          <w:color w:val="auto"/>
        </w:rPr>
      </w:pPr>
      <w:r>
        <w:rPr>
          <w:rFonts w:ascii="Arial" w:cs="Arial" w:eastAsia="Arial" w:hAnsi="Arial"/>
          <w:sz w:val="19"/>
          <w:szCs w:val="19"/>
          <w:color w:val="auto"/>
        </w:rPr>
        <w:t>The Purchase Agreement incorporates the terms and conditions of the AGTA. This Letter Agreement modifies certain terms and conditions of the AGTA and the Purchase Agreement with respect to the Aircraft.</w:t>
      </w:r>
    </w:p>
    <w:p>
      <w:pPr>
        <w:spacing w:after="0" w:line="175" w:lineRule="exact"/>
        <w:rPr>
          <w:sz w:val="20"/>
          <w:szCs w:val="20"/>
          <w:color w:val="auto"/>
        </w:rPr>
      </w:pPr>
    </w:p>
    <w:p>
      <w:pPr>
        <w:ind w:left="726" w:hanging="726"/>
        <w:spacing w:after="0"/>
        <w:tabs>
          <w:tab w:leader="none" w:pos="726"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[*CTR].</w:t>
      </w:r>
    </w:p>
    <w:p>
      <w:pPr>
        <w:spacing w:after="0" w:line="190" w:lineRule="exact"/>
        <w:rPr>
          <w:rFonts w:ascii="Arial" w:cs="Arial" w:eastAsia="Arial" w:hAnsi="Arial"/>
          <w:sz w:val="19"/>
          <w:szCs w:val="19"/>
          <w:color w:val="auto"/>
        </w:rPr>
      </w:pPr>
    </w:p>
    <w:p>
      <w:pPr>
        <w:ind w:left="566"/>
        <w:spacing w:after="0"/>
        <w:rPr>
          <w:rFonts w:ascii="Arial" w:cs="Arial" w:eastAsia="Arial" w:hAnsi="Arial"/>
          <w:sz w:val="19"/>
          <w:szCs w:val="19"/>
          <w:color w:val="auto"/>
        </w:rPr>
      </w:pPr>
      <w:r>
        <w:rPr>
          <w:rFonts w:ascii="Arial" w:cs="Arial" w:eastAsia="Arial" w:hAnsi="Arial"/>
          <w:sz w:val="19"/>
          <w:szCs w:val="19"/>
          <w:color w:val="auto"/>
        </w:rPr>
        <w:t>[*CTR]:</w:t>
      </w:r>
    </w:p>
    <w:p>
      <w:pPr>
        <w:spacing w:after="0" w:line="200" w:lineRule="exact"/>
        <w:rPr>
          <w:sz w:val="20"/>
          <w:szCs w:val="20"/>
          <w:color w:val="auto"/>
        </w:rPr>
      </w:pPr>
    </w:p>
    <w:p>
      <w:pPr>
        <w:spacing w:after="0" w:line="304" w:lineRule="exact"/>
        <w:rPr>
          <w:sz w:val="20"/>
          <w:szCs w:val="20"/>
          <w:color w:val="auto"/>
        </w:rPr>
      </w:pPr>
    </w:p>
    <w:tbl>
      <w:tblPr>
        <w:tblLayout w:type="fixed"/>
        <w:tblInd w:w="16" w:type="dxa"/>
        <w:tblCellMar>
          <w:top w:w="0" w:type="dxa"/>
          <w:left w:w="0" w:type="dxa"/>
          <w:bottom w:w="0" w:type="dxa"/>
          <w:right w:w="0" w:type="dxa"/>
        </w:tblCellMar>
      </w:tblPr>
      <w:tr>
        <w:trPr>
          <w:trHeight w:val="264"/>
        </w:trPr>
        <w:tc>
          <w:tcPr>
            <w:tcW w:w="300" w:type="dxa"/>
            <w:vAlign w:val="bottom"/>
            <w:tcBorders>
              <w:top w:val="single" w:sz="8" w:color="auto"/>
              <w:left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9"/>
                <w:szCs w:val="19"/>
                <w:b w:val="1"/>
                <w:bCs w:val="1"/>
                <w:color w:val="auto"/>
              </w:rPr>
              <w:t>[*CTR]</w:t>
            </w:r>
          </w:p>
        </w:tc>
        <w:tc>
          <w:tcPr>
            <w:tcW w:w="1840" w:type="dxa"/>
            <w:vAlign w:val="bottom"/>
            <w:tcBorders>
              <w:top w:val="single" w:sz="8" w:color="auto"/>
              <w:bottom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[*CTR]</w:t>
            </w:r>
          </w:p>
        </w:tc>
        <w:tc>
          <w:tcPr>
            <w:tcW w:w="142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[*CTR]</w:t>
            </w:r>
          </w:p>
        </w:tc>
      </w:tr>
      <w:tr>
        <w:trPr>
          <w:trHeight w:val="240"/>
        </w:trPr>
        <w:tc>
          <w:tcPr>
            <w:tcW w:w="3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ind w:left="1420"/>
              <w:spacing w:after="0"/>
              <w:rPr>
                <w:sz w:val="20"/>
                <w:szCs w:val="20"/>
                <w:color w:val="auto"/>
              </w:rPr>
            </w:pPr>
            <w:r>
              <w:rPr>
                <w:rFonts w:ascii="Arial" w:cs="Arial" w:eastAsia="Arial" w:hAnsi="Arial"/>
                <w:sz w:val="19"/>
                <w:szCs w:val="19"/>
                <w:color w:val="auto"/>
              </w:rPr>
              <w:t>[*CTR]</w:t>
            </w:r>
          </w:p>
        </w:tc>
        <w:tc>
          <w:tcPr>
            <w:tcW w:w="184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color w:val="auto"/>
              </w:rPr>
              <w:t>[*CTR]</w:t>
            </w:r>
          </w:p>
        </w:tc>
        <w:tc>
          <w:tcPr>
            <w:tcW w:w="1420" w:type="dxa"/>
            <w:vAlign w:val="bottom"/>
          </w:tcPr>
          <w:p>
            <w:pPr>
              <w:spacing w:after="0"/>
              <w:rPr>
                <w:sz w:val="20"/>
                <w:szCs w:val="20"/>
                <w:color w:val="auto"/>
              </w:rPr>
            </w:pPr>
          </w:p>
        </w:tc>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[*CTR]</w:t>
            </w:r>
          </w:p>
        </w:tc>
      </w:tr>
      <w:tr>
        <w:trPr>
          <w:trHeight w:val="108"/>
        </w:trPr>
        <w:tc>
          <w:tcPr>
            <w:tcW w:w="30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35"/>
        </w:trPr>
        <w:tc>
          <w:tcPr>
            <w:tcW w:w="3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ind w:left="1420"/>
              <w:spacing w:after="0"/>
              <w:rPr>
                <w:sz w:val="20"/>
                <w:szCs w:val="20"/>
                <w:color w:val="auto"/>
              </w:rPr>
            </w:pPr>
            <w:r>
              <w:rPr>
                <w:rFonts w:ascii="Arial" w:cs="Arial" w:eastAsia="Arial" w:hAnsi="Arial"/>
                <w:sz w:val="19"/>
                <w:szCs w:val="19"/>
                <w:color w:val="auto"/>
              </w:rPr>
              <w:t>[*CTR]</w:t>
            </w:r>
          </w:p>
        </w:tc>
        <w:tc>
          <w:tcPr>
            <w:tcW w:w="184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color w:val="auto"/>
              </w:rPr>
              <w:t>[*CTR]</w:t>
            </w:r>
          </w:p>
        </w:tc>
        <w:tc>
          <w:tcPr>
            <w:tcW w:w="1420" w:type="dxa"/>
            <w:vAlign w:val="bottom"/>
          </w:tcPr>
          <w:p>
            <w:pPr>
              <w:spacing w:after="0"/>
              <w:rPr>
                <w:sz w:val="20"/>
                <w:szCs w:val="20"/>
                <w:color w:val="auto"/>
              </w:rPr>
            </w:pPr>
          </w:p>
        </w:tc>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[*CTR]</w:t>
            </w:r>
          </w:p>
        </w:tc>
      </w:tr>
      <w:tr>
        <w:trPr>
          <w:trHeight w:val="108"/>
        </w:trPr>
        <w:tc>
          <w:tcPr>
            <w:tcW w:w="30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35"/>
        </w:trPr>
        <w:tc>
          <w:tcPr>
            <w:tcW w:w="3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ind w:left="1420"/>
              <w:spacing w:after="0"/>
              <w:rPr>
                <w:sz w:val="20"/>
                <w:szCs w:val="20"/>
                <w:color w:val="auto"/>
              </w:rPr>
            </w:pPr>
            <w:r>
              <w:rPr>
                <w:rFonts w:ascii="Arial" w:cs="Arial" w:eastAsia="Arial" w:hAnsi="Arial"/>
                <w:sz w:val="19"/>
                <w:szCs w:val="19"/>
                <w:color w:val="auto"/>
              </w:rPr>
              <w:t>[*CTR]</w:t>
            </w:r>
          </w:p>
        </w:tc>
        <w:tc>
          <w:tcPr>
            <w:tcW w:w="184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color w:val="auto"/>
              </w:rPr>
              <w:t>[*CTR]</w:t>
            </w:r>
          </w:p>
        </w:tc>
        <w:tc>
          <w:tcPr>
            <w:tcW w:w="1420" w:type="dxa"/>
            <w:vAlign w:val="bottom"/>
          </w:tcPr>
          <w:p>
            <w:pPr>
              <w:spacing w:after="0"/>
              <w:rPr>
                <w:sz w:val="20"/>
                <w:szCs w:val="20"/>
                <w:color w:val="auto"/>
              </w:rPr>
            </w:pPr>
          </w:p>
        </w:tc>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[*CTR]</w:t>
            </w:r>
          </w:p>
        </w:tc>
      </w:tr>
      <w:tr>
        <w:trPr>
          <w:trHeight w:val="108"/>
        </w:trPr>
        <w:tc>
          <w:tcPr>
            <w:tcW w:w="30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35"/>
        </w:trPr>
        <w:tc>
          <w:tcPr>
            <w:tcW w:w="30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ind w:left="1420"/>
              <w:spacing w:after="0"/>
              <w:rPr>
                <w:sz w:val="20"/>
                <w:szCs w:val="20"/>
                <w:color w:val="auto"/>
              </w:rPr>
            </w:pPr>
            <w:r>
              <w:rPr>
                <w:rFonts w:ascii="Arial" w:cs="Arial" w:eastAsia="Arial" w:hAnsi="Arial"/>
                <w:sz w:val="19"/>
                <w:szCs w:val="19"/>
                <w:color w:val="auto"/>
              </w:rPr>
              <w:t>[*CTR]</w:t>
            </w:r>
          </w:p>
        </w:tc>
        <w:tc>
          <w:tcPr>
            <w:tcW w:w="184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color w:val="auto"/>
              </w:rPr>
              <w:t>[*CTR]</w:t>
            </w:r>
          </w:p>
        </w:tc>
        <w:tc>
          <w:tcPr>
            <w:tcW w:w="1420" w:type="dxa"/>
            <w:vAlign w:val="bottom"/>
          </w:tcPr>
          <w:p>
            <w:pPr>
              <w:spacing w:after="0"/>
              <w:rPr>
                <w:sz w:val="20"/>
                <w:szCs w:val="20"/>
                <w:color w:val="auto"/>
              </w:rPr>
            </w:pPr>
          </w:p>
        </w:tc>
        <w:tc>
          <w:tcPr>
            <w:tcW w:w="202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[*CTR]</w:t>
            </w:r>
          </w:p>
        </w:tc>
      </w:tr>
      <w:tr>
        <w:trPr>
          <w:trHeight w:val="108"/>
        </w:trPr>
        <w:tc>
          <w:tcPr>
            <w:tcW w:w="30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191"/>
        </w:trPr>
        <w:tc>
          <w:tcPr>
            <w:tcW w:w="300" w:type="dxa"/>
            <w:vAlign w:val="bottom"/>
            <w:tcBorders>
              <w:lef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ind w:left="1400"/>
              <w:spacing w:after="0" w:line="191" w:lineRule="exact"/>
              <w:rPr>
                <w:sz w:val="20"/>
                <w:szCs w:val="20"/>
                <w:color w:val="auto"/>
              </w:rPr>
            </w:pPr>
            <w:r>
              <w:rPr>
                <w:rFonts w:ascii="Arial" w:cs="Arial" w:eastAsia="Arial" w:hAnsi="Arial"/>
                <w:sz w:val="19"/>
                <w:szCs w:val="19"/>
                <w:b w:val="1"/>
                <w:bCs w:val="1"/>
                <w:color w:val="auto"/>
              </w:rPr>
              <w:t>[*CTR]</w:t>
            </w:r>
          </w:p>
        </w:tc>
        <w:tc>
          <w:tcPr>
            <w:tcW w:w="184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9"/>
                <w:szCs w:val="19"/>
                <w:b w:val="1"/>
                <w:bCs w:val="1"/>
                <w:color w:val="auto"/>
              </w:rPr>
              <w:t>[*CTR]</w:t>
            </w:r>
          </w:p>
        </w:tc>
        <w:tc>
          <w:tcPr>
            <w:tcW w:w="1420" w:type="dxa"/>
            <w:vAlign w:val="bottom"/>
          </w:tcPr>
          <w:p>
            <w:pPr>
              <w:spacing w:after="0"/>
              <w:rPr>
                <w:sz w:val="16"/>
                <w:szCs w:val="16"/>
                <w:color w:val="auto"/>
              </w:rPr>
            </w:pPr>
          </w:p>
        </w:tc>
        <w:tc>
          <w:tcPr>
            <w:tcW w:w="202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9"/>
                <w:szCs w:val="19"/>
                <w:b w:val="1"/>
                <w:bCs w:val="1"/>
                <w:color w:val="auto"/>
              </w:rPr>
              <w:t>[*CTR]</w:t>
            </w:r>
          </w:p>
        </w:tc>
      </w:tr>
      <w:tr>
        <w:trPr>
          <w:trHeight w:val="132"/>
        </w:trPr>
        <w:tc>
          <w:tcPr>
            <w:tcW w:w="300" w:type="dxa"/>
            <w:vAlign w:val="bottom"/>
            <w:tcBorders>
              <w:left w:val="single" w:sz="8" w:color="auto"/>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r>
      <w:tr>
        <w:trPr>
          <w:trHeight w:val="504"/>
        </w:trPr>
        <w:tc>
          <w:tcPr>
            <w:tcW w:w="940" w:type="dxa"/>
            <w:vAlign w:val="bottom"/>
            <w:gridSpan w:val="3"/>
          </w:tcPr>
          <w:p>
            <w:pPr>
              <w:spacing w:after="0"/>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u w:val="single" w:color="auto"/>
                <w:color w:val="auto"/>
              </w:rPr>
              <w:t>[</w:t>
            </w:r>
            <w:r>
              <w:rPr>
                <w:rFonts w:ascii="Arial" w:cs="Arial" w:eastAsia="Arial" w:hAnsi="Arial"/>
                <w:sz w:val="19"/>
                <w:szCs w:val="19"/>
                <w:color w:val="auto"/>
              </w:rPr>
              <w:t>*CTR</w:t>
            </w:r>
            <w:r>
              <w:rPr>
                <w:rFonts w:ascii="Arial" w:cs="Arial" w:eastAsia="Arial" w:hAnsi="Arial"/>
                <w:sz w:val="19"/>
                <w:szCs w:val="19"/>
                <w:u w:val="single" w:color="auto"/>
                <w:color w:val="auto"/>
              </w:rPr>
              <w:t>]</w:t>
            </w:r>
            <w:r>
              <w:rPr>
                <w:rFonts w:ascii="Arial" w:cs="Arial" w:eastAsia="Arial" w:hAnsi="Arial"/>
                <w:sz w:val="19"/>
                <w:szCs w:val="19"/>
                <w:color w:val="auto"/>
              </w:rPr>
              <w:t>.</w:t>
            </w:r>
          </w:p>
        </w:tc>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21"/>
        </w:trPr>
        <w:tc>
          <w:tcPr>
            <w:tcW w:w="300" w:type="dxa"/>
            <w:vAlign w:val="bottom"/>
          </w:tcPr>
          <w:p>
            <w:pPr>
              <w:spacing w:after="0"/>
              <w:rPr>
                <w:sz w:val="24"/>
                <w:szCs w:val="24"/>
                <w:color w:val="auto"/>
              </w:rPr>
            </w:pPr>
          </w:p>
        </w:tc>
        <w:tc>
          <w:tcPr>
            <w:tcW w:w="3140" w:type="dxa"/>
            <w:vAlign w:val="bottom"/>
            <w:gridSpan w:val="3"/>
          </w:tcPr>
          <w:p>
            <w:pPr>
              <w:ind w:left="260"/>
              <w:spacing w:after="0"/>
              <w:rPr>
                <w:sz w:val="20"/>
                <w:szCs w:val="20"/>
                <w:color w:val="auto"/>
              </w:rPr>
            </w:pPr>
            <w:r>
              <w:rPr>
                <w:rFonts w:ascii="Arial" w:cs="Arial" w:eastAsia="Arial" w:hAnsi="Arial"/>
                <w:sz w:val="19"/>
                <w:szCs w:val="19"/>
                <w:color w:val="auto"/>
              </w:rPr>
              <w:t>[*CTR].</w:t>
            </w: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5"/>
        </w:trPr>
        <w:tc>
          <w:tcPr>
            <w:tcW w:w="940" w:type="dxa"/>
            <w:vAlign w:val="bottom"/>
            <w:gridSpan w:val="3"/>
          </w:tcPr>
          <w:p>
            <w:pPr>
              <w:spacing w:after="0"/>
              <w:rPr>
                <w:sz w:val="20"/>
                <w:szCs w:val="20"/>
                <w:color w:val="auto"/>
              </w:rPr>
            </w:pPr>
            <w:r>
              <w:rPr>
                <w:rFonts w:ascii="Arial" w:cs="Arial" w:eastAsia="Arial" w:hAnsi="Arial"/>
                <w:sz w:val="19"/>
                <w:szCs w:val="19"/>
                <w:color w:val="auto"/>
              </w:rPr>
              <w:t>3.  [*CTR].</w:t>
            </w:r>
          </w:p>
        </w:tc>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2"/>
        </w:trPr>
        <w:tc>
          <w:tcPr>
            <w:tcW w:w="300" w:type="dxa"/>
            <w:vAlign w:val="bottom"/>
          </w:tcPr>
          <w:p>
            <w:pPr>
              <w:spacing w:after="0"/>
              <w:rPr>
                <w:sz w:val="24"/>
                <w:szCs w:val="24"/>
                <w:color w:val="auto"/>
              </w:rPr>
            </w:pPr>
          </w:p>
        </w:tc>
        <w:tc>
          <w:tcPr>
            <w:tcW w:w="620" w:type="dxa"/>
            <w:vAlign w:val="bottom"/>
            <w:tcBorders>
              <w:top w:val="single" w:sz="8" w:color="auto"/>
            </w:tcBorders>
          </w:tcPr>
          <w:p>
            <w:pPr>
              <w:ind w:left="260"/>
              <w:spacing w:after="0"/>
              <w:rPr>
                <w:sz w:val="20"/>
                <w:szCs w:val="20"/>
                <w:color w:val="auto"/>
              </w:rPr>
            </w:pPr>
            <w:r>
              <w:rPr>
                <w:rFonts w:ascii="Arial" w:cs="Arial" w:eastAsia="Arial" w:hAnsi="Arial"/>
                <w:sz w:val="19"/>
                <w:szCs w:val="19"/>
                <w:color w:val="auto"/>
              </w:rPr>
              <w:t>3.1</w:t>
            </w:r>
          </w:p>
        </w:tc>
        <w:tc>
          <w:tcPr>
            <w:tcW w:w="2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Arial" w:cs="Arial" w:eastAsia="Arial" w:hAnsi="Arial"/>
                <w:sz w:val="19"/>
                <w:szCs w:val="19"/>
                <w:color w:val="auto"/>
              </w:rPr>
              <w:t>[*CTR].</w:t>
            </w: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80"/>
        </w:trPr>
        <w:tc>
          <w:tcPr>
            <w:tcW w:w="3440" w:type="dxa"/>
            <w:vAlign w:val="bottom"/>
            <w:gridSpan w:val="4"/>
          </w:tcPr>
          <w:p>
            <w:pPr>
              <w:spacing w:after="0"/>
              <w:rPr>
                <w:sz w:val="20"/>
                <w:szCs w:val="20"/>
                <w:color w:val="auto"/>
              </w:rPr>
            </w:pPr>
            <w:r>
              <w:rPr>
                <w:rFonts w:ascii="Arial" w:cs="Arial" w:eastAsia="Arial" w:hAnsi="Arial"/>
                <w:sz w:val="16"/>
                <w:szCs w:val="16"/>
                <w:color w:val="auto"/>
              </w:rPr>
              <w:t>AAL-PA-03735-LA-1106650R3</w:t>
            </w:r>
          </w:p>
        </w:tc>
        <w:tc>
          <w:tcPr>
            <w:tcW w:w="4580" w:type="dxa"/>
            <w:vAlign w:val="bottom"/>
            <w:gridSpan w:val="4"/>
          </w:tcPr>
          <w:p>
            <w:pPr>
              <w:ind w:left="80"/>
              <w:spacing w:after="0"/>
              <w:rPr>
                <w:sz w:val="20"/>
                <w:szCs w:val="20"/>
                <w:color w:val="auto"/>
              </w:rPr>
            </w:pPr>
            <w:r>
              <w:rPr>
                <w:rFonts w:ascii="Arial" w:cs="Arial" w:eastAsia="Arial" w:hAnsi="Arial"/>
                <w:sz w:val="16"/>
                <w:szCs w:val="16"/>
                <w:color w:val="auto"/>
              </w:rPr>
              <w:t>SA-9</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7"/>
        </w:trPr>
        <w:tc>
          <w:tcPr>
            <w:tcW w:w="940" w:type="dxa"/>
            <w:vAlign w:val="bottom"/>
            <w:gridSpan w:val="3"/>
          </w:tcPr>
          <w:p>
            <w:pPr>
              <w:spacing w:after="0"/>
              <w:rPr>
                <w:sz w:val="20"/>
                <w:szCs w:val="20"/>
                <w:color w:val="auto"/>
              </w:rPr>
            </w:pPr>
            <w:r>
              <w:rPr>
                <w:rFonts w:ascii="Arial" w:cs="Arial" w:eastAsia="Arial" w:hAnsi="Arial"/>
                <w:sz w:val="16"/>
                <w:szCs w:val="16"/>
                <w:color w:val="auto"/>
              </w:rPr>
              <w:t>[*CTR]</w:t>
            </w:r>
          </w:p>
        </w:tc>
        <w:tc>
          <w:tcPr>
            <w:tcW w:w="2500" w:type="dxa"/>
            <w:vAlign w:val="bottom"/>
          </w:tcPr>
          <w:p>
            <w:pPr>
              <w:ind w:left="1400"/>
              <w:spacing w:after="0"/>
              <w:rPr>
                <w:sz w:val="20"/>
                <w:szCs w:val="20"/>
                <w:color w:val="auto"/>
              </w:rPr>
            </w:pPr>
            <w:r>
              <w:rPr>
                <w:rFonts w:ascii="Arial" w:cs="Arial" w:eastAsia="Arial" w:hAnsi="Arial"/>
                <w:sz w:val="16"/>
                <w:szCs w:val="16"/>
                <w:color w:val="auto"/>
              </w:rPr>
              <w:t>LA Page 1 of 3</w:t>
            </w:r>
          </w:p>
        </w:tc>
        <w:tc>
          <w:tcPr>
            <w:tcW w:w="1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jc w:val="center"/>
        <w:ind w:right="-5"/>
        <w:spacing w:after="0"/>
        <w:rPr>
          <w:sz w:val="20"/>
          <w:szCs w:val="20"/>
          <w:color w:val="auto"/>
        </w:rPr>
      </w:pPr>
      <w:r>
        <w:rPr>
          <w:rFonts w:ascii="Arial" w:cs="Arial" w:eastAsia="Arial" w:hAnsi="Arial"/>
          <w:sz w:val="16"/>
          <w:szCs w:val="16"/>
          <w:b w:val="1"/>
          <w:bCs w:val="1"/>
          <w:color w:val="auto"/>
        </w:rPr>
        <w:t>BOEING PROPRIETARY</w:t>
      </w:r>
    </w:p>
    <w:p>
      <w:pPr>
        <w:spacing w:after="0" w:line="6"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26" w:right="219" w:bottom="1440" w:gutter="0" w:footer="0" w:header="0"/>
        </w:sectPr>
      </w:pPr>
    </w:p>
    <w:bookmarkStart w:id="232" w:name="page233"/>
    <w:bookmarkEnd w:id="232"/>
    <w:p>
      <w:pPr>
        <w:ind w:left="6" w:right="20" w:firstLine="561"/>
        <w:spacing w:after="0" w:line="26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t>3.2 The parties agree that on the SA-3 Effective Date, [*CTR] in accordance with Section 2 of this Letter Agreement [*CTR] the SA-3 Effective Date.</w:t>
      </w:r>
    </w:p>
    <w:p>
      <w:pPr>
        <w:spacing w:after="0" w:line="256" w:lineRule="exact"/>
        <w:rPr>
          <w:sz w:val="20"/>
          <w:szCs w:val="20"/>
          <w:color w:val="auto"/>
        </w:rPr>
      </w:pPr>
    </w:p>
    <w:p>
      <w:pPr>
        <w:ind w:left="306" w:hanging="306"/>
        <w:spacing w:after="0"/>
        <w:tabs>
          <w:tab w:leader="none" w:pos="306"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109" w:lineRule="exact"/>
        <w:rPr>
          <w:sz w:val="20"/>
          <w:szCs w:val="20"/>
          <w:color w:val="auto"/>
        </w:rPr>
      </w:pPr>
    </w:p>
    <w:p>
      <w:pPr>
        <w:ind w:left="6" w:firstLine="561"/>
        <w:spacing w:after="0" w:line="264" w:lineRule="auto"/>
        <w:rPr>
          <w:sz w:val="20"/>
          <w:szCs w:val="20"/>
          <w:color w:val="auto"/>
        </w:rPr>
      </w:pPr>
      <w:r>
        <w:rPr>
          <w:rFonts w:ascii="Arial" w:cs="Arial" w:eastAsia="Arial" w:hAnsi="Arial"/>
          <w:sz w:val="19"/>
          <w:szCs w:val="19"/>
          <w:color w:val="auto"/>
        </w:rPr>
        <w:t>4.1 Notwithstanding anything in Sections 1 through 3 above or the [*CTR], Customer will [*CTR] for the [*CTR] of Supplemental Agreement No. 9, and [*CTR]. [*CTR]. All [*CTR].</w:t>
      </w:r>
    </w:p>
    <w:p>
      <w:pPr>
        <w:spacing w:after="0" w:line="47" w:lineRule="exact"/>
        <w:rPr>
          <w:sz w:val="20"/>
          <w:szCs w:val="20"/>
          <w:color w:val="auto"/>
        </w:rPr>
      </w:pPr>
    </w:p>
    <w:p>
      <w:pPr>
        <w:ind w:left="566"/>
        <w:spacing w:after="0"/>
        <w:tabs>
          <w:tab w:leader="none" w:pos="1006"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color w:val="auto"/>
        </w:rPr>
        <w:t>Notwithstanding anything to the contrary in this Letter Agreement, [*CTR]</w:t>
      </w:r>
      <w:r>
        <w:rPr>
          <w:rFonts w:ascii="Arial" w:cs="Arial" w:eastAsia="Arial" w:hAnsi="Arial"/>
          <w:sz w:val="18"/>
          <w:szCs w:val="18"/>
          <w:b w:val="1"/>
          <w:bCs w:val="1"/>
          <w:color w:val="auto"/>
        </w:rPr>
        <w:t>.</w:t>
      </w:r>
    </w:p>
    <w:p>
      <w:pPr>
        <w:spacing w:after="0" w:line="213" w:lineRule="exact"/>
        <w:rPr>
          <w:sz w:val="20"/>
          <w:szCs w:val="20"/>
          <w:color w:val="auto"/>
        </w:rPr>
      </w:pPr>
    </w:p>
    <w:p>
      <w:pPr>
        <w:ind w:left="306" w:hanging="306"/>
        <w:spacing w:after="0"/>
        <w:tabs>
          <w:tab w:leader="none" w:pos="30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3" w:lineRule="exact"/>
        <w:rPr>
          <w:sz w:val="20"/>
          <w:szCs w:val="20"/>
          <w:color w:val="auto"/>
        </w:rPr>
      </w:pPr>
    </w:p>
    <w:p>
      <w:pPr>
        <w:jc w:val="both"/>
        <w:ind w:left="6" w:right="20" w:firstLine="561"/>
        <w:spacing w:after="0" w:line="247" w:lineRule="auto"/>
        <w:rPr>
          <w:sz w:val="20"/>
          <w:szCs w:val="20"/>
          <w:color w:val="auto"/>
        </w:rPr>
      </w:pPr>
      <w:r>
        <w:rPr>
          <w:rFonts w:ascii="Arial" w:cs="Arial" w:eastAsia="Arial" w:hAnsi="Arial"/>
          <w:sz w:val="19"/>
          <w:szCs w:val="19"/>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79" w:lineRule="exact"/>
        <w:rPr>
          <w:sz w:val="20"/>
          <w:szCs w:val="20"/>
          <w:color w:val="auto"/>
        </w:rPr>
      </w:pPr>
    </w:p>
    <w:p>
      <w:pPr>
        <w:ind w:left="306" w:hanging="306"/>
        <w:spacing w:after="0"/>
        <w:tabs>
          <w:tab w:leader="none" w:pos="306"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3" w:lineRule="exact"/>
        <w:rPr>
          <w:sz w:val="20"/>
          <w:szCs w:val="20"/>
          <w:color w:val="auto"/>
        </w:rPr>
      </w:pPr>
    </w:p>
    <w:p>
      <w:pPr>
        <w:jc w:val="both"/>
        <w:ind w:left="6" w:right="20" w:firstLine="561"/>
        <w:spacing w:after="0" w:line="254" w:lineRule="auto"/>
        <w:rPr>
          <w:sz w:val="20"/>
          <w:szCs w:val="20"/>
          <w:color w:val="auto"/>
        </w:rPr>
      </w:pPr>
      <w:r>
        <w:rPr>
          <w:rFonts w:ascii="Arial" w:cs="Arial" w:eastAsia="Arial" w:hAnsi="Arial"/>
          <w:sz w:val="19"/>
          <w:szCs w:val="19"/>
          <w:color w:val="auto"/>
        </w:rPr>
        <w:t>6.1 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172" w:lineRule="exact"/>
        <w:rPr>
          <w:sz w:val="20"/>
          <w:szCs w:val="20"/>
          <w:color w:val="auto"/>
        </w:rPr>
      </w:pPr>
    </w:p>
    <w:p>
      <w:pPr>
        <w:ind w:left="566"/>
        <w:spacing w:after="0"/>
        <w:tabs>
          <w:tab w:leader="none" w:pos="96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[*CTR].</w:t>
      </w:r>
    </w:p>
    <w:p>
      <w:pPr>
        <w:spacing w:after="0" w:line="203" w:lineRule="exact"/>
        <w:rPr>
          <w:sz w:val="20"/>
          <w:szCs w:val="20"/>
          <w:color w:val="auto"/>
        </w:rPr>
      </w:pPr>
    </w:p>
    <w:p>
      <w:pPr>
        <w:jc w:val="both"/>
        <w:ind w:left="6" w:right="20" w:firstLine="561"/>
        <w:spacing w:after="0" w:line="251" w:lineRule="auto"/>
        <w:rPr>
          <w:sz w:val="20"/>
          <w:szCs w:val="20"/>
          <w:color w:val="auto"/>
        </w:rPr>
      </w:pPr>
      <w:r>
        <w:rPr>
          <w:rFonts w:ascii="Arial" w:cs="Arial" w:eastAsia="Arial" w:hAnsi="Arial"/>
          <w:sz w:val="19"/>
          <w:szCs w:val="19"/>
          <w:color w:val="auto"/>
        </w:rPr>
        <w:t>If the foregoing correctly sets forth your understanding of our agreement with respect to the matters treated above, please indicate your acceptance and approval below.</w:t>
      </w:r>
    </w:p>
    <w:p>
      <w:pPr>
        <w:sectPr>
          <w:pgSz w:w="11900" w:h="16838" w:orient="portrait"/>
          <w:cols w:equalWidth="0" w:num="1">
            <w:col w:w="11446"/>
          </w:cols>
          <w:pgMar w:left="234" w:top="111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
        <w:spacing w:after="0"/>
        <w:rPr>
          <w:sz w:val="20"/>
          <w:szCs w:val="20"/>
          <w:color w:val="auto"/>
        </w:rPr>
      </w:pPr>
      <w:r>
        <w:rPr>
          <w:rFonts w:ascii="Arial" w:cs="Arial" w:eastAsia="Arial" w:hAnsi="Arial"/>
          <w:sz w:val="14"/>
          <w:szCs w:val="14"/>
          <w:color w:val="auto"/>
        </w:rPr>
        <w:t>AAL-PA-03735-LA-1106650R3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SA-9</w:t>
      </w:r>
    </w:p>
    <w:p>
      <w:pPr>
        <w:spacing w:after="0" w:line="3" w:lineRule="exact"/>
        <w:rPr>
          <w:sz w:val="20"/>
          <w:szCs w:val="20"/>
          <w:color w:val="auto"/>
        </w:rPr>
      </w:pPr>
    </w:p>
    <w:p>
      <w:pPr>
        <w:sectPr>
          <w:pgSz w:w="11900" w:h="16838" w:orient="portrait"/>
          <w:cols w:equalWidth="0" w:num="2">
            <w:col w:w="2806" w:space="720"/>
            <w:col w:w="7920"/>
          </w:cols>
          <w:pgMar w:left="234" w:top="1117" w:right="21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LA Page 2 of 3</w:t>
      </w:r>
    </w:p>
    <w:p>
      <w:pPr>
        <w:spacing w:after="0" w:line="26" w:lineRule="exact"/>
        <w:rPr>
          <w:sz w:val="20"/>
          <w:szCs w:val="20"/>
          <w:color w:val="auto"/>
        </w:rPr>
      </w:pPr>
    </w:p>
    <w:p>
      <w:pPr>
        <w:sectPr>
          <w:pgSz w:w="11900" w:h="16838" w:orient="portrait"/>
          <w:cols w:equalWidth="0" w:num="2">
            <w:col w:w="1626" w:space="720"/>
            <w:col w:w="9100"/>
          </w:cols>
          <w:pgMar w:left="234" w:top="1117" w:right="219" w:bottom="1440" w:gutter="0" w:footer="0" w:header="0"/>
          <w:type w:val="continuous"/>
        </w:sectPr>
      </w:pPr>
    </w:p>
    <w:p>
      <w:pPr>
        <w:jc w:val="center"/>
        <w:ind w:right="-5"/>
        <w:spacing w:after="0"/>
        <w:rPr>
          <w:sz w:val="20"/>
          <w:szCs w:val="20"/>
          <w:color w:val="auto"/>
        </w:rPr>
      </w:pPr>
      <w:r>
        <w:rPr>
          <w:rFonts w:ascii="Arial" w:cs="Arial" w:eastAsia="Arial" w:hAnsi="Arial"/>
          <w:sz w:val="16"/>
          <w:szCs w:val="16"/>
          <w:b w:val="1"/>
          <w:bCs w:val="1"/>
          <w:color w:val="auto"/>
        </w:rPr>
        <w:t>BOEING PROPRIETARY</w:t>
      </w:r>
    </w:p>
    <w:p>
      <w:pPr>
        <w:spacing w:after="0" w:line="6" w:lineRule="exact"/>
        <w:rPr>
          <w:sz w:val="20"/>
          <w:szCs w:val="20"/>
          <w:color w:val="auto"/>
        </w:rPr>
      </w:pPr>
    </w:p>
    <w:p>
      <w:pPr>
        <w:ind w:left="6"/>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1446"/>
          </w:cols>
          <w:pgMar w:left="234" w:top="1117" w:right="219" w:bottom="1440" w:gutter="0" w:footer="0" w:header="0"/>
          <w:type w:val="continuous"/>
        </w:sectPr>
      </w:pPr>
    </w:p>
    <w:bookmarkStart w:id="233" w:name="page234"/>
    <w:bookmarkEnd w:id="233"/>
    <w:p>
      <w:pPr>
        <w:spacing w:after="0" w:line="2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3440" w:type="dxa"/>
            <w:vAlign w:val="bottom"/>
            <w:gridSpan w:val="3"/>
          </w:tcPr>
          <w:p>
            <w:pPr>
              <w:spacing w:after="0"/>
              <w:rPr>
                <w:sz w:val="20"/>
                <w:szCs w:val="20"/>
                <w:color w:val="auto"/>
              </w:rPr>
            </w:pPr>
            <w:r>
              <w:rPr>
                <w:rFonts w:ascii="Arial" w:cs="Arial" w:eastAsia="Arial" w:hAnsi="Arial"/>
                <w:sz w:val="19"/>
                <w:szCs w:val="19"/>
                <w:color w:val="auto"/>
              </w:rPr>
              <w:t>Very truly yours,</w:t>
            </w:r>
          </w:p>
        </w:tc>
        <w:tc>
          <w:tcPr>
            <w:tcW w:w="2760" w:type="dxa"/>
            <w:vAlign w:val="bottom"/>
          </w:tcPr>
          <w:p>
            <w:pPr>
              <w:spacing w:after="0"/>
              <w:rPr>
                <w:sz w:val="19"/>
                <w:szCs w:val="19"/>
                <w:color w:val="auto"/>
              </w:rPr>
            </w:pPr>
          </w:p>
        </w:tc>
      </w:tr>
      <w:tr>
        <w:trPr>
          <w:trHeight w:val="795"/>
        </w:trPr>
        <w:tc>
          <w:tcPr>
            <w:tcW w:w="3440" w:type="dxa"/>
            <w:vAlign w:val="bottom"/>
            <w:gridSpan w:val="3"/>
          </w:tcPr>
          <w:p>
            <w:pPr>
              <w:ind w:left="80"/>
              <w:spacing w:after="0"/>
              <w:rPr>
                <w:sz w:val="20"/>
                <w:szCs w:val="20"/>
                <w:color w:val="auto"/>
              </w:rPr>
            </w:pPr>
            <w:r>
              <w:rPr>
                <w:rFonts w:ascii="Arial" w:cs="Arial" w:eastAsia="Arial" w:hAnsi="Arial"/>
                <w:sz w:val="19"/>
                <w:szCs w:val="19"/>
                <w:b w:val="1"/>
                <w:bCs w:val="1"/>
                <w:color w:val="auto"/>
              </w:rPr>
              <w:t>THE BOEING COMPANY</w:t>
            </w:r>
          </w:p>
        </w:tc>
        <w:tc>
          <w:tcPr>
            <w:tcW w:w="2760" w:type="dxa"/>
            <w:vAlign w:val="bottom"/>
          </w:tcPr>
          <w:p>
            <w:pPr>
              <w:spacing w:after="0"/>
              <w:rPr>
                <w:sz w:val="24"/>
                <w:szCs w:val="24"/>
                <w:color w:val="auto"/>
              </w:rPr>
            </w:pPr>
          </w:p>
        </w:tc>
      </w:tr>
      <w:tr>
        <w:trPr>
          <w:trHeight w:val="522"/>
        </w:trPr>
        <w:tc>
          <w:tcPr>
            <w:tcW w:w="880" w:type="dxa"/>
            <w:vAlign w:val="bottom"/>
          </w:tcPr>
          <w:p>
            <w:pPr>
              <w:ind w:left="80"/>
              <w:spacing w:after="0"/>
              <w:rPr>
                <w:sz w:val="20"/>
                <w:szCs w:val="20"/>
                <w:color w:val="auto"/>
              </w:rPr>
            </w:pPr>
            <w:r>
              <w:rPr>
                <w:rFonts w:ascii="Arial" w:cs="Arial" w:eastAsia="Arial" w:hAnsi="Arial"/>
                <w:sz w:val="19"/>
                <w:szCs w:val="19"/>
                <w:color w:val="auto"/>
              </w:rPr>
              <w:t>By:</w:t>
            </w:r>
          </w:p>
        </w:tc>
        <w:tc>
          <w:tcPr>
            <w:tcW w:w="2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The Boeing Company</w:t>
            </w:r>
          </w:p>
        </w:tc>
        <w:tc>
          <w:tcPr>
            <w:tcW w:w="2760" w:type="dxa"/>
            <w:vAlign w:val="bottom"/>
            <w:tcBorders>
              <w:bottom w:val="single" w:sz="8" w:color="auto"/>
            </w:tcBorders>
          </w:tcPr>
          <w:p>
            <w:pPr>
              <w:spacing w:after="0"/>
              <w:rPr>
                <w:sz w:val="24"/>
                <w:szCs w:val="24"/>
                <w:color w:val="auto"/>
              </w:rPr>
            </w:pPr>
          </w:p>
        </w:tc>
      </w:tr>
      <w:tr>
        <w:trPr>
          <w:trHeight w:val="495"/>
        </w:trPr>
        <w:tc>
          <w:tcPr>
            <w:tcW w:w="880" w:type="dxa"/>
            <w:vAlign w:val="bottom"/>
          </w:tcPr>
          <w:p>
            <w:pPr>
              <w:ind w:left="80"/>
              <w:spacing w:after="0"/>
              <w:rPr>
                <w:sz w:val="20"/>
                <w:szCs w:val="20"/>
                <w:color w:val="auto"/>
              </w:rPr>
            </w:pPr>
            <w:r>
              <w:rPr>
                <w:rFonts w:ascii="Arial" w:cs="Arial" w:eastAsia="Arial" w:hAnsi="Arial"/>
                <w:sz w:val="19"/>
                <w:szCs w:val="19"/>
                <w:color w:val="auto"/>
              </w:rPr>
              <w:t>Its:</w:t>
            </w:r>
          </w:p>
        </w:tc>
        <w:tc>
          <w:tcPr>
            <w:tcW w:w="2560" w:type="dxa"/>
            <w:vAlign w:val="bottom"/>
            <w:tcBorders>
              <w:bottom w:val="single" w:sz="8" w:color="auto"/>
            </w:tcBorders>
            <w:gridSpan w:val="2"/>
          </w:tcPr>
          <w:p>
            <w:pPr>
              <w:ind w:left="20"/>
              <w:spacing w:after="0" w:line="219" w:lineRule="exact"/>
              <w:rPr>
                <w:sz w:val="20"/>
                <w:szCs w:val="20"/>
                <w:color w:val="auto"/>
              </w:rPr>
            </w:pP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tc>
        <w:tc>
          <w:tcPr>
            <w:tcW w:w="2760" w:type="dxa"/>
            <w:vAlign w:val="bottom"/>
            <w:tcBorders>
              <w:bottom w:val="single" w:sz="8" w:color="auto"/>
            </w:tcBorders>
          </w:tcPr>
          <w:p>
            <w:pPr>
              <w:spacing w:after="0"/>
              <w:rPr>
                <w:sz w:val="24"/>
                <w:szCs w:val="24"/>
                <w:color w:val="auto"/>
              </w:rPr>
            </w:pPr>
          </w:p>
        </w:tc>
      </w:tr>
      <w:tr>
        <w:trPr>
          <w:trHeight w:val="488"/>
        </w:trPr>
        <w:tc>
          <w:tcPr>
            <w:tcW w:w="3440" w:type="dxa"/>
            <w:vAlign w:val="bottom"/>
            <w:gridSpan w:val="3"/>
          </w:tcPr>
          <w:p>
            <w:pPr>
              <w:ind w:left="80"/>
              <w:spacing w:after="0"/>
              <w:rPr>
                <w:sz w:val="20"/>
                <w:szCs w:val="20"/>
                <w:color w:val="auto"/>
              </w:rPr>
            </w:pPr>
            <w:r>
              <w:rPr>
                <w:rFonts w:ascii="Arial" w:cs="Arial" w:eastAsia="Arial" w:hAnsi="Arial"/>
                <w:sz w:val="19"/>
                <w:szCs w:val="19"/>
                <w:color w:val="auto"/>
              </w:rPr>
              <w:t>ACCEPTED AND AGREED TO this</w:t>
            </w:r>
          </w:p>
        </w:tc>
        <w:tc>
          <w:tcPr>
            <w:tcW w:w="2760" w:type="dxa"/>
            <w:vAlign w:val="bottom"/>
          </w:tcPr>
          <w:p>
            <w:pPr>
              <w:spacing w:after="0"/>
              <w:rPr>
                <w:sz w:val="24"/>
                <w:szCs w:val="24"/>
                <w:color w:val="auto"/>
              </w:rPr>
            </w:pPr>
          </w:p>
        </w:tc>
      </w:tr>
      <w:tr>
        <w:trPr>
          <w:trHeight w:val="522"/>
        </w:trPr>
        <w:tc>
          <w:tcPr>
            <w:tcW w:w="880" w:type="dxa"/>
            <w:vAlign w:val="bottom"/>
          </w:tcPr>
          <w:p>
            <w:pPr>
              <w:ind w:left="80"/>
              <w:spacing w:after="0"/>
              <w:rPr>
                <w:sz w:val="20"/>
                <w:szCs w:val="20"/>
                <w:color w:val="auto"/>
              </w:rPr>
            </w:pPr>
            <w:r>
              <w:rPr>
                <w:rFonts w:ascii="Arial" w:cs="Arial" w:eastAsia="Arial" w:hAnsi="Arial"/>
                <w:sz w:val="19"/>
                <w:szCs w:val="19"/>
                <w:color w:val="auto"/>
              </w:rPr>
              <w:t>Date:</w:t>
            </w:r>
          </w:p>
        </w:tc>
        <w:tc>
          <w:tcPr>
            <w:tcW w:w="1140" w:type="dxa"/>
            <w:vAlign w:val="bottom"/>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April 6, 2018</w:t>
            </w:r>
          </w:p>
        </w:tc>
        <w:tc>
          <w:tcPr>
            <w:tcW w:w="2760" w:type="dxa"/>
            <w:vAlign w:val="bottom"/>
            <w:tcBorders>
              <w:bottom w:val="single" w:sz="8" w:color="auto"/>
            </w:tcBorders>
          </w:tcPr>
          <w:p>
            <w:pPr>
              <w:spacing w:after="0"/>
              <w:rPr>
                <w:sz w:val="24"/>
                <w:szCs w:val="24"/>
                <w:color w:val="auto"/>
              </w:rPr>
            </w:pPr>
          </w:p>
        </w:tc>
      </w:tr>
      <w:tr>
        <w:trPr>
          <w:trHeight w:val="488"/>
        </w:trPr>
        <w:tc>
          <w:tcPr>
            <w:tcW w:w="3440" w:type="dxa"/>
            <w:vAlign w:val="bottom"/>
            <w:gridSpan w:val="3"/>
          </w:tcPr>
          <w:p>
            <w:pPr>
              <w:ind w:left="80"/>
              <w:spacing w:after="0"/>
              <w:rPr>
                <w:sz w:val="20"/>
                <w:szCs w:val="20"/>
                <w:color w:val="auto"/>
              </w:rPr>
            </w:pPr>
            <w:r>
              <w:rPr>
                <w:rFonts w:ascii="Arial" w:cs="Arial" w:eastAsia="Arial" w:hAnsi="Arial"/>
                <w:sz w:val="19"/>
                <w:szCs w:val="19"/>
                <w:b w:val="1"/>
                <w:bCs w:val="1"/>
                <w:color w:val="auto"/>
              </w:rPr>
              <w:t>AMERICAN AIRLINES, INC.</w:t>
            </w:r>
          </w:p>
        </w:tc>
        <w:tc>
          <w:tcPr>
            <w:tcW w:w="2760" w:type="dxa"/>
            <w:vAlign w:val="bottom"/>
          </w:tcPr>
          <w:p>
            <w:pPr>
              <w:spacing w:after="0"/>
              <w:rPr>
                <w:sz w:val="24"/>
                <w:szCs w:val="24"/>
                <w:color w:val="auto"/>
              </w:rPr>
            </w:pPr>
          </w:p>
        </w:tc>
      </w:tr>
      <w:tr>
        <w:trPr>
          <w:trHeight w:val="522"/>
        </w:trPr>
        <w:tc>
          <w:tcPr>
            <w:tcW w:w="880" w:type="dxa"/>
            <w:vAlign w:val="bottom"/>
          </w:tcPr>
          <w:p>
            <w:pPr>
              <w:ind w:left="80"/>
              <w:spacing w:after="0"/>
              <w:rPr>
                <w:sz w:val="20"/>
                <w:szCs w:val="20"/>
                <w:color w:val="auto"/>
              </w:rPr>
            </w:pPr>
            <w:r>
              <w:rPr>
                <w:rFonts w:ascii="Arial" w:cs="Arial" w:eastAsia="Arial" w:hAnsi="Arial"/>
                <w:sz w:val="19"/>
                <w:szCs w:val="19"/>
                <w:color w:val="auto"/>
              </w:rPr>
              <w:t>By:</w:t>
            </w:r>
          </w:p>
        </w:tc>
        <w:tc>
          <w:tcPr>
            <w:tcW w:w="2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American Airlines, Inc.</w:t>
            </w:r>
          </w:p>
        </w:tc>
        <w:tc>
          <w:tcPr>
            <w:tcW w:w="2760" w:type="dxa"/>
            <w:vAlign w:val="bottom"/>
            <w:tcBorders>
              <w:bottom w:val="single" w:sz="8" w:color="auto"/>
            </w:tcBorders>
          </w:tcPr>
          <w:p>
            <w:pPr>
              <w:spacing w:after="0"/>
              <w:rPr>
                <w:sz w:val="24"/>
                <w:szCs w:val="24"/>
                <w:color w:val="auto"/>
              </w:rPr>
            </w:pPr>
          </w:p>
        </w:tc>
      </w:tr>
      <w:tr>
        <w:trPr>
          <w:trHeight w:val="495"/>
        </w:trPr>
        <w:tc>
          <w:tcPr>
            <w:tcW w:w="880" w:type="dxa"/>
            <w:vAlign w:val="bottom"/>
          </w:tcPr>
          <w:p>
            <w:pPr>
              <w:ind w:left="80"/>
              <w:spacing w:after="0"/>
              <w:rPr>
                <w:sz w:val="20"/>
                <w:szCs w:val="20"/>
                <w:color w:val="auto"/>
              </w:rPr>
            </w:pPr>
            <w:r>
              <w:rPr>
                <w:rFonts w:ascii="Arial" w:cs="Arial" w:eastAsia="Arial" w:hAnsi="Arial"/>
                <w:sz w:val="19"/>
                <w:szCs w:val="19"/>
                <w:color w:val="auto"/>
              </w:rPr>
              <w:t>Its:</w:t>
            </w:r>
          </w:p>
        </w:tc>
        <w:tc>
          <w:tcPr>
            <w:tcW w:w="2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Vice President and Treasurer</w:t>
            </w:r>
          </w:p>
        </w:tc>
        <w:tc>
          <w:tcPr>
            <w:tcW w:w="2760" w:type="dxa"/>
            <w:vAlign w:val="bottom"/>
            <w:tcBorders>
              <w:bottom w:val="single" w:sz="8" w:color="auto"/>
            </w:tcBorders>
          </w:tcPr>
          <w:p>
            <w:pPr>
              <w:spacing w:after="0"/>
              <w:rPr>
                <w:sz w:val="24"/>
                <w:szCs w:val="24"/>
                <w:color w:val="auto"/>
              </w:rPr>
            </w:pPr>
          </w:p>
        </w:tc>
      </w:tr>
      <w:tr>
        <w:trPr>
          <w:trHeight w:val="770"/>
        </w:trPr>
        <w:tc>
          <w:tcPr>
            <w:tcW w:w="3440" w:type="dxa"/>
            <w:vAlign w:val="bottom"/>
            <w:gridSpan w:val="3"/>
          </w:tcPr>
          <w:p>
            <w:pPr>
              <w:spacing w:after="0"/>
              <w:rPr>
                <w:sz w:val="20"/>
                <w:szCs w:val="20"/>
                <w:color w:val="auto"/>
              </w:rPr>
            </w:pPr>
            <w:r>
              <w:rPr>
                <w:rFonts w:ascii="Arial" w:cs="Arial" w:eastAsia="Arial" w:hAnsi="Arial"/>
                <w:sz w:val="16"/>
                <w:szCs w:val="16"/>
                <w:color w:val="auto"/>
              </w:rPr>
              <w:t>AAL-PA-03735-LA-1106650R3</w:t>
            </w:r>
          </w:p>
        </w:tc>
        <w:tc>
          <w:tcPr>
            <w:tcW w:w="2760" w:type="dxa"/>
            <w:vAlign w:val="bottom"/>
          </w:tcPr>
          <w:p>
            <w:pPr>
              <w:ind w:left="80"/>
              <w:spacing w:after="0"/>
              <w:rPr>
                <w:sz w:val="20"/>
                <w:szCs w:val="20"/>
                <w:color w:val="auto"/>
              </w:rPr>
            </w:pPr>
            <w:r>
              <w:rPr>
                <w:rFonts w:ascii="Arial" w:cs="Arial" w:eastAsia="Arial" w:hAnsi="Arial"/>
                <w:sz w:val="16"/>
                <w:szCs w:val="16"/>
                <w:color w:val="auto"/>
              </w:rPr>
              <w:t>SA-9</w:t>
            </w:r>
          </w:p>
        </w:tc>
      </w:tr>
      <w:tr>
        <w:trPr>
          <w:trHeight w:val="187"/>
        </w:trPr>
        <w:tc>
          <w:tcPr>
            <w:tcW w:w="880" w:type="dxa"/>
            <w:vAlign w:val="bottom"/>
          </w:tcPr>
          <w:p>
            <w:pPr>
              <w:spacing w:after="0"/>
              <w:rPr>
                <w:sz w:val="20"/>
                <w:szCs w:val="20"/>
                <w:color w:val="auto"/>
              </w:rPr>
            </w:pPr>
            <w:r>
              <w:rPr>
                <w:rFonts w:ascii="Arial" w:cs="Arial" w:eastAsia="Arial" w:hAnsi="Arial"/>
                <w:sz w:val="16"/>
                <w:szCs w:val="16"/>
                <w:color w:val="auto"/>
              </w:rPr>
              <w:t>[*CTR]</w:t>
            </w:r>
          </w:p>
        </w:tc>
        <w:tc>
          <w:tcPr>
            <w:tcW w:w="1140" w:type="dxa"/>
            <w:vAlign w:val="bottom"/>
          </w:tcPr>
          <w:p>
            <w:pPr>
              <w:spacing w:after="0"/>
              <w:rPr>
                <w:sz w:val="16"/>
                <w:szCs w:val="16"/>
                <w:color w:val="auto"/>
              </w:rPr>
            </w:pPr>
          </w:p>
        </w:tc>
        <w:tc>
          <w:tcPr>
            <w:tcW w:w="1420" w:type="dxa"/>
            <w:vAlign w:val="bottom"/>
          </w:tcPr>
          <w:p>
            <w:pPr>
              <w:ind w:left="320"/>
              <w:spacing w:after="0"/>
              <w:rPr>
                <w:sz w:val="20"/>
                <w:szCs w:val="20"/>
                <w:color w:val="auto"/>
              </w:rPr>
            </w:pPr>
            <w:r>
              <w:rPr>
                <w:rFonts w:ascii="Arial" w:cs="Arial" w:eastAsia="Arial" w:hAnsi="Arial"/>
                <w:sz w:val="16"/>
                <w:szCs w:val="16"/>
                <w:color w:val="auto"/>
              </w:rPr>
              <w:t>LA Page 3 of 3</w:t>
            </w:r>
          </w:p>
        </w:tc>
        <w:tc>
          <w:tcPr>
            <w:tcW w:w="2760" w:type="dxa"/>
            <w:vAlign w:val="bottom"/>
          </w:tcPr>
          <w:p>
            <w:pPr>
              <w:spacing w:after="0"/>
              <w:rPr>
                <w:sz w:val="16"/>
                <w:szCs w:val="16"/>
                <w:color w:val="auto"/>
              </w:rPr>
            </w:pPr>
          </w:p>
        </w:tc>
      </w:tr>
    </w:tbl>
    <w:p>
      <w:pPr>
        <w:ind w:left="4840"/>
        <w:spacing w:after="0"/>
        <w:rPr>
          <w:sz w:val="20"/>
          <w:szCs w:val="20"/>
          <w:color w:val="auto"/>
        </w:rPr>
      </w:pPr>
      <w:r>
        <w:rPr>
          <w:rFonts w:ascii="Arial" w:cs="Arial" w:eastAsia="Arial" w:hAnsi="Arial"/>
          <w:sz w:val="16"/>
          <w:szCs w:val="16"/>
          <w:b w:val="1"/>
          <w:bCs w:val="1"/>
          <w:color w:val="auto"/>
        </w:rPr>
        <w:t>BOEING PROPRIETARY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440" w:right="11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1"/>
          <w:szCs w:val="11"/>
          <w:color w:val="808080"/>
        </w:rPr>
        <w:drawing>
          <wp:anchor simplePos="0" relativeHeight="251657728" behindDoc="1" locked="0" layoutInCell="0" allowOverlap="1">
            <wp:simplePos x="0" y="0"/>
            <wp:positionH relativeFrom="page">
              <wp:posOffset>148590</wp:posOffset>
            </wp:positionH>
            <wp:positionV relativeFrom="page">
              <wp:posOffset>88900</wp:posOffset>
            </wp:positionV>
            <wp:extent cx="1396365" cy="3117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396365" cy="311785"/>
                    </a:xfrm>
                    <a:prstGeom prst="rect">
                      <a:avLst/>
                    </a:prstGeom>
                    <a:noFill/>
                  </pic:spPr>
                </pic:pic>
              </a:graphicData>
            </a:graphic>
          </wp:anchor>
        </w:drawing>
        <w:t>The Boeing Company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1"/>
          <w:szCs w:val="11"/>
          <w:color w:val="808080"/>
        </w:rPr>
        <w:t>P.O. Box 3707</w:t>
      </w:r>
    </w:p>
    <w:p>
      <w:pPr>
        <w:spacing w:after="0" w:line="2" w:lineRule="exact"/>
        <w:rPr>
          <w:sz w:val="20"/>
          <w:szCs w:val="20"/>
          <w:color w:val="auto"/>
        </w:rPr>
      </w:pPr>
    </w:p>
    <w:p>
      <w:pPr>
        <w:jc w:val="right"/>
        <w:spacing w:after="0" w:line="127" w:lineRule="exact"/>
        <w:rPr>
          <w:sz w:val="20"/>
          <w:szCs w:val="20"/>
          <w:color w:val="auto"/>
        </w:rPr>
      </w:pPr>
      <w:r>
        <w:rPr>
          <w:rFonts w:ascii="Arial" w:cs="Arial" w:eastAsia="Arial" w:hAnsi="Arial"/>
          <w:sz w:val="11"/>
          <w:szCs w:val="11"/>
          <w:color w:val="808080"/>
        </w:rPr>
        <w:t>Seattle, WA 98124</w:t>
      </w:r>
      <w:r>
        <w:rPr>
          <w:rFonts w:ascii="MS PGothic" w:cs="MS PGothic" w:eastAsia="MS PGothic" w:hAnsi="MS PGothic"/>
          <w:sz w:val="11"/>
          <w:szCs w:val="11"/>
          <w:color w:val="808080"/>
        </w:rPr>
        <w:t>‑</w:t>
      </w:r>
      <w:r>
        <w:rPr>
          <w:rFonts w:ascii="Arial" w:cs="Arial" w:eastAsia="Arial" w:hAnsi="Arial"/>
          <w:sz w:val="11"/>
          <w:szCs w:val="11"/>
          <w:color w:val="808080"/>
        </w:rPr>
        <w:t>2207</w:t>
      </w:r>
    </w:p>
    <w:p>
      <w:pPr>
        <w:spacing w:after="0" w:line="200" w:lineRule="exact"/>
        <w:rPr>
          <w:sz w:val="20"/>
          <w:szCs w:val="20"/>
          <w:color w:val="auto"/>
        </w:rPr>
      </w:pPr>
    </w:p>
    <w:p>
      <w:pPr>
        <w:spacing w:after="0" w:line="376"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AAL</w:t>
      </w:r>
      <w:r>
        <w:rPr>
          <w:rFonts w:ascii="MS PGothic" w:cs="MS PGothic" w:eastAsia="MS PGothic" w:hAnsi="MS PGothic"/>
          <w:sz w:val="19"/>
          <w:szCs w:val="19"/>
          <w:color w:val="auto"/>
        </w:rPr>
        <w:t>‑</w:t>
      </w:r>
      <w:r>
        <w:rPr>
          <w:rFonts w:ascii="Arial" w:cs="Arial" w:eastAsia="Arial" w:hAnsi="Arial"/>
          <w:sz w:val="19"/>
          <w:szCs w:val="19"/>
          <w:color w:val="auto"/>
        </w:rPr>
        <w:t>PA</w:t>
      </w:r>
      <w:r>
        <w:rPr>
          <w:rFonts w:ascii="MS PGothic" w:cs="MS PGothic" w:eastAsia="MS PGothic" w:hAnsi="MS PGothic"/>
          <w:sz w:val="19"/>
          <w:szCs w:val="19"/>
          <w:color w:val="auto"/>
        </w:rPr>
        <w:t>‑</w:t>
      </w:r>
      <w:r>
        <w:rPr>
          <w:rFonts w:ascii="Arial" w:cs="Arial" w:eastAsia="Arial" w:hAnsi="Arial"/>
          <w:sz w:val="19"/>
          <w:szCs w:val="19"/>
          <w:color w:val="auto"/>
        </w:rPr>
        <w:t>03735</w:t>
      </w:r>
      <w:r>
        <w:rPr>
          <w:rFonts w:ascii="MS PGothic" w:cs="MS PGothic" w:eastAsia="MS PGothic" w:hAnsi="MS PGothic"/>
          <w:sz w:val="19"/>
          <w:szCs w:val="19"/>
          <w:color w:val="auto"/>
        </w:rPr>
        <w:t>‑</w:t>
      </w:r>
      <w:r>
        <w:rPr>
          <w:rFonts w:ascii="Arial" w:cs="Arial" w:eastAsia="Arial" w:hAnsi="Arial"/>
          <w:sz w:val="19"/>
          <w:szCs w:val="19"/>
          <w:color w:val="auto"/>
        </w:rPr>
        <w:t>LA</w:t>
      </w:r>
      <w:r>
        <w:rPr>
          <w:rFonts w:ascii="MS PGothic" w:cs="MS PGothic" w:eastAsia="MS PGothic" w:hAnsi="MS PGothic"/>
          <w:sz w:val="19"/>
          <w:szCs w:val="19"/>
          <w:color w:val="auto"/>
        </w:rPr>
        <w:t>‑</w:t>
      </w:r>
      <w:r>
        <w:rPr>
          <w:rFonts w:ascii="Arial" w:cs="Arial" w:eastAsia="Arial" w:hAnsi="Arial"/>
          <w:sz w:val="19"/>
          <w:szCs w:val="19"/>
          <w:color w:val="auto"/>
        </w:rPr>
        <w:t>1106651</w:t>
      </w:r>
      <w:r>
        <w:rPr>
          <w:rFonts w:ascii="Arial" w:cs="Arial" w:eastAsia="Arial" w:hAnsi="Arial"/>
          <w:sz w:val="19"/>
          <w:szCs w:val="19"/>
          <w:b w:val="1"/>
          <w:bCs w:val="1"/>
          <w:color w:val="auto"/>
        </w:rPr>
        <w:t>R1</w:t>
      </w:r>
    </w:p>
    <w:p>
      <w:pPr>
        <w:spacing w:after="0" w:line="307" w:lineRule="exact"/>
        <w:rPr>
          <w:sz w:val="20"/>
          <w:szCs w:val="20"/>
          <w:color w:val="auto"/>
        </w:rPr>
      </w:pPr>
    </w:p>
    <w:p>
      <w:pPr>
        <w:ind w:left="6"/>
        <w:spacing w:after="0"/>
        <w:rPr>
          <w:sz w:val="20"/>
          <w:szCs w:val="20"/>
          <w:color w:val="auto"/>
        </w:rPr>
      </w:pPr>
      <w:r>
        <w:rPr>
          <w:rFonts w:ascii="Arial" w:cs="Arial" w:eastAsia="Arial" w:hAnsi="Arial"/>
          <w:sz w:val="19"/>
          <w:szCs w:val="19"/>
          <w:color w:val="auto"/>
        </w:rPr>
        <w:t>American Airlines, Inc.</w:t>
      </w:r>
    </w:p>
    <w:p>
      <w:pPr>
        <w:spacing w:after="0" w:line="4" w:lineRule="exact"/>
        <w:rPr>
          <w:sz w:val="20"/>
          <w:szCs w:val="20"/>
          <w:color w:val="auto"/>
        </w:rPr>
      </w:pPr>
    </w:p>
    <w:p>
      <w:pPr>
        <w:ind w:left="6"/>
        <w:spacing w:after="0"/>
        <w:rPr>
          <w:sz w:val="20"/>
          <w:szCs w:val="20"/>
          <w:color w:val="auto"/>
        </w:rPr>
      </w:pPr>
      <w:r>
        <w:rPr>
          <w:rFonts w:ascii="Arial" w:cs="Arial" w:eastAsia="Arial" w:hAnsi="Arial"/>
          <w:sz w:val="19"/>
          <w:szCs w:val="19"/>
          <w:color w:val="auto"/>
        </w:rPr>
        <w:t>P.O. Box 619616</w:t>
      </w:r>
    </w:p>
    <w:p>
      <w:pPr>
        <w:spacing w:after="0" w:line="4" w:lineRule="exact"/>
        <w:rPr>
          <w:sz w:val="20"/>
          <w:szCs w:val="20"/>
          <w:color w:val="auto"/>
        </w:rPr>
      </w:pPr>
    </w:p>
    <w:p>
      <w:pPr>
        <w:ind w:left="6"/>
        <w:spacing w:after="0" w:line="219" w:lineRule="exact"/>
        <w:rPr>
          <w:sz w:val="20"/>
          <w:szCs w:val="20"/>
          <w:color w:val="auto"/>
        </w:rPr>
      </w:pPr>
      <w:r>
        <w:rPr>
          <w:rFonts w:ascii="Arial" w:cs="Arial" w:eastAsia="Arial" w:hAnsi="Arial"/>
          <w:sz w:val="19"/>
          <w:szCs w:val="19"/>
          <w:color w:val="auto"/>
        </w:rPr>
        <w:t>Dallas</w:t>
      </w:r>
      <w:r>
        <w:rPr>
          <w:rFonts w:ascii="MS PGothic" w:cs="MS PGothic" w:eastAsia="MS PGothic" w:hAnsi="MS PGothic"/>
          <w:sz w:val="19"/>
          <w:szCs w:val="19"/>
          <w:color w:val="auto"/>
        </w:rPr>
        <w:t>‑</w:t>
      </w:r>
      <w:r>
        <w:rPr>
          <w:rFonts w:ascii="Arial" w:cs="Arial" w:eastAsia="Arial" w:hAnsi="Arial"/>
          <w:sz w:val="19"/>
          <w:szCs w:val="19"/>
          <w:color w:val="auto"/>
        </w:rPr>
        <w:t>Fort Worth Airport, Texas 75261</w:t>
      </w:r>
      <w:r>
        <w:rPr>
          <w:rFonts w:ascii="MS PGothic" w:cs="MS PGothic" w:eastAsia="MS PGothic" w:hAnsi="MS PGothic"/>
          <w:sz w:val="19"/>
          <w:szCs w:val="19"/>
          <w:color w:val="auto"/>
        </w:rPr>
        <w:t>‑</w:t>
      </w:r>
      <w:r>
        <w:rPr>
          <w:rFonts w:ascii="Arial" w:cs="Arial" w:eastAsia="Arial" w:hAnsi="Arial"/>
          <w:sz w:val="19"/>
          <w:szCs w:val="19"/>
          <w:color w:val="auto"/>
        </w:rPr>
        <w:t>9616</w:t>
      </w:r>
    </w:p>
    <w:p>
      <w:pPr>
        <w:sectPr>
          <w:pgSz w:w="11900" w:h="16838" w:orient="portrait"/>
          <w:cols w:equalWidth="0" w:num="1">
            <w:col w:w="11446"/>
          </w:cols>
          <w:pgMar w:left="234" w:top="626" w:right="219" w:bottom="1440" w:gutter="0" w:footer="0" w:header="0"/>
        </w:sectPr>
      </w:pPr>
    </w:p>
    <w:p>
      <w:pPr>
        <w:spacing w:after="0" w:line="28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Subject: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80" w:lineRule="exact"/>
        <w:rPr>
          <w:sz w:val="20"/>
          <w:szCs w:val="20"/>
          <w:color w:val="auto"/>
        </w:rPr>
      </w:pPr>
    </w:p>
    <w:p>
      <w:pPr>
        <w:sectPr>
          <w:pgSz w:w="11900" w:h="16838" w:orient="portrait"/>
          <w:cols w:equalWidth="0" w:num="2">
            <w:col w:w="666" w:space="660"/>
            <w:col w:w="10120"/>
          </w:cols>
          <w:pgMar w:left="234" w:top="626" w:right="219" w:bottom="1440" w:gutter="0" w:footer="0" w:header="0"/>
          <w:type w:val="continuous"/>
        </w:sectPr>
      </w:pP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ind w:hanging="15"/>
        <w:spacing w:after="0" w:line="275" w:lineRule="auto"/>
        <w:rPr>
          <w:sz w:val="20"/>
          <w:szCs w:val="20"/>
          <w:color w:val="auto"/>
        </w:rPr>
      </w:pPr>
      <w:r>
        <w:rPr>
          <w:rFonts w:ascii="Arial" w:cs="Arial" w:eastAsia="Arial" w:hAnsi="Arial"/>
          <w:sz w:val="19"/>
          <w:szCs w:val="19"/>
          <w:color w:val="auto"/>
        </w:rPr>
        <w:t>Purchase Agreement No. 03735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between The Boeing Company (</w:t>
      </w:r>
      <w:r>
        <w:rPr>
          <w:rFonts w:ascii="Arial" w:cs="Arial" w:eastAsia="Arial" w:hAnsi="Arial"/>
          <w:sz w:val="19"/>
          <w:szCs w:val="19"/>
          <w:b w:val="1"/>
          <w:bCs w:val="1"/>
          <w:i w:val="1"/>
          <w:iCs w:val="1"/>
          <w:color w:val="auto"/>
        </w:rPr>
        <w:t>Boeing</w:t>
      </w:r>
      <w:r>
        <w:rPr>
          <w:rFonts w:ascii="Arial" w:cs="Arial" w:eastAsia="Arial" w:hAnsi="Arial"/>
          <w:sz w:val="19"/>
          <w:szCs w:val="19"/>
          <w:color w:val="auto"/>
        </w:rPr>
        <w:t>) and American Airlines, Inc. (</w:t>
      </w:r>
      <w:r>
        <w:rPr>
          <w:rFonts w:ascii="Arial" w:cs="Arial" w:eastAsia="Arial" w:hAnsi="Arial"/>
          <w:sz w:val="19"/>
          <w:szCs w:val="19"/>
          <w:b w:val="1"/>
          <w:bCs w:val="1"/>
          <w:i w:val="1"/>
          <w:iCs w:val="1"/>
          <w:color w:val="auto"/>
        </w:rPr>
        <w:t>Customer</w:t>
      </w:r>
      <w:r>
        <w:rPr>
          <w:rFonts w:ascii="Arial" w:cs="Arial" w:eastAsia="Arial" w:hAnsi="Arial"/>
          <w:sz w:val="19"/>
          <w:szCs w:val="19"/>
          <w:color w:val="auto"/>
        </w:rPr>
        <w:t>) relating to Model 737 MAX aircraft (</w:t>
      </w:r>
      <w:r>
        <w:rPr>
          <w:rFonts w:ascii="Arial" w:cs="Arial" w:eastAsia="Arial" w:hAnsi="Arial"/>
          <w:sz w:val="19"/>
          <w:szCs w:val="19"/>
          <w:b w:val="1"/>
          <w:bCs w:val="1"/>
          <w:i w:val="1"/>
          <w:iCs w:val="1"/>
          <w:color w:val="auto"/>
        </w:rPr>
        <w:t>Aircraft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906" w:space="440"/>
            <w:col w:w="10100"/>
          </w:cols>
          <w:pgMar w:left="234" w:top="626" w:right="219" w:bottom="1440" w:gutter="0" w:footer="0" w:header="0"/>
          <w:type w:val="continuous"/>
        </w:sectPr>
      </w:pPr>
    </w:p>
    <w:p>
      <w:pPr>
        <w:spacing w:after="0" w:line="25" w:lineRule="exact"/>
        <w:rPr>
          <w:sz w:val="20"/>
          <w:szCs w:val="20"/>
          <w:color w:val="auto"/>
        </w:rPr>
      </w:pPr>
    </w:p>
    <w:p>
      <w:pPr>
        <w:ind w:left="1126" w:right="20" w:firstLine="562"/>
        <w:spacing w:after="0" w:line="275" w:lineRule="auto"/>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amends and supplements the Purchase Agreement. All terms used but not defined in this Letter Agreement shall have the same meaning as in the Purchase Agreement.</w:t>
      </w:r>
    </w:p>
    <w:p>
      <w:pPr>
        <w:spacing w:after="0" w:line="153" w:lineRule="exact"/>
        <w:rPr>
          <w:sz w:val="20"/>
          <w:szCs w:val="20"/>
          <w:color w:val="auto"/>
        </w:rPr>
      </w:pPr>
    </w:p>
    <w:p>
      <w:pPr>
        <w:ind w:left="726" w:hanging="726"/>
        <w:spacing w:after="0"/>
        <w:tabs>
          <w:tab w:leader="none" w:pos="726"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Right to Purchase [*CTR]</w:t>
      </w:r>
      <w:r>
        <w:rPr>
          <w:rFonts w:ascii="Arial" w:cs="Arial" w:eastAsia="Arial" w:hAnsi="Arial"/>
          <w:sz w:val="19"/>
          <w:szCs w:val="19"/>
          <w:color w:val="auto"/>
        </w:rPr>
        <w:t>.</w:t>
      </w:r>
    </w:p>
    <w:p>
      <w:pPr>
        <w:spacing w:after="0" w:line="191" w:lineRule="exact"/>
        <w:rPr>
          <w:sz w:val="20"/>
          <w:szCs w:val="20"/>
          <w:color w:val="auto"/>
        </w:rPr>
      </w:pPr>
    </w:p>
    <w:p>
      <w:pPr>
        <w:ind w:left="6" w:right="20" w:firstLine="561"/>
        <w:spacing w:after="0" w:line="251" w:lineRule="auto"/>
        <w:rPr>
          <w:sz w:val="20"/>
          <w:szCs w:val="20"/>
          <w:color w:val="auto"/>
        </w:rPr>
      </w:pPr>
      <w:r>
        <w:rPr>
          <w:rFonts w:ascii="Arial" w:cs="Arial" w:eastAsia="Arial" w:hAnsi="Arial"/>
          <w:sz w:val="19"/>
          <w:szCs w:val="19"/>
          <w:color w:val="auto"/>
        </w:rPr>
        <w:t>Subject to the terms and conditions contained in this Letter Agreement, in addition to the Aircraft described in Table 1R4 and Table 1-2 to the Purchase Agreement as of the date of execution of this Letter Agreement, [*CTR].</w:t>
      </w:r>
    </w:p>
    <w:p>
      <w:pPr>
        <w:spacing w:after="0" w:line="175" w:lineRule="exact"/>
        <w:rPr>
          <w:sz w:val="20"/>
          <w:szCs w:val="20"/>
          <w:color w:val="auto"/>
        </w:rPr>
      </w:pPr>
    </w:p>
    <w:p>
      <w:pPr>
        <w:ind w:left="306" w:hanging="306"/>
        <w:spacing w:after="0"/>
        <w:tabs>
          <w:tab w:leader="none" w:pos="306"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w:t>
      </w:r>
    </w:p>
    <w:p>
      <w:pPr>
        <w:spacing w:after="0" w:line="203" w:lineRule="exact"/>
        <w:rPr>
          <w:sz w:val="20"/>
          <w:szCs w:val="20"/>
          <w:color w:val="auto"/>
        </w:rPr>
      </w:pPr>
    </w:p>
    <w:p>
      <w:pPr>
        <w:jc w:val="both"/>
        <w:ind w:left="6" w:right="20" w:firstLine="561"/>
        <w:spacing w:after="0" w:line="247" w:lineRule="auto"/>
        <w:rPr>
          <w:sz w:val="20"/>
          <w:szCs w:val="20"/>
          <w:color w:val="auto"/>
        </w:rPr>
      </w:pPr>
      <w:r>
        <w:rPr>
          <w:rFonts w:ascii="Arial" w:cs="Arial" w:eastAsia="Arial" w:hAnsi="Arial"/>
          <w:sz w:val="19"/>
          <w:szCs w:val="19"/>
          <w:color w:val="auto"/>
        </w:rPr>
        <w:t>The number of Option Aircraft and the [*CTR] is listed in Attachment A(R1) to this Letter Agreement. No later than [*CTR] in each calendar year, Boeing will provide written notice setting forth [*CTR] with a [*CTR] in such calendar year. Such notice will constitute an amendment to Attachment A(R1).</w:t>
      </w:r>
    </w:p>
    <w:p>
      <w:pPr>
        <w:spacing w:after="0" w:line="179" w:lineRule="exact"/>
        <w:rPr>
          <w:sz w:val="20"/>
          <w:szCs w:val="20"/>
          <w:color w:val="auto"/>
        </w:rPr>
      </w:pPr>
    </w:p>
    <w:p>
      <w:pPr>
        <w:ind w:left="306" w:hanging="306"/>
        <w:spacing w:after="0"/>
        <w:tabs>
          <w:tab w:leader="none" w:pos="306"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Configuration</w:t>
      </w:r>
      <w:r>
        <w:rPr>
          <w:rFonts w:ascii="Arial" w:cs="Arial" w:eastAsia="Arial" w:hAnsi="Arial"/>
          <w:sz w:val="19"/>
          <w:szCs w:val="19"/>
          <w:color w:val="auto"/>
        </w:rPr>
        <w:t>.</w:t>
      </w:r>
    </w:p>
    <w:p>
      <w:pPr>
        <w:spacing w:after="0" w:line="203" w:lineRule="exact"/>
        <w:rPr>
          <w:sz w:val="20"/>
          <w:szCs w:val="20"/>
          <w:color w:val="auto"/>
        </w:rPr>
      </w:pPr>
    </w:p>
    <w:p>
      <w:pPr>
        <w:jc w:val="both"/>
        <w:ind w:left="1126"/>
        <w:spacing w:after="0" w:line="254" w:lineRule="auto"/>
        <w:rPr>
          <w:sz w:val="20"/>
          <w:szCs w:val="20"/>
          <w:color w:val="auto"/>
        </w:rPr>
      </w:pPr>
      <w:r>
        <w:rPr>
          <w:rFonts w:ascii="Arial" w:cs="Arial" w:eastAsia="Arial" w:hAnsi="Arial"/>
          <w:sz w:val="19"/>
          <w:szCs w:val="19"/>
          <w:color w:val="auto"/>
        </w:rPr>
        <w:t>3.1 Subject to the provisions of Section 3.2 below, the configuration for the [*CTR] will be the Detail Specification for the Aircraft at the revision level in effect at the time of Limited Scope Supplemental Agreement (as defined in Section 7 below). Such Detail Specification will be revised to include:</w:t>
      </w:r>
    </w:p>
    <w:p>
      <w:pPr>
        <w:spacing w:after="0" w:line="172" w:lineRule="exact"/>
        <w:rPr>
          <w:sz w:val="20"/>
          <w:szCs w:val="20"/>
          <w:color w:val="auto"/>
        </w:rPr>
      </w:pPr>
    </w:p>
    <w:p>
      <w:pPr>
        <w:ind w:left="1446" w:hanging="323"/>
        <w:spacing w:after="0"/>
        <w:tabs>
          <w:tab w:leader="none" w:pos="144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[*CTR],</w:t>
      </w:r>
    </w:p>
    <w:p>
      <w:pPr>
        <w:spacing w:after="0" w:line="202" w:lineRule="exact"/>
        <w:rPr>
          <w:rFonts w:ascii="Arial" w:cs="Arial" w:eastAsia="Arial" w:hAnsi="Arial"/>
          <w:sz w:val="19"/>
          <w:szCs w:val="19"/>
          <w:color w:val="auto"/>
        </w:rPr>
      </w:pPr>
    </w:p>
    <w:p>
      <w:pPr>
        <w:ind w:left="1486" w:hanging="363"/>
        <w:spacing w:after="0"/>
        <w:tabs>
          <w:tab w:leader="none" w:pos="148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[*CTR], and</w:t>
      </w:r>
    </w:p>
    <w:p>
      <w:pPr>
        <w:spacing w:after="0" w:line="202" w:lineRule="exact"/>
        <w:rPr>
          <w:rFonts w:ascii="Arial" w:cs="Arial" w:eastAsia="Arial" w:hAnsi="Arial"/>
          <w:sz w:val="19"/>
          <w:szCs w:val="19"/>
          <w:color w:val="auto"/>
        </w:rPr>
      </w:pPr>
    </w:p>
    <w:p>
      <w:pPr>
        <w:ind w:left="1626" w:hanging="503"/>
        <w:spacing w:after="0"/>
        <w:tabs>
          <w:tab w:leader="none" w:pos="162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[*CTR].</w:t>
      </w:r>
    </w:p>
    <w:p>
      <w:pPr>
        <w:spacing w:after="0" w:line="191" w:lineRule="exact"/>
        <w:rPr>
          <w:sz w:val="20"/>
          <w:szCs w:val="20"/>
          <w:color w:val="auto"/>
        </w:rPr>
      </w:pPr>
    </w:p>
    <w:p>
      <w:pPr>
        <w:ind w:left="1126" w:right="20"/>
        <w:spacing w:after="0" w:line="264" w:lineRule="auto"/>
        <w:rPr>
          <w:sz w:val="20"/>
          <w:szCs w:val="20"/>
          <w:color w:val="auto"/>
        </w:rPr>
      </w:pPr>
      <w:r>
        <w:rPr>
          <w:rFonts w:ascii="Arial" w:cs="Arial" w:eastAsia="Arial" w:hAnsi="Arial"/>
          <w:sz w:val="19"/>
          <w:szCs w:val="19"/>
          <w:color w:val="auto"/>
        </w:rPr>
        <w:t xml:space="preserve">3.2 Boeing reserves the right to [*CTR] the [*CTR] starting from a [*CTR]; </w:t>
      </w:r>
      <w:r>
        <w:rPr>
          <w:rFonts w:ascii="Arial" w:cs="Arial" w:eastAsia="Arial" w:hAnsi="Arial"/>
          <w:sz w:val="19"/>
          <w:szCs w:val="19"/>
          <w:u w:val="single" w:color="auto"/>
          <w:color w:val="auto"/>
        </w:rPr>
        <w:t>so long as</w:t>
      </w:r>
      <w:r>
        <w:rPr>
          <w:rFonts w:ascii="Arial" w:cs="Arial" w:eastAsia="Arial" w:hAnsi="Arial"/>
          <w:sz w:val="19"/>
          <w:szCs w:val="19"/>
          <w:color w:val="auto"/>
        </w:rPr>
        <w:t xml:space="preserve"> Boeing can achieve the same configuration which would result pursuant to the provisions of Section 3.1.</w:t>
      </w:r>
    </w:p>
    <w:p>
      <w:pPr>
        <w:spacing w:after="0" w:line="348" w:lineRule="exact"/>
        <w:rPr>
          <w:sz w:val="20"/>
          <w:szCs w:val="20"/>
          <w:color w:val="auto"/>
        </w:rPr>
      </w:pPr>
    </w:p>
    <w:p>
      <w:pPr>
        <w:ind w:left="6"/>
        <w:spacing w:after="0" w:line="184" w:lineRule="exact"/>
        <w:tabs>
          <w:tab w:leader="none" w:pos="2286" w:val="left"/>
        </w:tabs>
        <w:rPr>
          <w:sz w:val="20"/>
          <w:szCs w:val="20"/>
          <w:color w:val="auto"/>
        </w:rPr>
      </w:pPr>
      <w:r>
        <w:rPr>
          <w:rFonts w:ascii="Arial" w:cs="Arial" w:eastAsia="Arial" w:hAnsi="Arial"/>
          <w:sz w:val="16"/>
          <w:szCs w:val="16"/>
          <w:color w:val="auto"/>
        </w:rPr>
        <w:t>AAL</w:t>
      </w:r>
      <w:r>
        <w:rPr>
          <w:rFonts w:ascii="MS PGothic" w:cs="MS PGothic" w:eastAsia="MS PGothic" w:hAnsi="MS PGothic"/>
          <w:sz w:val="16"/>
          <w:szCs w:val="16"/>
          <w:color w:val="auto"/>
        </w:rPr>
        <w:t>‑</w:t>
      </w:r>
      <w:r>
        <w:rPr>
          <w:rFonts w:ascii="Arial" w:cs="Arial" w:eastAsia="Arial" w:hAnsi="Arial"/>
          <w:sz w:val="16"/>
          <w:szCs w:val="16"/>
          <w:color w:val="auto"/>
        </w:rPr>
        <w:t>PA</w:t>
      </w:r>
      <w:r>
        <w:rPr>
          <w:rFonts w:ascii="MS PGothic" w:cs="MS PGothic" w:eastAsia="MS PGothic" w:hAnsi="MS PGothic"/>
          <w:sz w:val="16"/>
          <w:szCs w:val="16"/>
          <w:color w:val="auto"/>
        </w:rPr>
        <w:t>‑</w:t>
      </w:r>
      <w:r>
        <w:rPr>
          <w:rFonts w:ascii="Arial" w:cs="Arial" w:eastAsia="Arial" w:hAnsi="Arial"/>
          <w:sz w:val="16"/>
          <w:szCs w:val="16"/>
          <w:color w:val="auto"/>
        </w:rPr>
        <w:t>03735</w:t>
      </w:r>
      <w:r>
        <w:rPr>
          <w:rFonts w:ascii="MS PGothic" w:cs="MS PGothic" w:eastAsia="MS PGothic" w:hAnsi="MS PGothic"/>
          <w:sz w:val="16"/>
          <w:szCs w:val="16"/>
          <w:color w:val="auto"/>
        </w:rPr>
        <w:t>‑</w:t>
      </w:r>
      <w:r>
        <w:rPr>
          <w:rFonts w:ascii="Arial" w:cs="Arial" w:eastAsia="Arial" w:hAnsi="Arial"/>
          <w:sz w:val="16"/>
          <w:szCs w:val="16"/>
          <w:color w:val="auto"/>
        </w:rPr>
        <w:t>LA</w:t>
      </w:r>
      <w:r>
        <w:rPr>
          <w:rFonts w:ascii="MS PGothic" w:cs="MS PGothic" w:eastAsia="MS PGothic" w:hAnsi="MS PGothic"/>
          <w:sz w:val="16"/>
          <w:szCs w:val="16"/>
          <w:color w:val="auto"/>
        </w:rPr>
        <w:t>‑</w:t>
      </w:r>
      <w:r>
        <w:rPr>
          <w:rFonts w:ascii="Arial" w:cs="Arial" w:eastAsia="Arial" w:hAnsi="Arial"/>
          <w:sz w:val="16"/>
          <w:szCs w:val="16"/>
          <w:color w:val="auto"/>
        </w:rPr>
        <w:t>1106651</w:t>
      </w:r>
      <w:r>
        <w:rPr>
          <w:rFonts w:ascii="Arial" w:cs="Arial" w:eastAsia="Arial" w:hAnsi="Arial"/>
          <w:sz w:val="16"/>
          <w:szCs w:val="16"/>
          <w:b w:val="1"/>
          <w:bCs w:val="1"/>
          <w:color w:val="auto"/>
        </w:rPr>
        <w:t>R1</w:t>
      </w:r>
      <w:r>
        <w:rPr>
          <w:sz w:val="20"/>
          <w:szCs w:val="20"/>
          <w:color w:val="auto"/>
        </w:rPr>
        <w:tab/>
      </w:r>
      <w:r>
        <w:rPr>
          <w:rFonts w:ascii="Arial" w:cs="Arial" w:eastAsia="Arial" w:hAnsi="Arial"/>
          <w:sz w:val="14"/>
          <w:szCs w:val="14"/>
          <w:color w:val="auto"/>
        </w:rPr>
        <w:t>SA-9</w:t>
      </w:r>
    </w:p>
    <w:p>
      <w:pPr>
        <w:spacing w:after="0" w:line="21" w:lineRule="exact"/>
        <w:rPr>
          <w:sz w:val="20"/>
          <w:szCs w:val="20"/>
          <w:color w:val="auto"/>
        </w:rPr>
      </w:pPr>
    </w:p>
    <w:p>
      <w:pPr>
        <w:ind w:left="6"/>
        <w:spacing w:after="0"/>
        <w:tabs>
          <w:tab w:leader="none" w:pos="626" w:val="left"/>
        </w:tabs>
        <w:rPr>
          <w:sz w:val="20"/>
          <w:szCs w:val="20"/>
          <w:color w:val="auto"/>
        </w:rPr>
      </w:pPr>
      <w:r>
        <w:rPr>
          <w:rFonts w:ascii="Arial" w:cs="Arial" w:eastAsia="Arial" w:hAnsi="Arial"/>
          <w:sz w:val="16"/>
          <w:szCs w:val="16"/>
          <w:color w:val="auto"/>
        </w:rPr>
        <w:t>[*CTR]</w:t>
        <w:tab/>
        <w:t>Page 1 of 3</w:t>
      </w:r>
    </w:p>
    <w:p>
      <w:pPr>
        <w:spacing w:after="0" w:line="79" w:lineRule="exact"/>
        <w:rPr>
          <w:sz w:val="20"/>
          <w:szCs w:val="20"/>
          <w:color w:val="auto"/>
        </w:rPr>
      </w:pPr>
    </w:p>
    <w:p>
      <w:pPr>
        <w:ind w:left="5406"/>
        <w:spacing w:after="0"/>
        <w:rPr>
          <w:sz w:val="20"/>
          <w:szCs w:val="20"/>
          <w:color w:val="auto"/>
        </w:rPr>
      </w:pPr>
      <w:r>
        <w:rPr>
          <w:rFonts w:ascii="Arial" w:cs="Arial" w:eastAsia="Arial" w:hAnsi="Arial"/>
          <w:sz w:val="16"/>
          <w:szCs w:val="16"/>
          <w:b w:val="1"/>
          <w:bCs w:val="1"/>
          <w:color w:val="auto"/>
        </w:rPr>
        <w:t>BOEING PROPRIETARY</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626" w:right="219" w:bottom="1440" w:gutter="0" w:footer="0" w:header="0"/>
          <w:type w:val="continuous"/>
        </w:sectPr>
      </w:pPr>
    </w:p>
    <w:bookmarkStart w:id="235" w:name="page236"/>
    <w:bookmarkEnd w:id="235"/>
    <w:p>
      <w:pPr>
        <w:ind w:left="306" w:hanging="306"/>
        <w:spacing w:after="0"/>
        <w:tabs>
          <w:tab w:leader="none" w:pos="306"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t>Price</w:t>
      </w:r>
      <w:r>
        <w:rPr>
          <w:rFonts w:ascii="Arial" w:cs="Arial" w:eastAsia="Arial" w:hAnsi="Arial"/>
          <w:sz w:val="19"/>
          <w:szCs w:val="19"/>
          <w:color w:val="auto"/>
        </w:rPr>
        <w:t>.</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The [*CTR] Aircraft Basic Price for each of the [*CTR] are identified in Attachment A(R1) to this Letter Agreement.</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color w:val="auto"/>
        </w:rPr>
        <w:t>The [*CTR] Aircraft Basic Price for each of the [*CTR] shall be [*CTR].</w:t>
      </w:r>
    </w:p>
    <w:p>
      <w:pPr>
        <w:spacing w:after="0" w:line="203" w:lineRule="exact"/>
        <w:rPr>
          <w:sz w:val="20"/>
          <w:szCs w:val="20"/>
          <w:color w:val="auto"/>
        </w:rPr>
      </w:pPr>
    </w:p>
    <w:p>
      <w:pPr>
        <w:ind w:left="1126" w:right="20"/>
        <w:spacing w:after="0" w:line="264" w:lineRule="auto"/>
        <w:rPr>
          <w:sz w:val="20"/>
          <w:szCs w:val="20"/>
          <w:color w:val="auto"/>
        </w:rPr>
      </w:pPr>
      <w:r>
        <w:rPr>
          <w:rFonts w:ascii="Arial" w:cs="Arial" w:eastAsia="Arial" w:hAnsi="Arial"/>
          <w:sz w:val="19"/>
          <w:szCs w:val="19"/>
          <w:color w:val="auto"/>
        </w:rPr>
        <w:t>4.3 The Advance Payment Base Price shall be developed in accordance with the terms of the Purchase Agreement and determined at the time of Limited Scope Supplemental Agreement.</w:t>
      </w:r>
    </w:p>
    <w:p>
      <w:pPr>
        <w:spacing w:after="0" w:line="163" w:lineRule="exact"/>
        <w:rPr>
          <w:sz w:val="20"/>
          <w:szCs w:val="20"/>
          <w:color w:val="auto"/>
        </w:rPr>
      </w:pPr>
    </w:p>
    <w:p>
      <w:pPr>
        <w:ind w:left="306" w:hanging="306"/>
        <w:spacing w:after="0"/>
        <w:tabs>
          <w:tab w:leader="none" w:pos="306"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color w:val="auto"/>
        </w:rPr>
        <w:t>[*CTR].</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color w:val="auto"/>
        </w:rPr>
        <w:t>[*CTR].</w:t>
      </w:r>
    </w:p>
    <w:p>
      <w:pPr>
        <w:spacing w:after="0" w:line="203" w:lineRule="exact"/>
        <w:rPr>
          <w:sz w:val="20"/>
          <w:szCs w:val="20"/>
          <w:color w:val="auto"/>
        </w:rPr>
      </w:pPr>
    </w:p>
    <w:p>
      <w:pPr>
        <w:ind w:left="1126"/>
        <w:spacing w:after="0"/>
        <w:tabs>
          <w:tab w:leader="none" w:pos="1526"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color w:val="auto"/>
        </w:rPr>
        <w:t>[*CTR].</w:t>
      </w:r>
    </w:p>
    <w:p>
      <w:pPr>
        <w:spacing w:after="0" w:line="203" w:lineRule="exact"/>
        <w:rPr>
          <w:sz w:val="20"/>
          <w:szCs w:val="20"/>
          <w:color w:val="auto"/>
        </w:rPr>
      </w:pPr>
    </w:p>
    <w:p>
      <w:pPr>
        <w:ind w:left="306" w:hanging="306"/>
        <w:spacing w:after="0"/>
        <w:tabs>
          <w:tab w:leader="none" w:pos="306"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[*CTR]</w:t>
      </w:r>
      <w:r>
        <w:rPr>
          <w:rFonts w:ascii="Arial" w:cs="Arial" w:eastAsia="Arial" w:hAnsi="Arial"/>
          <w:sz w:val="19"/>
          <w:szCs w:val="19"/>
          <w:color w:val="auto"/>
        </w:rPr>
        <w:t>.</w:t>
      </w:r>
    </w:p>
    <w:p>
      <w:pPr>
        <w:spacing w:after="0" w:line="203" w:lineRule="exact"/>
        <w:rPr>
          <w:sz w:val="20"/>
          <w:szCs w:val="20"/>
          <w:color w:val="auto"/>
        </w:rPr>
      </w:pPr>
    </w:p>
    <w:p>
      <w:pPr>
        <w:ind w:left="1686"/>
        <w:spacing w:after="0"/>
        <w:rPr>
          <w:sz w:val="20"/>
          <w:szCs w:val="20"/>
          <w:color w:val="auto"/>
        </w:rPr>
      </w:pPr>
      <w:r>
        <w:rPr>
          <w:rFonts w:ascii="Arial" w:cs="Arial" w:eastAsia="Arial" w:hAnsi="Arial"/>
          <w:sz w:val="19"/>
          <w:szCs w:val="19"/>
          <w:color w:val="auto"/>
        </w:rPr>
        <w:t>[*CTR].</w:t>
      </w:r>
    </w:p>
    <w:p>
      <w:pPr>
        <w:spacing w:after="0" w:line="191" w:lineRule="exact"/>
        <w:rPr>
          <w:sz w:val="20"/>
          <w:szCs w:val="20"/>
          <w:color w:val="auto"/>
        </w:rPr>
      </w:pPr>
    </w:p>
    <w:p>
      <w:pPr>
        <w:ind w:left="566" w:right="7740" w:hanging="566"/>
        <w:spacing w:after="0" w:line="456" w:lineRule="auto"/>
        <w:tabs>
          <w:tab w:leader="none" w:pos="317"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 xml:space="preserve">Limited Scope Supplemental Agreement. </w:t>
      </w:r>
      <w:r>
        <w:rPr>
          <w:rFonts w:ascii="Arial" w:cs="Arial" w:eastAsia="Arial" w:hAnsi="Arial"/>
          <w:sz w:val="19"/>
          <w:szCs w:val="19"/>
          <w:color w:val="auto"/>
        </w:rPr>
        <w:t>[*CTR].</w:t>
      </w:r>
    </w:p>
    <w:p>
      <w:pPr>
        <w:ind w:left="306" w:hanging="306"/>
        <w:spacing w:after="0"/>
        <w:tabs>
          <w:tab w:leader="none" w:pos="30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3" w:lineRule="exact"/>
        <w:rPr>
          <w:sz w:val="20"/>
          <w:szCs w:val="20"/>
          <w:color w:val="auto"/>
        </w:rPr>
      </w:pPr>
    </w:p>
    <w:p>
      <w:pPr>
        <w:jc w:val="both"/>
        <w:ind w:left="6" w:right="20" w:firstLine="561"/>
        <w:spacing w:after="0" w:line="247" w:lineRule="auto"/>
        <w:rPr>
          <w:sz w:val="20"/>
          <w:szCs w:val="20"/>
          <w:color w:val="auto"/>
        </w:rPr>
      </w:pPr>
      <w:r>
        <w:rPr>
          <w:rFonts w:ascii="Arial" w:cs="Arial" w:eastAsia="Arial" w:hAnsi="Arial"/>
          <w:sz w:val="19"/>
          <w:szCs w:val="19"/>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79" w:lineRule="exact"/>
        <w:rPr>
          <w:sz w:val="20"/>
          <w:szCs w:val="20"/>
          <w:color w:val="auto"/>
        </w:rPr>
      </w:pPr>
    </w:p>
    <w:p>
      <w:pPr>
        <w:ind w:left="306" w:hanging="306"/>
        <w:spacing w:after="0"/>
        <w:tabs>
          <w:tab w:leader="none" w:pos="30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Confidential Treatment.</w:t>
      </w:r>
    </w:p>
    <w:p>
      <w:pPr>
        <w:spacing w:after="0" w:line="203" w:lineRule="exact"/>
        <w:rPr>
          <w:sz w:val="20"/>
          <w:szCs w:val="20"/>
          <w:color w:val="auto"/>
        </w:rPr>
      </w:pPr>
    </w:p>
    <w:p>
      <w:pPr>
        <w:jc w:val="both"/>
        <w:ind w:left="6" w:firstLine="561"/>
        <w:spacing w:after="0" w:line="247"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365" w:lineRule="exact"/>
        <w:rPr>
          <w:sz w:val="20"/>
          <w:szCs w:val="20"/>
          <w:color w:val="auto"/>
        </w:rPr>
      </w:pPr>
    </w:p>
    <w:p>
      <w:pPr>
        <w:ind w:left="6"/>
        <w:spacing w:after="0" w:line="184" w:lineRule="exact"/>
        <w:tabs>
          <w:tab w:leader="none" w:pos="2286" w:val="left"/>
        </w:tabs>
        <w:rPr>
          <w:sz w:val="20"/>
          <w:szCs w:val="20"/>
          <w:color w:val="auto"/>
        </w:rPr>
      </w:pPr>
      <w:r>
        <w:rPr>
          <w:rFonts w:ascii="Arial" w:cs="Arial" w:eastAsia="Arial" w:hAnsi="Arial"/>
          <w:sz w:val="16"/>
          <w:szCs w:val="16"/>
          <w:color w:val="auto"/>
        </w:rPr>
        <w:t>AAL</w:t>
      </w:r>
      <w:r>
        <w:rPr>
          <w:rFonts w:ascii="MS PGothic" w:cs="MS PGothic" w:eastAsia="MS PGothic" w:hAnsi="MS PGothic"/>
          <w:sz w:val="16"/>
          <w:szCs w:val="16"/>
          <w:color w:val="auto"/>
        </w:rPr>
        <w:t>‑</w:t>
      </w:r>
      <w:r>
        <w:rPr>
          <w:rFonts w:ascii="Arial" w:cs="Arial" w:eastAsia="Arial" w:hAnsi="Arial"/>
          <w:sz w:val="16"/>
          <w:szCs w:val="16"/>
          <w:color w:val="auto"/>
        </w:rPr>
        <w:t>PA</w:t>
      </w:r>
      <w:r>
        <w:rPr>
          <w:rFonts w:ascii="MS PGothic" w:cs="MS PGothic" w:eastAsia="MS PGothic" w:hAnsi="MS PGothic"/>
          <w:sz w:val="16"/>
          <w:szCs w:val="16"/>
          <w:color w:val="auto"/>
        </w:rPr>
        <w:t>‑</w:t>
      </w:r>
      <w:r>
        <w:rPr>
          <w:rFonts w:ascii="Arial" w:cs="Arial" w:eastAsia="Arial" w:hAnsi="Arial"/>
          <w:sz w:val="16"/>
          <w:szCs w:val="16"/>
          <w:color w:val="auto"/>
        </w:rPr>
        <w:t>03735</w:t>
      </w:r>
      <w:r>
        <w:rPr>
          <w:rFonts w:ascii="MS PGothic" w:cs="MS PGothic" w:eastAsia="MS PGothic" w:hAnsi="MS PGothic"/>
          <w:sz w:val="16"/>
          <w:szCs w:val="16"/>
          <w:color w:val="auto"/>
        </w:rPr>
        <w:t>‑</w:t>
      </w:r>
      <w:r>
        <w:rPr>
          <w:rFonts w:ascii="Arial" w:cs="Arial" w:eastAsia="Arial" w:hAnsi="Arial"/>
          <w:sz w:val="16"/>
          <w:szCs w:val="16"/>
          <w:color w:val="auto"/>
        </w:rPr>
        <w:t>LA</w:t>
      </w:r>
      <w:r>
        <w:rPr>
          <w:rFonts w:ascii="MS PGothic" w:cs="MS PGothic" w:eastAsia="MS PGothic" w:hAnsi="MS PGothic"/>
          <w:sz w:val="16"/>
          <w:szCs w:val="16"/>
          <w:color w:val="auto"/>
        </w:rPr>
        <w:t>‑</w:t>
      </w:r>
      <w:r>
        <w:rPr>
          <w:rFonts w:ascii="Arial" w:cs="Arial" w:eastAsia="Arial" w:hAnsi="Arial"/>
          <w:sz w:val="16"/>
          <w:szCs w:val="16"/>
          <w:color w:val="auto"/>
        </w:rPr>
        <w:t>1106651</w:t>
      </w:r>
      <w:r>
        <w:rPr>
          <w:rFonts w:ascii="Arial" w:cs="Arial" w:eastAsia="Arial" w:hAnsi="Arial"/>
          <w:sz w:val="16"/>
          <w:szCs w:val="16"/>
          <w:b w:val="1"/>
          <w:bCs w:val="1"/>
          <w:color w:val="auto"/>
        </w:rPr>
        <w:t>R1</w:t>
      </w:r>
      <w:r>
        <w:rPr>
          <w:sz w:val="20"/>
          <w:szCs w:val="20"/>
          <w:color w:val="auto"/>
        </w:rPr>
        <w:tab/>
      </w:r>
      <w:r>
        <w:rPr>
          <w:rFonts w:ascii="Arial" w:cs="Arial" w:eastAsia="Arial" w:hAnsi="Arial"/>
          <w:sz w:val="14"/>
          <w:szCs w:val="14"/>
          <w:color w:val="auto"/>
        </w:rPr>
        <w:t>SA-9</w:t>
      </w:r>
    </w:p>
    <w:p>
      <w:pPr>
        <w:spacing w:after="0" w:line="21" w:lineRule="exact"/>
        <w:rPr>
          <w:sz w:val="20"/>
          <w:szCs w:val="20"/>
          <w:color w:val="auto"/>
        </w:rPr>
      </w:pPr>
    </w:p>
    <w:p>
      <w:pPr>
        <w:ind w:left="6"/>
        <w:spacing w:after="0"/>
        <w:tabs>
          <w:tab w:leader="none" w:pos="626" w:val="left"/>
        </w:tabs>
        <w:rPr>
          <w:sz w:val="20"/>
          <w:szCs w:val="20"/>
          <w:color w:val="auto"/>
        </w:rPr>
      </w:pPr>
      <w:r>
        <w:rPr>
          <w:rFonts w:ascii="Arial" w:cs="Arial" w:eastAsia="Arial" w:hAnsi="Arial"/>
          <w:sz w:val="16"/>
          <w:szCs w:val="16"/>
          <w:color w:val="auto"/>
        </w:rPr>
        <w:t>[*CTR]</w:t>
        <w:tab/>
        <w:t>Page 2 of 3</w:t>
      </w:r>
    </w:p>
    <w:p>
      <w:pPr>
        <w:spacing w:after="0" w:line="79" w:lineRule="exact"/>
        <w:rPr>
          <w:sz w:val="20"/>
          <w:szCs w:val="20"/>
          <w:color w:val="auto"/>
        </w:rPr>
      </w:pPr>
    </w:p>
    <w:p>
      <w:pPr>
        <w:ind w:left="5406"/>
        <w:spacing w:after="0"/>
        <w:rPr>
          <w:sz w:val="20"/>
          <w:szCs w:val="20"/>
          <w:color w:val="auto"/>
        </w:rPr>
      </w:pPr>
      <w:r>
        <w:rPr>
          <w:rFonts w:ascii="Arial" w:cs="Arial" w:eastAsia="Arial" w:hAnsi="Arial"/>
          <w:sz w:val="16"/>
          <w:szCs w:val="16"/>
          <w:b w:val="1"/>
          <w:bCs w:val="1"/>
          <w:color w:val="auto"/>
        </w:rPr>
        <w:t>BOEING PROPRIETARY</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446"/>
          </w:cols>
          <w:pgMar w:left="234" w:top="1210" w:right="219" w:bottom="1440" w:gutter="0" w:footer="0" w:header="0"/>
        </w:sectPr>
      </w:pPr>
    </w:p>
    <w:bookmarkStart w:id="236" w:name="page237"/>
    <w:bookmarkEnd w:id="236"/>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1871980" cy="423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871980" cy="423545"/>
                    </a:xfrm>
                    <a:prstGeom prst="rect">
                      <a:avLst/>
                    </a:prstGeom>
                    <a:noFill/>
                  </pic:spPr>
                </pic:pic>
              </a:graphicData>
            </a:graphic>
          </wp:anchor>
        </w:drawing>
        <w:t>Very truly yours,</w:t>
      </w:r>
    </w:p>
    <w:p>
      <w:pPr>
        <w:spacing w:after="0" w:line="33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THE BOEING COMPANY</w:t>
      </w: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232"/>
        </w:trPr>
        <w:tc>
          <w:tcPr>
            <w:tcW w:w="760" w:type="dxa"/>
            <w:vAlign w:val="bottom"/>
          </w:tcPr>
          <w:p>
            <w:pPr>
              <w:spacing w:after="0"/>
              <w:rPr>
                <w:sz w:val="20"/>
                <w:szCs w:val="20"/>
                <w:color w:val="auto"/>
              </w:rPr>
            </w:pPr>
            <w:r>
              <w:rPr>
                <w:rFonts w:ascii="Arial" w:cs="Arial" w:eastAsia="Arial" w:hAnsi="Arial"/>
                <w:sz w:val="19"/>
                <w:szCs w:val="19"/>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The Boeing Company</w:t>
            </w:r>
          </w:p>
        </w:tc>
      </w:tr>
      <w:tr>
        <w:trPr>
          <w:trHeight w:val="495"/>
        </w:trPr>
        <w:tc>
          <w:tcPr>
            <w:tcW w:w="760" w:type="dxa"/>
            <w:vAlign w:val="bottom"/>
          </w:tcPr>
          <w:p>
            <w:pPr>
              <w:spacing w:after="0"/>
              <w:rPr>
                <w:sz w:val="20"/>
                <w:szCs w:val="20"/>
                <w:color w:val="auto"/>
              </w:rPr>
            </w:pPr>
            <w:r>
              <w:rPr>
                <w:rFonts w:ascii="Arial" w:cs="Arial" w:eastAsia="Arial" w:hAnsi="Arial"/>
                <w:sz w:val="19"/>
                <w:szCs w:val="19"/>
                <w:color w:val="auto"/>
              </w:rPr>
              <w:t>Its:</w:t>
            </w:r>
          </w:p>
        </w:tc>
        <w:tc>
          <w:tcPr>
            <w:tcW w:w="5140" w:type="dxa"/>
            <w:vAlign w:val="bottom"/>
            <w:tcBorders>
              <w:bottom w:val="single" w:sz="8" w:color="auto"/>
            </w:tcBorders>
            <w:gridSpan w:val="2"/>
          </w:tcPr>
          <w:p>
            <w:pPr>
              <w:ind w:left="20"/>
              <w:spacing w:after="0" w:line="219" w:lineRule="exact"/>
              <w:rPr>
                <w:sz w:val="20"/>
                <w:szCs w:val="20"/>
                <w:color w:val="auto"/>
              </w:rPr>
            </w:pPr>
            <w:r>
              <w:rPr>
                <w:rFonts w:ascii="Arial" w:cs="Arial" w:eastAsia="Arial" w:hAnsi="Arial"/>
                <w:sz w:val="19"/>
                <w:szCs w:val="19"/>
                <w:color w:val="auto"/>
              </w:rPr>
              <w:t>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w:t>
            </w:r>
          </w:p>
        </w:tc>
      </w:tr>
      <w:tr>
        <w:trPr>
          <w:trHeight w:val="488"/>
        </w:trPr>
        <w:tc>
          <w:tcPr>
            <w:tcW w:w="5900" w:type="dxa"/>
            <w:vAlign w:val="bottom"/>
            <w:gridSpan w:val="3"/>
          </w:tcPr>
          <w:p>
            <w:pPr>
              <w:spacing w:after="0"/>
              <w:rPr>
                <w:sz w:val="20"/>
                <w:szCs w:val="20"/>
                <w:color w:val="auto"/>
              </w:rPr>
            </w:pPr>
            <w:r>
              <w:rPr>
                <w:rFonts w:ascii="Arial" w:cs="Arial" w:eastAsia="Arial" w:hAnsi="Arial"/>
                <w:sz w:val="19"/>
                <w:szCs w:val="19"/>
                <w:color w:val="auto"/>
              </w:rPr>
              <w:t>ACCEPTED AND AGREED TO this</w:t>
            </w:r>
          </w:p>
        </w:tc>
      </w:tr>
      <w:tr>
        <w:trPr>
          <w:trHeight w:val="522"/>
        </w:trPr>
        <w:tc>
          <w:tcPr>
            <w:tcW w:w="760" w:type="dxa"/>
            <w:vAlign w:val="bottom"/>
          </w:tcPr>
          <w:p>
            <w:pPr>
              <w:spacing w:after="0"/>
              <w:rPr>
                <w:sz w:val="20"/>
                <w:szCs w:val="20"/>
                <w:color w:val="auto"/>
              </w:rPr>
            </w:pPr>
            <w:r>
              <w:rPr>
                <w:rFonts w:ascii="Arial" w:cs="Arial" w:eastAsia="Arial" w:hAnsi="Arial"/>
                <w:sz w:val="19"/>
                <w:szCs w:val="19"/>
                <w:color w:val="auto"/>
              </w:rPr>
              <w:t>Date:</w:t>
            </w:r>
          </w:p>
        </w:tc>
        <w:tc>
          <w:tcPr>
            <w:tcW w:w="112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April 6, 2018</w:t>
            </w:r>
          </w:p>
        </w:tc>
      </w:tr>
      <w:tr>
        <w:trPr>
          <w:trHeight w:val="488"/>
        </w:trPr>
        <w:tc>
          <w:tcPr>
            <w:tcW w:w="5900" w:type="dxa"/>
            <w:vAlign w:val="bottom"/>
            <w:gridSpan w:val="3"/>
          </w:tcPr>
          <w:p>
            <w:pPr>
              <w:spacing w:after="0"/>
              <w:rPr>
                <w:sz w:val="20"/>
                <w:szCs w:val="20"/>
                <w:color w:val="auto"/>
              </w:rPr>
            </w:pPr>
            <w:r>
              <w:rPr>
                <w:rFonts w:ascii="Arial" w:cs="Arial" w:eastAsia="Arial" w:hAnsi="Arial"/>
                <w:sz w:val="19"/>
                <w:szCs w:val="19"/>
                <w:b w:val="1"/>
                <w:bCs w:val="1"/>
                <w:color w:val="auto"/>
              </w:rPr>
              <w:t>AMERICAN AIRLINES, INC.</w:t>
            </w:r>
          </w:p>
        </w:tc>
      </w:tr>
      <w:tr>
        <w:trPr>
          <w:trHeight w:val="522"/>
        </w:trPr>
        <w:tc>
          <w:tcPr>
            <w:tcW w:w="760" w:type="dxa"/>
            <w:vAlign w:val="bottom"/>
          </w:tcPr>
          <w:p>
            <w:pPr>
              <w:spacing w:after="0"/>
              <w:rPr>
                <w:sz w:val="20"/>
                <w:szCs w:val="20"/>
                <w:color w:val="auto"/>
              </w:rPr>
            </w:pPr>
            <w:r>
              <w:rPr>
                <w:rFonts w:ascii="Arial" w:cs="Arial" w:eastAsia="Arial" w:hAnsi="Arial"/>
                <w:sz w:val="19"/>
                <w:szCs w:val="19"/>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American Airlines, Inc.</w:t>
            </w:r>
          </w:p>
        </w:tc>
      </w:tr>
      <w:tr>
        <w:trPr>
          <w:trHeight w:val="495"/>
        </w:trPr>
        <w:tc>
          <w:tcPr>
            <w:tcW w:w="760" w:type="dxa"/>
            <w:vAlign w:val="bottom"/>
          </w:tcPr>
          <w:p>
            <w:pPr>
              <w:spacing w:after="0"/>
              <w:rPr>
                <w:sz w:val="20"/>
                <w:szCs w:val="20"/>
                <w:color w:val="auto"/>
              </w:rPr>
            </w:pPr>
            <w:r>
              <w:rPr>
                <w:rFonts w:ascii="Arial" w:cs="Arial" w:eastAsia="Arial" w:hAnsi="Arial"/>
                <w:sz w:val="19"/>
                <w:szCs w:val="19"/>
                <w:color w:val="auto"/>
              </w:rPr>
              <w:t>Its:</w:t>
            </w: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84" w:lineRule="exact"/>
        <w:tabs>
          <w:tab w:leader="none" w:pos="2280" w:val="left"/>
        </w:tabs>
        <w:rPr>
          <w:sz w:val="20"/>
          <w:szCs w:val="20"/>
          <w:color w:val="auto"/>
        </w:rPr>
      </w:pPr>
      <w:r>
        <w:rPr>
          <w:rFonts w:ascii="Arial" w:cs="Arial" w:eastAsia="Arial" w:hAnsi="Arial"/>
          <w:sz w:val="16"/>
          <w:szCs w:val="16"/>
          <w:color w:val="auto"/>
        </w:rPr>
        <w:t>AAL</w:t>
      </w:r>
      <w:r>
        <w:rPr>
          <w:rFonts w:ascii="MS PGothic" w:cs="MS PGothic" w:eastAsia="MS PGothic" w:hAnsi="MS PGothic"/>
          <w:sz w:val="16"/>
          <w:szCs w:val="16"/>
          <w:color w:val="auto"/>
        </w:rPr>
        <w:t>‑</w:t>
      </w:r>
      <w:r>
        <w:rPr>
          <w:rFonts w:ascii="Arial" w:cs="Arial" w:eastAsia="Arial" w:hAnsi="Arial"/>
          <w:sz w:val="16"/>
          <w:szCs w:val="16"/>
          <w:color w:val="auto"/>
        </w:rPr>
        <w:t>PA</w:t>
      </w:r>
      <w:r>
        <w:rPr>
          <w:rFonts w:ascii="MS PGothic" w:cs="MS PGothic" w:eastAsia="MS PGothic" w:hAnsi="MS PGothic"/>
          <w:sz w:val="16"/>
          <w:szCs w:val="16"/>
          <w:color w:val="auto"/>
        </w:rPr>
        <w:t>‑</w:t>
      </w:r>
      <w:r>
        <w:rPr>
          <w:rFonts w:ascii="Arial" w:cs="Arial" w:eastAsia="Arial" w:hAnsi="Arial"/>
          <w:sz w:val="16"/>
          <w:szCs w:val="16"/>
          <w:color w:val="auto"/>
        </w:rPr>
        <w:t>03735</w:t>
      </w:r>
      <w:r>
        <w:rPr>
          <w:rFonts w:ascii="MS PGothic" w:cs="MS PGothic" w:eastAsia="MS PGothic" w:hAnsi="MS PGothic"/>
          <w:sz w:val="16"/>
          <w:szCs w:val="16"/>
          <w:color w:val="auto"/>
        </w:rPr>
        <w:t>‑</w:t>
      </w:r>
      <w:r>
        <w:rPr>
          <w:rFonts w:ascii="Arial" w:cs="Arial" w:eastAsia="Arial" w:hAnsi="Arial"/>
          <w:sz w:val="16"/>
          <w:szCs w:val="16"/>
          <w:color w:val="auto"/>
        </w:rPr>
        <w:t>LA</w:t>
      </w:r>
      <w:r>
        <w:rPr>
          <w:rFonts w:ascii="MS PGothic" w:cs="MS PGothic" w:eastAsia="MS PGothic" w:hAnsi="MS PGothic"/>
          <w:sz w:val="16"/>
          <w:szCs w:val="16"/>
          <w:color w:val="auto"/>
        </w:rPr>
        <w:t>‑</w:t>
      </w:r>
      <w:r>
        <w:rPr>
          <w:rFonts w:ascii="Arial" w:cs="Arial" w:eastAsia="Arial" w:hAnsi="Arial"/>
          <w:sz w:val="16"/>
          <w:szCs w:val="16"/>
          <w:color w:val="auto"/>
        </w:rPr>
        <w:t>1106651</w:t>
      </w:r>
      <w:r>
        <w:rPr>
          <w:rFonts w:ascii="Arial" w:cs="Arial" w:eastAsia="Arial" w:hAnsi="Arial"/>
          <w:sz w:val="16"/>
          <w:szCs w:val="16"/>
          <w:b w:val="1"/>
          <w:bCs w:val="1"/>
          <w:color w:val="auto"/>
        </w:rPr>
        <w:t>R1</w:t>
      </w:r>
      <w:r>
        <w:rPr>
          <w:sz w:val="20"/>
          <w:szCs w:val="20"/>
          <w:color w:val="auto"/>
        </w:rPr>
        <w:tab/>
      </w:r>
      <w:r>
        <w:rPr>
          <w:rFonts w:ascii="Arial" w:cs="Arial" w:eastAsia="Arial" w:hAnsi="Arial"/>
          <w:sz w:val="14"/>
          <w:szCs w:val="14"/>
          <w:color w:val="auto"/>
        </w:rPr>
        <w:t>SA-9</w:t>
      </w:r>
    </w:p>
    <w:p>
      <w:pPr>
        <w:spacing w:after="0" w:line="2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[*CTR]</w:t>
        <w:tab/>
        <w:t>Page 3 of 3</w:t>
      </w:r>
    </w:p>
    <w:p>
      <w:pPr>
        <w:spacing w:after="0" w:line="79"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BOEING PROPRIETARY</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[*CTR]=[CONFIDENTIAL PORTION OMITTED AND FILED SEPARATELY WITH THE COMMISSION PURSUANT TO A REQUEST FOR CONFIDENTIAL TREATMENT]</w:t>
      </w:r>
    </w:p>
    <w:p>
      <w:pPr>
        <w:sectPr>
          <w:pgSz w:w="11900" w:h="16838" w:orient="portrait"/>
          <w:cols w:equalWidth="0" w:num="1">
            <w:col w:w="10520"/>
          </w:cols>
          <w:pgMar w:left="240" w:top="1304" w:right="1139" w:bottom="1440" w:gutter="0" w:footer="0" w:header="0"/>
        </w:sectPr>
      </w:pPr>
    </w:p>
    <w:bookmarkStart w:id="237" w:name="page238"/>
    <w:bookmarkEnd w:id="237"/>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Pr>
          <w:p>
            <w:pPr>
              <w:spacing w:after="0"/>
              <w:rPr>
                <w:sz w:val="16"/>
                <w:szCs w:val="16"/>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w w:val="96"/>
              </w:rPr>
              <w:t>Airframe Model/MTOW:</w:t>
            </w:r>
          </w:p>
        </w:tc>
        <w:tc>
          <w:tcPr>
            <w:tcW w:w="880" w:type="dxa"/>
            <w:vAlign w:val="bottom"/>
            <w:vMerge w:val="restart"/>
          </w:tcPr>
          <w:p>
            <w:pPr>
              <w:jc w:val="center"/>
              <w:ind w:right="241"/>
              <w:spacing w:after="0"/>
              <w:rPr>
                <w:sz w:val="20"/>
                <w:szCs w:val="20"/>
                <w:color w:val="auto"/>
              </w:rPr>
            </w:pPr>
            <w:r>
              <w:rPr>
                <w:rFonts w:ascii="Arial" w:cs="Arial" w:eastAsia="Arial" w:hAnsi="Arial"/>
                <w:sz w:val="16"/>
                <w:szCs w:val="16"/>
                <w:color w:val="auto"/>
                <w:w w:val="87"/>
              </w:rPr>
              <w:t>737-8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rPr>
              <w:t>Detail Specification:</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6"/>
                <w:szCs w:val="16"/>
                <w:color w:val="auto"/>
              </w:rPr>
              <w:t>[*CTR]</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3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gridSpan w:val="4"/>
            <w:vMerge w:val="restart"/>
          </w:tcPr>
          <w:p>
            <w:pPr>
              <w:jc w:val="right"/>
              <w:ind w:right="702"/>
              <w:spacing w:after="0"/>
              <w:rPr>
                <w:sz w:val="20"/>
                <w:szCs w:val="20"/>
                <w:color w:val="auto"/>
              </w:rPr>
            </w:pPr>
            <w:r>
              <w:rPr>
                <w:rFonts w:ascii="Arial" w:cs="Arial" w:eastAsia="Arial" w:hAnsi="Arial"/>
                <w:sz w:val="16"/>
                <w:szCs w:val="16"/>
                <w:color w:val="auto"/>
              </w:rPr>
              <w:t>pounds</w:t>
            </w: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w w:val="99"/>
              </w:rPr>
              <w:t xml:space="preserve">Engine Model/Thrust: </w:t>
            </w:r>
            <w:r>
              <w:rPr>
                <w:rFonts w:ascii="Arial" w:cs="Arial" w:eastAsia="Arial" w:hAnsi="Arial"/>
                <w:sz w:val="16"/>
                <w:szCs w:val="16"/>
                <w:color w:val="auto"/>
                <w:w w:val="99"/>
              </w:rPr>
              <w:t>CFMLEAP-1B25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21"/>
                <w:szCs w:val="21"/>
                <w:color w:val="auto"/>
              </w:rPr>
            </w:pPr>
          </w:p>
        </w:tc>
        <w:tc>
          <w:tcPr>
            <w:tcW w:w="2460" w:type="dxa"/>
            <w:vAlign w:val="bottom"/>
            <w:gridSpan w:val="5"/>
          </w:tcPr>
          <w:p>
            <w:pPr>
              <w:spacing w:after="0"/>
              <w:rPr>
                <w:sz w:val="20"/>
                <w:szCs w:val="20"/>
                <w:color w:val="auto"/>
              </w:rPr>
            </w:pPr>
            <w:r>
              <w:rPr>
                <w:rFonts w:ascii="Arial" w:cs="Arial" w:eastAsia="Arial" w:hAnsi="Arial"/>
                <w:sz w:val="16"/>
                <w:szCs w:val="16"/>
                <w:b w:val="1"/>
                <w:bCs w:val="1"/>
                <w:color w:val="auto"/>
                <w:w w:val="87"/>
              </w:rPr>
              <w:t>Airframe Price Base Year/Escalation</w:t>
            </w:r>
          </w:p>
        </w:tc>
        <w:tc>
          <w:tcPr>
            <w:tcW w:w="1460" w:type="dxa"/>
            <w:vAlign w:val="bottom"/>
            <w:gridSpan w:val="2"/>
          </w:tcPr>
          <w:p>
            <w:pPr>
              <w:ind w:left="860"/>
              <w:spacing w:after="0"/>
              <w:rPr>
                <w:sz w:val="20"/>
                <w:szCs w:val="20"/>
                <w:color w:val="auto"/>
              </w:rPr>
            </w:pPr>
            <w:r>
              <w:rPr>
                <w:rFonts w:ascii="Arial" w:cs="Arial" w:eastAsia="Arial" w:hAnsi="Arial"/>
                <w:sz w:val="16"/>
                <w:szCs w:val="16"/>
                <w:color w:val="auto"/>
              </w:rPr>
              <w:t>[*CTR]</w:t>
            </w:r>
          </w:p>
        </w:tc>
        <w:tc>
          <w:tcPr>
            <w:tcW w:w="1320" w:type="dxa"/>
            <w:vAlign w:val="bottom"/>
          </w:tcPr>
          <w:p>
            <w:pPr>
              <w:ind w:left="4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pounds</w:t>
            </w:r>
          </w:p>
        </w:tc>
        <w:tc>
          <w:tcPr>
            <w:tcW w:w="54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w w:val="90"/>
              </w:rPr>
              <w:t>Formula:</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rPr>
              <w:t>Airframe Price: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Arial" w:cs="Arial" w:eastAsia="Arial" w:hAnsi="Arial"/>
                <w:sz w:val="16"/>
                <w:szCs w:val="16"/>
                <w:b w:val="1"/>
                <w:bCs w:val="1"/>
                <w:color w:val="auto"/>
                <w:w w:val="91"/>
              </w:rPr>
              <w:t>Engine Price Base Year/Escalation</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w w:val="90"/>
              </w:rPr>
              <w:t>Formula:</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w w:val="97"/>
              </w:rPr>
              <w:t>Optional Features: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$*CTR]</w:t>
            </w:r>
          </w:p>
        </w:tc>
        <w:tc>
          <w:tcPr>
            <w:tcW w:w="78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Sub-Total of Airframe and Features: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6"/>
                <w:szCs w:val="16"/>
                <w:b w:val="1"/>
                <w:bCs w:val="1"/>
                <w:color w:val="auto"/>
              </w:rPr>
              <w:t>Airframe Escalation Data:</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Engine Price (Per Aircraft):</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21"/>
                <w:szCs w:val="21"/>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Base Year Index (ECI):</w:t>
            </w:r>
          </w:p>
        </w:tc>
        <w:tc>
          <w:tcPr>
            <w:tcW w:w="16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gridSpan w:val="2"/>
          </w:tcPr>
          <w:p>
            <w:pPr>
              <w:ind w:left="940"/>
              <w:spacing w:after="0"/>
              <w:rPr>
                <w:sz w:val="20"/>
                <w:szCs w:val="20"/>
                <w:color w:val="auto"/>
              </w:rPr>
            </w:pPr>
            <w:r>
              <w:rPr>
                <w:rFonts w:ascii="Arial" w:cs="Arial" w:eastAsia="Arial" w:hAnsi="Arial"/>
                <w:sz w:val="16"/>
                <w:szCs w:val="16"/>
                <w:color w:val="auto"/>
              </w:rPr>
              <w:t>[*CTR]</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Aircraft Basic Price (Excluding</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w w:val="91"/>
              </w:rPr>
              <w:t>Base Year Index (CPI):</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gridSpan w:val="2"/>
          </w:tcPr>
          <w:p>
            <w:pPr>
              <w:ind w:left="940"/>
              <w:spacing w:after="0"/>
              <w:rPr>
                <w:sz w:val="20"/>
                <w:szCs w:val="20"/>
                <w:color w:val="auto"/>
              </w:rPr>
            </w:pPr>
            <w:r>
              <w:rPr>
                <w:rFonts w:ascii="Arial" w:cs="Arial" w:eastAsia="Arial" w:hAnsi="Arial"/>
                <w:sz w:val="16"/>
                <w:szCs w:val="16"/>
                <w:color w:val="auto"/>
              </w:rPr>
              <w:t>[*CTR]</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880" w:type="dxa"/>
            <w:vAlign w:val="bottom"/>
            <w:gridSpan w:val="2"/>
          </w:tcPr>
          <w:p>
            <w:pPr>
              <w:ind w:left="460"/>
              <w:spacing w:after="0" w:line="180" w:lineRule="exact"/>
              <w:rPr>
                <w:sz w:val="20"/>
                <w:szCs w:val="20"/>
                <w:color w:val="auto"/>
              </w:rPr>
            </w:pPr>
            <w:r>
              <w:rPr>
                <w:rFonts w:ascii="Arial" w:cs="Arial" w:eastAsia="Arial" w:hAnsi="Arial"/>
                <w:sz w:val="16"/>
                <w:szCs w:val="16"/>
                <w:b w:val="1"/>
                <w:bCs w:val="1"/>
                <w:color w:val="auto"/>
              </w:rPr>
              <w:t>BFE/SPE):</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3320" w:type="dxa"/>
            <w:vAlign w:val="bottom"/>
            <w:gridSpan w:val="5"/>
          </w:tcPr>
          <w:p>
            <w:pPr>
              <w:ind w:left="460"/>
              <w:spacing w:after="0" w:line="181" w:lineRule="exact"/>
              <w:rPr>
                <w:sz w:val="20"/>
                <w:szCs w:val="20"/>
                <w:color w:val="auto"/>
              </w:rPr>
            </w:pPr>
            <w:r>
              <w:rPr>
                <w:rFonts w:ascii="Arial" w:cs="Arial" w:eastAsia="Arial" w:hAnsi="Arial"/>
                <w:sz w:val="16"/>
                <w:szCs w:val="16"/>
                <w:b w:val="1"/>
                <w:bCs w:val="1"/>
                <w:color w:val="auto"/>
              </w:rPr>
              <w:t>Buyer Furnished Equipment (BFE)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right"/>
              <w:ind w:right="702"/>
              <w:spacing w:after="0" w:line="181" w:lineRule="exact"/>
              <w:rPr>
                <w:sz w:val="20"/>
                <w:szCs w:val="20"/>
                <w:color w:val="auto"/>
              </w:rPr>
            </w:pPr>
            <w:r>
              <w:rPr>
                <w:rFonts w:ascii="Arial" w:cs="Arial" w:eastAsia="Arial" w:hAnsi="Arial"/>
                <w:sz w:val="16"/>
                <w:szCs w:val="16"/>
                <w:color w:val="auto"/>
              </w:rPr>
              <w:t>$[*CTR]</w:t>
            </w: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rPr>
              <w:t>Estimate: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Seller Purchased Equipment (SPE)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rPr>
              <w:t>Estimate: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320" w:type="dxa"/>
            <w:vAlign w:val="bottom"/>
            <w:gridSpan w:val="5"/>
          </w:tcPr>
          <w:p>
            <w:pPr>
              <w:ind w:left="460"/>
              <w:spacing w:after="0"/>
              <w:rPr>
                <w:sz w:val="20"/>
                <w:szCs w:val="20"/>
                <w:color w:val="auto"/>
              </w:rPr>
            </w:pPr>
            <w:r>
              <w:rPr>
                <w:rFonts w:ascii="Arial" w:cs="Arial" w:eastAsia="Arial" w:hAnsi="Arial"/>
                <w:sz w:val="16"/>
                <w:szCs w:val="16"/>
                <w:b w:val="1"/>
                <w:bCs w:val="1"/>
                <w:color w:val="auto"/>
              </w:rPr>
              <w:t>LIFT Seats Provided by Boeing</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rPr>
              <w:t>(Estimate):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880" w:type="dxa"/>
            <w:vAlign w:val="bottom"/>
            <w:gridSpan w:val="2"/>
          </w:tcPr>
          <w:p>
            <w:pPr>
              <w:ind w:left="460"/>
              <w:spacing w:after="0"/>
              <w:rPr>
                <w:sz w:val="20"/>
                <w:szCs w:val="20"/>
                <w:color w:val="auto"/>
              </w:rPr>
            </w:pPr>
            <w:r>
              <w:rPr>
                <w:rFonts w:ascii="Arial" w:cs="Arial" w:eastAsia="Arial" w:hAnsi="Arial"/>
                <w:sz w:val="16"/>
                <w:szCs w:val="16"/>
                <w:b w:val="1"/>
                <w:bCs w:val="1"/>
                <w:color w:val="auto"/>
                <w:w w:val="89"/>
              </w:rPr>
              <w:t>Deposit per Aircraft: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jc w:val="right"/>
              <w:ind w:right="702"/>
              <w:spacing w:after="0"/>
              <w:rPr>
                <w:sz w:val="20"/>
                <w:szCs w:val="20"/>
                <w:color w:val="auto"/>
              </w:rPr>
            </w:pPr>
            <w:r>
              <w:rPr>
                <w:rFonts w:ascii="Arial" w:cs="Arial" w:eastAsia="Arial" w:hAnsi="Arial"/>
                <w:sz w:val="16"/>
                <w:szCs w:val="16"/>
                <w:color w:val="auto"/>
              </w:rPr>
              <w:t>$[*CTR]</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260" w:type="dxa"/>
            <w:vAlign w:val="bottom"/>
            <w:shd w:val="clear" w:color="auto" w:fill="C1C1C1"/>
          </w:tcPr>
          <w:p>
            <w:pPr>
              <w:spacing w:after="0"/>
              <w:rPr>
                <w:sz w:val="16"/>
                <w:szCs w:val="16"/>
                <w:color w:val="auto"/>
              </w:rPr>
            </w:pPr>
          </w:p>
        </w:tc>
        <w:tc>
          <w:tcPr>
            <w:tcW w:w="260" w:type="dxa"/>
            <w:vAlign w:val="bottom"/>
            <w:shd w:val="clear" w:color="auto" w:fill="C1C1C1"/>
          </w:tcPr>
          <w:p>
            <w:pPr>
              <w:spacing w:after="0"/>
              <w:rPr>
                <w:sz w:val="16"/>
                <w:szCs w:val="16"/>
                <w:color w:val="auto"/>
              </w:rPr>
            </w:pPr>
          </w:p>
        </w:tc>
        <w:tc>
          <w:tcPr>
            <w:tcW w:w="60" w:type="dxa"/>
            <w:vAlign w:val="bottom"/>
            <w:shd w:val="clear" w:color="auto" w:fill="C1C1C1"/>
          </w:tcPr>
          <w:p>
            <w:pPr>
              <w:spacing w:after="0"/>
              <w:rPr>
                <w:sz w:val="16"/>
                <w:szCs w:val="16"/>
                <w:color w:val="auto"/>
              </w:rPr>
            </w:pPr>
          </w:p>
        </w:tc>
        <w:tc>
          <w:tcPr>
            <w:tcW w:w="360" w:type="dxa"/>
            <w:vAlign w:val="bottom"/>
            <w:tcBorders>
              <w:right w:val="single" w:sz="8" w:color="auto"/>
            </w:tcBorders>
            <w:shd w:val="clear" w:color="auto" w:fill="C1C1C1"/>
          </w:tcPr>
          <w:p>
            <w:pPr>
              <w:spacing w:after="0"/>
              <w:rPr>
                <w:sz w:val="16"/>
                <w:szCs w:val="16"/>
                <w:color w:val="auto"/>
              </w:rPr>
            </w:pPr>
          </w:p>
        </w:tc>
        <w:tc>
          <w:tcPr>
            <w:tcW w:w="1080" w:type="dxa"/>
            <w:vAlign w:val="bottom"/>
            <w:tcBorders>
              <w:right w:val="single" w:sz="8" w:color="auto"/>
            </w:tcBorders>
            <w:gridSpan w:val="3"/>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20" w:type="dxa"/>
            <w:vAlign w:val="bottom"/>
          </w:tcPr>
          <w:p>
            <w:pPr>
              <w:spacing w:after="0"/>
              <w:rPr>
                <w:sz w:val="16"/>
                <w:szCs w:val="16"/>
                <w:color w:val="auto"/>
              </w:rPr>
            </w:pPr>
          </w:p>
        </w:tc>
        <w:tc>
          <w:tcPr>
            <w:tcW w:w="4600" w:type="dxa"/>
            <w:vAlign w:val="bottom"/>
            <w:tcBorders>
              <w:right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gridSpan w:val="2"/>
            <w:vMerge w:val="continue"/>
          </w:tcPr>
          <w:p>
            <w:pPr>
              <w:spacing w:after="0"/>
              <w:rPr>
                <w:sz w:val="6"/>
                <w:szCs w:val="6"/>
                <w:color w:val="auto"/>
              </w:rPr>
            </w:pPr>
          </w:p>
        </w:tc>
        <w:tc>
          <w:tcPr>
            <w:tcW w:w="260" w:type="dxa"/>
            <w:vAlign w:val="bottom"/>
            <w:tcBorders>
              <w:bottom w:val="single" w:sz="8" w:color="C1C1C1"/>
            </w:tcBorders>
            <w:shd w:val="clear" w:color="auto" w:fill="C1C1C1"/>
          </w:tcPr>
          <w:p>
            <w:pPr>
              <w:spacing w:after="0"/>
              <w:rPr>
                <w:sz w:val="6"/>
                <w:szCs w:val="6"/>
                <w:color w:val="auto"/>
              </w:rPr>
            </w:pPr>
          </w:p>
        </w:tc>
        <w:tc>
          <w:tcPr>
            <w:tcW w:w="260" w:type="dxa"/>
            <w:vAlign w:val="bottom"/>
            <w:tcBorders>
              <w:bottom w:val="single" w:sz="8" w:color="C1C1C1"/>
            </w:tcBorders>
            <w:shd w:val="clear" w:color="auto" w:fill="C1C1C1"/>
          </w:tcPr>
          <w:p>
            <w:pPr>
              <w:spacing w:after="0"/>
              <w:rPr>
                <w:sz w:val="6"/>
                <w:szCs w:val="6"/>
                <w:color w:val="auto"/>
              </w:rPr>
            </w:pPr>
          </w:p>
        </w:tc>
        <w:tc>
          <w:tcPr>
            <w:tcW w:w="60" w:type="dxa"/>
            <w:vAlign w:val="bottom"/>
            <w:tcBorders>
              <w:bottom w:val="single" w:sz="8" w:color="C1C1C1"/>
            </w:tcBorders>
            <w:shd w:val="clear" w:color="auto" w:fill="C1C1C1"/>
          </w:tcPr>
          <w:p>
            <w:pPr>
              <w:spacing w:after="0"/>
              <w:rPr>
                <w:sz w:val="6"/>
                <w:szCs w:val="6"/>
                <w:color w:val="auto"/>
              </w:rPr>
            </w:pPr>
          </w:p>
        </w:tc>
        <w:tc>
          <w:tcPr>
            <w:tcW w:w="360" w:type="dxa"/>
            <w:vAlign w:val="bottom"/>
            <w:tcBorders>
              <w:bottom w:val="single" w:sz="8" w:color="C1C1C1"/>
              <w:right w:val="single" w:sz="8" w:color="auto"/>
            </w:tcBorders>
            <w:shd w:val="clear" w:color="auto" w:fill="C1C1C1"/>
          </w:tcPr>
          <w:p>
            <w:pPr>
              <w:spacing w:after="0"/>
              <w:rPr>
                <w:sz w:val="6"/>
                <w:szCs w:val="6"/>
                <w:color w:val="auto"/>
              </w:rPr>
            </w:pPr>
          </w:p>
        </w:tc>
        <w:tc>
          <w:tcPr>
            <w:tcW w:w="1080" w:type="dxa"/>
            <w:vAlign w:val="bottom"/>
            <w:tcBorders>
              <w:bottom w:val="single" w:sz="8" w:color="C1C1C1"/>
              <w:right w:val="single" w:sz="8" w:color="auto"/>
            </w:tcBorders>
            <w:gridSpan w:val="3"/>
            <w:vMerge w:val="continue"/>
            <w:shd w:val="clear" w:color="auto" w:fill="C1C1C1"/>
          </w:tcPr>
          <w:p>
            <w:pPr>
              <w:spacing w:after="0"/>
              <w:rPr>
                <w:sz w:val="6"/>
                <w:szCs w:val="6"/>
                <w:color w:val="auto"/>
              </w:rPr>
            </w:pP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right w:val="single" w:sz="8" w:color="auto"/>
            </w:tcBorders>
            <w:vMerge w:val="restart"/>
          </w:tcPr>
          <w:p>
            <w:pPr>
              <w:jc w:val="center"/>
              <w:ind w:right="241"/>
              <w:spacing w:after="0"/>
              <w:rPr>
                <w:sz w:val="20"/>
                <w:szCs w:val="20"/>
                <w:color w:val="auto"/>
              </w:rPr>
            </w:pPr>
            <w:r>
              <w:rPr>
                <w:rFonts w:ascii="Arial" w:cs="Arial" w:eastAsia="Arial" w:hAnsi="Arial"/>
                <w:sz w:val="16"/>
                <w:szCs w:val="16"/>
                <w:b w:val="1"/>
                <w:bCs w:val="1"/>
                <w:color w:val="auto"/>
                <w:w w:val="89"/>
              </w:rPr>
              <w:t>Factor</w:t>
            </w:r>
          </w:p>
        </w:tc>
        <w:tc>
          <w:tcPr>
            <w:tcW w:w="260" w:type="dxa"/>
            <w:vAlign w:val="bottom"/>
            <w:shd w:val="clear" w:color="auto" w:fill="C1C1C1"/>
          </w:tcPr>
          <w:p>
            <w:pPr>
              <w:spacing w:after="0"/>
              <w:rPr>
                <w:sz w:val="8"/>
                <w:szCs w:val="8"/>
                <w:color w:val="auto"/>
              </w:rPr>
            </w:pPr>
          </w:p>
        </w:tc>
        <w:tc>
          <w:tcPr>
            <w:tcW w:w="260" w:type="dxa"/>
            <w:vAlign w:val="bottom"/>
            <w:shd w:val="clear" w:color="auto" w:fill="C1C1C1"/>
          </w:tcPr>
          <w:p>
            <w:pPr>
              <w:spacing w:after="0"/>
              <w:rPr>
                <w:sz w:val="8"/>
                <w:szCs w:val="8"/>
                <w:color w:val="auto"/>
              </w:rPr>
            </w:pPr>
          </w:p>
        </w:tc>
        <w:tc>
          <w:tcPr>
            <w:tcW w:w="60" w:type="dxa"/>
            <w:vAlign w:val="bottom"/>
            <w:shd w:val="clear" w:color="auto" w:fill="C1C1C1"/>
          </w:tcPr>
          <w:p>
            <w:pPr>
              <w:spacing w:after="0"/>
              <w:rPr>
                <w:sz w:val="8"/>
                <w:szCs w:val="8"/>
                <w:color w:val="auto"/>
              </w:rPr>
            </w:pPr>
          </w:p>
        </w:tc>
        <w:tc>
          <w:tcPr>
            <w:tcW w:w="360" w:type="dxa"/>
            <w:vAlign w:val="bottom"/>
            <w:tcBorders>
              <w:right w:val="single" w:sz="8" w:color="auto"/>
            </w:tcBorders>
            <w:shd w:val="clear" w:color="auto" w:fill="C1C1C1"/>
          </w:tcPr>
          <w:p>
            <w:pPr>
              <w:spacing w:after="0"/>
              <w:rPr>
                <w:sz w:val="8"/>
                <w:szCs w:val="8"/>
                <w:color w:val="auto"/>
              </w:rPr>
            </w:pPr>
          </w:p>
        </w:tc>
        <w:tc>
          <w:tcPr>
            <w:tcW w:w="1080" w:type="dxa"/>
            <w:vAlign w:val="bottom"/>
            <w:tcBorders>
              <w:right w:val="single" w:sz="8" w:color="auto"/>
            </w:tcBorders>
            <w:gridSpan w:val="3"/>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1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Borders>
              <w:right w:val="single" w:sz="8" w:color="auto"/>
            </w:tcBorders>
            <w:vMerge w:val="restart"/>
          </w:tcPr>
          <w:p>
            <w:pPr>
              <w:jc w:val="center"/>
              <w:ind w:right="26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30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60" w:type="dxa"/>
            <w:vAlign w:val="bottom"/>
            <w:shd w:val="clear" w:color="auto" w:fill="C1C1C1"/>
          </w:tcPr>
          <w:p>
            <w:pPr>
              <w:spacing w:after="0"/>
              <w:rPr>
                <w:sz w:val="8"/>
                <w:szCs w:val="8"/>
                <w:color w:val="auto"/>
              </w:rPr>
            </w:pPr>
          </w:p>
        </w:tc>
        <w:tc>
          <w:tcPr>
            <w:tcW w:w="260" w:type="dxa"/>
            <w:vAlign w:val="bottom"/>
            <w:shd w:val="clear" w:color="auto" w:fill="C1C1C1"/>
          </w:tcPr>
          <w:p>
            <w:pPr>
              <w:spacing w:after="0"/>
              <w:rPr>
                <w:sz w:val="8"/>
                <w:szCs w:val="8"/>
                <w:color w:val="auto"/>
              </w:rPr>
            </w:pPr>
          </w:p>
        </w:tc>
        <w:tc>
          <w:tcPr>
            <w:tcW w:w="60" w:type="dxa"/>
            <w:vAlign w:val="bottom"/>
            <w:shd w:val="clear" w:color="auto" w:fill="C1C1C1"/>
          </w:tcPr>
          <w:p>
            <w:pPr>
              <w:spacing w:after="0"/>
              <w:rPr>
                <w:sz w:val="8"/>
                <w:szCs w:val="8"/>
                <w:color w:val="auto"/>
              </w:rPr>
            </w:pPr>
          </w:p>
        </w:tc>
        <w:tc>
          <w:tcPr>
            <w:tcW w:w="360" w:type="dxa"/>
            <w:vAlign w:val="bottom"/>
            <w:tcBorders>
              <w:right w:val="single" w:sz="8" w:color="auto"/>
            </w:tcBorders>
            <w:shd w:val="clear" w:color="auto" w:fill="C1C1C1"/>
          </w:tcPr>
          <w:p>
            <w:pPr>
              <w:spacing w:after="0"/>
              <w:rPr>
                <w:sz w:val="8"/>
                <w:szCs w:val="8"/>
                <w:color w:val="auto"/>
              </w:rPr>
            </w:pPr>
          </w:p>
        </w:tc>
        <w:tc>
          <w:tcPr>
            <w:tcW w:w="1080" w:type="dxa"/>
            <w:vAlign w:val="bottom"/>
            <w:tcBorders>
              <w:right w:val="single" w:sz="8" w:color="auto"/>
            </w:tcBorders>
            <w:gridSpan w:val="3"/>
            <w:vMerge w:val="continue"/>
            <w:shd w:val="clear" w:color="auto" w:fill="C1C1C1"/>
          </w:tcPr>
          <w:p>
            <w:pPr>
              <w:spacing w:after="0"/>
              <w:rPr>
                <w:sz w:val="8"/>
                <w:szCs w:val="8"/>
                <w:color w:val="auto"/>
              </w:rPr>
            </w:pP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2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30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260" w:type="dxa"/>
            <w:vAlign w:val="bottom"/>
            <w:shd w:val="clear" w:color="auto" w:fill="C1C1C1"/>
          </w:tcPr>
          <w:p>
            <w:pPr>
              <w:spacing w:after="0"/>
              <w:rPr>
                <w:sz w:val="9"/>
                <w:szCs w:val="9"/>
                <w:color w:val="auto"/>
              </w:rPr>
            </w:pPr>
          </w:p>
        </w:tc>
        <w:tc>
          <w:tcPr>
            <w:tcW w:w="260" w:type="dxa"/>
            <w:vAlign w:val="bottom"/>
            <w:shd w:val="clear" w:color="auto" w:fill="C1C1C1"/>
          </w:tcPr>
          <w:p>
            <w:pPr>
              <w:spacing w:after="0"/>
              <w:rPr>
                <w:sz w:val="9"/>
                <w:szCs w:val="9"/>
                <w:color w:val="auto"/>
              </w:rPr>
            </w:pPr>
          </w:p>
        </w:tc>
        <w:tc>
          <w:tcPr>
            <w:tcW w:w="60" w:type="dxa"/>
            <w:vAlign w:val="bottom"/>
            <w:shd w:val="clear" w:color="auto" w:fill="C1C1C1"/>
          </w:tcPr>
          <w:p>
            <w:pPr>
              <w:spacing w:after="0"/>
              <w:rPr>
                <w:sz w:val="9"/>
                <w:szCs w:val="9"/>
                <w:color w:val="auto"/>
              </w:rPr>
            </w:pPr>
          </w:p>
        </w:tc>
        <w:tc>
          <w:tcPr>
            <w:tcW w:w="360" w:type="dxa"/>
            <w:vAlign w:val="bottom"/>
            <w:tcBorders>
              <w:right w:val="single" w:sz="8" w:color="auto"/>
            </w:tcBorders>
            <w:shd w:val="clear" w:color="auto" w:fill="C1C1C1"/>
          </w:tcPr>
          <w:p>
            <w:pPr>
              <w:spacing w:after="0"/>
              <w:rPr>
                <w:sz w:val="9"/>
                <w:szCs w:val="9"/>
                <w:color w:val="auto"/>
              </w:rPr>
            </w:pPr>
          </w:p>
        </w:tc>
        <w:tc>
          <w:tcPr>
            <w:tcW w:w="1080" w:type="dxa"/>
            <w:vAlign w:val="bottom"/>
            <w:tcBorders>
              <w:right w:val="single" w:sz="8" w:color="auto"/>
            </w:tcBorders>
            <w:gridSpan w:val="3"/>
            <w:vMerge w:val="restart"/>
            <w:shd w:val="clear" w:color="auto" w:fill="C1C1C1"/>
          </w:tcPr>
          <w:p>
            <w:pPr>
              <w:jc w:val="center"/>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gridSpan w:val="2"/>
            <w:vMerge w:val="continue"/>
          </w:tcPr>
          <w:p>
            <w:pPr>
              <w:spacing w:after="0"/>
              <w:rPr>
                <w:sz w:val="17"/>
                <w:szCs w:val="17"/>
                <w:color w:val="auto"/>
              </w:rPr>
            </w:pPr>
          </w:p>
        </w:tc>
        <w:tc>
          <w:tcPr>
            <w:tcW w:w="260" w:type="dxa"/>
            <w:vAlign w:val="bottom"/>
            <w:tcBorders>
              <w:bottom w:val="single" w:sz="8" w:color="auto"/>
            </w:tcBorders>
            <w:shd w:val="clear" w:color="auto" w:fill="C1C1C1"/>
          </w:tcPr>
          <w:p>
            <w:pPr>
              <w:spacing w:after="0"/>
              <w:rPr>
                <w:sz w:val="17"/>
                <w:szCs w:val="17"/>
                <w:color w:val="auto"/>
              </w:rPr>
            </w:pPr>
          </w:p>
        </w:tc>
        <w:tc>
          <w:tcPr>
            <w:tcW w:w="260" w:type="dxa"/>
            <w:vAlign w:val="bottom"/>
            <w:tcBorders>
              <w:bottom w:val="single" w:sz="8" w:color="auto"/>
            </w:tcBorders>
            <w:shd w:val="clear" w:color="auto" w:fill="C1C1C1"/>
          </w:tcPr>
          <w:p>
            <w:pPr>
              <w:spacing w:after="0"/>
              <w:rPr>
                <w:sz w:val="17"/>
                <w:szCs w:val="17"/>
                <w:color w:val="auto"/>
              </w:rPr>
            </w:pPr>
          </w:p>
        </w:tc>
        <w:tc>
          <w:tcPr>
            <w:tcW w:w="60" w:type="dxa"/>
            <w:vAlign w:val="bottom"/>
            <w:tcBorders>
              <w:bottom w:val="single" w:sz="8" w:color="auto"/>
            </w:tcBorders>
            <w:shd w:val="clear" w:color="auto" w:fill="C1C1C1"/>
          </w:tcPr>
          <w:p>
            <w:pPr>
              <w:spacing w:after="0"/>
              <w:rPr>
                <w:sz w:val="17"/>
                <w:szCs w:val="17"/>
                <w:color w:val="auto"/>
              </w:rPr>
            </w:pPr>
          </w:p>
        </w:tc>
        <w:tc>
          <w:tcPr>
            <w:tcW w:w="360" w:type="dxa"/>
            <w:vAlign w:val="bottom"/>
            <w:tcBorders>
              <w:bottom w:val="single" w:sz="8" w:color="auto"/>
              <w:right w:val="single" w:sz="8" w:color="auto"/>
            </w:tcBorders>
            <w:shd w:val="clear" w:color="auto" w:fill="C1C1C1"/>
          </w:tcPr>
          <w:p>
            <w:pPr>
              <w:spacing w:after="0"/>
              <w:rPr>
                <w:sz w:val="17"/>
                <w:szCs w:val="17"/>
                <w:color w:val="auto"/>
              </w:rPr>
            </w:pPr>
          </w:p>
        </w:tc>
        <w:tc>
          <w:tcPr>
            <w:tcW w:w="1080" w:type="dxa"/>
            <w:vAlign w:val="bottom"/>
            <w:tcBorders>
              <w:bottom w:val="single" w:sz="8" w:color="auto"/>
              <w:right w:val="single" w:sz="8" w:color="auto"/>
            </w:tcBorders>
            <w:gridSpan w:val="3"/>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bottom w:val="single" w:sz="8" w:color="C1C1C1"/>
            </w:tcBorders>
            <w:shd w:val="clear" w:color="auto" w:fill="C1C1C1"/>
          </w:tcPr>
          <w:p>
            <w:pPr>
              <w:spacing w:after="0"/>
              <w:rPr>
                <w:sz w:val="19"/>
                <w:szCs w:val="19"/>
                <w:color w:val="auto"/>
              </w:rPr>
            </w:pPr>
          </w:p>
        </w:tc>
        <w:tc>
          <w:tcPr>
            <w:tcW w:w="260" w:type="dxa"/>
            <w:vAlign w:val="bottom"/>
            <w:tcBorders>
              <w:bottom w:val="single" w:sz="8" w:color="C1C1C1"/>
            </w:tcBorders>
            <w:shd w:val="clear" w:color="auto" w:fill="C1C1C1"/>
          </w:tcPr>
          <w:p>
            <w:pPr>
              <w:spacing w:after="0"/>
              <w:rPr>
                <w:sz w:val="19"/>
                <w:szCs w:val="19"/>
                <w:color w:val="auto"/>
              </w:rPr>
            </w:pPr>
          </w:p>
        </w:tc>
        <w:tc>
          <w:tcPr>
            <w:tcW w:w="60" w:type="dxa"/>
            <w:vAlign w:val="bottom"/>
            <w:tcBorders>
              <w:bottom w:val="single" w:sz="8" w:color="C1C1C1"/>
            </w:tcBorders>
            <w:shd w:val="clear" w:color="auto" w:fill="C1C1C1"/>
          </w:tcPr>
          <w:p>
            <w:pPr>
              <w:spacing w:after="0"/>
              <w:rPr>
                <w:sz w:val="19"/>
                <w:szCs w:val="19"/>
                <w:color w:val="auto"/>
              </w:rPr>
            </w:pPr>
          </w:p>
        </w:tc>
        <w:tc>
          <w:tcPr>
            <w:tcW w:w="360" w:type="dxa"/>
            <w:vAlign w:val="bottom"/>
            <w:tcBorders>
              <w:bottom w:val="single" w:sz="8" w:color="C1C1C1"/>
              <w:right w:val="single" w:sz="8" w:color="auto"/>
            </w:tcBorders>
            <w:shd w:val="clear" w:color="auto" w:fill="C1C1C1"/>
          </w:tcPr>
          <w:p>
            <w:pPr>
              <w:spacing w:after="0"/>
              <w:rPr>
                <w:sz w:val="19"/>
                <w:szCs w:val="19"/>
                <w:color w:val="auto"/>
              </w:rPr>
            </w:pPr>
          </w:p>
        </w:tc>
        <w:tc>
          <w:tcPr>
            <w:tcW w:w="300" w:type="dxa"/>
            <w:vAlign w:val="bottom"/>
            <w:tcBorders>
              <w:bottom w:val="single" w:sz="8" w:color="C1C1C1"/>
            </w:tcBorders>
            <w:shd w:val="clear" w:color="auto" w:fill="C1C1C1"/>
          </w:tcPr>
          <w:p>
            <w:pPr>
              <w:spacing w:after="0"/>
              <w:rPr>
                <w:sz w:val="19"/>
                <w:szCs w:val="19"/>
                <w:color w:val="auto"/>
              </w:rPr>
            </w:pPr>
          </w:p>
        </w:tc>
        <w:tc>
          <w:tcPr>
            <w:tcW w:w="20" w:type="dxa"/>
            <w:vAlign w:val="bottom"/>
            <w:tcBorders>
              <w:bottom w:val="single" w:sz="8" w:color="C1C1C1"/>
            </w:tcBorders>
            <w:shd w:val="clear" w:color="auto" w:fill="C1C1C1"/>
          </w:tcPr>
          <w:p>
            <w:pPr>
              <w:spacing w:after="0"/>
              <w:rPr>
                <w:sz w:val="19"/>
                <w:szCs w:val="19"/>
                <w:color w:val="auto"/>
              </w:rPr>
            </w:pPr>
          </w:p>
        </w:tc>
        <w:tc>
          <w:tcPr>
            <w:tcW w:w="760" w:type="dxa"/>
            <w:vAlign w:val="bottom"/>
            <w:tcBorders>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Pr>
          <w:p>
            <w:pPr>
              <w:spacing w:after="0"/>
              <w:rPr>
                <w:sz w:val="19"/>
                <w:szCs w:val="19"/>
                <w:color w:val="auto"/>
              </w:rPr>
            </w:pPr>
          </w:p>
        </w:tc>
        <w:tc>
          <w:tcPr>
            <w:tcW w:w="960" w:type="dxa"/>
            <w:vAlign w:val="bottom"/>
            <w:tcBorders>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Pr>
          <w:p>
            <w:pPr>
              <w:spacing w:after="0"/>
              <w:rPr>
                <w:sz w:val="19"/>
                <w:szCs w:val="19"/>
                <w:color w:val="auto"/>
              </w:rPr>
            </w:pPr>
          </w:p>
        </w:tc>
        <w:tc>
          <w:tcPr>
            <w:tcW w:w="1320" w:type="dxa"/>
            <w:vAlign w:val="bottom"/>
            <w:tcBorders>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ind w:right="241"/>
              <w:spacing w:after="0"/>
              <w:rPr>
                <w:sz w:val="20"/>
                <w:szCs w:val="20"/>
                <w:color w:val="auto"/>
              </w:rPr>
            </w:pPr>
            <w:r>
              <w:rPr>
                <w:rFonts w:ascii="Arial" w:cs="Arial" w:eastAsia="Arial" w:hAnsi="Arial"/>
                <w:sz w:val="16"/>
                <w:szCs w:val="16"/>
                <w:color w:val="auto"/>
                <w:w w:val="99"/>
              </w:rPr>
              <w:t>[*CTR]</w:t>
            </w: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260" w:type="dxa"/>
            <w:vAlign w:val="bottom"/>
            <w:tcBorders>
              <w:top w:val="single" w:sz="8" w:color="auto"/>
              <w:bottom w:val="single" w:sz="8" w:color="C1C1C1"/>
            </w:tcBorders>
            <w:shd w:val="clear" w:color="auto" w:fill="C1C1C1"/>
          </w:tcPr>
          <w:p>
            <w:pPr>
              <w:spacing w:after="0"/>
              <w:rPr>
                <w:sz w:val="19"/>
                <w:szCs w:val="19"/>
                <w:color w:val="auto"/>
              </w:rPr>
            </w:pPr>
          </w:p>
        </w:tc>
        <w:tc>
          <w:tcPr>
            <w:tcW w:w="60" w:type="dxa"/>
            <w:vAlign w:val="bottom"/>
            <w:tcBorders>
              <w:top w:val="single" w:sz="8" w:color="auto"/>
              <w:bottom w:val="single" w:sz="8" w:color="C1C1C1"/>
            </w:tcBorders>
            <w:shd w:val="clear" w:color="auto" w:fill="C1C1C1"/>
          </w:tcPr>
          <w:p>
            <w:pPr>
              <w:spacing w:after="0"/>
              <w:rPr>
                <w:sz w:val="19"/>
                <w:szCs w:val="19"/>
                <w:color w:val="auto"/>
              </w:rPr>
            </w:pPr>
          </w:p>
        </w:tc>
        <w:tc>
          <w:tcPr>
            <w:tcW w:w="36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300" w:type="dxa"/>
            <w:vAlign w:val="bottom"/>
            <w:tcBorders>
              <w:top w:val="single" w:sz="8" w:color="auto"/>
              <w:bottom w:val="single" w:sz="8" w:color="C1C1C1"/>
            </w:tcBorders>
            <w:shd w:val="clear" w:color="auto" w:fill="C1C1C1"/>
          </w:tcPr>
          <w:p>
            <w:pPr>
              <w:spacing w:after="0"/>
              <w:rPr>
                <w:sz w:val="19"/>
                <w:szCs w:val="19"/>
                <w:color w:val="auto"/>
              </w:rPr>
            </w:pPr>
          </w:p>
        </w:tc>
        <w:tc>
          <w:tcPr>
            <w:tcW w:w="20" w:type="dxa"/>
            <w:vAlign w:val="bottom"/>
            <w:tcBorders>
              <w:top w:val="single" w:sz="8" w:color="auto"/>
              <w:bottom w:val="single" w:sz="8" w:color="C1C1C1"/>
            </w:tcBorders>
            <w:shd w:val="clear" w:color="auto" w:fill="C1C1C1"/>
          </w:tcPr>
          <w:p>
            <w:pPr>
              <w:spacing w:after="0"/>
              <w:rPr>
                <w:sz w:val="19"/>
                <w:szCs w:val="19"/>
                <w:color w:val="auto"/>
              </w:rPr>
            </w:pPr>
          </w:p>
        </w:tc>
        <w:tc>
          <w:tcPr>
            <w:tcW w:w="760" w:type="dxa"/>
            <w:vAlign w:val="bottom"/>
            <w:tcBorders>
              <w:top w:val="single" w:sz="8" w:color="auto"/>
              <w:bottom w:val="single" w:sz="8" w:color="C1C1C1"/>
              <w:right w:val="single" w:sz="8" w:color="auto"/>
            </w:tcBorders>
            <w:shd w:val="clear" w:color="auto" w:fill="C1C1C1"/>
          </w:tcPr>
          <w:p>
            <w:pPr>
              <w:jc w:val="center"/>
              <w:ind w:right="28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8"/>
              </w:rPr>
              <w:t>$[*CTR]</w:t>
            </w: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262"/>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SA-9</w:t>
            </w: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300" w:type="dxa"/>
            <w:vAlign w:val="bottom"/>
          </w:tcPr>
          <w:p>
            <w:pPr>
              <w:spacing w:after="0"/>
              <w:rPr>
                <w:sz w:val="22"/>
                <w:szCs w:val="22"/>
                <w:color w:val="auto"/>
              </w:rPr>
            </w:pPr>
          </w:p>
        </w:tc>
        <w:tc>
          <w:tcPr>
            <w:tcW w:w="2900" w:type="dxa"/>
            <w:vAlign w:val="bottom"/>
            <w:gridSpan w:val="8"/>
          </w:tcPr>
          <w:p>
            <w:pPr>
              <w:ind w:left="500"/>
              <w:spacing w:after="0"/>
              <w:rPr>
                <w:sz w:val="20"/>
                <w:szCs w:val="20"/>
                <w:color w:val="auto"/>
              </w:rPr>
            </w:pPr>
            <w:r>
              <w:rPr>
                <w:rFonts w:ascii="Arial" w:cs="Arial" w:eastAsia="Arial" w:hAnsi="Arial"/>
                <w:sz w:val="19"/>
                <w:szCs w:val="19"/>
                <w:b w:val="1"/>
                <w:bCs w:val="1"/>
                <w:color w:val="auto"/>
              </w:rPr>
              <w:t>Boeing Proprietary</w:t>
            </w:r>
          </w:p>
        </w:tc>
        <w:tc>
          <w:tcPr>
            <w:tcW w:w="1180" w:type="dxa"/>
            <w:vAlign w:val="bottom"/>
            <w:gridSpan w:val="3"/>
          </w:tcPr>
          <w:p>
            <w:pPr>
              <w:ind w:left="400"/>
              <w:spacing w:after="0"/>
              <w:rPr>
                <w:sz w:val="20"/>
                <w:szCs w:val="20"/>
                <w:color w:val="auto"/>
              </w:rPr>
            </w:pPr>
            <w:r>
              <w:rPr>
                <w:rFonts w:ascii="Arial" w:cs="Arial" w:eastAsia="Arial" w:hAnsi="Arial"/>
                <w:sz w:val="16"/>
                <w:szCs w:val="16"/>
                <w:color w:val="auto"/>
              </w:rPr>
              <w:t>Page 1</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38" w:name="page239"/>
    <w:bookmarkEnd w:id="238"/>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shd w:val="clear" w:color="auto" w:fill="C1C1C1"/>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continue"/>
            <w:shd w:val="clear" w:color="auto" w:fill="C1C1C1"/>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[*CTR]-2022</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2</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39" w:name="page240"/>
    <w:bookmarkEnd w:id="239"/>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73"/>
        </w:trPr>
        <w:tc>
          <w:tcPr>
            <w:tcW w:w="300" w:type="dxa"/>
            <w:vAlign w:val="bottom"/>
            <w:tcBorders>
              <w:right w:val="single" w:sz="8" w:color="auto"/>
            </w:tcBorders>
          </w:tcPr>
          <w:p>
            <w:pPr>
              <w:spacing w:after="0"/>
              <w:rPr>
                <w:sz w:val="6"/>
                <w:szCs w:val="6"/>
                <w:color w:val="auto"/>
              </w:rPr>
            </w:pP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vMerge w:val="continue"/>
          </w:tcPr>
          <w:p>
            <w:pPr>
              <w:spacing w:after="0"/>
              <w:rPr>
                <w:sz w:val="6"/>
                <w:szCs w:val="6"/>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right w:val="single" w:sz="8" w:color="auto"/>
            </w:tcBorders>
            <w:shd w:val="clear" w:color="auto" w:fill="C1C1C1"/>
          </w:tcPr>
          <w:p>
            <w:pPr>
              <w:spacing w:after="0"/>
              <w:rPr>
                <w:sz w:val="6"/>
                <w:szCs w:val="6"/>
                <w:color w:val="auto"/>
              </w:rPr>
            </w:pPr>
          </w:p>
        </w:tc>
        <w:tc>
          <w:tcPr>
            <w:tcW w:w="240" w:type="dxa"/>
            <w:vAlign w:val="bottom"/>
            <w:tcBorders>
              <w:top w:val="single" w:sz="8" w:color="auto"/>
            </w:tcBorders>
            <w:shd w:val="clear" w:color="auto" w:fill="C1C1C1"/>
          </w:tcPr>
          <w:p>
            <w:pPr>
              <w:spacing w:after="0"/>
              <w:rPr>
                <w:sz w:val="6"/>
                <w:szCs w:val="6"/>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940" w:type="dxa"/>
            <w:vAlign w:val="bottom"/>
            <w:tcBorders>
              <w:bottom w:val="single" w:sz="8" w:color="C1C1C1"/>
              <w:right w:val="single" w:sz="8" w:color="auto"/>
            </w:tcBorders>
            <w:shd w:val="clear" w:color="auto" w:fill="C1C1C1"/>
          </w:tcPr>
          <w:p>
            <w:pPr>
              <w:spacing w:after="0"/>
              <w:rPr>
                <w:sz w:val="13"/>
                <w:szCs w:val="13"/>
                <w:color w:val="auto"/>
              </w:rPr>
            </w:pPr>
          </w:p>
        </w:tc>
        <w:tc>
          <w:tcPr>
            <w:tcW w:w="240" w:type="dxa"/>
            <w:vAlign w:val="bottom"/>
            <w:tcBorders>
              <w:bottom w:val="single" w:sz="8" w:color="C1C1C1"/>
            </w:tcBorders>
            <w:shd w:val="clear" w:color="auto" w:fill="C1C1C1"/>
          </w:tcPr>
          <w:p>
            <w:pPr>
              <w:spacing w:after="0"/>
              <w:rPr>
                <w:sz w:val="13"/>
                <w:szCs w:val="13"/>
                <w:color w:val="auto"/>
              </w:rPr>
            </w:pPr>
          </w:p>
        </w:tc>
        <w:tc>
          <w:tcPr>
            <w:tcW w:w="840" w:type="dxa"/>
            <w:vAlign w:val="bottom"/>
            <w:tcBorders>
              <w:bottom w:val="single" w:sz="8" w:color="C1C1C1"/>
              <w:right w:val="single" w:sz="8" w:color="auto"/>
            </w:tcBorders>
            <w:vMerge w:val="continue"/>
            <w:shd w:val="clear" w:color="auto" w:fill="C1C1C1"/>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[*CTR]-2023</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3</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0" w:name="page241"/>
    <w:bookmarkEnd w:id="240"/>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[*CTR]-2024</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4</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1" w:name="page242"/>
    <w:bookmarkEnd w:id="241"/>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[*CTR]-2025</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0C0C0"/>
              <w:right w:val="single" w:sz="8" w:color="auto"/>
            </w:tcBorders>
            <w:shd w:val="clear" w:color="auto" w:fill="C0C0C0"/>
          </w:tcPr>
          <w:p>
            <w:pPr>
              <w:spacing w:after="0"/>
              <w:rPr>
                <w:sz w:val="19"/>
                <w:szCs w:val="19"/>
                <w:color w:val="auto"/>
              </w:rPr>
            </w:pPr>
          </w:p>
        </w:tc>
        <w:tc>
          <w:tcPr>
            <w:tcW w:w="240" w:type="dxa"/>
            <w:vAlign w:val="bottom"/>
            <w:tcBorders>
              <w:top w:val="single" w:sz="8" w:color="auto"/>
              <w:bottom w:val="single" w:sz="8" w:color="C0C0C0"/>
            </w:tcBorders>
            <w:shd w:val="clear" w:color="auto" w:fill="C0C0C0"/>
          </w:tcPr>
          <w:p>
            <w:pPr>
              <w:spacing w:after="0"/>
              <w:rPr>
                <w:sz w:val="19"/>
                <w:szCs w:val="19"/>
                <w:color w:val="auto"/>
              </w:rPr>
            </w:pPr>
          </w:p>
        </w:tc>
        <w:tc>
          <w:tcPr>
            <w:tcW w:w="840" w:type="dxa"/>
            <w:vAlign w:val="bottom"/>
            <w:tcBorders>
              <w:top w:val="single" w:sz="8" w:color="auto"/>
              <w:bottom w:val="single" w:sz="8" w:color="C0C0C0"/>
              <w:right w:val="single" w:sz="8" w:color="auto"/>
            </w:tcBorders>
            <w:shd w:val="clear" w:color="auto" w:fill="C0C0C0"/>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5</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2" w:name="page243"/>
    <w:bookmarkEnd w:id="242"/>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73"/>
        </w:trPr>
        <w:tc>
          <w:tcPr>
            <w:tcW w:w="300" w:type="dxa"/>
            <w:vAlign w:val="bottom"/>
            <w:tcBorders>
              <w:right w:val="single" w:sz="8" w:color="auto"/>
            </w:tcBorders>
          </w:tcPr>
          <w:p>
            <w:pPr>
              <w:spacing w:after="0"/>
              <w:rPr>
                <w:sz w:val="6"/>
                <w:szCs w:val="6"/>
                <w:color w:val="auto"/>
              </w:rPr>
            </w:pP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vMerge w:val="continue"/>
          </w:tcPr>
          <w:p>
            <w:pPr>
              <w:spacing w:after="0"/>
              <w:rPr>
                <w:sz w:val="6"/>
                <w:szCs w:val="6"/>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right w:val="single" w:sz="8" w:color="auto"/>
            </w:tcBorders>
            <w:shd w:val="clear" w:color="auto" w:fill="C1C1C1"/>
          </w:tcPr>
          <w:p>
            <w:pPr>
              <w:spacing w:after="0"/>
              <w:rPr>
                <w:sz w:val="6"/>
                <w:szCs w:val="6"/>
                <w:color w:val="auto"/>
              </w:rPr>
            </w:pPr>
          </w:p>
        </w:tc>
        <w:tc>
          <w:tcPr>
            <w:tcW w:w="240" w:type="dxa"/>
            <w:vAlign w:val="bottom"/>
            <w:tcBorders>
              <w:top w:val="single" w:sz="8" w:color="auto"/>
            </w:tcBorders>
            <w:shd w:val="clear" w:color="auto" w:fill="C1C1C1"/>
          </w:tcPr>
          <w:p>
            <w:pPr>
              <w:spacing w:after="0"/>
              <w:rPr>
                <w:sz w:val="6"/>
                <w:szCs w:val="6"/>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940" w:type="dxa"/>
            <w:vAlign w:val="bottom"/>
            <w:tcBorders>
              <w:bottom w:val="single" w:sz="8" w:color="C1C1C1"/>
              <w:right w:val="single" w:sz="8" w:color="auto"/>
            </w:tcBorders>
            <w:shd w:val="clear" w:color="auto" w:fill="C1C1C1"/>
          </w:tcPr>
          <w:p>
            <w:pPr>
              <w:spacing w:after="0"/>
              <w:rPr>
                <w:sz w:val="13"/>
                <w:szCs w:val="13"/>
                <w:color w:val="auto"/>
              </w:rPr>
            </w:pPr>
          </w:p>
        </w:tc>
        <w:tc>
          <w:tcPr>
            <w:tcW w:w="240" w:type="dxa"/>
            <w:vAlign w:val="bottom"/>
            <w:tcBorders>
              <w:bottom w:val="single" w:sz="8" w:color="C1C1C1"/>
            </w:tcBorders>
            <w:shd w:val="clear" w:color="auto" w:fill="C1C1C1"/>
          </w:tcPr>
          <w:p>
            <w:pPr>
              <w:spacing w:after="0"/>
              <w:rPr>
                <w:sz w:val="13"/>
                <w:szCs w:val="13"/>
                <w:color w:val="auto"/>
              </w:rPr>
            </w:pPr>
          </w:p>
        </w:tc>
        <w:tc>
          <w:tcPr>
            <w:tcW w:w="840" w:type="dxa"/>
            <w:vAlign w:val="bottom"/>
            <w:tcBorders>
              <w:bottom w:val="single" w:sz="8" w:color="C1C1C1"/>
              <w:right w:val="single" w:sz="8" w:color="auto"/>
            </w:tcBorders>
            <w:vMerge w:val="continue"/>
            <w:shd w:val="clear" w:color="auto" w:fill="C1C1C1"/>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[*CTR]-2026</w:t>
            </w:r>
          </w:p>
        </w:tc>
        <w:tc>
          <w:tcPr>
            <w:tcW w:w="9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73"/>
        </w:trPr>
        <w:tc>
          <w:tcPr>
            <w:tcW w:w="300" w:type="dxa"/>
            <w:vAlign w:val="bottom"/>
            <w:tcBorders>
              <w:right w:val="single" w:sz="8" w:color="auto"/>
            </w:tcBorders>
          </w:tcPr>
          <w:p>
            <w:pPr>
              <w:spacing w:after="0"/>
              <w:rPr>
                <w:sz w:val="6"/>
                <w:szCs w:val="6"/>
                <w:color w:val="auto"/>
              </w:rPr>
            </w:pP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vMerge w:val="continue"/>
          </w:tcPr>
          <w:p>
            <w:pPr>
              <w:spacing w:after="0"/>
              <w:rPr>
                <w:sz w:val="6"/>
                <w:szCs w:val="6"/>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right w:val="single" w:sz="8" w:color="auto"/>
            </w:tcBorders>
            <w:shd w:val="clear" w:color="auto" w:fill="C1C1C1"/>
          </w:tcPr>
          <w:p>
            <w:pPr>
              <w:spacing w:after="0"/>
              <w:rPr>
                <w:sz w:val="6"/>
                <w:szCs w:val="6"/>
                <w:color w:val="auto"/>
              </w:rPr>
            </w:pPr>
          </w:p>
        </w:tc>
        <w:tc>
          <w:tcPr>
            <w:tcW w:w="240" w:type="dxa"/>
            <w:vAlign w:val="bottom"/>
            <w:tcBorders>
              <w:top w:val="single" w:sz="8" w:color="auto"/>
            </w:tcBorders>
            <w:shd w:val="clear" w:color="auto" w:fill="C1C1C1"/>
          </w:tcPr>
          <w:p>
            <w:pPr>
              <w:spacing w:after="0"/>
              <w:rPr>
                <w:sz w:val="6"/>
                <w:szCs w:val="6"/>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940" w:type="dxa"/>
            <w:vAlign w:val="bottom"/>
            <w:tcBorders>
              <w:bottom w:val="single" w:sz="8" w:color="C1C1C1"/>
              <w:right w:val="single" w:sz="8" w:color="auto"/>
            </w:tcBorders>
            <w:shd w:val="clear" w:color="auto" w:fill="C1C1C1"/>
          </w:tcPr>
          <w:p>
            <w:pPr>
              <w:spacing w:after="0"/>
              <w:rPr>
                <w:sz w:val="13"/>
                <w:szCs w:val="13"/>
                <w:color w:val="auto"/>
              </w:rPr>
            </w:pPr>
          </w:p>
        </w:tc>
        <w:tc>
          <w:tcPr>
            <w:tcW w:w="240" w:type="dxa"/>
            <w:vAlign w:val="bottom"/>
            <w:tcBorders>
              <w:bottom w:val="single" w:sz="8" w:color="C1C1C1"/>
            </w:tcBorders>
            <w:shd w:val="clear" w:color="auto" w:fill="C1C1C1"/>
          </w:tcPr>
          <w:p>
            <w:pPr>
              <w:spacing w:after="0"/>
              <w:rPr>
                <w:sz w:val="13"/>
                <w:szCs w:val="13"/>
                <w:color w:val="auto"/>
              </w:rPr>
            </w:pPr>
          </w:p>
        </w:tc>
        <w:tc>
          <w:tcPr>
            <w:tcW w:w="840" w:type="dxa"/>
            <w:vAlign w:val="bottom"/>
            <w:tcBorders>
              <w:bottom w:val="single" w:sz="8" w:color="C1C1C1"/>
              <w:right w:val="single" w:sz="8" w:color="auto"/>
            </w:tcBorders>
            <w:vMerge w:val="continue"/>
            <w:shd w:val="clear" w:color="auto" w:fill="C1C1C1"/>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6</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3" w:name="page244"/>
    <w:bookmarkEnd w:id="243"/>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5"/>
        </w:trPr>
        <w:tc>
          <w:tcPr>
            <w:tcW w:w="3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At Signing</w:t>
            </w:r>
          </w:p>
        </w:tc>
        <w:tc>
          <w:tcPr>
            <w:tcW w:w="86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9"/>
                <w:szCs w:val="9"/>
                <w:color w:val="auto"/>
              </w:rPr>
            </w:pPr>
          </w:p>
        </w:tc>
        <w:tc>
          <w:tcPr>
            <w:tcW w:w="240" w:type="dxa"/>
            <w:vAlign w:val="bottom"/>
            <w:shd w:val="clear" w:color="auto" w:fill="C1C1C1"/>
          </w:tcPr>
          <w:p>
            <w:pPr>
              <w:spacing w:after="0"/>
              <w:rPr>
                <w:sz w:val="9"/>
                <w:szCs w:val="9"/>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 w:type="dxa"/>
            <w:vAlign w:val="bottom"/>
            <w:tcBorders>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shd w:val="clear" w:color="auto" w:fill="C1C1C1"/>
          </w:tcPr>
          <w:p>
            <w:pPr>
              <w:spacing w:after="0"/>
              <w:rPr>
                <w:sz w:val="17"/>
                <w:szCs w:val="17"/>
                <w:color w:val="auto"/>
              </w:rPr>
            </w:pPr>
          </w:p>
        </w:tc>
        <w:tc>
          <w:tcPr>
            <w:tcW w:w="240" w:type="dxa"/>
            <w:vAlign w:val="bottom"/>
            <w:tcBorders>
              <w:bottom w:val="single" w:sz="8" w:color="auto"/>
            </w:tcBorders>
            <w:shd w:val="clear" w:color="auto" w:fill="C1C1C1"/>
          </w:tcPr>
          <w:p>
            <w:pPr>
              <w:spacing w:after="0"/>
              <w:rPr>
                <w:sz w:val="17"/>
                <w:szCs w:val="17"/>
                <w:color w:val="auto"/>
              </w:rPr>
            </w:pPr>
          </w:p>
        </w:tc>
        <w:tc>
          <w:tcPr>
            <w:tcW w:w="840" w:type="dxa"/>
            <w:vAlign w:val="bottom"/>
            <w:tcBorders>
              <w:bottom w:val="single" w:sz="8" w:color="auto"/>
              <w:right w:val="single" w:sz="8" w:color="auto"/>
            </w:tcBorders>
            <w:vMerge w:val="continue"/>
            <w:shd w:val="clear" w:color="auto" w:fill="C1C1C1"/>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229"/>
        </w:trPr>
        <w:tc>
          <w:tcPr>
            <w:tcW w:w="3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19"/>
                <w:szCs w:val="19"/>
                <w:color w:val="auto"/>
              </w:rPr>
            </w:pPr>
          </w:p>
        </w:tc>
        <w:tc>
          <w:tcPr>
            <w:tcW w:w="240" w:type="dxa"/>
            <w:vAlign w:val="bottom"/>
            <w:tcBorders>
              <w:bottom w:val="single" w:sz="8" w:color="C1C1C1"/>
            </w:tcBorders>
            <w:shd w:val="clear" w:color="auto" w:fill="C1C1C1"/>
          </w:tcPr>
          <w:p>
            <w:pPr>
              <w:spacing w:after="0"/>
              <w:rPr>
                <w:sz w:val="19"/>
                <w:szCs w:val="19"/>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$[*CTR]</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389"/>
        </w:trPr>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3"/>
          </w:tcPr>
          <w:p>
            <w:pPr>
              <w:spacing w:after="0"/>
              <w:rPr>
                <w:sz w:val="20"/>
                <w:szCs w:val="20"/>
                <w:color w:val="auto"/>
              </w:rPr>
            </w:pPr>
            <w:r>
              <w:rPr>
                <w:rFonts w:ascii="Arial" w:cs="Arial" w:eastAsia="Arial" w:hAnsi="Arial"/>
                <w:sz w:val="16"/>
                <w:szCs w:val="16"/>
                <w:color w:val="auto"/>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7</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4" w:name="page245"/>
    <w:bookmarkEnd w:id="244"/>
    <w:p>
      <w:pPr>
        <w:jc w:val="center"/>
        <w:ind w:right="-259"/>
        <w:spacing w:after="0"/>
        <w:rPr>
          <w:sz w:val="20"/>
          <w:szCs w:val="20"/>
          <w:color w:val="auto"/>
        </w:rPr>
      </w:pPr>
      <w:r>
        <w:rPr>
          <w:rFonts w:ascii="Arial" w:cs="Arial" w:eastAsia="Arial" w:hAnsi="Arial"/>
          <w:sz w:val="22"/>
          <w:szCs w:val="22"/>
          <w:b w:val="1"/>
          <w:bCs w:val="1"/>
          <w:color w:val="auto"/>
        </w:rPr>
        <w:t>Attachment A(R1) To</w:t>
      </w:r>
    </w:p>
    <w:p>
      <w:pPr>
        <w:spacing w:after="0" w:line="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 Agreement No. AAL-PA-0375-LA-1106651</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737-8 [*CTR] Aircraft Delivery, Description, Price and Advance Payments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Borders>
              <w:right w:val="single" w:sz="8" w:color="auto"/>
            </w:tcBorders>
          </w:tcPr>
          <w:p>
            <w:pPr>
              <w:spacing w:after="0"/>
              <w:rPr>
                <w:sz w:val="18"/>
                <w:szCs w:val="18"/>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Delivery</w:t>
            </w:r>
          </w:p>
        </w:tc>
        <w:tc>
          <w:tcPr>
            <w:tcW w:w="6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Escalation</w:t>
            </w:r>
          </w:p>
        </w:tc>
        <w:tc>
          <w:tcPr>
            <w:tcW w:w="940" w:type="dxa"/>
            <w:vAlign w:val="bottom"/>
            <w:tcBorders>
              <w:top w:val="single" w:sz="8" w:color="auto"/>
              <w:right w:val="single" w:sz="8" w:color="auto"/>
            </w:tcBorders>
            <w:shd w:val="clear" w:color="auto" w:fill="C1C1C1"/>
          </w:tcPr>
          <w:p>
            <w:pPr>
              <w:spacing w:after="0"/>
              <w:rPr>
                <w:sz w:val="18"/>
                <w:szCs w:val="18"/>
                <w:color w:val="auto"/>
              </w:rPr>
            </w:pPr>
          </w:p>
        </w:tc>
        <w:tc>
          <w:tcPr>
            <w:tcW w:w="240" w:type="dxa"/>
            <w:vAlign w:val="bottom"/>
            <w:tcBorders>
              <w:top w:val="single" w:sz="8" w:color="auto"/>
            </w:tcBorders>
            <w:shd w:val="clear" w:color="auto" w:fill="C1C1C1"/>
          </w:tcPr>
          <w:p>
            <w:pPr>
              <w:spacing w:after="0"/>
              <w:rPr>
                <w:sz w:val="18"/>
                <w:szCs w:val="18"/>
                <w:color w:val="auto"/>
              </w:rPr>
            </w:pPr>
          </w:p>
        </w:tc>
        <w:tc>
          <w:tcPr>
            <w:tcW w:w="840" w:type="dxa"/>
            <w:vAlign w:val="bottom"/>
            <w:tcBorders>
              <w:top w:val="single" w:sz="8" w:color="auto"/>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88"/>
              </w:rPr>
              <w:t>Nominal</w:t>
            </w:r>
          </w:p>
        </w:tc>
        <w:tc>
          <w:tcPr>
            <w:tcW w:w="11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Escalation</w:t>
            </w:r>
          </w:p>
        </w:tc>
        <w:tc>
          <w:tcPr>
            <w:tcW w:w="46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Advance Payment Per Aircraft (Amts. Due/Mos. Prior to Delivery):</w:t>
            </w:r>
          </w:p>
        </w:tc>
        <w:tc>
          <w:tcPr>
            <w:tcW w:w="0" w:type="dxa"/>
            <w:vAlign w:val="bottom"/>
          </w:tcPr>
          <w:p>
            <w:pPr>
              <w:spacing w:after="0"/>
              <w:rPr>
                <w:sz w:val="1"/>
                <w:szCs w:val="1"/>
                <w:color w:val="auto"/>
              </w:rPr>
            </w:pPr>
          </w:p>
        </w:tc>
      </w:tr>
      <w:tr>
        <w:trPr>
          <w:trHeight w:val="71"/>
        </w:trPr>
        <w:tc>
          <w:tcPr>
            <w:tcW w:w="300" w:type="dxa"/>
            <w:vAlign w:val="bottom"/>
            <w:tcBorders>
              <w:right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940" w:type="dxa"/>
            <w:vAlign w:val="bottom"/>
            <w:tcBorders>
              <w:bottom w:val="single" w:sz="8" w:color="auto"/>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940" w:type="dxa"/>
            <w:vAlign w:val="bottom"/>
            <w:tcBorders>
              <w:bottom w:val="single" w:sz="8" w:color="C1C1C1"/>
              <w:right w:val="single" w:sz="8" w:color="auto"/>
            </w:tcBorders>
            <w:shd w:val="clear" w:color="auto" w:fill="C1C1C1"/>
          </w:tcPr>
          <w:p>
            <w:pPr>
              <w:spacing w:after="0"/>
              <w:rPr>
                <w:sz w:val="6"/>
                <w:szCs w:val="6"/>
                <w:color w:val="auto"/>
              </w:rPr>
            </w:pPr>
          </w:p>
        </w:tc>
        <w:tc>
          <w:tcPr>
            <w:tcW w:w="240" w:type="dxa"/>
            <w:vAlign w:val="bottom"/>
            <w:tcBorders>
              <w:bottom w:val="single" w:sz="8" w:color="C1C1C1"/>
            </w:tcBorders>
            <w:shd w:val="clear" w:color="auto" w:fill="C1C1C1"/>
          </w:tcPr>
          <w:p>
            <w:pPr>
              <w:spacing w:after="0"/>
              <w:rPr>
                <w:sz w:val="6"/>
                <w:szCs w:val="6"/>
                <w:color w:val="auto"/>
              </w:rPr>
            </w:pPr>
          </w:p>
        </w:tc>
        <w:tc>
          <w:tcPr>
            <w:tcW w:w="840" w:type="dxa"/>
            <w:vAlign w:val="bottom"/>
            <w:tcBorders>
              <w:bottom w:val="single" w:sz="8" w:color="C1C1C1"/>
              <w:right w:val="single" w:sz="8" w:color="auto"/>
            </w:tcBorders>
            <w:vMerge w:val="continue"/>
            <w:shd w:val="clear" w:color="auto" w:fill="C1C1C1"/>
          </w:tcPr>
          <w:p>
            <w:pPr>
              <w:spacing w:after="0"/>
              <w:rPr>
                <w:sz w:val="6"/>
                <w:szCs w:val="6"/>
                <w:color w:val="auto"/>
              </w:rPr>
            </w:pPr>
          </w:p>
        </w:tc>
        <w:tc>
          <w:tcPr>
            <w:tcW w:w="11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Estimate Adv</w:t>
            </w: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00" w:type="dxa"/>
            <w:vAlign w:val="bottom"/>
            <w:tcBorders>
              <w:right w:val="single" w:sz="8" w:color="auto"/>
            </w:tcBorders>
          </w:tcPr>
          <w:p>
            <w:pPr>
              <w:spacing w:after="0"/>
              <w:rPr>
                <w:sz w:val="6"/>
                <w:szCs w:val="6"/>
                <w:color w:val="auto"/>
              </w:rPr>
            </w:pPr>
          </w:p>
        </w:tc>
        <w:tc>
          <w:tcPr>
            <w:tcW w:w="880" w:type="dxa"/>
            <w:vAlign w:val="bottom"/>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restart"/>
          </w:tcPr>
          <w:p>
            <w:pPr>
              <w:jc w:val="center"/>
              <w:spacing w:after="0" w:line="179" w:lineRule="exact"/>
              <w:rPr>
                <w:sz w:val="20"/>
                <w:szCs w:val="20"/>
                <w:color w:val="auto"/>
              </w:rPr>
            </w:pPr>
            <w:r>
              <w:rPr>
                <w:rFonts w:ascii="Arial" w:cs="Arial" w:eastAsia="Arial" w:hAnsi="Arial"/>
                <w:sz w:val="16"/>
                <w:szCs w:val="16"/>
                <w:b w:val="1"/>
                <w:bCs w:val="1"/>
                <w:color w:val="auto"/>
                <w:w w:val="89"/>
              </w:rPr>
              <w:t>Factor</w:t>
            </w:r>
          </w:p>
        </w:tc>
        <w:tc>
          <w:tcPr>
            <w:tcW w:w="940" w:type="dxa"/>
            <w:vAlign w:val="bottom"/>
            <w:tcBorders>
              <w:right w:val="single" w:sz="8" w:color="auto"/>
            </w:tcBorders>
            <w:shd w:val="clear" w:color="auto" w:fill="C1C1C1"/>
          </w:tcPr>
          <w:p>
            <w:pPr>
              <w:spacing w:after="0"/>
              <w:rPr>
                <w:sz w:val="6"/>
                <w:szCs w:val="6"/>
                <w:color w:val="auto"/>
              </w:rPr>
            </w:pPr>
          </w:p>
        </w:tc>
        <w:tc>
          <w:tcPr>
            <w:tcW w:w="240" w:type="dxa"/>
            <w:vAlign w:val="bottom"/>
            <w:shd w:val="clear" w:color="auto" w:fill="C1C1C1"/>
          </w:tcPr>
          <w:p>
            <w:pPr>
              <w:spacing w:after="0"/>
              <w:rPr>
                <w:sz w:val="6"/>
                <w:szCs w:val="6"/>
                <w:color w:val="auto"/>
              </w:rPr>
            </w:pPr>
          </w:p>
        </w:tc>
        <w:tc>
          <w:tcPr>
            <w:tcW w:w="840" w:type="dxa"/>
            <w:vAlign w:val="bottom"/>
            <w:tcBorders>
              <w:right w:val="single" w:sz="8" w:color="auto"/>
            </w:tcBorders>
            <w:vMerge w:val="restart"/>
            <w:shd w:val="clear" w:color="auto" w:fill="C1C1C1"/>
          </w:tcPr>
          <w:p>
            <w:pPr>
              <w:jc w:val="center"/>
              <w:ind w:right="202"/>
              <w:spacing w:after="0" w:line="179" w:lineRule="exact"/>
              <w:rPr>
                <w:sz w:val="20"/>
                <w:szCs w:val="20"/>
                <w:color w:val="auto"/>
              </w:rPr>
            </w:pPr>
            <w:r>
              <w:rPr>
                <w:rFonts w:ascii="Arial" w:cs="Arial" w:eastAsia="Arial" w:hAnsi="Arial"/>
                <w:sz w:val="16"/>
                <w:szCs w:val="16"/>
                <w:b w:val="1"/>
                <w:bCs w:val="1"/>
                <w:color w:val="auto"/>
                <w:w w:val="89"/>
              </w:rPr>
              <w:t>Delivery</w:t>
            </w:r>
          </w:p>
        </w:tc>
        <w:tc>
          <w:tcPr>
            <w:tcW w:w="11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ind w:left="120"/>
              <w:spacing w:after="0" w:line="179" w:lineRule="exact"/>
              <w:rPr>
                <w:sz w:val="20"/>
                <w:szCs w:val="20"/>
                <w:color w:val="auto"/>
              </w:rPr>
            </w:pPr>
            <w:r>
              <w:rPr>
                <w:rFonts w:ascii="Arial" w:cs="Arial" w:eastAsia="Arial" w:hAnsi="Arial"/>
                <w:sz w:val="16"/>
                <w:szCs w:val="16"/>
                <w:b w:val="1"/>
                <w:bCs w:val="1"/>
                <w:color w:val="auto"/>
              </w:rPr>
              <w:t>At Signing</w:t>
            </w:r>
          </w:p>
        </w:tc>
        <w:tc>
          <w:tcPr>
            <w:tcW w:w="86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ind w:left="620"/>
              <w:spacing w:after="0" w:line="17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8"/>
        </w:trPr>
        <w:tc>
          <w:tcPr>
            <w:tcW w:w="300" w:type="dxa"/>
            <w:vAlign w:val="bottom"/>
            <w:tcBorders>
              <w:right w:val="single" w:sz="8" w:color="auto"/>
            </w:tcBorders>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Date</w:t>
            </w:r>
          </w:p>
        </w:tc>
        <w:tc>
          <w:tcPr>
            <w:tcW w:w="6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Aircraft</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continue"/>
            <w:shd w:val="clear" w:color="auto" w:fill="C1C1C1"/>
          </w:tcPr>
          <w:p>
            <w:pPr>
              <w:spacing w:after="0"/>
              <w:rPr>
                <w:sz w:val="8"/>
                <w:szCs w:val="8"/>
                <w:color w:val="auto"/>
              </w:rPr>
            </w:pPr>
          </w:p>
        </w:tc>
        <w:tc>
          <w:tcPr>
            <w:tcW w:w="11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Payment Base</w:t>
            </w: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[*CTR]</w:t>
            </w:r>
          </w:p>
        </w:tc>
        <w:tc>
          <w:tcPr>
            <w:tcW w:w="11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[*CTR]</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(Airframe)</w:t>
            </w:r>
          </w:p>
        </w:tc>
        <w:tc>
          <w:tcPr>
            <w:tcW w:w="940" w:type="dxa"/>
            <w:vAlign w:val="bottom"/>
            <w:tcBorders>
              <w:right w:val="single" w:sz="8" w:color="auto"/>
            </w:tcBorders>
            <w:shd w:val="clear" w:color="auto" w:fill="C1C1C1"/>
          </w:tcPr>
          <w:p>
            <w:pPr>
              <w:spacing w:after="0"/>
              <w:rPr>
                <w:sz w:val="8"/>
                <w:szCs w:val="8"/>
                <w:color w:val="auto"/>
              </w:rPr>
            </w:pPr>
          </w:p>
        </w:tc>
        <w:tc>
          <w:tcPr>
            <w:tcW w:w="240" w:type="dxa"/>
            <w:vAlign w:val="bottom"/>
            <w:shd w:val="clear" w:color="auto" w:fill="C1C1C1"/>
          </w:tcPr>
          <w:p>
            <w:pPr>
              <w:spacing w:after="0"/>
              <w:rPr>
                <w:sz w:val="8"/>
                <w:szCs w:val="8"/>
                <w:color w:val="auto"/>
              </w:rPr>
            </w:pPr>
          </w:p>
        </w:tc>
        <w:tc>
          <w:tcPr>
            <w:tcW w:w="840" w:type="dxa"/>
            <w:vAlign w:val="bottom"/>
            <w:tcBorders>
              <w:right w:val="single" w:sz="8" w:color="auto"/>
            </w:tcBorders>
            <w:vMerge w:val="restart"/>
            <w:shd w:val="clear" w:color="auto" w:fill="C1C1C1"/>
          </w:tcPr>
          <w:p>
            <w:pPr>
              <w:jc w:val="center"/>
              <w:ind w:right="202"/>
              <w:spacing w:after="0"/>
              <w:rPr>
                <w:sz w:val="20"/>
                <w:szCs w:val="20"/>
                <w:color w:val="auto"/>
              </w:rPr>
            </w:pPr>
            <w:r>
              <w:rPr>
                <w:rFonts w:ascii="Arial" w:cs="Arial" w:eastAsia="Arial" w:hAnsi="Arial"/>
                <w:sz w:val="16"/>
                <w:szCs w:val="16"/>
                <w:b w:val="1"/>
                <w:bCs w:val="1"/>
                <w:color w:val="auto"/>
                <w:w w:val="91"/>
              </w:rPr>
              <w:t>Month</w:t>
            </w:r>
          </w:p>
        </w:tc>
        <w:tc>
          <w:tcPr>
            <w:tcW w:w="11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[*CTR]</w:t>
            </w:r>
          </w:p>
        </w:tc>
        <w:tc>
          <w:tcPr>
            <w:tcW w:w="8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ind w:left="540"/>
              <w:spacing w:after="0"/>
              <w:rPr>
                <w:sz w:val="20"/>
                <w:szCs w:val="20"/>
                <w:color w:val="auto"/>
              </w:rPr>
            </w:pPr>
            <w:r>
              <w:rPr>
                <w:rFonts w:ascii="Arial" w:cs="Arial" w:eastAsia="Arial" w:hAnsi="Arial"/>
                <w:sz w:val="16"/>
                <w:szCs w:val="16"/>
                <w:b w:val="1"/>
                <w:bCs w:val="1"/>
                <w:color w:val="auto"/>
              </w:rPr>
              <w:t>[*CTR]</w:t>
            </w:r>
          </w:p>
        </w:tc>
        <w:tc>
          <w:tcPr>
            <w:tcW w:w="0" w:type="dxa"/>
            <w:vAlign w:val="bottom"/>
          </w:tcPr>
          <w:p>
            <w:pPr>
              <w:spacing w:after="0"/>
              <w:rPr>
                <w:sz w:val="1"/>
                <w:szCs w:val="1"/>
                <w:color w:val="auto"/>
              </w:rPr>
            </w:pPr>
          </w:p>
        </w:tc>
      </w:tr>
      <w:tr>
        <w:trPr>
          <w:trHeight w:val="191"/>
        </w:trPr>
        <w:tc>
          <w:tcPr>
            <w:tcW w:w="300" w:type="dxa"/>
            <w:vAlign w:val="bottom"/>
            <w:tcBorders>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shd w:val="clear" w:color="auto" w:fill="C1C1C1"/>
          </w:tcPr>
          <w:p>
            <w:pPr>
              <w:spacing w:after="0"/>
              <w:rPr>
                <w:sz w:val="16"/>
                <w:szCs w:val="16"/>
                <w:color w:val="auto"/>
              </w:rPr>
            </w:pPr>
          </w:p>
        </w:tc>
        <w:tc>
          <w:tcPr>
            <w:tcW w:w="240" w:type="dxa"/>
            <w:vAlign w:val="bottom"/>
            <w:tcBorders>
              <w:bottom w:val="single" w:sz="8" w:color="auto"/>
            </w:tcBorders>
            <w:shd w:val="clear" w:color="auto" w:fill="C1C1C1"/>
          </w:tcPr>
          <w:p>
            <w:pPr>
              <w:spacing w:after="0"/>
              <w:rPr>
                <w:sz w:val="16"/>
                <w:szCs w:val="16"/>
                <w:color w:val="auto"/>
              </w:rPr>
            </w:pPr>
          </w:p>
        </w:tc>
        <w:tc>
          <w:tcPr>
            <w:tcW w:w="840" w:type="dxa"/>
            <w:vAlign w:val="bottom"/>
            <w:tcBorders>
              <w:bottom w:val="single" w:sz="8" w:color="auto"/>
              <w:right w:val="single" w:sz="8" w:color="auto"/>
            </w:tcBorders>
            <w:vMerge w:val="continue"/>
            <w:shd w:val="clear" w:color="auto" w:fill="C1C1C1"/>
          </w:tcPr>
          <w:p>
            <w:pPr>
              <w:spacing w:after="0"/>
              <w:rPr>
                <w:sz w:val="16"/>
                <w:szCs w:val="16"/>
                <w:color w:val="auto"/>
              </w:rPr>
            </w:pPr>
          </w:p>
        </w:tc>
        <w:tc>
          <w:tcPr>
            <w:tcW w:w="1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Price Per A/P</w:t>
            </w: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Borders>
              <w:right w:val="single" w:sz="8" w:color="auto"/>
            </w:tcBorders>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[*CTR]-2027</w:t>
            </w:r>
          </w:p>
        </w:tc>
        <w:tc>
          <w:tcPr>
            <w:tcW w:w="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bottom w:val="single" w:sz="8" w:color="C1C1C1"/>
              <w:right w:val="single" w:sz="8" w:color="auto"/>
            </w:tcBorders>
            <w:shd w:val="clear" w:color="auto" w:fill="C1C1C1"/>
          </w:tcPr>
          <w:p>
            <w:pPr>
              <w:spacing w:after="0"/>
              <w:rPr>
                <w:sz w:val="20"/>
                <w:szCs w:val="20"/>
                <w:color w:val="auto"/>
              </w:rPr>
            </w:pPr>
          </w:p>
        </w:tc>
        <w:tc>
          <w:tcPr>
            <w:tcW w:w="240" w:type="dxa"/>
            <w:vAlign w:val="bottom"/>
            <w:tcBorders>
              <w:bottom w:val="single" w:sz="8" w:color="C1C1C1"/>
            </w:tcBorders>
            <w:shd w:val="clear" w:color="auto" w:fill="C1C1C1"/>
          </w:tcPr>
          <w:p>
            <w:pPr>
              <w:spacing w:after="0"/>
              <w:rPr>
                <w:sz w:val="20"/>
                <w:szCs w:val="20"/>
                <w:color w:val="auto"/>
              </w:rPr>
            </w:pPr>
          </w:p>
        </w:tc>
        <w:tc>
          <w:tcPr>
            <w:tcW w:w="840" w:type="dxa"/>
            <w:vAlign w:val="bottom"/>
            <w:tcBorders>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[*CTR]-2027</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[*CTR]-2028</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[*CTR]-2028</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[*CTR]-2028</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[*CTR]-2028</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86"/>
              </w:rPr>
              <w:t>Yes</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26"/>
        </w:trPr>
        <w:tc>
          <w:tcPr>
            <w:tcW w:w="300" w:type="dxa"/>
            <w:vAlign w:val="bottom"/>
            <w:tcBorders>
              <w:right w:val="single" w:sz="8" w:color="auto"/>
            </w:tcBorders>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[*CTR]-2028</w:t>
            </w:r>
          </w:p>
        </w:tc>
        <w:tc>
          <w:tcPr>
            <w:tcW w:w="60" w:type="dxa"/>
            <w:vAlign w:val="bottom"/>
            <w:tcBorders>
              <w:top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[*CTR]</w:t>
            </w:r>
          </w:p>
        </w:tc>
        <w:tc>
          <w:tcPr>
            <w:tcW w:w="940" w:type="dxa"/>
            <w:vAlign w:val="bottom"/>
            <w:tcBorders>
              <w:top w:val="single" w:sz="8" w:color="auto"/>
              <w:bottom w:val="single" w:sz="8" w:color="C1C1C1"/>
              <w:right w:val="single" w:sz="8" w:color="auto"/>
            </w:tcBorders>
            <w:shd w:val="clear" w:color="auto" w:fill="C1C1C1"/>
          </w:tcPr>
          <w:p>
            <w:pPr>
              <w:spacing w:after="0"/>
              <w:rPr>
                <w:sz w:val="19"/>
                <w:szCs w:val="19"/>
                <w:color w:val="auto"/>
              </w:rPr>
            </w:pPr>
          </w:p>
        </w:tc>
        <w:tc>
          <w:tcPr>
            <w:tcW w:w="240" w:type="dxa"/>
            <w:vAlign w:val="bottom"/>
            <w:tcBorders>
              <w:top w:val="single" w:sz="8" w:color="auto"/>
              <w:bottom w:val="single" w:sz="8" w:color="C1C1C1"/>
            </w:tcBorders>
            <w:shd w:val="clear" w:color="auto" w:fill="C1C1C1"/>
          </w:tcPr>
          <w:p>
            <w:pPr>
              <w:spacing w:after="0"/>
              <w:rPr>
                <w:sz w:val="19"/>
                <w:szCs w:val="19"/>
                <w:color w:val="auto"/>
              </w:rPr>
            </w:pPr>
          </w:p>
        </w:tc>
        <w:tc>
          <w:tcPr>
            <w:tcW w:w="840" w:type="dxa"/>
            <w:vAlign w:val="bottom"/>
            <w:tcBorders>
              <w:top w:val="single" w:sz="8" w:color="auto"/>
              <w:bottom w:val="single" w:sz="8" w:color="C1C1C1"/>
              <w:right w:val="single" w:sz="8" w:color="auto"/>
            </w:tcBorders>
            <w:shd w:val="clear" w:color="auto" w:fill="C1C1C1"/>
          </w:tcPr>
          <w:p>
            <w:pPr>
              <w:jc w:val="center"/>
              <w:ind w:right="202"/>
              <w:spacing w:after="0"/>
              <w:rPr>
                <w:sz w:val="20"/>
                <w:szCs w:val="20"/>
                <w:color w:val="auto"/>
              </w:rPr>
            </w:pPr>
            <w:r>
              <w:rPr>
                <w:rFonts w:ascii="Arial" w:cs="Arial" w:eastAsia="Arial" w:hAnsi="Arial"/>
                <w:sz w:val="16"/>
                <w:szCs w:val="16"/>
                <w:color w:val="auto"/>
                <w:w w:val="97"/>
              </w:rPr>
              <w:t>No</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$[*CTR]</w:t>
            </w:r>
          </w:p>
        </w:tc>
        <w:tc>
          <w:tcPr>
            <w:tcW w:w="1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552"/>
        </w:trPr>
        <w:tc>
          <w:tcPr>
            <w:tcW w:w="300" w:type="dxa"/>
            <w:vAlign w:val="bottom"/>
          </w:tcPr>
          <w:p>
            <w:pPr>
              <w:spacing w:after="0"/>
              <w:rPr>
                <w:sz w:val="24"/>
                <w:szCs w:val="24"/>
                <w:color w:val="auto"/>
              </w:rPr>
            </w:pPr>
          </w:p>
        </w:tc>
        <w:tc>
          <w:tcPr>
            <w:tcW w:w="8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tcBorders>
            <w:gridSpan w:val="2"/>
          </w:tcPr>
          <w:p>
            <w:pPr>
              <w:jc w:val="right"/>
              <w:ind w:right="765"/>
              <w:spacing w:after="0"/>
              <w:rPr>
                <w:sz w:val="20"/>
                <w:szCs w:val="20"/>
                <w:color w:val="auto"/>
              </w:rPr>
            </w:pPr>
            <w:r>
              <w:rPr>
                <w:rFonts w:ascii="Arial" w:cs="Arial" w:eastAsia="Arial" w:hAnsi="Arial"/>
                <w:sz w:val="16"/>
                <w:szCs w:val="16"/>
                <w:color w:val="auto"/>
                <w:w w:val="78"/>
              </w:rPr>
              <w:t>57</w:t>
            </w: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6"/>
                <w:szCs w:val="16"/>
                <w:b w:val="1"/>
                <w:bCs w:val="1"/>
                <w:color w:val="auto"/>
              </w:rPr>
              <w:t>SA-9</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gridSpan w:val="4"/>
          </w:tcPr>
          <w:p>
            <w:pPr>
              <w:jc w:val="right"/>
              <w:ind w:right="45"/>
              <w:spacing w:after="0"/>
              <w:rPr>
                <w:sz w:val="20"/>
                <w:szCs w:val="20"/>
                <w:color w:val="auto"/>
              </w:rPr>
            </w:pPr>
            <w:r>
              <w:rPr>
                <w:rFonts w:ascii="Arial" w:cs="Arial" w:eastAsia="Arial" w:hAnsi="Arial"/>
                <w:sz w:val="16"/>
                <w:szCs w:val="16"/>
                <w:color w:val="auto"/>
                <w:w w:val="95"/>
              </w:rPr>
              <w:t>AAL-PA-03735 108567-1O.txt</w:t>
            </w:r>
          </w:p>
        </w:tc>
        <w:tc>
          <w:tcPr>
            <w:tcW w:w="2360" w:type="dxa"/>
            <w:vAlign w:val="bottom"/>
            <w:gridSpan w:val="3"/>
          </w:tcPr>
          <w:p>
            <w:pPr>
              <w:ind w:left="800"/>
              <w:spacing w:after="0"/>
              <w:rPr>
                <w:sz w:val="20"/>
                <w:szCs w:val="20"/>
                <w:color w:val="auto"/>
              </w:rPr>
            </w:pPr>
            <w:r>
              <w:rPr>
                <w:rFonts w:ascii="Arial" w:cs="Arial" w:eastAsia="Arial" w:hAnsi="Arial"/>
                <w:sz w:val="19"/>
                <w:szCs w:val="19"/>
                <w:b w:val="1"/>
                <w:bCs w:val="1"/>
                <w:color w:val="auto"/>
                <w:w w:val="90"/>
              </w:rPr>
              <w:t>Boeing Proprietary</w:t>
            </w:r>
          </w:p>
        </w:tc>
        <w:tc>
          <w:tcPr>
            <w:tcW w:w="840" w:type="dxa"/>
            <w:vAlign w:val="bottom"/>
          </w:tcPr>
          <w:p>
            <w:pPr>
              <w:spacing w:after="0"/>
              <w:rPr>
                <w:sz w:val="22"/>
                <w:szCs w:val="22"/>
                <w:color w:val="auto"/>
              </w:rPr>
            </w:pPr>
          </w:p>
        </w:tc>
        <w:tc>
          <w:tcPr>
            <w:tcW w:w="1160" w:type="dxa"/>
            <w:vAlign w:val="bottom"/>
          </w:tcPr>
          <w:p>
            <w:pPr>
              <w:ind w:left="400"/>
              <w:spacing w:after="0"/>
              <w:rPr>
                <w:sz w:val="20"/>
                <w:szCs w:val="20"/>
                <w:color w:val="auto"/>
              </w:rPr>
            </w:pPr>
            <w:r>
              <w:rPr>
                <w:rFonts w:ascii="Arial" w:cs="Arial" w:eastAsia="Arial" w:hAnsi="Arial"/>
                <w:sz w:val="16"/>
                <w:szCs w:val="16"/>
                <w:color w:val="auto"/>
              </w:rPr>
              <w:t>Page 8</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[*CTR]=[CONFIDENTIAL PORTION OMITTED AND FILED SEPARATELY WITH THE COMMISSION PURSUANT TO A REQUEST FOR CONFIDENTIAL TREATMENT]</w:t>
      </w:r>
    </w:p>
    <w:p>
      <w:pPr>
        <w:sectPr>
          <w:pgSz w:w="11900" w:h="16838" w:orient="portrait"/>
          <w:cols w:equalWidth="0" w:num="1">
            <w:col w:w="11160"/>
          </w:cols>
          <w:pgMar w:left="240" w:top="120" w:right="49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9"/>
          <w:szCs w:val="19"/>
          <w:u w:val="single" w:color="auto"/>
          <w:color w:val="auto"/>
        </w:rPr>
        <w:t>FOURTH AMENDMENT TO AMENDED AND RESTATED CREDIT AND GUARANTY AGREEMENT</w:t>
      </w:r>
    </w:p>
    <w:p>
      <w:pPr>
        <w:spacing w:after="0" w:line="191" w:lineRule="exact"/>
        <w:rPr>
          <w:sz w:val="20"/>
          <w:szCs w:val="20"/>
          <w:color w:val="auto"/>
        </w:rPr>
      </w:pPr>
    </w:p>
    <w:p>
      <w:pPr>
        <w:jc w:val="both"/>
        <w:ind w:firstLine="1123"/>
        <w:spacing w:after="0" w:line="263" w:lineRule="auto"/>
        <w:rPr>
          <w:sz w:val="20"/>
          <w:szCs w:val="20"/>
          <w:color w:val="auto"/>
        </w:rPr>
      </w:pPr>
      <w:r>
        <w:rPr>
          <w:rFonts w:ascii="Arial" w:cs="Arial" w:eastAsia="Arial" w:hAnsi="Arial"/>
          <w:sz w:val="18"/>
          <w:szCs w:val="18"/>
          <w:color w:val="auto"/>
        </w:rPr>
        <w:t>FOURTH AMENDMENT TO AMENDED AND RESTATED CREDIT AND GUARANTY AGREEMENT (this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May 15, 2018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or the “</w:t>
      </w:r>
      <w:r>
        <w:rPr>
          <w:rFonts w:ascii="Arial" w:cs="Arial" w:eastAsia="Arial" w:hAnsi="Arial"/>
          <w:sz w:val="18"/>
          <w:szCs w:val="18"/>
          <w:u w:val="single" w:color="auto"/>
          <w:color w:val="auto"/>
        </w:rPr>
        <w:t>Guarantor</w:t>
      </w:r>
      <w:r>
        <w:rPr>
          <w:rFonts w:ascii="Arial" w:cs="Arial" w:eastAsia="Arial" w:hAnsi="Arial"/>
          <w:sz w:val="18"/>
          <w:szCs w:val="18"/>
          <w:color w:val="auto"/>
        </w:rPr>
        <w:t>”), the lenders party hereto with a 2018 Replacement Term Loan Commitment referred to below (the “</w:t>
      </w:r>
      <w:r>
        <w:rPr>
          <w:rFonts w:ascii="Arial" w:cs="Arial" w:eastAsia="Arial" w:hAnsi="Arial"/>
          <w:sz w:val="18"/>
          <w:szCs w:val="18"/>
          <w:u w:val="single" w:color="auto"/>
          <w:color w:val="auto"/>
        </w:rPr>
        <w:t>Replacement Term Lenders</w:t>
      </w:r>
      <w:r>
        <w:rPr>
          <w:rFonts w:ascii="Arial" w:cs="Arial" w:eastAsia="Arial" w:hAnsi="Arial"/>
          <w:sz w:val="18"/>
          <w:szCs w:val="18"/>
          <w:color w:val="auto"/>
        </w:rPr>
        <w:t>”), Deutsche Bank AG New York Branch (“</w:t>
      </w:r>
      <w:r>
        <w:rPr>
          <w:rFonts w:ascii="Arial" w:cs="Arial" w:eastAsia="Arial" w:hAnsi="Arial"/>
          <w:sz w:val="18"/>
          <w:szCs w:val="18"/>
          <w:u w:val="single" w:color="auto"/>
          <w:color w:val="auto"/>
        </w:rPr>
        <w:t>Deutsche 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Barclays Bank PLC as the designated lender of 2018 Replacement Term Loans referred to below (the “</w:t>
      </w:r>
      <w:r>
        <w:rPr>
          <w:rFonts w:ascii="Arial" w:cs="Arial" w:eastAsia="Arial" w:hAnsi="Arial"/>
          <w:sz w:val="18"/>
          <w:szCs w:val="18"/>
          <w:u w:val="single" w:color="auto"/>
          <w:color w:val="auto"/>
        </w:rPr>
        <w:t>Designated Replacement Term Lender</w:t>
      </w:r>
      <w:r>
        <w:rPr>
          <w:rFonts w:ascii="Arial" w:cs="Arial" w:eastAsia="Arial" w:hAnsi="Arial"/>
          <w:sz w:val="18"/>
          <w:szCs w:val="18"/>
          <w:color w:val="auto"/>
        </w:rPr>
        <w:t>”). Unless otherwise indicated, all capitalized terms used herein and not otherwise defined shall have the respective meanings provided such terms in the Credit Agreement referred to below (as amended by this Fourth Amendment).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 I T N E S S E T H</w:t>
      </w:r>
      <w:r>
        <w:rPr>
          <w:rFonts w:ascii="Arial" w:cs="Arial" w:eastAsia="Arial" w:hAnsi="Arial"/>
          <w:sz w:val="19"/>
          <w:szCs w:val="19"/>
          <w:color w:val="auto"/>
        </w:rPr>
        <w:t>:</w:t>
      </w:r>
    </w:p>
    <w:p>
      <w:pPr>
        <w:spacing w:after="0" w:line="191" w:lineRule="exact"/>
        <w:rPr>
          <w:sz w:val="20"/>
          <w:szCs w:val="20"/>
          <w:color w:val="auto"/>
        </w:rPr>
      </w:pPr>
    </w:p>
    <w:p>
      <w:pPr>
        <w:jc w:val="both"/>
        <w:ind w:firstLine="1123"/>
        <w:spacing w:after="0" w:line="265" w:lineRule="auto"/>
        <w:rPr>
          <w:sz w:val="20"/>
          <w:szCs w:val="20"/>
          <w:color w:val="auto"/>
        </w:rPr>
      </w:pPr>
      <w:r>
        <w:rPr>
          <w:rFonts w:ascii="Arial" w:cs="Arial" w:eastAsia="Arial" w:hAnsi="Arial"/>
          <w:sz w:val="18"/>
          <w:szCs w:val="18"/>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as of October 26, 2015, Second Amendment to Amended and Restated Credit and Guaranty Agreement, dated as of March 14, 2017, Third Amendment to Amended and Restated Credit and Guaranty Agreement, dated as of August 21, 2017, and as further amended, amended and restated, supplemented or otherwise modified to but not including the Fourth Amendment Effective Date as defined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49" w:lineRule="exact"/>
        <w:rPr>
          <w:sz w:val="20"/>
          <w:szCs w:val="20"/>
          <w:color w:val="auto"/>
        </w:rPr>
      </w:pPr>
    </w:p>
    <w:p>
      <w:pPr>
        <w:jc w:val="both"/>
        <w:ind w:right="20" w:firstLine="1123"/>
        <w:spacing w:after="0" w:line="266" w:lineRule="auto"/>
        <w:rPr>
          <w:sz w:val="20"/>
          <w:szCs w:val="20"/>
          <w:color w:val="auto"/>
        </w:rPr>
      </w:pPr>
      <w:r>
        <w:rPr>
          <w:rFonts w:ascii="Arial" w:cs="Arial" w:eastAsia="Arial" w:hAnsi="Arial"/>
          <w:sz w:val="19"/>
          <w:szCs w:val="19"/>
          <w:color w:val="auto"/>
        </w:rPr>
        <w:t>WHEREAS, on the date hereof, there are outstanding 2017 Replacement Term Loans under the Credit Agreement (the “</w:t>
      </w:r>
      <w:r>
        <w:rPr>
          <w:rFonts w:ascii="Arial" w:cs="Arial" w:eastAsia="Arial" w:hAnsi="Arial"/>
          <w:sz w:val="19"/>
          <w:szCs w:val="19"/>
          <w:u w:val="single" w:color="auto"/>
          <w:color w:val="auto"/>
        </w:rPr>
        <w:t>Existing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in an aggregate principal amount of $1,824,748,125.00;</w:t>
      </w:r>
    </w:p>
    <w:p>
      <w:pPr>
        <w:spacing w:after="0" w:line="147" w:lineRule="exact"/>
        <w:rPr>
          <w:sz w:val="20"/>
          <w:szCs w:val="20"/>
          <w:color w:val="auto"/>
        </w:rPr>
      </w:pPr>
    </w:p>
    <w:p>
      <w:pPr>
        <w:jc w:val="both"/>
        <w:ind w:firstLine="1123"/>
        <w:spacing w:after="0" w:line="266" w:lineRule="auto"/>
        <w:rPr>
          <w:sz w:val="20"/>
          <w:szCs w:val="20"/>
          <w:color w:val="auto"/>
        </w:rPr>
      </w:pPr>
      <w:r>
        <w:rPr>
          <w:rFonts w:ascii="Arial" w:cs="Arial" w:eastAsia="Arial" w:hAnsi="Arial"/>
          <w:sz w:val="19"/>
          <w:szCs w:val="19"/>
          <w:color w:val="auto"/>
        </w:rPr>
        <w:t>WHEREAS, pursuant to Section 10.08(e) of the Credit Agreement, the Borrower desires to refinance in full the Existing Term Loans with the proceeds of the 2018 Replacement Term Loans (as defined below) (the “</w:t>
      </w:r>
      <w:r>
        <w:rPr>
          <w:rFonts w:ascii="Arial" w:cs="Arial" w:eastAsia="Arial" w:hAnsi="Arial"/>
          <w:sz w:val="19"/>
          <w:szCs w:val="19"/>
          <w:u w:val="single" w:color="auto"/>
          <w:color w:val="auto"/>
        </w:rPr>
        <w:t>Refinancing</w:t>
      </w:r>
      <w:r>
        <w:rPr>
          <w:rFonts w:ascii="Arial" w:cs="Arial" w:eastAsia="Arial" w:hAnsi="Arial"/>
          <w:sz w:val="19"/>
          <w:szCs w:val="19"/>
          <w:color w:val="auto"/>
        </w:rPr>
        <w:t>”); and</w:t>
      </w:r>
    </w:p>
    <w:p>
      <w:pPr>
        <w:spacing w:after="0" w:line="147" w:lineRule="exact"/>
        <w:rPr>
          <w:sz w:val="20"/>
          <w:szCs w:val="20"/>
          <w:color w:val="auto"/>
        </w:rPr>
      </w:pPr>
    </w:p>
    <w:p>
      <w:pPr>
        <w:jc w:val="both"/>
        <w:ind w:firstLine="1123"/>
        <w:spacing w:after="0" w:line="255" w:lineRule="auto"/>
        <w:rPr>
          <w:sz w:val="20"/>
          <w:szCs w:val="20"/>
          <w:color w:val="auto"/>
        </w:rPr>
      </w:pPr>
      <w:r>
        <w:rPr>
          <w:rFonts w:ascii="Arial" w:cs="Arial" w:eastAsia="Arial" w:hAnsi="Arial"/>
          <w:sz w:val="19"/>
          <w:szCs w:val="19"/>
          <w:color w:val="auto"/>
        </w:rPr>
        <w:t>WHEREAS, the Borrower, the Administrative Agent, the Replacement Term Lenders and the other Lenders party hereto wish to amend the Credit Agreement to provide for (i) the Refinancing and (ii) certain other modifications to the Credit Agreement, in each case, on the terms and subject to the conditions set forth herein.</w:t>
      </w:r>
    </w:p>
    <w:p>
      <w:pPr>
        <w:spacing w:after="0" w:line="158" w:lineRule="exact"/>
        <w:rPr>
          <w:sz w:val="20"/>
          <w:szCs w:val="20"/>
          <w:color w:val="auto"/>
        </w:rPr>
      </w:pPr>
    </w:p>
    <w:p>
      <w:pPr>
        <w:jc w:val="both"/>
        <w:ind w:right="20" w:firstLine="1123"/>
        <w:spacing w:after="0" w:line="266"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and sufficiency of which are hereby acknowledged, the parties hereto hereby agree as follows:</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SECTION ONE - Credit Agreement Amendments</w:t>
      </w:r>
      <w:r>
        <w:rPr>
          <w:rFonts w:ascii="Arial" w:cs="Arial" w:eastAsia="Arial" w:hAnsi="Arial"/>
          <w:sz w:val="18"/>
          <w:szCs w:val="18"/>
          <w:color w:val="auto"/>
        </w:rPr>
        <w:t>. Effective as of the Fourth Amendment Effective Date (as defined below):</w:t>
      </w:r>
    </w:p>
    <w:p>
      <w:pPr>
        <w:sectPr>
          <w:pgSz w:w="11900" w:h="16838" w:orient="portrait"/>
          <w:cols w:equalWidth="0" w:num="1">
            <w:col w:w="11440"/>
          </w:cols>
          <w:pgMar w:left="240" w:top="565" w:right="219" w:bottom="1440" w:gutter="0" w:footer="0" w:header="0"/>
        </w:sectPr>
      </w:pPr>
    </w:p>
    <w:bookmarkStart w:id="246" w:name="page247"/>
    <w:bookmarkEnd w:id="246"/>
    <w:p>
      <w:pPr>
        <w:ind w:left="1120"/>
        <w:spacing w:after="0"/>
        <w:tabs>
          <w:tab w:leader="none" w:pos="14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6"/>
          <w:szCs w:val="16"/>
          <w:color w:val="auto"/>
        </w:rPr>
        <w:t>The Credit Agreement is hereby amended as follows:</w:t>
      </w:r>
    </w:p>
    <w:p>
      <w:pPr>
        <w:spacing w:after="0" w:line="203" w:lineRule="exact"/>
        <w:rPr>
          <w:sz w:val="20"/>
          <w:szCs w:val="20"/>
          <w:color w:val="auto"/>
        </w:rPr>
      </w:pPr>
    </w:p>
    <w:p>
      <w:pPr>
        <w:ind w:left="1120"/>
        <w:spacing w:after="0"/>
        <w:tabs>
          <w:tab w:leader="none" w:pos="142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Section 1.01 of the Credit Agreement is hereby amended by inserting the following definitions in appropriate alphabetical order:</w:t>
      </w:r>
    </w:p>
    <w:p>
      <w:pPr>
        <w:spacing w:after="0" w:line="203"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2018 Replacement Term Loans</w:t>
      </w:r>
      <w:r>
        <w:rPr>
          <w:rFonts w:ascii="Arial" w:cs="Arial" w:eastAsia="Arial" w:hAnsi="Arial"/>
          <w:sz w:val="19"/>
          <w:szCs w:val="19"/>
          <w:color w:val="auto"/>
        </w:rPr>
        <w:t>” shall be the Term Loans incurred pursuant to the Fourth Amendment.</w:t>
      </w:r>
    </w:p>
    <w:p>
      <w:pPr>
        <w:spacing w:after="0" w:line="191" w:lineRule="exact"/>
        <w:rPr>
          <w:sz w:val="20"/>
          <w:szCs w:val="20"/>
          <w:color w:val="auto"/>
        </w:rPr>
      </w:pPr>
    </w:p>
    <w:p>
      <w:pPr>
        <w:jc w:val="both"/>
        <w:ind w:left="1120" w:right="20" w:firstLine="562"/>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2018 Replacement Term Loan Commitment</w:t>
      </w:r>
      <w:r>
        <w:rPr>
          <w:rFonts w:ascii="Arial" w:cs="Arial" w:eastAsia="Arial" w:hAnsi="Arial"/>
          <w:sz w:val="19"/>
          <w:szCs w:val="19"/>
          <w:color w:val="auto"/>
        </w:rPr>
        <w:t>” shall mean the Term Loan Commitment of each Replacement Term Lender to make 2018 Replacement Term Loans pursuant to the Fourth Amendment.</w:t>
      </w:r>
    </w:p>
    <w:p>
      <w:pPr>
        <w:spacing w:after="0" w:line="147" w:lineRule="exact"/>
        <w:rPr>
          <w:sz w:val="20"/>
          <w:szCs w:val="20"/>
          <w:color w:val="auto"/>
        </w:rPr>
      </w:pPr>
    </w:p>
    <w:p>
      <w:pPr>
        <w:jc w:val="both"/>
        <w:ind w:left="1120" w:firstLine="56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2018 Replacement Term Loan Commitment Schedule</w:t>
      </w:r>
      <w:r>
        <w:rPr>
          <w:rFonts w:ascii="Arial" w:cs="Arial" w:eastAsia="Arial" w:hAnsi="Arial"/>
          <w:sz w:val="19"/>
          <w:szCs w:val="19"/>
          <w:color w:val="auto"/>
        </w:rPr>
        <w:t>” shall mean the schedule of 2018 Replacement Term Loan Commitments of each Replacement Term Lender provided to the Borrower on the Fourth Amendment Effective Date by the Administrative Agent pursuant to the Fourth Amendment.</w:t>
      </w:r>
    </w:p>
    <w:p>
      <w:pPr>
        <w:spacing w:after="0" w:line="158"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w:t>
      </w:r>
      <w:r>
        <w:rPr>
          <w:rFonts w:ascii="Arial" w:cs="Arial" w:eastAsia="Arial" w:hAnsi="Arial"/>
          <w:sz w:val="19"/>
          <w:szCs w:val="19"/>
          <w:color w:val="auto"/>
        </w:rPr>
        <w:t>” shall mean the Fourth Amendment to this Agreement, dated as of May 15, 2018.</w:t>
      </w:r>
    </w:p>
    <w:p>
      <w:pPr>
        <w:spacing w:after="0" w:line="191"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Fourth Amendment Effective Date</w:t>
      </w:r>
      <w:r>
        <w:rPr>
          <w:rFonts w:ascii="Arial" w:cs="Arial" w:eastAsia="Arial" w:hAnsi="Arial"/>
          <w:sz w:val="19"/>
          <w:szCs w:val="19"/>
          <w:color w:val="auto"/>
        </w:rPr>
        <w:t>” shall have the meaning provided in the Fourth Amendment.</w:t>
      </w:r>
    </w:p>
    <w:p>
      <w:pPr>
        <w:spacing w:after="0" w:line="191" w:lineRule="exact"/>
        <w:rPr>
          <w:sz w:val="20"/>
          <w:szCs w:val="20"/>
          <w:color w:val="auto"/>
        </w:rPr>
      </w:pPr>
    </w:p>
    <w:p>
      <w:pPr>
        <w:ind w:right="20" w:firstLine="1117"/>
        <w:spacing w:after="0" w:line="279" w:lineRule="auto"/>
        <w:tabs>
          <w:tab w:leader="none" w:pos="150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Replacement Term Lender</w:t>
      </w:r>
      <w:r>
        <w:rPr>
          <w:rFonts w:ascii="Arial" w:cs="Arial" w:eastAsia="Arial" w:hAnsi="Arial"/>
          <w:sz w:val="19"/>
          <w:szCs w:val="19"/>
          <w:color w:val="auto"/>
        </w:rPr>
        <w:t>” appearing in Section 1.01 of the Credit Agreement is hereby amended and restated in its entirety as follows:</w:t>
      </w:r>
    </w:p>
    <w:p>
      <w:pPr>
        <w:spacing w:after="0" w:line="135" w:lineRule="exact"/>
        <w:rPr>
          <w:sz w:val="20"/>
          <w:szCs w:val="20"/>
          <w:color w:val="auto"/>
        </w:rPr>
      </w:pPr>
    </w:p>
    <w:p>
      <w:pPr>
        <w:ind w:left="112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Replacement Term Lender</w:t>
      </w:r>
      <w:r>
        <w:rPr>
          <w:rFonts w:ascii="Arial" w:cs="Arial" w:eastAsia="Arial" w:hAnsi="Arial"/>
          <w:sz w:val="19"/>
          <w:szCs w:val="19"/>
          <w:color w:val="auto"/>
        </w:rPr>
        <w:t>” shall mean each Lender having a Term Loan Commitment to provide 2018 Replacement Term Loans or, as the case may be, with an outstanding 2018 Replacement Term Loan.</w:t>
      </w:r>
    </w:p>
    <w:p>
      <w:pPr>
        <w:spacing w:after="0" w:line="147" w:lineRule="exact"/>
        <w:rPr>
          <w:sz w:val="20"/>
          <w:szCs w:val="20"/>
          <w:color w:val="auto"/>
        </w:rPr>
      </w:pPr>
    </w:p>
    <w:p>
      <w:pPr>
        <w:ind w:left="1620" w:hanging="503"/>
        <w:spacing w:after="0"/>
        <w:tabs>
          <w:tab w:leader="none" w:pos="16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Applicable Margin</w:t>
      </w:r>
      <w:r>
        <w:rPr>
          <w:rFonts w:ascii="Arial" w:cs="Arial" w:eastAsia="Arial" w:hAnsi="Arial"/>
          <w:sz w:val="17"/>
          <w:szCs w:val="17"/>
          <w:color w:val="auto"/>
        </w:rPr>
        <w:t>” appearing in Section 1.01 of the Credit Agreement is hereby amended and restated in its</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entirety as follows:</w:t>
      </w:r>
    </w:p>
    <w:p>
      <w:pPr>
        <w:spacing w:after="0" w:line="186"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Margin</w:t>
      </w:r>
      <w:r>
        <w:rPr>
          <w:rFonts w:ascii="Arial" w:cs="Arial" w:eastAsia="Arial" w:hAnsi="Arial"/>
          <w:sz w:val="19"/>
          <w:szCs w:val="19"/>
          <w:color w:val="auto"/>
        </w:rPr>
        <w:t>” shall mean the rate per annum determined pursuant to the following:</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460" w:type="dxa"/>
            <w:vAlign w:val="bottom"/>
            <w:tcBorders>
              <w:top w:val="single" w:sz="8" w:color="00000A"/>
              <w:left w:val="single" w:sz="8" w:color="00000A"/>
            </w:tcBorders>
            <w:vMerge w:val="restart"/>
          </w:tcPr>
          <w:p>
            <w:pPr>
              <w:ind w:left="1400"/>
              <w:spacing w:after="0"/>
              <w:rPr>
                <w:sz w:val="20"/>
                <w:szCs w:val="20"/>
                <w:color w:val="auto"/>
              </w:rPr>
            </w:pPr>
            <w:r>
              <w:rPr>
                <w:rFonts w:ascii="Arial" w:cs="Arial" w:eastAsia="Arial" w:hAnsi="Arial"/>
                <w:sz w:val="19"/>
                <w:szCs w:val="19"/>
                <w:color w:val="auto"/>
              </w:rPr>
              <w:t>Class of Loans</w:t>
            </w:r>
          </w:p>
        </w:tc>
        <w:tc>
          <w:tcPr>
            <w:tcW w:w="440" w:type="dxa"/>
            <w:vAlign w:val="bottom"/>
            <w:tcBorders>
              <w:top w:val="single" w:sz="8" w:color="00000A"/>
              <w:right w:val="single" w:sz="8" w:color="00000A"/>
            </w:tcBorders>
          </w:tcPr>
          <w:p>
            <w:pPr>
              <w:spacing w:after="0"/>
              <w:rPr>
                <w:sz w:val="19"/>
                <w:szCs w:val="19"/>
                <w:color w:val="auto"/>
              </w:rPr>
            </w:pPr>
          </w:p>
        </w:tc>
        <w:tc>
          <w:tcPr>
            <w:tcW w:w="3780" w:type="dxa"/>
            <w:vAlign w:val="bottom"/>
            <w:tcBorders>
              <w:top w:val="single" w:sz="8" w:color="00000A"/>
              <w:right w:val="single" w:sz="8" w:color="00000A"/>
            </w:tcBorders>
          </w:tcPr>
          <w:p>
            <w:pPr>
              <w:ind w:left="1160"/>
              <w:spacing w:after="0"/>
              <w:rPr>
                <w:sz w:val="20"/>
                <w:szCs w:val="20"/>
                <w:color w:val="auto"/>
              </w:rPr>
            </w:pPr>
            <w:r>
              <w:rPr>
                <w:rFonts w:ascii="Arial" w:cs="Arial" w:eastAsia="Arial" w:hAnsi="Arial"/>
                <w:sz w:val="19"/>
                <w:szCs w:val="19"/>
                <w:color w:val="auto"/>
              </w:rPr>
              <w:t>Applicable Margin</w:t>
            </w:r>
          </w:p>
        </w:tc>
        <w:tc>
          <w:tcPr>
            <w:tcW w:w="3780" w:type="dxa"/>
            <w:vAlign w:val="bottom"/>
            <w:tcBorders>
              <w:top w:val="single" w:sz="8" w:color="00000A"/>
              <w:right w:val="single" w:sz="8" w:color="00000A"/>
            </w:tcBorders>
          </w:tcPr>
          <w:p>
            <w:pPr>
              <w:ind w:left="1140"/>
              <w:spacing w:after="0"/>
              <w:rPr>
                <w:sz w:val="20"/>
                <w:szCs w:val="20"/>
                <w:color w:val="auto"/>
              </w:rPr>
            </w:pPr>
            <w:r>
              <w:rPr>
                <w:rFonts w:ascii="Arial" w:cs="Arial" w:eastAsia="Arial" w:hAnsi="Arial"/>
                <w:sz w:val="19"/>
                <w:szCs w:val="19"/>
                <w:color w:val="auto"/>
              </w:rPr>
              <w:t>Applicable Margin</w:t>
            </w:r>
          </w:p>
        </w:tc>
        <w:tc>
          <w:tcPr>
            <w:tcW w:w="0" w:type="dxa"/>
            <w:vAlign w:val="bottom"/>
          </w:tcPr>
          <w:p>
            <w:pPr>
              <w:spacing w:after="0"/>
              <w:rPr>
                <w:sz w:val="1"/>
                <w:szCs w:val="1"/>
                <w:color w:val="auto"/>
              </w:rPr>
            </w:pPr>
          </w:p>
        </w:tc>
      </w:tr>
      <w:tr>
        <w:trPr>
          <w:trHeight w:val="133"/>
        </w:trPr>
        <w:tc>
          <w:tcPr>
            <w:tcW w:w="3460" w:type="dxa"/>
            <w:vAlign w:val="bottom"/>
            <w:tcBorders>
              <w:left w:val="single" w:sz="8" w:color="00000A"/>
            </w:tcBorders>
            <w:vMerge w:val="continue"/>
          </w:tcPr>
          <w:p>
            <w:pPr>
              <w:spacing w:after="0"/>
              <w:rPr>
                <w:sz w:val="11"/>
                <w:szCs w:val="11"/>
                <w:color w:val="auto"/>
              </w:rPr>
            </w:pPr>
          </w:p>
        </w:tc>
        <w:tc>
          <w:tcPr>
            <w:tcW w:w="440" w:type="dxa"/>
            <w:vAlign w:val="bottom"/>
            <w:tcBorders>
              <w:right w:val="single" w:sz="8" w:color="00000A"/>
            </w:tcBorders>
          </w:tcPr>
          <w:p>
            <w:pPr>
              <w:spacing w:after="0"/>
              <w:rPr>
                <w:sz w:val="11"/>
                <w:szCs w:val="11"/>
                <w:color w:val="auto"/>
              </w:rPr>
            </w:pPr>
          </w:p>
        </w:tc>
        <w:tc>
          <w:tcPr>
            <w:tcW w:w="3780" w:type="dxa"/>
            <w:vAlign w:val="bottom"/>
            <w:tcBorders>
              <w:right w:val="single" w:sz="8" w:color="00000A"/>
            </w:tcBorders>
            <w:vMerge w:val="restart"/>
          </w:tcPr>
          <w:p>
            <w:pPr>
              <w:ind w:left="1240"/>
              <w:spacing w:after="0"/>
              <w:rPr>
                <w:sz w:val="20"/>
                <w:szCs w:val="20"/>
                <w:color w:val="auto"/>
              </w:rPr>
            </w:pPr>
            <w:r>
              <w:rPr>
                <w:rFonts w:ascii="Arial" w:cs="Arial" w:eastAsia="Arial" w:hAnsi="Arial"/>
                <w:sz w:val="19"/>
                <w:szCs w:val="19"/>
                <w:color w:val="auto"/>
              </w:rPr>
              <w:t>Eurodollar Loans</w:t>
            </w:r>
          </w:p>
        </w:tc>
        <w:tc>
          <w:tcPr>
            <w:tcW w:w="3780" w:type="dxa"/>
            <w:vAlign w:val="bottom"/>
            <w:tcBorders>
              <w:right w:val="single" w:sz="8" w:color="00000A"/>
            </w:tcBorders>
            <w:vMerge w:val="restart"/>
          </w:tcPr>
          <w:p>
            <w:pPr>
              <w:ind w:left="1440"/>
              <w:spacing w:after="0"/>
              <w:rPr>
                <w:sz w:val="20"/>
                <w:szCs w:val="20"/>
                <w:color w:val="auto"/>
              </w:rPr>
            </w:pPr>
            <w:r>
              <w:rPr>
                <w:rFonts w:ascii="Arial" w:cs="Arial" w:eastAsia="Arial" w:hAnsi="Arial"/>
                <w:sz w:val="19"/>
                <w:szCs w:val="19"/>
                <w:color w:val="auto"/>
              </w:rPr>
              <w:t>ABR Loans</w:t>
            </w:r>
          </w:p>
        </w:tc>
        <w:tc>
          <w:tcPr>
            <w:tcW w:w="0" w:type="dxa"/>
            <w:vAlign w:val="bottom"/>
          </w:tcPr>
          <w:p>
            <w:pPr>
              <w:spacing w:after="0"/>
              <w:rPr>
                <w:sz w:val="1"/>
                <w:szCs w:val="1"/>
                <w:color w:val="auto"/>
              </w:rPr>
            </w:pPr>
          </w:p>
        </w:tc>
      </w:tr>
      <w:tr>
        <w:trPr>
          <w:trHeight w:val="105"/>
        </w:trPr>
        <w:tc>
          <w:tcPr>
            <w:tcW w:w="3460" w:type="dxa"/>
            <w:vAlign w:val="bottom"/>
            <w:tcBorders>
              <w:left w:val="single" w:sz="8" w:color="00000A"/>
            </w:tcBorders>
          </w:tcPr>
          <w:p>
            <w:pPr>
              <w:spacing w:after="0"/>
              <w:rPr>
                <w:sz w:val="9"/>
                <w:szCs w:val="9"/>
                <w:color w:val="auto"/>
              </w:rPr>
            </w:pPr>
          </w:p>
        </w:tc>
        <w:tc>
          <w:tcPr>
            <w:tcW w:w="440" w:type="dxa"/>
            <w:vAlign w:val="bottom"/>
            <w:tcBorders>
              <w:right w:val="single" w:sz="8" w:color="00000A"/>
            </w:tcBorders>
          </w:tcPr>
          <w:p>
            <w:pPr>
              <w:spacing w:after="0"/>
              <w:rPr>
                <w:sz w:val="9"/>
                <w:szCs w:val="9"/>
                <w:color w:val="auto"/>
              </w:rPr>
            </w:pPr>
          </w:p>
        </w:tc>
        <w:tc>
          <w:tcPr>
            <w:tcW w:w="3780" w:type="dxa"/>
            <w:vAlign w:val="bottom"/>
            <w:tcBorders>
              <w:right w:val="single" w:sz="8" w:color="00000A"/>
            </w:tcBorders>
            <w:vMerge w:val="continue"/>
          </w:tcPr>
          <w:p>
            <w:pPr>
              <w:spacing w:after="0"/>
              <w:rPr>
                <w:sz w:val="9"/>
                <w:szCs w:val="9"/>
                <w:color w:val="auto"/>
              </w:rPr>
            </w:pPr>
          </w:p>
        </w:tc>
        <w:tc>
          <w:tcPr>
            <w:tcW w:w="378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60" w:type="dxa"/>
            <w:vAlign w:val="bottom"/>
            <w:tcBorders>
              <w:left w:val="single" w:sz="8" w:color="00000A"/>
              <w:bottom w:val="single" w:sz="8" w:color="00000A"/>
            </w:tcBorders>
          </w:tcPr>
          <w:p>
            <w:pPr>
              <w:spacing w:after="0"/>
              <w:rPr>
                <w:sz w:val="9"/>
                <w:szCs w:val="9"/>
                <w:color w:val="auto"/>
              </w:rPr>
            </w:pPr>
          </w:p>
        </w:tc>
        <w:tc>
          <w:tcPr>
            <w:tcW w:w="44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460" w:type="dxa"/>
            <w:vAlign w:val="bottom"/>
            <w:tcBorders>
              <w:left w:val="single" w:sz="8" w:color="00000A"/>
            </w:tcBorders>
          </w:tcPr>
          <w:p>
            <w:pPr>
              <w:ind w:left="20"/>
              <w:spacing w:after="0" w:line="207" w:lineRule="exact"/>
              <w:rPr>
                <w:sz w:val="20"/>
                <w:szCs w:val="20"/>
                <w:color w:val="auto"/>
              </w:rPr>
            </w:pPr>
            <w:r>
              <w:rPr>
                <w:rFonts w:ascii="Arial" w:cs="Arial" w:eastAsia="Arial" w:hAnsi="Arial"/>
                <w:sz w:val="19"/>
                <w:szCs w:val="19"/>
                <w:color w:val="auto"/>
                <w:w w:val="94"/>
              </w:rPr>
              <w:t>Term Loans outstanding prior to the Fourth</w:t>
            </w:r>
          </w:p>
        </w:tc>
        <w:tc>
          <w:tcPr>
            <w:tcW w:w="440" w:type="dxa"/>
            <w:vAlign w:val="bottom"/>
            <w:tcBorders>
              <w:right w:val="single" w:sz="8" w:color="00000A"/>
            </w:tcBorders>
          </w:tcPr>
          <w:p>
            <w:pPr>
              <w:spacing w:after="0"/>
              <w:rPr>
                <w:sz w:val="17"/>
                <w:szCs w:val="17"/>
                <w:color w:val="auto"/>
              </w:rPr>
            </w:pPr>
          </w:p>
        </w:tc>
        <w:tc>
          <w:tcPr>
            <w:tcW w:w="3780" w:type="dxa"/>
            <w:vAlign w:val="bottom"/>
            <w:tcBorders>
              <w:right w:val="single" w:sz="8" w:color="00000A"/>
            </w:tcBorders>
          </w:tcPr>
          <w:p>
            <w:pPr>
              <w:ind w:left="20"/>
              <w:spacing w:after="0" w:line="207" w:lineRule="exact"/>
              <w:rPr>
                <w:sz w:val="20"/>
                <w:szCs w:val="20"/>
                <w:color w:val="auto"/>
              </w:rPr>
            </w:pPr>
            <w:r>
              <w:rPr>
                <w:rFonts w:ascii="Arial" w:cs="Arial" w:eastAsia="Arial" w:hAnsi="Arial"/>
                <w:sz w:val="19"/>
                <w:szCs w:val="19"/>
                <w:color w:val="auto"/>
              </w:rPr>
              <w:t>2.00%</w:t>
            </w:r>
          </w:p>
        </w:tc>
        <w:tc>
          <w:tcPr>
            <w:tcW w:w="3780" w:type="dxa"/>
            <w:vAlign w:val="bottom"/>
            <w:tcBorders>
              <w:right w:val="single" w:sz="8" w:color="00000A"/>
            </w:tcBorders>
          </w:tcPr>
          <w:p>
            <w:pPr>
              <w:ind w:left="20"/>
              <w:spacing w:after="0" w:line="207" w:lineRule="exact"/>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39"/>
        </w:trPr>
        <w:tc>
          <w:tcPr>
            <w:tcW w:w="3460" w:type="dxa"/>
            <w:vAlign w:val="bottom"/>
            <w:tcBorders>
              <w:left w:val="single" w:sz="8" w:color="00000A"/>
            </w:tcBorders>
          </w:tcPr>
          <w:p>
            <w:pPr>
              <w:ind w:left="20"/>
              <w:spacing w:after="0"/>
              <w:rPr>
                <w:sz w:val="20"/>
                <w:szCs w:val="20"/>
                <w:color w:val="auto"/>
              </w:rPr>
            </w:pPr>
            <w:r>
              <w:rPr>
                <w:rFonts w:ascii="Arial" w:cs="Arial" w:eastAsia="Arial" w:hAnsi="Arial"/>
                <w:sz w:val="19"/>
                <w:szCs w:val="19"/>
                <w:color w:val="auto"/>
              </w:rPr>
              <w:t>Amendment Effective Date</w:t>
            </w:r>
          </w:p>
        </w:tc>
        <w:tc>
          <w:tcPr>
            <w:tcW w:w="440" w:type="dxa"/>
            <w:vAlign w:val="bottom"/>
            <w:tcBorders>
              <w:right w:val="single" w:sz="8" w:color="00000A"/>
            </w:tcBorders>
          </w:tcPr>
          <w:p>
            <w:pPr>
              <w:spacing w:after="0"/>
              <w:rPr>
                <w:sz w:val="20"/>
                <w:szCs w:val="20"/>
                <w:color w:val="auto"/>
              </w:rPr>
            </w:pPr>
          </w:p>
        </w:tc>
        <w:tc>
          <w:tcPr>
            <w:tcW w:w="3780" w:type="dxa"/>
            <w:vAlign w:val="bottom"/>
            <w:tcBorders>
              <w:right w:val="single" w:sz="8" w:color="00000A"/>
            </w:tcBorders>
          </w:tcPr>
          <w:p>
            <w:pPr>
              <w:spacing w:after="0"/>
              <w:rPr>
                <w:sz w:val="20"/>
                <w:szCs w:val="20"/>
                <w:color w:val="auto"/>
              </w:rPr>
            </w:pPr>
          </w:p>
        </w:tc>
        <w:tc>
          <w:tcPr>
            <w:tcW w:w="37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60" w:type="dxa"/>
            <w:vAlign w:val="bottom"/>
            <w:tcBorders>
              <w:left w:val="single" w:sz="8" w:color="00000A"/>
              <w:bottom w:val="single" w:sz="8" w:color="00000A"/>
            </w:tcBorders>
          </w:tcPr>
          <w:p>
            <w:pPr>
              <w:spacing w:after="0"/>
              <w:rPr>
                <w:sz w:val="9"/>
                <w:szCs w:val="9"/>
                <w:color w:val="auto"/>
              </w:rPr>
            </w:pPr>
          </w:p>
        </w:tc>
        <w:tc>
          <w:tcPr>
            <w:tcW w:w="44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460" w:type="dxa"/>
            <w:vAlign w:val="bottom"/>
            <w:tcBorders>
              <w:left w:val="single" w:sz="8" w:color="00000A"/>
            </w:tcBorders>
          </w:tcPr>
          <w:p>
            <w:pPr>
              <w:ind w:left="20"/>
              <w:spacing w:after="0" w:line="207" w:lineRule="exact"/>
              <w:rPr>
                <w:sz w:val="20"/>
                <w:szCs w:val="20"/>
                <w:color w:val="auto"/>
              </w:rPr>
            </w:pPr>
            <w:r>
              <w:rPr>
                <w:rFonts w:ascii="Arial" w:cs="Arial" w:eastAsia="Arial" w:hAnsi="Arial"/>
                <w:sz w:val="19"/>
                <w:szCs w:val="19"/>
                <w:color w:val="auto"/>
              </w:rPr>
              <w:t>2018 Replacement Term Loans</w:t>
            </w:r>
          </w:p>
        </w:tc>
        <w:tc>
          <w:tcPr>
            <w:tcW w:w="440" w:type="dxa"/>
            <w:vAlign w:val="bottom"/>
            <w:tcBorders>
              <w:right w:val="single" w:sz="8" w:color="00000A"/>
            </w:tcBorders>
          </w:tcPr>
          <w:p>
            <w:pPr>
              <w:spacing w:after="0"/>
              <w:rPr>
                <w:sz w:val="17"/>
                <w:szCs w:val="17"/>
                <w:color w:val="auto"/>
              </w:rPr>
            </w:pPr>
          </w:p>
        </w:tc>
        <w:tc>
          <w:tcPr>
            <w:tcW w:w="3780" w:type="dxa"/>
            <w:vAlign w:val="bottom"/>
            <w:tcBorders>
              <w:right w:val="single" w:sz="8" w:color="00000A"/>
            </w:tcBorders>
          </w:tcPr>
          <w:p>
            <w:pPr>
              <w:ind w:left="20"/>
              <w:spacing w:after="0" w:line="207" w:lineRule="exact"/>
              <w:rPr>
                <w:sz w:val="20"/>
                <w:szCs w:val="20"/>
                <w:color w:val="auto"/>
              </w:rPr>
            </w:pPr>
            <w:r>
              <w:rPr>
                <w:rFonts w:ascii="Arial" w:cs="Arial" w:eastAsia="Arial" w:hAnsi="Arial"/>
                <w:sz w:val="19"/>
                <w:szCs w:val="19"/>
                <w:color w:val="auto"/>
              </w:rPr>
              <w:t>From and after Fourth Amendment Effective</w:t>
            </w:r>
          </w:p>
        </w:tc>
        <w:tc>
          <w:tcPr>
            <w:tcW w:w="3780" w:type="dxa"/>
            <w:vAlign w:val="bottom"/>
            <w:tcBorders>
              <w:right w:val="single" w:sz="8" w:color="00000A"/>
            </w:tcBorders>
          </w:tcPr>
          <w:p>
            <w:pPr>
              <w:ind w:left="20"/>
              <w:spacing w:after="0" w:line="207" w:lineRule="exact"/>
              <w:rPr>
                <w:sz w:val="20"/>
                <w:szCs w:val="20"/>
                <w:color w:val="auto"/>
              </w:rPr>
            </w:pPr>
            <w:r>
              <w:rPr>
                <w:rFonts w:ascii="Arial" w:cs="Arial" w:eastAsia="Arial" w:hAnsi="Arial"/>
                <w:sz w:val="19"/>
                <w:szCs w:val="19"/>
                <w:color w:val="auto"/>
                <w:w w:val="92"/>
              </w:rPr>
              <w:t>From and after the Fourth Amendment Effective</w:t>
            </w:r>
          </w:p>
        </w:tc>
        <w:tc>
          <w:tcPr>
            <w:tcW w:w="0" w:type="dxa"/>
            <w:vAlign w:val="bottom"/>
          </w:tcPr>
          <w:p>
            <w:pPr>
              <w:spacing w:after="0"/>
              <w:rPr>
                <w:sz w:val="1"/>
                <w:szCs w:val="1"/>
                <w:color w:val="auto"/>
              </w:rPr>
            </w:pPr>
          </w:p>
        </w:tc>
      </w:tr>
      <w:tr>
        <w:trPr>
          <w:trHeight w:val="239"/>
        </w:trPr>
        <w:tc>
          <w:tcPr>
            <w:tcW w:w="3460" w:type="dxa"/>
            <w:vAlign w:val="bottom"/>
            <w:tcBorders>
              <w:left w:val="single" w:sz="8" w:color="00000A"/>
            </w:tcBorders>
          </w:tcPr>
          <w:p>
            <w:pPr>
              <w:spacing w:after="0"/>
              <w:rPr>
                <w:sz w:val="20"/>
                <w:szCs w:val="20"/>
                <w:color w:val="auto"/>
              </w:rPr>
            </w:pPr>
          </w:p>
        </w:tc>
        <w:tc>
          <w:tcPr>
            <w:tcW w:w="440" w:type="dxa"/>
            <w:vAlign w:val="bottom"/>
            <w:tcBorders>
              <w:right w:val="single" w:sz="8" w:color="00000A"/>
            </w:tcBorders>
          </w:tcPr>
          <w:p>
            <w:pPr>
              <w:spacing w:after="0"/>
              <w:rPr>
                <w:sz w:val="20"/>
                <w:szCs w:val="20"/>
                <w:color w:val="auto"/>
              </w:rPr>
            </w:pPr>
          </w:p>
        </w:tc>
        <w:tc>
          <w:tcPr>
            <w:tcW w:w="378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Date: 1.75%</w:t>
            </w:r>
          </w:p>
        </w:tc>
        <w:tc>
          <w:tcPr>
            <w:tcW w:w="378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Date: 0.75%</w:t>
            </w:r>
          </w:p>
        </w:tc>
        <w:tc>
          <w:tcPr>
            <w:tcW w:w="0" w:type="dxa"/>
            <w:vAlign w:val="bottom"/>
          </w:tcPr>
          <w:p>
            <w:pPr>
              <w:spacing w:after="0"/>
              <w:rPr>
                <w:sz w:val="1"/>
                <w:szCs w:val="1"/>
                <w:color w:val="auto"/>
              </w:rPr>
            </w:pPr>
          </w:p>
        </w:tc>
      </w:tr>
      <w:tr>
        <w:trPr>
          <w:trHeight w:val="108"/>
        </w:trPr>
        <w:tc>
          <w:tcPr>
            <w:tcW w:w="3460" w:type="dxa"/>
            <w:vAlign w:val="bottom"/>
            <w:tcBorders>
              <w:left w:val="single" w:sz="8" w:color="00000A"/>
              <w:bottom w:val="single" w:sz="8" w:color="00000A"/>
            </w:tcBorders>
          </w:tcPr>
          <w:p>
            <w:pPr>
              <w:spacing w:after="0"/>
              <w:rPr>
                <w:sz w:val="9"/>
                <w:szCs w:val="9"/>
                <w:color w:val="auto"/>
              </w:rPr>
            </w:pPr>
          </w:p>
        </w:tc>
        <w:tc>
          <w:tcPr>
            <w:tcW w:w="44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460" w:type="dxa"/>
            <w:vAlign w:val="bottom"/>
            <w:tcBorders>
              <w:left w:val="single" w:sz="8" w:color="00000A"/>
            </w:tcBorders>
          </w:tcPr>
          <w:p>
            <w:pPr>
              <w:ind w:left="20"/>
              <w:spacing w:after="0"/>
              <w:rPr>
                <w:sz w:val="20"/>
                <w:szCs w:val="20"/>
                <w:color w:val="auto"/>
              </w:rPr>
            </w:pPr>
            <w:r>
              <w:rPr>
                <w:rFonts w:ascii="Arial" w:cs="Arial" w:eastAsia="Arial" w:hAnsi="Arial"/>
                <w:sz w:val="19"/>
                <w:szCs w:val="19"/>
                <w:color w:val="auto"/>
              </w:rPr>
              <w:t>Revolving Loans</w:t>
            </w:r>
          </w:p>
        </w:tc>
        <w:tc>
          <w:tcPr>
            <w:tcW w:w="440" w:type="dxa"/>
            <w:vAlign w:val="bottom"/>
            <w:tcBorders>
              <w:right w:val="single" w:sz="8" w:color="00000A"/>
            </w:tcBorders>
          </w:tcPr>
          <w:p>
            <w:pPr>
              <w:spacing w:after="0"/>
              <w:rPr>
                <w:sz w:val="20"/>
                <w:szCs w:val="20"/>
                <w:color w:val="auto"/>
              </w:rPr>
            </w:pPr>
          </w:p>
        </w:tc>
        <w:tc>
          <w:tcPr>
            <w:tcW w:w="378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2.25%</w:t>
            </w:r>
          </w:p>
        </w:tc>
        <w:tc>
          <w:tcPr>
            <w:tcW w:w="378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108"/>
        </w:trPr>
        <w:tc>
          <w:tcPr>
            <w:tcW w:w="3460" w:type="dxa"/>
            <w:vAlign w:val="bottom"/>
            <w:tcBorders>
              <w:left w:val="single" w:sz="8" w:color="00000A"/>
              <w:bottom w:val="single" w:sz="8" w:color="00000A"/>
            </w:tcBorders>
          </w:tcPr>
          <w:p>
            <w:pPr>
              <w:spacing w:after="0"/>
              <w:rPr>
                <w:sz w:val="9"/>
                <w:szCs w:val="9"/>
                <w:color w:val="auto"/>
              </w:rPr>
            </w:pPr>
          </w:p>
        </w:tc>
        <w:tc>
          <w:tcPr>
            <w:tcW w:w="44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378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656"/>
        </w:trPr>
        <w:tc>
          <w:tcPr>
            <w:tcW w:w="346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9"/>
                <w:szCs w:val="19"/>
                <w:color w:val="auto"/>
              </w:rPr>
              <w:t>2</w:t>
            </w:r>
          </w:p>
        </w:tc>
        <w:tc>
          <w:tcPr>
            <w:tcW w:w="37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43" w:right="219" w:bottom="1440" w:gutter="0" w:footer="0" w:header="0"/>
        </w:sectPr>
      </w:pPr>
    </w:p>
    <w:bookmarkStart w:id="247" w:name="page248"/>
    <w:bookmarkEnd w:id="247"/>
    <w:p>
      <w:pPr>
        <w:ind w:right="20" w:firstLine="1117"/>
        <w:spacing w:after="0" w:line="279" w:lineRule="auto"/>
        <w:tabs>
          <w:tab w:leader="none" w:pos="160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Class</w:t>
      </w:r>
      <w:r>
        <w:rPr>
          <w:rFonts w:ascii="Arial" w:cs="Arial" w:eastAsia="Arial" w:hAnsi="Arial"/>
          <w:sz w:val="19"/>
          <w:szCs w:val="19"/>
          <w:color w:val="auto"/>
        </w:rPr>
        <w:t>” is hereby amended by deleting “2017 Replacement Term Loans” where it appears and replacing such term with “2018 Replacement Term Loans”.</w:t>
      </w:r>
    </w:p>
    <w:p>
      <w:pPr>
        <w:spacing w:after="0" w:line="135" w:lineRule="exact"/>
        <w:rPr>
          <w:rFonts w:ascii="Arial" w:cs="Arial" w:eastAsia="Arial" w:hAnsi="Arial"/>
          <w:sz w:val="19"/>
          <w:szCs w:val="19"/>
          <w:color w:val="auto"/>
        </w:rPr>
      </w:pPr>
    </w:p>
    <w:p>
      <w:pPr>
        <w:ind w:right="20" w:firstLine="1117"/>
        <w:spacing w:after="0" w:line="279" w:lineRule="auto"/>
        <w:tabs>
          <w:tab w:leader="none" w:pos="161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Pari Passu Notes</w:t>
      </w:r>
      <w:r>
        <w:rPr>
          <w:rFonts w:ascii="Arial" w:cs="Arial" w:eastAsia="Arial" w:hAnsi="Arial"/>
          <w:sz w:val="19"/>
          <w:szCs w:val="19"/>
          <w:color w:val="auto"/>
        </w:rPr>
        <w:t>” is hereby amended by deleting “2017 Replacement Term Loans” where it appears and replacing it with “2018 Replacement Term Loans”.</w:t>
      </w:r>
    </w:p>
    <w:p>
      <w:pPr>
        <w:spacing w:after="0" w:line="135" w:lineRule="exact"/>
        <w:rPr>
          <w:rFonts w:ascii="Arial" w:cs="Arial" w:eastAsia="Arial" w:hAnsi="Arial"/>
          <w:sz w:val="19"/>
          <w:szCs w:val="19"/>
          <w:color w:val="auto"/>
        </w:rPr>
      </w:pPr>
    </w:p>
    <w:p>
      <w:pPr>
        <w:ind w:right="20" w:firstLine="1117"/>
        <w:spacing w:after="0" w:line="279" w:lineRule="auto"/>
        <w:tabs>
          <w:tab w:leader="none" w:pos="161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Repricing Event</w:t>
      </w:r>
      <w:r>
        <w:rPr>
          <w:rFonts w:ascii="Arial" w:cs="Arial" w:eastAsia="Arial" w:hAnsi="Arial"/>
          <w:sz w:val="19"/>
          <w:szCs w:val="19"/>
          <w:color w:val="auto"/>
        </w:rPr>
        <w:t>” is hereby amended by deleting “2017 Replacement Term Loans” each place it appears and replacing it with “2018 Replacement Term Loans”.</w:t>
      </w:r>
    </w:p>
    <w:p>
      <w:pPr>
        <w:spacing w:after="0" w:line="135" w:lineRule="exact"/>
        <w:rPr>
          <w:rFonts w:ascii="Arial" w:cs="Arial" w:eastAsia="Arial" w:hAnsi="Arial"/>
          <w:sz w:val="19"/>
          <w:szCs w:val="19"/>
          <w:color w:val="auto"/>
        </w:rPr>
      </w:pPr>
    </w:p>
    <w:p>
      <w:pPr>
        <w:ind w:right="20" w:firstLine="1117"/>
        <w:spacing w:after="0" w:line="279" w:lineRule="auto"/>
        <w:tabs>
          <w:tab w:leader="none" w:pos="169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Term Loan</w:t>
      </w:r>
      <w:r>
        <w:rPr>
          <w:rFonts w:ascii="Arial" w:cs="Arial" w:eastAsia="Arial" w:hAnsi="Arial"/>
          <w:sz w:val="19"/>
          <w:szCs w:val="19"/>
          <w:color w:val="auto"/>
        </w:rPr>
        <w:t>” is hereby amended by deleting “2017 Replacement Term Loans” and replacing it with “2018 Replacement Term Loans”.</w:t>
      </w:r>
    </w:p>
    <w:p>
      <w:pPr>
        <w:spacing w:after="0" w:line="135" w:lineRule="exact"/>
        <w:rPr>
          <w:rFonts w:ascii="Arial" w:cs="Arial" w:eastAsia="Arial" w:hAnsi="Arial"/>
          <w:sz w:val="19"/>
          <w:szCs w:val="19"/>
          <w:color w:val="auto"/>
        </w:rPr>
      </w:pPr>
    </w:p>
    <w:p>
      <w:pPr>
        <w:ind w:left="1660" w:hanging="543"/>
        <w:spacing w:after="0"/>
        <w:tabs>
          <w:tab w:leader="none" w:pos="1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Term Loan Commitment</w:t>
      </w:r>
      <w:r>
        <w:rPr>
          <w:rFonts w:ascii="Arial" w:cs="Arial" w:eastAsia="Arial" w:hAnsi="Arial"/>
          <w:sz w:val="17"/>
          <w:szCs w:val="17"/>
          <w:color w:val="auto"/>
        </w:rPr>
        <w:t>” appearing in Section 1.01 of the Credit Agreement is hereby amended and restated in</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its entirety as follows:</w:t>
      </w:r>
    </w:p>
    <w:p>
      <w:pPr>
        <w:spacing w:after="0" w:line="186" w:lineRule="exact"/>
        <w:rPr>
          <w:sz w:val="20"/>
          <w:szCs w:val="20"/>
          <w:color w:val="auto"/>
        </w:rPr>
      </w:pPr>
    </w:p>
    <w:p>
      <w:pPr>
        <w:jc w:val="both"/>
        <w:ind w:left="1120" w:firstLine="562"/>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Commitment</w:t>
      </w:r>
      <w:r>
        <w:rPr>
          <w:rFonts w:ascii="Arial" w:cs="Arial" w:eastAsia="Arial" w:hAnsi="Arial"/>
          <w:sz w:val="17"/>
          <w:szCs w:val="17"/>
          <w:color w:val="auto"/>
        </w:rPr>
        <w:t>” shall mean the commitment of each Term Lender to make Term Loans hereunder and, in the case of the 2018 Replacement Term Loans, in an aggregate principal amount not to exceed the amount set forth under the heading “2018 Replacement Term Loans” opposite its name in the 2018 Replacement Term Loan Commitment Schedule or in the Assignment and Acceptance pursuant to which such Term Lender became a party hereto, as the same may be changed from time to time pursuant to the terms hereof. The aggregate amount of the Term Loan Commitments as of the Fourth Amendment Effective Date is $1,824,748,125.00. The Term Loan Commitments as of the Fourth Amendment Effective Date are for 2018 Replacement Term Loans.</w:t>
      </w:r>
    </w:p>
    <w:p>
      <w:pPr>
        <w:spacing w:after="0" w:line="138" w:lineRule="exact"/>
        <w:rPr>
          <w:sz w:val="20"/>
          <w:szCs w:val="20"/>
          <w:color w:val="auto"/>
        </w:rPr>
      </w:pPr>
    </w:p>
    <w:p>
      <w:pPr>
        <w:ind w:right="20" w:firstLine="1117"/>
        <w:spacing w:after="0" w:line="279" w:lineRule="auto"/>
        <w:tabs>
          <w:tab w:leader="none" w:pos="154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i w:val="1"/>
          <w:iCs w:val="1"/>
          <w:color w:val="auto"/>
        </w:rPr>
        <w:t>Term Loan Maturity Date</w:t>
      </w:r>
      <w:r>
        <w:rPr>
          <w:rFonts w:ascii="Arial" w:cs="Arial" w:eastAsia="Arial" w:hAnsi="Arial"/>
          <w:sz w:val="19"/>
          <w:szCs w:val="19"/>
          <w:color w:val="auto"/>
        </w:rPr>
        <w:t>” appearing in Section 1.01 of the Credit Agreement is hereby amended and restated in its entirety as follows:</w:t>
      </w:r>
    </w:p>
    <w:p>
      <w:pPr>
        <w:spacing w:after="0" w:line="135" w:lineRule="exact"/>
        <w:rPr>
          <w:sz w:val="20"/>
          <w:szCs w:val="20"/>
          <w:color w:val="auto"/>
        </w:rPr>
      </w:pPr>
    </w:p>
    <w:p>
      <w:pPr>
        <w:jc w:val="both"/>
        <w:ind w:left="1120" w:right="20"/>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Maturity Date</w:t>
      </w:r>
      <w:r>
        <w:rPr>
          <w:rFonts w:ascii="Arial" w:cs="Arial" w:eastAsia="Arial" w:hAnsi="Arial"/>
          <w:sz w:val="17"/>
          <w:szCs w:val="17"/>
          <w:color w:val="auto"/>
        </w:rPr>
        <w:t>” shall mean, with respect to (a) 2018 Replacement Term Loans that have not been extended pursuant to Section 2.28, June 27, 2025 and (b) with respect to Extended Term Loans, the final maturity date therefor as specified in the applicable Extension Offer accepted by the respective Term Lenders (as the same may be further extended pursuant to Section 2.28).</w:t>
      </w:r>
    </w:p>
    <w:p>
      <w:pPr>
        <w:spacing w:after="0" w:line="123" w:lineRule="exact"/>
        <w:rPr>
          <w:sz w:val="20"/>
          <w:szCs w:val="20"/>
          <w:color w:val="auto"/>
        </w:rPr>
      </w:pPr>
    </w:p>
    <w:p>
      <w:pPr>
        <w:ind w:left="1500" w:hanging="383"/>
        <w:spacing w:after="0"/>
        <w:tabs>
          <w:tab w:leader="none" w:pos="15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Section 2.01(b) is hereby amended and restated in its entirety as follows:</w:t>
      </w:r>
    </w:p>
    <w:p>
      <w:pPr>
        <w:spacing w:after="0" w:line="202" w:lineRule="exact"/>
        <w:rPr>
          <w:rFonts w:ascii="Arial" w:cs="Arial" w:eastAsia="Arial" w:hAnsi="Arial"/>
          <w:sz w:val="19"/>
          <w:szCs w:val="19"/>
          <w:color w:val="auto"/>
        </w:rPr>
      </w:pPr>
    </w:p>
    <w:p>
      <w:pPr>
        <w:jc w:val="both"/>
        <w:ind w:left="1120" w:firstLine="558"/>
        <w:spacing w:after="0" w:line="255" w:lineRule="auto"/>
        <w:tabs>
          <w:tab w:leader="none" w:pos="2157"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Term Loan Commitments</w:t>
      </w:r>
      <w:r>
        <w:rPr>
          <w:rFonts w:ascii="Arial" w:cs="Arial" w:eastAsia="Arial" w:hAnsi="Arial"/>
          <w:sz w:val="19"/>
          <w:szCs w:val="19"/>
          <w:color w:val="auto"/>
        </w:rPr>
        <w:t>. Each Replacement Term Lender has made the 2018 Replacement Term Loans pursuant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Fourth Amendment. The 2018 Replacement Term Loans shall constitute Term Loans for all purposes of this Agreement and shall be repaid in accordance with the provisions of this Agreement.</w:t>
      </w:r>
    </w:p>
    <w:p>
      <w:pPr>
        <w:spacing w:after="0" w:line="158" w:lineRule="exact"/>
        <w:rPr>
          <w:sz w:val="20"/>
          <w:szCs w:val="20"/>
          <w:color w:val="auto"/>
        </w:rPr>
      </w:pPr>
    </w:p>
    <w:p>
      <w:pPr>
        <w:ind w:left="1540" w:hanging="423"/>
        <w:spacing w:after="0"/>
        <w:tabs>
          <w:tab w:leader="none" w:pos="154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Section 2.10(b) is hereby amended and restated in its entirety as follows:</w:t>
      </w:r>
    </w:p>
    <w:p>
      <w:pPr>
        <w:spacing w:after="0" w:line="202" w:lineRule="exact"/>
        <w:rPr>
          <w:rFonts w:ascii="Arial" w:cs="Arial" w:eastAsia="Arial" w:hAnsi="Arial"/>
          <w:sz w:val="19"/>
          <w:szCs w:val="19"/>
          <w:color w:val="auto"/>
        </w:rPr>
      </w:pPr>
    </w:p>
    <w:p>
      <w:pPr>
        <w:ind w:left="1120" w:right="20" w:firstLine="558"/>
        <w:spacing w:after="0" w:line="266" w:lineRule="auto"/>
        <w:tabs>
          <w:tab w:leader="none" w:pos="2144"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principal amounts of the 2018 Replacement Term Loans shall be repaid in consecutive annual installments (each, an “</w:t>
      </w:r>
      <w:r>
        <w:rPr>
          <w:rFonts w:ascii="Arial" w:cs="Arial" w:eastAsia="Arial" w:hAnsi="Arial"/>
          <w:sz w:val="19"/>
          <w:szCs w:val="19"/>
          <w:i w:val="1"/>
          <w:iCs w:val="1"/>
          <w:color w:val="auto"/>
        </w:rPr>
        <w:t>Installment</w:t>
      </w:r>
      <w:r>
        <w:rPr>
          <w:rFonts w:ascii="Arial" w:cs="Arial" w:eastAsia="Arial" w:hAnsi="Arial"/>
          <w:sz w:val="19"/>
          <w:szCs w:val="19"/>
          <w:color w:val="auto"/>
        </w:rPr>
        <w:t>”) of 1.00% of the</w:t>
      </w:r>
    </w:p>
    <w:p>
      <w:pPr>
        <w:spacing w:after="0" w:line="358"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343" w:right="219" w:bottom="1440" w:gutter="0" w:footer="0" w:header="0"/>
        </w:sectPr>
      </w:pPr>
    </w:p>
    <w:bookmarkStart w:id="248" w:name="page249"/>
    <w:bookmarkEnd w:id="248"/>
    <w:p>
      <w:pPr>
        <w:jc w:val="both"/>
        <w:ind w:left="3"/>
        <w:spacing w:after="0" w:line="281" w:lineRule="auto"/>
        <w:rPr>
          <w:sz w:val="20"/>
          <w:szCs w:val="20"/>
          <w:color w:val="auto"/>
        </w:rPr>
      </w:pPr>
      <w:r>
        <w:rPr>
          <w:rFonts w:ascii="Arial" w:cs="Arial" w:eastAsia="Arial" w:hAnsi="Arial"/>
          <w:sz w:val="17"/>
          <w:szCs w:val="17"/>
          <w:color w:val="auto"/>
        </w:rPr>
        <w:t xml:space="preserve">sum of (i) the original aggregate principal amount of the Existing Term Loans as of the Fourth Amendment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original aggregate principal amount of any Incremental Term Loans of the same Class as the 2018 Replacement Term Loans from time to time after the Fourth Amendment Effective Date, on each anniversary of the Closing Date occurring prior to the Term Loan Maturity Date with respect to such 2018 Replacement Term Loans commencing on June 27, 2019. Notwithstanding the foregoing, (1) such Installments shall be reduced in connection with any mandatory or voluntary prepayments of the 2018 Replacement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41" w:lineRule="exact"/>
        <w:rPr>
          <w:sz w:val="20"/>
          <w:szCs w:val="20"/>
          <w:color w:val="auto"/>
        </w:rPr>
      </w:pPr>
    </w:p>
    <w:p>
      <w:pPr>
        <w:ind w:left="-1117" w:right="20" w:firstLine="1117"/>
        <w:spacing w:after="0" w:line="308" w:lineRule="auto"/>
        <w:tabs>
          <w:tab w:leader="none" w:pos="53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Section 2.13(a) is hereby amended by (A) deleting “2017 Replacement Term Loans” each place it appears and replacing it with “2018 Replacement Term Loans”, and (B) deleting “Second Amendment” each place it appears and replace it with “Fourth Amendment”.</w:t>
      </w:r>
    </w:p>
    <w:p>
      <w:pPr>
        <w:spacing w:after="0" w:line="112" w:lineRule="exact"/>
        <w:rPr>
          <w:rFonts w:ascii="Arial" w:cs="Arial" w:eastAsia="Arial" w:hAnsi="Arial"/>
          <w:sz w:val="18"/>
          <w:szCs w:val="18"/>
          <w:color w:val="auto"/>
        </w:rPr>
      </w:pPr>
    </w:p>
    <w:p>
      <w:pPr>
        <w:ind w:left="-1117" w:firstLine="1117"/>
        <w:spacing w:after="0" w:line="340" w:lineRule="auto"/>
        <w:tabs>
          <w:tab w:leader="none" w:pos="57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Section 2.13(d) is hereby amended by (A) deleting “2017 Replacement Term Loans” each place it appears and replacing it with “2018 Replacement Term Loans” and (B) deleting “Second Amendment Effective Date” and replacing it with “Fourth Amendment Effective Date”.</w:t>
      </w:r>
    </w:p>
    <w:p>
      <w:pPr>
        <w:spacing w:after="0" w:line="89" w:lineRule="exact"/>
        <w:rPr>
          <w:rFonts w:ascii="Arial" w:cs="Arial" w:eastAsia="Arial" w:hAnsi="Arial"/>
          <w:sz w:val="17"/>
          <w:szCs w:val="17"/>
          <w:color w:val="auto"/>
        </w:rPr>
      </w:pPr>
    </w:p>
    <w:p>
      <w:pPr>
        <w:ind w:left="-1117" w:firstLine="1117"/>
        <w:spacing w:after="0" w:line="279" w:lineRule="auto"/>
        <w:tabs>
          <w:tab w:leader="none" w:pos="53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Section 2.27(c) is hereby amended by deleting “2017 Replacement Term Loans” each place it appears and replacing it with “2018 Replacement Term Loans”.</w:t>
      </w:r>
    </w:p>
    <w:p>
      <w:pPr>
        <w:spacing w:after="0" w:line="135" w:lineRule="exact"/>
        <w:rPr>
          <w:sz w:val="20"/>
          <w:szCs w:val="20"/>
          <w:color w:val="auto"/>
        </w:rPr>
      </w:pPr>
    </w:p>
    <w:p>
      <w:pPr>
        <w:jc w:val="both"/>
        <w:ind w:left="-1117" w:firstLine="1117"/>
        <w:spacing w:after="0" w:line="306" w:lineRule="auto"/>
        <w:tabs>
          <w:tab w:leader="none" w:pos="39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 Subject to the satisfaction (or waiver) of the conditions set forth in Section Two hereof, the Replacement Term Lenders hereby agree to make 2018 Replacement Term Loans (as defined below) to the Borrower on the Fourth Amendment Effective Date (as defined below) in the aggregate principal amount of $1,824,748,125.00, which shall be used solely to refinance in full all outstanding Existing Term Loans.</w:t>
      </w:r>
    </w:p>
    <w:p>
      <w:pPr>
        <w:spacing w:after="0" w:line="118" w:lineRule="exact"/>
        <w:rPr>
          <w:sz w:val="20"/>
          <w:szCs w:val="20"/>
          <w:color w:val="auto"/>
        </w:rPr>
      </w:pPr>
    </w:p>
    <w:p>
      <w:pPr>
        <w:jc w:val="both"/>
        <w:ind w:left="-1117" w:firstLine="1117"/>
        <w:spacing w:after="0" w:line="289" w:lineRule="auto"/>
        <w:tabs>
          <w:tab w:leader="none" w:pos="37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As of the Fourth Amendment Effective Date, immediately prior to the effectiveness of the Fourth Amendment, the Administrative Agent has prepared and provided a true and correct copy to the Borrower of a schedule (the “</w:t>
      </w:r>
      <w:r>
        <w:rPr>
          <w:rFonts w:ascii="Arial" w:cs="Arial" w:eastAsia="Arial" w:hAnsi="Arial"/>
          <w:sz w:val="17"/>
          <w:szCs w:val="17"/>
          <w:u w:val="single" w:color="auto"/>
          <w:color w:val="auto"/>
        </w:rPr>
        <w:t>2018 Replacement Term Loan Commitments Schedule</w:t>
      </w:r>
      <w:r>
        <w:rPr>
          <w:rFonts w:ascii="Arial" w:cs="Arial" w:eastAsia="Arial" w:hAnsi="Arial"/>
          <w:sz w:val="17"/>
          <w:szCs w:val="17"/>
          <w:color w:val="auto"/>
        </w:rPr>
        <w:t>”) which sets forth the allocated commitments received by it (the “</w:t>
      </w:r>
      <w:r>
        <w:rPr>
          <w:rFonts w:ascii="Arial" w:cs="Arial" w:eastAsia="Arial" w:hAnsi="Arial"/>
          <w:sz w:val="17"/>
          <w:szCs w:val="17"/>
          <w:u w:val="single" w:color="auto"/>
          <w:color w:val="auto"/>
        </w:rPr>
        <w:t>2018 Replacement Term Loan Commitments</w:t>
      </w:r>
      <w:r>
        <w:rPr>
          <w:rFonts w:ascii="Arial" w:cs="Arial" w:eastAsia="Arial" w:hAnsi="Arial"/>
          <w:sz w:val="17"/>
          <w:szCs w:val="17"/>
          <w:color w:val="auto"/>
        </w:rPr>
        <w:t>”) from the Lenders providing the 2018 Replacement Term Loans. The Administrative Agent has notified each Replacement Term Lender of its allocated 2018 Replacement Term Loan Commitment. On the Fourth Amendment Effective Date, all Existing Term Loans shall be refinanced in full as follows:</w:t>
      </w:r>
    </w:p>
    <w:p>
      <w:pPr>
        <w:spacing w:after="0" w:line="133" w:lineRule="exact"/>
        <w:rPr>
          <w:rFonts w:ascii="Arial" w:cs="Arial" w:eastAsia="Arial" w:hAnsi="Arial"/>
          <w:sz w:val="17"/>
          <w:szCs w:val="17"/>
          <w:color w:val="auto"/>
        </w:rPr>
      </w:pPr>
    </w:p>
    <w:p>
      <w:pPr>
        <w:ind w:left="3" w:firstLine="558"/>
        <w:spacing w:after="0" w:line="266" w:lineRule="auto"/>
        <w:tabs>
          <w:tab w:leader="none" w:pos="119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the outstanding aggregate principal amount of Existing Term Loans of each Lender which does not have a 2018 Replacement Term Loan Commitment (each, a “</w:t>
      </w:r>
      <w:r>
        <w:rPr>
          <w:rFonts w:ascii="Arial" w:cs="Arial" w:eastAsia="Arial" w:hAnsi="Arial"/>
          <w:sz w:val="19"/>
          <w:szCs w:val="19"/>
          <w:u w:val="single" w:color="auto"/>
          <w:color w:val="auto"/>
        </w:rPr>
        <w:t>Non-Converting Term Lender</w:t>
      </w:r>
      <w:r>
        <w:rPr>
          <w:rFonts w:ascii="Arial" w:cs="Arial" w:eastAsia="Arial" w:hAnsi="Arial"/>
          <w:sz w:val="19"/>
          <w:szCs w:val="19"/>
          <w:color w:val="auto"/>
        </w:rPr>
        <w:t>”) shall be repaid in full in cash;</w:t>
      </w:r>
    </w:p>
    <w:p>
      <w:pPr>
        <w:spacing w:after="0" w:line="147" w:lineRule="exact"/>
        <w:rPr>
          <w:rFonts w:ascii="Arial" w:cs="Arial" w:eastAsia="Arial" w:hAnsi="Arial"/>
          <w:sz w:val="19"/>
          <w:szCs w:val="19"/>
          <w:color w:val="auto"/>
        </w:rPr>
      </w:pPr>
    </w:p>
    <w:p>
      <w:pPr>
        <w:jc w:val="both"/>
        <w:ind w:left="3" w:firstLine="558"/>
        <w:spacing w:after="0" w:line="255" w:lineRule="auto"/>
        <w:tabs>
          <w:tab w:leader="none" w:pos="1019"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to the extent any Lender has a 2018 Replacement Term Loan Commitment that is less than the full outstanding aggregate principal amount of Existing Term Loans of such Lender, such Lender shall be repaid in cash in an amount equal to the difference between the outstanding aggregate principal amount of</w:t>
      </w:r>
    </w:p>
    <w:p>
      <w:pPr>
        <w:spacing w:after="0" w:line="368" w:lineRule="exact"/>
        <w:rPr>
          <w:sz w:val="20"/>
          <w:szCs w:val="20"/>
          <w:color w:val="auto"/>
        </w:rPr>
      </w:pPr>
    </w:p>
    <w:p>
      <w:pPr>
        <w:ind w:left="2523"/>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323"/>
          </w:cols>
          <w:pgMar w:left="1357" w:top="343" w:right="219" w:bottom="1440" w:gutter="0" w:footer="0" w:header="0"/>
        </w:sectPr>
      </w:pPr>
    </w:p>
    <w:bookmarkStart w:id="249" w:name="page250"/>
    <w:bookmarkEnd w:id="249"/>
    <w:p>
      <w:pPr>
        <w:ind w:left="1126"/>
        <w:spacing w:after="0" w:line="266" w:lineRule="auto"/>
        <w:rPr>
          <w:sz w:val="20"/>
          <w:szCs w:val="20"/>
          <w:color w:val="auto"/>
        </w:rPr>
      </w:pPr>
      <w:r>
        <w:rPr>
          <w:rFonts w:ascii="Arial" w:cs="Arial" w:eastAsia="Arial" w:hAnsi="Arial"/>
          <w:sz w:val="19"/>
          <w:szCs w:val="19"/>
          <w:color w:val="auto"/>
        </w:rPr>
        <w:t>Existing Term Loans of such Lender and such Lender’s 2018 Replacement Term Loan Commitment (the “</w:t>
      </w:r>
      <w:r>
        <w:rPr>
          <w:rFonts w:ascii="Arial" w:cs="Arial" w:eastAsia="Arial" w:hAnsi="Arial"/>
          <w:sz w:val="19"/>
          <w:szCs w:val="19"/>
          <w:u w:val="single" w:color="auto"/>
          <w:color w:val="auto"/>
        </w:rPr>
        <w:t>Non-Converting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Portion</w:t>
      </w:r>
      <w:r>
        <w:rPr>
          <w:rFonts w:ascii="Arial" w:cs="Arial" w:eastAsia="Arial" w:hAnsi="Arial"/>
          <w:sz w:val="19"/>
          <w:szCs w:val="19"/>
          <w:color w:val="auto"/>
        </w:rPr>
        <w:t>”);</w:t>
      </w:r>
    </w:p>
    <w:p>
      <w:pPr>
        <w:spacing w:after="0" w:line="147" w:lineRule="exact"/>
        <w:rPr>
          <w:sz w:val="20"/>
          <w:szCs w:val="20"/>
          <w:color w:val="auto"/>
        </w:rPr>
      </w:pPr>
    </w:p>
    <w:p>
      <w:pPr>
        <w:jc w:val="both"/>
        <w:ind w:left="1126" w:firstLine="558"/>
        <w:spacing w:after="0" w:line="266" w:lineRule="auto"/>
        <w:tabs>
          <w:tab w:leader="none" w:pos="2151"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outstanding aggregate principal amount of Existing Term Loans of each Lender which has a 2018 Replacement Term Loan Commitment (each, a “</w:t>
      </w:r>
      <w:r>
        <w:rPr>
          <w:rFonts w:ascii="Arial" w:cs="Arial" w:eastAsia="Arial" w:hAnsi="Arial"/>
          <w:sz w:val="18"/>
          <w:szCs w:val="18"/>
          <w:u w:val="single" w:color="auto"/>
          <w:color w:val="auto"/>
        </w:rPr>
        <w:t>Converting Term Lender</w:t>
      </w:r>
      <w:r>
        <w:rPr>
          <w:rFonts w:ascii="Arial" w:cs="Arial" w:eastAsia="Arial" w:hAnsi="Arial"/>
          <w:sz w:val="18"/>
          <w:szCs w:val="18"/>
          <w:color w:val="auto"/>
        </w:rPr>
        <w:t>,” and, together with the Non-Converting Term Lenders, the “</w:t>
      </w:r>
      <w:r>
        <w:rPr>
          <w:rFonts w:ascii="Arial" w:cs="Arial" w:eastAsia="Arial" w:hAnsi="Arial"/>
          <w:sz w:val="18"/>
          <w:szCs w:val="18"/>
          <w:u w:val="single" w:color="auto"/>
          <w:color w:val="auto"/>
        </w:rPr>
        <w:t>Existing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shall automatically be converted into 2018 Replacement Term Loans (a “</w:t>
      </w:r>
      <w:r>
        <w:rPr>
          <w:rFonts w:ascii="Arial" w:cs="Arial" w:eastAsia="Arial" w:hAnsi="Arial"/>
          <w:sz w:val="18"/>
          <w:szCs w:val="18"/>
          <w:u w:val="single" w:color="auto"/>
          <w:color w:val="auto"/>
        </w:rPr>
        <w:t>Converted 2018 Replacement Term Loan</w:t>
      </w:r>
      <w:r>
        <w:rPr>
          <w:rFonts w:ascii="Arial" w:cs="Arial" w:eastAsia="Arial" w:hAnsi="Arial"/>
          <w:sz w:val="18"/>
          <w:szCs w:val="18"/>
          <w:color w:val="auto"/>
        </w:rPr>
        <w:t>”) in a principal amount equal to such Converting Term Lender’s Existing Term Loans outstanding on the Fourth Amendment Effective Date immediately prior to such conversion, less an amount equal to any Non-Converting Term Portion; and</w:t>
      </w:r>
    </w:p>
    <w:p>
      <w:pPr>
        <w:spacing w:after="0" w:line="151" w:lineRule="exact"/>
        <w:rPr>
          <w:rFonts w:ascii="Arial" w:cs="Arial" w:eastAsia="Arial" w:hAnsi="Arial"/>
          <w:sz w:val="18"/>
          <w:szCs w:val="18"/>
          <w:color w:val="auto"/>
        </w:rPr>
      </w:pPr>
    </w:p>
    <w:p>
      <w:pPr>
        <w:jc w:val="both"/>
        <w:ind w:left="1126" w:firstLine="558"/>
        <w:spacing w:after="0" w:line="247" w:lineRule="auto"/>
        <w:tabs>
          <w:tab w:leader="none" w:pos="2215" w:val="left"/>
        </w:tabs>
        <w:numPr>
          <w:ilvl w:val="2"/>
          <w:numId w:val="187"/>
        </w:numPr>
        <w:rPr>
          <w:rFonts w:ascii="Arial" w:cs="Arial" w:eastAsia="Arial" w:hAnsi="Arial"/>
          <w:sz w:val="19"/>
          <w:szCs w:val="19"/>
          <w:color w:val="auto"/>
        </w:rPr>
      </w:pPr>
      <w:r>
        <w:rPr>
          <w:rFonts w:ascii="Arial" w:cs="Arial" w:eastAsia="Arial" w:hAnsi="Arial"/>
          <w:sz w:val="19"/>
          <w:szCs w:val="19"/>
          <w:color w:val="auto"/>
        </w:rPr>
        <w:t>(1) each Replacement Term Lender that is not an Existing Term Lender (each, a “</w:t>
      </w:r>
      <w:r>
        <w:rPr>
          <w:rFonts w:ascii="Arial" w:cs="Arial" w:eastAsia="Arial" w:hAnsi="Arial"/>
          <w:sz w:val="19"/>
          <w:szCs w:val="19"/>
          <w:u w:val="single" w:color="auto"/>
          <w:color w:val="auto"/>
        </w:rPr>
        <w:t>New Term Lender</w:t>
      </w:r>
      <w:r>
        <w:rPr>
          <w:rFonts w:ascii="Arial" w:cs="Arial" w:eastAsia="Arial" w:hAnsi="Arial"/>
          <w:sz w:val="19"/>
          <w:szCs w:val="19"/>
          <w:color w:val="auto"/>
        </w:rPr>
        <w:t>”) and (2) each Converting Term Lender with a 2018 Replacement Term Loan Commitment in an amount in excess of the aggregate principal amount of Existing Term Loans of such Converting Term Lender (such difference, the “</w:t>
      </w:r>
      <w:r>
        <w:rPr>
          <w:rFonts w:ascii="Arial" w:cs="Arial" w:eastAsia="Arial" w:hAnsi="Arial"/>
          <w:sz w:val="19"/>
          <w:szCs w:val="19"/>
          <w:u w:val="single" w:color="auto"/>
          <w:color w:val="auto"/>
        </w:rPr>
        <w:t>New Term Commitment</w:t>
      </w:r>
      <w:r>
        <w:rPr>
          <w:rFonts w:ascii="Arial" w:cs="Arial" w:eastAsia="Arial" w:hAnsi="Arial"/>
          <w:sz w:val="19"/>
          <w:szCs w:val="19"/>
          <w:color w:val="auto"/>
        </w:rPr>
        <w:t>”), agrees to make to the Borrower a new Term Loan (each, a “</w:t>
      </w:r>
      <w:r>
        <w:rPr>
          <w:rFonts w:ascii="Arial" w:cs="Arial" w:eastAsia="Arial" w:hAnsi="Arial"/>
          <w:sz w:val="19"/>
          <w:szCs w:val="19"/>
          <w:u w:val="single" w:color="auto"/>
          <w:color w:val="auto"/>
        </w:rPr>
        <w:t>New Term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New Term Loans</w:t>
      </w:r>
      <w:r>
        <w:rPr>
          <w:rFonts w:ascii="Arial" w:cs="Arial" w:eastAsia="Arial" w:hAnsi="Arial"/>
          <w:sz w:val="19"/>
          <w:szCs w:val="19"/>
          <w:color w:val="auto"/>
        </w:rPr>
        <w:t>” and, together with the Converted 2018 Replacement Term Loans, the “</w:t>
      </w:r>
      <w:r>
        <w:rPr>
          <w:rFonts w:ascii="Arial" w:cs="Arial" w:eastAsia="Arial" w:hAnsi="Arial"/>
          <w:sz w:val="19"/>
          <w:szCs w:val="19"/>
          <w:u w:val="single" w:color="auto"/>
          <w:color w:val="auto"/>
        </w:rPr>
        <w:t>2018 Replacement Term Loans</w:t>
      </w:r>
      <w:r>
        <w:rPr>
          <w:rFonts w:ascii="Arial" w:cs="Arial" w:eastAsia="Arial" w:hAnsi="Arial"/>
          <w:sz w:val="19"/>
          <w:szCs w:val="19"/>
          <w:color w:val="auto"/>
        </w:rPr>
        <w:t>”) in a principal amount equal to such Converting Term Lender’s New Term Commitment or such New Term Lender’s 2018 Replacement Term Loan Commitment, as the case may be, on the Fourth Amendment Effective Date, which 2018 Replacement Term Loans shall be subject to the terms of the Credit Agreement after giving effect to this Fourth Amendment.</w:t>
      </w:r>
    </w:p>
    <w:p>
      <w:pPr>
        <w:spacing w:after="0" w:line="166" w:lineRule="exact"/>
        <w:rPr>
          <w:rFonts w:ascii="Arial" w:cs="Arial" w:eastAsia="Arial" w:hAnsi="Arial"/>
          <w:sz w:val="19"/>
          <w:szCs w:val="19"/>
          <w:color w:val="auto"/>
        </w:rPr>
      </w:pPr>
    </w:p>
    <w:p>
      <w:pPr>
        <w:jc w:val="both"/>
        <w:ind w:left="6" w:firstLine="1117"/>
        <w:spacing w:after="0" w:line="295" w:lineRule="auto"/>
        <w:tabs>
          <w:tab w:leader="none" w:pos="151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On the Fourth Amendment Effective Date, each Replacement Term Lender hereby agrees to fund its 2018 Replacement Term Loans in an aggregate principal amount equal to such Replacement Term Lender’s 2018 Replacement Term Loan Commitment as follows: (x) each Converting Term Lender shall fund its 2018 Replacement Term Loans to the Borrower by converting its then outstanding principal amount of Existing Term Loans into 2018 Replacement Term Loans in an equal principal amount as provided in clause (ii)(y) above, (y) (1) each Converting Term Lender with a New Term Commitment shall fund in cash an amount equal to its New Term Commitment to the Designated Replacement Term Lender and (2) each New Term Lender shall fund in cash an amount equal to its 2018 Replacement Term Loan Commitment to the Designated Replacement Term Lender, and</w:t>
      </w:r>
    </w:p>
    <w:p>
      <w:pPr>
        <w:spacing w:after="0" w:line="4" w:lineRule="exact"/>
        <w:rPr>
          <w:rFonts w:ascii="Arial" w:cs="Arial" w:eastAsia="Arial" w:hAnsi="Arial"/>
          <w:sz w:val="16"/>
          <w:szCs w:val="16"/>
          <w:color w:val="auto"/>
        </w:rPr>
      </w:pPr>
    </w:p>
    <w:p>
      <w:pPr>
        <w:ind w:left="6" w:hanging="6"/>
        <w:spacing w:after="0" w:line="248" w:lineRule="auto"/>
        <w:tabs>
          <w:tab w:leader="none" w:pos="275"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Designated Replacement Term Lender shall fund in cash to the Borrower an amount equal to the New Term Commitment of each Converting Term Lender and the 2018 Replacement Term Loan Commitment of each New Term Lender.</w:t>
      </w:r>
    </w:p>
    <w:p>
      <w:pPr>
        <w:spacing w:after="0" w:line="164" w:lineRule="exact"/>
        <w:rPr>
          <w:rFonts w:ascii="Arial" w:cs="Arial" w:eastAsia="Arial" w:hAnsi="Arial"/>
          <w:sz w:val="19"/>
          <w:szCs w:val="19"/>
          <w:color w:val="auto"/>
        </w:rPr>
      </w:pPr>
    </w:p>
    <w:p>
      <w:pPr>
        <w:jc w:val="both"/>
        <w:ind w:left="6" w:firstLine="1117"/>
        <w:spacing w:after="0" w:line="270" w:lineRule="auto"/>
        <w:tabs>
          <w:tab w:leader="none" w:pos="173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outstanding Borrowings of Existing Term Loans shall continue in effect for the equivalent principal amount of 2018 Replacement Term Loans after the Fourth Amendment Effective Date and each resulting “borrowing” of 2018 Replacement Term Loans shall be deemed to constitute a new deemed “borrowing” under the Credit Agreement and be subject to the same Interest Period (and the same LIBO Rate) applicable to the Existing Term Loans to which it relates immediately prior to the Fourth Amendment Effective Date, which Interest Period shall continue in effect (until such Interest Periods expire, at which time subsequent Interest Periods shall be</w:t>
      </w:r>
    </w:p>
    <w:p>
      <w:pPr>
        <w:spacing w:after="0" w:line="356" w:lineRule="exact"/>
        <w:rPr>
          <w:sz w:val="20"/>
          <w:szCs w:val="20"/>
          <w:color w:val="auto"/>
        </w:rPr>
      </w:pPr>
    </w:p>
    <w:p>
      <w:pPr>
        <w:ind w:left="3646"/>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6"/>
          </w:cols>
          <w:pgMar w:left="234" w:top="343" w:right="219" w:bottom="1440" w:gutter="0" w:footer="0" w:header="0"/>
        </w:sectPr>
      </w:pPr>
    </w:p>
    <w:bookmarkStart w:id="250" w:name="page251"/>
    <w:bookmarkEnd w:id="250"/>
    <w:p>
      <w:pPr>
        <w:jc w:val="both"/>
        <w:spacing w:after="0" w:line="262" w:lineRule="auto"/>
        <w:rPr>
          <w:sz w:val="20"/>
          <w:szCs w:val="20"/>
          <w:color w:val="auto"/>
        </w:rPr>
      </w:pPr>
      <w:r>
        <w:rPr>
          <w:rFonts w:ascii="Arial" w:cs="Arial" w:eastAsia="Arial" w:hAnsi="Arial"/>
          <w:sz w:val="18"/>
          <w:szCs w:val="18"/>
          <w:color w:val="auto"/>
        </w:rPr>
        <w:t>determined in accordance with the provisions of Section 2.05 of the Credit Agreement). New Term Loans shall be initially incurred as Eurodollar Loans and shall be allocated ratably to the outstanding deemed “borrowings” of 2018 Replacement Term Loans on the Fourth Amendment Effective Date. Each such Borrowing of New Term Loans shall be subject to (x) an Interest Period which commences on the Fourth Amendment Effective Date and ends on the last day of the Interest Period applicable to the Existing Term Loans and (y) the same LIBO Rate applicable to the 2018 Replacement Term Loans. The 2018 Replacement Term Loans of each Replacement Term Lender shall be allocated ratably to such Interest Periods (based upon the relative principal amounts of Borrowings of Existing Term Loans subject to such Interest Periods immediately prior to the Fourth Amendment Effective Date), with the effect being that Existing Term Loans which are converted into Converted 2018 Replacement Term Loans hereunder shall continue to be subject to the same Interest Periods and any 2018 Replacement Term Loans that are funded in cash on the Fourth Amendment Effective Date shall be ratably allocated to the various Interest Periods as described above.</w:t>
      </w:r>
    </w:p>
    <w:p>
      <w:pPr>
        <w:spacing w:after="0" w:line="154" w:lineRule="exact"/>
        <w:rPr>
          <w:sz w:val="20"/>
          <w:szCs w:val="20"/>
          <w:color w:val="auto"/>
        </w:rPr>
      </w:pPr>
    </w:p>
    <w:p>
      <w:pPr>
        <w:jc w:val="both"/>
        <w:ind w:firstLine="1117"/>
        <w:spacing w:after="0" w:line="284" w:lineRule="auto"/>
        <w:tabs>
          <w:tab w:leader="none" w:pos="163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On the Fourth Amendment Effective Date, the Borrower shall pay in cash (a) all interest accrued on the Existing Term Loans through the Fourth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Replacement Term Lenders prior to the Fourth Amendment Effective Date shall continue on and after the Fourth Amendment Effective Date and shall accrue interest in accordance with Section 2.07 of the Credit Agreement on and after the Fourth Amendment Effective Date). Each Converting Term Lender hereby waives any entitlement to any breakage loss or expenses due under Section 2.15 of the Credit Agreement with respect to the repayment of that portion of its Existing Term Loans with the proceeds of Converted 2018 Replacement Term Loans.</w:t>
      </w:r>
    </w:p>
    <w:p>
      <w:pPr>
        <w:spacing w:after="0" w:line="135" w:lineRule="exact"/>
        <w:rPr>
          <w:rFonts w:ascii="Arial" w:cs="Arial" w:eastAsia="Arial" w:hAnsi="Arial"/>
          <w:sz w:val="17"/>
          <w:szCs w:val="17"/>
          <w:color w:val="auto"/>
        </w:rPr>
      </w:pPr>
    </w:p>
    <w:p>
      <w:pPr>
        <w:jc w:val="both"/>
        <w:ind w:right="20" w:firstLine="1117"/>
        <w:spacing w:after="0" w:line="261" w:lineRule="auto"/>
        <w:tabs>
          <w:tab w:leader="none" w:pos="1521" w:val="left"/>
        </w:tabs>
        <w:numPr>
          <w:ilvl w:val="0"/>
          <w:numId w:val="190"/>
        </w:numPr>
        <w:rPr>
          <w:rFonts w:ascii="Arial" w:cs="Arial" w:eastAsia="Arial" w:hAnsi="Arial"/>
          <w:sz w:val="19"/>
          <w:szCs w:val="19"/>
          <w:color w:val="auto"/>
        </w:rPr>
      </w:pPr>
      <w:r>
        <w:rPr>
          <w:rFonts w:ascii="Arial" w:cs="Arial" w:eastAsia="Arial" w:hAnsi="Arial"/>
          <w:sz w:val="19"/>
          <w:szCs w:val="19"/>
          <w:color w:val="auto"/>
        </w:rPr>
        <w:t>On the Fourth Amendment Effective Date, all promissory notes, if any, evidencing the Existing Term Loans shall be automatically cancelled, and any Replacement Term Lender may request that its 2018 Replacement Term Loan be evidenced by a promissory pursuant to Section 2.10(f) of the Credit Agreement.</w:t>
      </w:r>
    </w:p>
    <w:p>
      <w:pPr>
        <w:spacing w:after="0" w:line="153" w:lineRule="exact"/>
        <w:rPr>
          <w:sz w:val="20"/>
          <w:szCs w:val="20"/>
          <w:color w:val="auto"/>
        </w:rPr>
      </w:pPr>
    </w:p>
    <w:p>
      <w:pPr>
        <w:ind w:firstLine="1123"/>
        <w:spacing w:after="0" w:line="294" w:lineRule="auto"/>
        <w:rPr>
          <w:sz w:val="20"/>
          <w:szCs w:val="20"/>
          <w:color w:val="auto"/>
        </w:rPr>
      </w:pPr>
      <w:r>
        <w:rPr>
          <w:rFonts w:ascii="Arial" w:cs="Arial" w:eastAsia="Arial" w:hAnsi="Arial"/>
          <w:sz w:val="18"/>
          <w:szCs w:val="18"/>
          <w:u w:val="single" w:color="auto"/>
          <w:color w:val="auto"/>
        </w:rPr>
        <w:t>SECTION TWO - Conditions to Effectiveness</w:t>
      </w:r>
      <w:r>
        <w:rPr>
          <w:rFonts w:ascii="Arial" w:cs="Arial" w:eastAsia="Arial" w:hAnsi="Arial"/>
          <w:sz w:val="18"/>
          <w:szCs w:val="18"/>
          <w:color w:val="auto"/>
        </w:rPr>
        <w:t>. The provisions of Section One of this Fourth Amendment shall become effective on the date (the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when each of the following conditions specified below shall have been satisfied:</w:t>
      </w:r>
    </w:p>
    <w:p>
      <w:pPr>
        <w:spacing w:after="0" w:line="125" w:lineRule="exact"/>
        <w:rPr>
          <w:sz w:val="20"/>
          <w:szCs w:val="20"/>
          <w:color w:val="auto"/>
        </w:rPr>
      </w:pPr>
    </w:p>
    <w:p>
      <w:pPr>
        <w:jc w:val="both"/>
        <w:ind w:firstLine="1117"/>
        <w:spacing w:after="0" w:line="306" w:lineRule="auto"/>
        <w:tabs>
          <w:tab w:leader="none" w:pos="151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Borrower, the Guarantor, the Administrative Agent, the Designated Replacement Term Lender, the Replacement Term Lenders and such other lenders constituting the Required Lenders shall have signed a counterpart hereof (whether the same or different counterparts) and shall have delivered the same to Milbank, Tweed, Hadley &amp; McCloy LLP, 28 Liberty Street, New York, NY 10005, attention: Dylan Scher;</w:t>
      </w:r>
    </w:p>
    <w:p>
      <w:pPr>
        <w:spacing w:after="0" w:line="117" w:lineRule="exact"/>
        <w:rPr>
          <w:rFonts w:ascii="Arial" w:cs="Arial" w:eastAsia="Arial" w:hAnsi="Arial"/>
          <w:sz w:val="17"/>
          <w:szCs w:val="17"/>
          <w:color w:val="auto"/>
        </w:rPr>
      </w:pPr>
    </w:p>
    <w:p>
      <w:pPr>
        <w:jc w:val="both"/>
        <w:ind w:right="20" w:firstLine="1117"/>
        <w:spacing w:after="0" w:line="261" w:lineRule="auto"/>
        <w:tabs>
          <w:tab w:leader="none" w:pos="152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all reasonable invoiced out-of-pocket expenses incurred by the Lenders and the Administrative Agent pursuant to Section 10.04 of the Credit Agreement (including the reasonable and documented fees, charges and disbursements of counsel) and all accrued and unpaid fees, owing and payable (including any fees agreed to in connection with this Fourth Amendment)</w:t>
      </w:r>
    </w:p>
    <w:p>
      <w:pPr>
        <w:spacing w:after="0" w:line="363"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343" w:right="219" w:bottom="1440" w:gutter="0" w:footer="0" w:header="0"/>
        </w:sectPr>
      </w:pPr>
    </w:p>
    <w:bookmarkStart w:id="251" w:name="page252"/>
    <w:bookmarkEnd w:id="251"/>
    <w:p>
      <w:pPr>
        <w:ind w:left="6" w:right="20"/>
        <w:spacing w:after="0" w:line="266" w:lineRule="auto"/>
        <w:rPr>
          <w:sz w:val="20"/>
          <w:szCs w:val="20"/>
          <w:color w:val="auto"/>
        </w:rPr>
      </w:pPr>
      <w:r>
        <w:rPr>
          <w:rFonts w:ascii="Arial" w:cs="Arial" w:eastAsia="Arial" w:hAnsi="Arial"/>
          <w:sz w:val="19"/>
          <w:szCs w:val="19"/>
          <w:color w:val="auto"/>
        </w:rPr>
        <w:t>shall have been paid to the extent invoiced at least two (2) Business Days prior to the Fourth Amendment Effective Date (or such shorter period as may be agreed by the Borrower);</w:t>
      </w:r>
    </w:p>
    <w:p>
      <w:pPr>
        <w:spacing w:after="0" w:line="147" w:lineRule="exact"/>
        <w:rPr>
          <w:sz w:val="20"/>
          <w:szCs w:val="20"/>
          <w:color w:val="auto"/>
        </w:rPr>
      </w:pPr>
    </w:p>
    <w:p>
      <w:pPr>
        <w:ind w:left="6" w:right="20" w:firstLine="1117"/>
        <w:spacing w:after="0" w:line="279" w:lineRule="auto"/>
        <w:tabs>
          <w:tab w:leader="none" w:pos="15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Administrative Agent shall have received an Officer’s Certificate certifying as to the Collateral Coverage Ratio in accordance with Section 4.02(d) of the Credit Agreement;</w:t>
      </w:r>
    </w:p>
    <w:p>
      <w:pPr>
        <w:spacing w:after="0" w:line="135" w:lineRule="exact"/>
        <w:rPr>
          <w:rFonts w:ascii="Arial" w:cs="Arial" w:eastAsia="Arial" w:hAnsi="Arial"/>
          <w:sz w:val="19"/>
          <w:szCs w:val="19"/>
          <w:color w:val="auto"/>
        </w:rPr>
      </w:pPr>
    </w:p>
    <w:p>
      <w:pPr>
        <w:jc w:val="both"/>
        <w:ind w:left="6" w:right="20" w:firstLine="1117"/>
        <w:spacing w:after="0" w:line="261" w:lineRule="auto"/>
        <w:tabs>
          <w:tab w:leader="none" w:pos="160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Administrative Agent shall have received a customary written opinion of Latham &amp; Watkins LLP, special counsel for the Borrower and the Guarantor addressed to the Administrative Agent and the Replacement Term Lenders party hereto, and dated the Fourth Amendment Effective Date;</w:t>
      </w:r>
    </w:p>
    <w:p>
      <w:pPr>
        <w:spacing w:after="0" w:line="152" w:lineRule="exact"/>
        <w:rPr>
          <w:rFonts w:ascii="Arial" w:cs="Arial" w:eastAsia="Arial" w:hAnsi="Arial"/>
          <w:sz w:val="19"/>
          <w:szCs w:val="19"/>
          <w:color w:val="auto"/>
        </w:rPr>
      </w:pPr>
    </w:p>
    <w:p>
      <w:pPr>
        <w:jc w:val="both"/>
        <w:ind w:left="6" w:firstLine="1117"/>
        <w:spacing w:after="0" w:line="277" w:lineRule="auto"/>
        <w:tabs>
          <w:tab w:leader="none" w:pos="152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7"/>
          <w:szCs w:val="17"/>
          <w:u w:val="single" w:color="auto"/>
          <w:color w:val="auto"/>
        </w:rPr>
        <w:t>clause (e)</w:t>
      </w:r>
      <w:r>
        <w:rPr>
          <w:rFonts w:ascii="Arial" w:cs="Arial" w:eastAsia="Arial" w:hAnsi="Arial"/>
          <w:sz w:val="17"/>
          <w:szCs w:val="17"/>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w:t>
      </w:r>
    </w:p>
    <w:p>
      <w:pPr>
        <w:spacing w:after="0" w:line="4" w:lineRule="exact"/>
        <w:rPr>
          <w:rFonts w:ascii="Arial" w:cs="Arial" w:eastAsia="Arial" w:hAnsi="Arial"/>
          <w:sz w:val="17"/>
          <w:szCs w:val="17"/>
          <w:color w:val="auto"/>
        </w:rPr>
      </w:pPr>
    </w:p>
    <w:p>
      <w:pPr>
        <w:ind w:left="6" w:right="20" w:hanging="6"/>
        <w:spacing w:after="0" w:line="248" w:lineRule="auto"/>
        <w:tabs>
          <w:tab w:leader="none" w:pos="33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64" w:lineRule="exact"/>
        <w:rPr>
          <w:rFonts w:ascii="Arial" w:cs="Arial" w:eastAsia="Arial" w:hAnsi="Arial"/>
          <w:sz w:val="19"/>
          <w:szCs w:val="19"/>
          <w:color w:val="auto"/>
        </w:rPr>
      </w:pPr>
    </w:p>
    <w:p>
      <w:pPr>
        <w:jc w:val="both"/>
        <w:ind w:left="6" w:firstLine="1117"/>
        <w:spacing w:after="0" w:line="279" w:lineRule="auto"/>
        <w:tabs>
          <w:tab w:leader="none" w:pos="1624"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purposes of this clause (f),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 ended March 31, 2018, and (B) as to</w:t>
      </w:r>
    </w:p>
    <w:p>
      <w:pPr>
        <w:spacing w:after="0" w:line="350" w:lineRule="exact"/>
        <w:rPr>
          <w:sz w:val="20"/>
          <w:szCs w:val="20"/>
          <w:color w:val="auto"/>
        </w:rPr>
      </w:pPr>
    </w:p>
    <w:p>
      <w:pPr>
        <w:ind w:left="3646"/>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6"/>
          </w:cols>
          <w:pgMar w:left="234" w:top="343" w:right="219" w:bottom="1440" w:gutter="0" w:footer="0" w:header="0"/>
        </w:sectPr>
      </w:pPr>
    </w:p>
    <w:bookmarkStart w:id="252" w:name="page253"/>
    <w:bookmarkEnd w:id="252"/>
    <w:p>
      <w:pPr>
        <w:spacing w:after="0" w:line="266" w:lineRule="auto"/>
        <w:rPr>
          <w:sz w:val="20"/>
          <w:szCs w:val="20"/>
          <w:color w:val="auto"/>
        </w:rPr>
      </w:pPr>
      <w:r>
        <w:rPr>
          <w:rFonts w:ascii="Arial" w:cs="Arial" w:eastAsia="Arial" w:hAnsi="Arial"/>
          <w:sz w:val="19"/>
          <w:szCs w:val="19"/>
          <w:color w:val="auto"/>
        </w:rPr>
        <w:t>the absence of any event occurring and continuing, or resulting from this Fourth Amendment on, the Fourth Amendment Effective Date, that constitutes a Default or Event of Default; and</w:t>
      </w:r>
    </w:p>
    <w:p>
      <w:pPr>
        <w:spacing w:after="0" w:line="147" w:lineRule="exact"/>
        <w:rPr>
          <w:sz w:val="20"/>
          <w:szCs w:val="20"/>
          <w:color w:val="auto"/>
        </w:rPr>
      </w:pPr>
    </w:p>
    <w:p>
      <w:pPr>
        <w:jc w:val="both"/>
        <w:ind w:right="20" w:firstLine="1117"/>
        <w:spacing w:after="0" w:line="261" w:lineRule="auto"/>
        <w:tabs>
          <w:tab w:leader="none" w:pos="149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Administrative Agent shall have received a Loan Request delivered in compliance with Section 2.03(b) of the Credit Agreement not later than 1:00 p.m. New York City time one (1) Business Day before the Fourth Amendment Effective Date or such shorter time as the Administrative Agent may agree.</w:t>
      </w:r>
    </w:p>
    <w:p>
      <w:pPr>
        <w:spacing w:after="0" w:line="153" w:lineRule="exact"/>
        <w:rPr>
          <w:sz w:val="20"/>
          <w:szCs w:val="20"/>
          <w:color w:val="auto"/>
        </w:rPr>
      </w:pPr>
    </w:p>
    <w:p>
      <w:pPr>
        <w:jc w:val="both"/>
        <w:ind w:firstLine="1123"/>
        <w:spacing w:after="0" w:line="276" w:lineRule="auto"/>
        <w:rPr>
          <w:sz w:val="20"/>
          <w:szCs w:val="20"/>
          <w:color w:val="auto"/>
        </w:rPr>
      </w:pPr>
      <w:r>
        <w:rPr>
          <w:rFonts w:ascii="Arial" w:cs="Arial" w:eastAsia="Arial" w:hAnsi="Arial"/>
          <w:sz w:val="17"/>
          <w:szCs w:val="17"/>
          <w:u w:val="single" w:color="auto"/>
          <w:color w:val="auto"/>
        </w:rPr>
        <w:t>SECTION THREE - No Default; Representations and Warranties</w:t>
      </w:r>
      <w:r>
        <w:rPr>
          <w:rFonts w:ascii="Arial" w:cs="Arial" w:eastAsia="Arial" w:hAnsi="Arial"/>
          <w:sz w:val="17"/>
          <w:szCs w:val="17"/>
          <w:color w:val="auto"/>
        </w:rPr>
        <w:t xml:space="preserve">. In order to induce the Replacement Term Lenders and the Administrative Agent to enter into this Fourth Amendment, the Borrower represents and warrants to each of the Replacement Term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purposes of this Section Five,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 ended March 31, 2018.</w:t>
      </w:r>
    </w:p>
    <w:p>
      <w:pPr>
        <w:spacing w:after="0" w:line="149" w:lineRule="exact"/>
        <w:rPr>
          <w:sz w:val="20"/>
          <w:szCs w:val="20"/>
          <w:color w:val="auto"/>
        </w:rPr>
      </w:pPr>
    </w:p>
    <w:p>
      <w:pPr>
        <w:jc w:val="both"/>
        <w:ind w:firstLine="1123"/>
        <w:spacing w:after="0" w:line="247" w:lineRule="auto"/>
        <w:rPr>
          <w:sz w:val="20"/>
          <w:szCs w:val="20"/>
          <w:color w:val="auto"/>
        </w:rPr>
      </w:pPr>
      <w:r>
        <w:rPr>
          <w:rFonts w:ascii="Arial" w:cs="Arial" w:eastAsia="Arial" w:hAnsi="Arial"/>
          <w:sz w:val="19"/>
          <w:szCs w:val="19"/>
          <w:u w:val="single" w:color="auto"/>
          <w:color w:val="auto"/>
        </w:rPr>
        <w:t>SECTION FOUR - Confirmation</w:t>
      </w:r>
      <w:r>
        <w:rPr>
          <w:rFonts w:ascii="Arial" w:cs="Arial" w:eastAsia="Arial" w:hAnsi="Arial"/>
          <w:sz w:val="19"/>
          <w:szCs w:val="19"/>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2018 Replacement Term Loans (after giving effect to this Fourth Amendment) and all obligations of the Guarantor with respect to the guarantee of such obligations, respectively, and (ii) reaffirm the grant of Liens on the Collateral to secure the Obligations (including the Obligations under the 2018 Replacement Term Loans incurred pursuant to this Fourth Amendment) pursuant to the Collateral Documents.</w:t>
      </w:r>
    </w:p>
    <w:p>
      <w:pPr>
        <w:spacing w:after="0" w:line="169" w:lineRule="exact"/>
        <w:rPr>
          <w:sz w:val="20"/>
          <w:szCs w:val="20"/>
          <w:color w:val="auto"/>
        </w:rPr>
      </w:pPr>
    </w:p>
    <w:p>
      <w:pPr>
        <w:jc w:val="both"/>
        <w:ind w:firstLine="1123"/>
        <w:spacing w:after="0" w:line="326" w:lineRule="auto"/>
        <w:rPr>
          <w:sz w:val="20"/>
          <w:szCs w:val="20"/>
          <w:color w:val="auto"/>
        </w:rPr>
      </w:pPr>
      <w:r>
        <w:rPr>
          <w:rFonts w:ascii="Arial" w:cs="Arial" w:eastAsia="Arial" w:hAnsi="Arial"/>
          <w:sz w:val="17"/>
          <w:szCs w:val="17"/>
          <w:u w:val="single" w:color="auto"/>
          <w:color w:val="auto"/>
        </w:rPr>
        <w:t>SECTION FIVE - Reference to and Effect on the Credit Agreement</w:t>
      </w:r>
      <w:r>
        <w:rPr>
          <w:rFonts w:ascii="Arial" w:cs="Arial" w:eastAsia="Arial" w:hAnsi="Arial"/>
          <w:sz w:val="17"/>
          <w:szCs w:val="17"/>
          <w:color w:val="auto"/>
        </w:rPr>
        <w:t>. On and after the Fourth Amendment Effective Date, each reference in the Credit Agreement to “this Agreement,” “hereunder,” “hereof” or words of like import referring to the Credit Agreement, shall mean and</w:t>
      </w:r>
    </w:p>
    <w:p>
      <w:pPr>
        <w:spacing w:after="0" w:line="311"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40"/>
          </w:cols>
          <w:pgMar w:left="240" w:top="343" w:right="219" w:bottom="1440" w:gutter="0" w:footer="0" w:header="0"/>
        </w:sectPr>
      </w:pPr>
    </w:p>
    <w:bookmarkStart w:id="253" w:name="page254"/>
    <w:bookmarkEnd w:id="253"/>
    <w:p>
      <w:pPr>
        <w:jc w:val="both"/>
        <w:spacing w:after="0" w:line="248" w:lineRule="auto"/>
        <w:rPr>
          <w:sz w:val="20"/>
          <w:szCs w:val="20"/>
          <w:color w:val="auto"/>
        </w:rPr>
      </w:pPr>
      <w:r>
        <w:rPr>
          <w:rFonts w:ascii="Arial" w:cs="Arial" w:eastAsia="Arial" w:hAnsi="Arial"/>
          <w:sz w:val="19"/>
          <w:szCs w:val="19"/>
          <w:color w:val="auto"/>
        </w:rPr>
        <w:t>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66" w:lineRule="exact"/>
        <w:rPr>
          <w:sz w:val="20"/>
          <w:szCs w:val="20"/>
          <w:color w:val="auto"/>
        </w:rPr>
      </w:pPr>
    </w:p>
    <w:p>
      <w:pPr>
        <w:jc w:val="both"/>
        <w:ind w:firstLine="1123"/>
        <w:spacing w:after="0" w:line="249" w:lineRule="auto"/>
        <w:rPr>
          <w:sz w:val="20"/>
          <w:szCs w:val="20"/>
          <w:color w:val="auto"/>
        </w:rPr>
      </w:pPr>
      <w:r>
        <w:rPr>
          <w:rFonts w:ascii="Arial" w:cs="Arial" w:eastAsia="Arial" w:hAnsi="Arial"/>
          <w:sz w:val="19"/>
          <w:szCs w:val="19"/>
          <w:u w:val="single" w:color="auto"/>
          <w:color w:val="auto"/>
        </w:rPr>
        <w:t>SECTION SIX - Execution in Counterparts</w:t>
      </w:r>
      <w:r>
        <w:rPr>
          <w:rFonts w:ascii="Arial" w:cs="Arial" w:eastAsia="Arial" w:hAnsi="Arial"/>
          <w:sz w:val="19"/>
          <w:szCs w:val="19"/>
          <w:color w:val="auto"/>
        </w:rPr>
        <w:t>.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.pdf copy shall be effective as delivery of a manually executed counterpart of this Fourth Amendment.</w:t>
      </w:r>
    </w:p>
    <w:p>
      <w:pPr>
        <w:spacing w:after="0" w:line="165" w:lineRule="exact"/>
        <w:rPr>
          <w:sz w:val="20"/>
          <w:szCs w:val="20"/>
          <w:color w:val="auto"/>
        </w:rPr>
      </w:pPr>
    </w:p>
    <w:p>
      <w:pPr>
        <w:jc w:val="both"/>
        <w:ind w:firstLine="1123"/>
        <w:spacing w:after="0" w:line="255" w:lineRule="auto"/>
        <w:rPr>
          <w:sz w:val="20"/>
          <w:szCs w:val="20"/>
          <w:color w:val="auto"/>
        </w:rPr>
      </w:pPr>
      <w:r>
        <w:rPr>
          <w:rFonts w:ascii="Arial" w:cs="Arial" w:eastAsia="Arial" w:hAnsi="Arial"/>
          <w:sz w:val="19"/>
          <w:szCs w:val="19"/>
          <w:u w:val="single" w:color="auto"/>
          <w:color w:val="auto"/>
        </w:rPr>
        <w:t>SECTION SEVEN - Governing Law</w:t>
      </w:r>
      <w:r>
        <w:rPr>
          <w:rFonts w:ascii="Arial" w:cs="Arial" w:eastAsia="Arial" w:hAnsi="Arial"/>
          <w:sz w:val="19"/>
          <w:szCs w:val="19"/>
          <w:color w:val="auto"/>
        </w:rPr>
        <w:t>. THIS FOURTH AMENDMENT AND THE RIGHTS AND OBLIGATIONS OF THE PARTIES UNDER THIS FOURTH AMENDMENT SHALL BE GOVERNED BY, AND CONSTRUED AND INTERPRETED IN ACCORDANCE WITH, THE LAWS OF THE STATE OF NEW YORK.</w:t>
      </w:r>
    </w:p>
    <w:p>
      <w:pPr>
        <w:spacing w:after="0" w:line="158" w:lineRule="exact"/>
        <w:rPr>
          <w:sz w:val="20"/>
          <w:szCs w:val="20"/>
          <w:color w:val="auto"/>
        </w:rPr>
      </w:pPr>
    </w:p>
    <w:p>
      <w:pPr>
        <w:jc w:val="both"/>
        <w:ind w:right="20" w:firstLine="1123"/>
        <w:spacing w:after="0" w:line="255" w:lineRule="auto"/>
        <w:rPr>
          <w:sz w:val="20"/>
          <w:szCs w:val="20"/>
          <w:color w:val="auto"/>
        </w:rPr>
      </w:pPr>
      <w:r>
        <w:rPr>
          <w:rFonts w:ascii="Arial" w:cs="Arial" w:eastAsia="Arial" w:hAnsi="Arial"/>
          <w:sz w:val="19"/>
          <w:szCs w:val="19"/>
          <w:u w:val="single" w:color="auto"/>
          <w:color w:val="auto"/>
        </w:rPr>
        <w:t>SECTION EIGHT - Miscellaneous</w:t>
      </w:r>
      <w:r>
        <w:rPr>
          <w:rFonts w:ascii="Arial" w:cs="Arial" w:eastAsia="Arial" w:hAnsi="Arial"/>
          <w:sz w:val="19"/>
          <w:szCs w:val="19"/>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58" w:lineRule="exact"/>
        <w:rPr>
          <w:sz w:val="20"/>
          <w:szCs w:val="20"/>
          <w:color w:val="auto"/>
        </w:rPr>
      </w:pPr>
    </w:p>
    <w:p>
      <w:pPr>
        <w:jc w:val="both"/>
        <w:ind w:firstLine="555"/>
        <w:spacing w:after="0" w:line="276" w:lineRule="auto"/>
        <w:tabs>
          <w:tab w:leader="none" w:pos="8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Fourth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40"/>
          </w:cols>
          <w:pgMar w:left="240" w:top="343" w:right="219" w:bottom="1440" w:gutter="0" w:footer="0" w:header="0"/>
        </w:sectPr>
      </w:pPr>
    </w:p>
    <w:bookmarkStart w:id="254" w:name="page255"/>
    <w:bookmarkEnd w:id="254"/>
    <w:p>
      <w:pPr>
        <w:ind w:firstLine="1123"/>
        <w:spacing w:after="0" w:line="266" w:lineRule="auto"/>
        <w:rPr>
          <w:sz w:val="20"/>
          <w:szCs w:val="20"/>
          <w:color w:val="auto"/>
        </w:rPr>
      </w:pPr>
      <w:r>
        <w:rPr>
          <w:rFonts w:ascii="Arial" w:cs="Arial" w:eastAsia="Arial" w:hAnsi="Arial"/>
          <w:sz w:val="19"/>
          <w:szCs w:val="19"/>
          <w:color w:val="auto"/>
        </w:rPr>
        <w:t>IN WITNESS WHEREOF, the parties hereto have caused this Fourth Amendment to be duly executed and delivered as of the day and year first above written.</w:t>
      </w:r>
    </w:p>
    <w:p>
      <w:pPr>
        <w:spacing w:after="0" w:line="147"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AMERICAN AIRLINES, INC., as the Borrower</w:t>
      </w:r>
    </w:p>
    <w:p>
      <w:pPr>
        <w:spacing w:after="0" w:line="378"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102489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1024890" cy="7620"/>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9"/>
          <w:szCs w:val="19"/>
          <w:color w:val="auto"/>
        </w:rPr>
        <w:t>Name: Thomas T. Weir</w:t>
      </w:r>
    </w:p>
    <w:p>
      <w:pPr>
        <w:spacing w:after="0" w:line="4"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Title: Vice President and Treasurer</w:t>
      </w: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AMERICAN AIRLINES GROUP INC., as Parent and Guarantor</w:t>
      </w:r>
    </w:p>
    <w:p>
      <w:pPr>
        <w:spacing w:after="0" w:line="378"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102489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1024890" cy="762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9"/>
          <w:szCs w:val="19"/>
          <w:color w:val="auto"/>
        </w:rPr>
        <w:t>Name: Thomas T. Weir</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 Vice President and Treasurer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[Fourth Amendment to Credit and Guaranty Agreement]</w:t>
      </w:r>
    </w:p>
    <w:p>
      <w:pPr>
        <w:sectPr>
          <w:pgSz w:w="11900" w:h="16838" w:orient="portrait"/>
          <w:cols w:equalWidth="0" w:num="1">
            <w:col w:w="11440"/>
          </w:cols>
          <w:pgMar w:left="240" w:top="565" w:right="219" w:bottom="1440" w:gutter="0" w:footer="0" w:header="0"/>
        </w:sectPr>
      </w:pPr>
    </w:p>
    <w:bookmarkStart w:id="255" w:name="page256"/>
    <w:bookmarkEnd w:id="255"/>
    <w:p>
      <w:pPr>
        <w:ind w:left="2160"/>
        <w:spacing w:after="0"/>
        <w:rPr>
          <w:sz w:val="20"/>
          <w:szCs w:val="20"/>
          <w:color w:val="auto"/>
        </w:rPr>
      </w:pPr>
      <w:r>
        <w:rPr>
          <w:rFonts w:ascii="Arial" w:cs="Arial" w:eastAsia="Arial" w:hAnsi="Arial"/>
          <w:sz w:val="18"/>
          <w:szCs w:val="18"/>
          <w:color w:val="auto"/>
        </w:rPr>
        <w:t>DEUTSCHE BANK AG NEW YORK BRANCH, as Administrative Agent</w:t>
      </w:r>
    </w:p>
    <w:p>
      <w:pPr>
        <w:spacing w:after="0" w:line="390"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By: /s/ Alicia Schug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-14605</wp:posOffset>
            </wp:positionV>
            <wp:extent cx="87820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878205" cy="7620"/>
                    </a:xfrm>
                    <a:prstGeom prst="rect">
                      <a:avLst/>
                    </a:prstGeom>
                    <a:noFill/>
                  </pic:spPr>
                </pic:pic>
              </a:graphicData>
            </a:graphic>
          </wp:anchor>
        </w:drawing>
      </w:r>
    </w:p>
    <w:p>
      <w:pPr>
        <w:ind w:left="2520"/>
        <w:spacing w:after="0"/>
        <w:rPr>
          <w:sz w:val="20"/>
          <w:szCs w:val="20"/>
          <w:color w:val="auto"/>
        </w:rPr>
      </w:pPr>
      <w:r>
        <w:rPr>
          <w:rFonts w:ascii="Arial" w:cs="Arial" w:eastAsia="Arial" w:hAnsi="Arial"/>
          <w:sz w:val="19"/>
          <w:szCs w:val="19"/>
          <w:color w:val="auto"/>
        </w:rPr>
        <w:t>Name: Alicia Schug</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19"/>
          <w:szCs w:val="19"/>
          <w:color w:val="auto"/>
        </w:rPr>
        <w:t>Title: Vice President</w:t>
      </w:r>
    </w:p>
    <w:p>
      <w:pPr>
        <w:spacing w:after="0" w:line="210"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By: /s/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-14605</wp:posOffset>
            </wp:positionV>
            <wp:extent cx="112649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9"/>
          <w:szCs w:val="19"/>
          <w:color w:val="auto"/>
        </w:rPr>
        <w:t>Name: Marguerite Sutton</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[Fourth Amendment to Credit and Guaranty Agreement]</w:t>
      </w:r>
    </w:p>
    <w:p>
      <w:pPr>
        <w:sectPr>
          <w:pgSz w:w="11900" w:h="16838" w:orient="portrait"/>
          <w:cols w:equalWidth="0" w:num="1">
            <w:col w:w="9019"/>
          </w:cols>
          <w:pgMar w:left="1440" w:top="787" w:right="1440" w:bottom="1440" w:gutter="0" w:footer="0" w:header="0"/>
        </w:sectPr>
      </w:pPr>
    </w:p>
    <w:bookmarkStart w:id="256" w:name="page257"/>
    <w:bookmarkEnd w:id="256"/>
    <w:p>
      <w:pPr>
        <w:ind w:left="2160"/>
        <w:spacing w:after="0"/>
        <w:rPr>
          <w:sz w:val="20"/>
          <w:szCs w:val="20"/>
          <w:color w:val="auto"/>
        </w:rPr>
      </w:pPr>
      <w:r>
        <w:rPr>
          <w:rFonts w:ascii="Arial" w:cs="Arial" w:eastAsia="Arial" w:hAnsi="Arial"/>
          <w:sz w:val="19"/>
          <w:szCs w:val="19"/>
          <w:color w:val="auto"/>
        </w:rPr>
        <w:t>BARCLAYS BANK PLC,</w:t>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as the Designated Replacement Term Lender</w:t>
      </w:r>
    </w:p>
    <w:p>
      <w:pPr>
        <w:spacing w:after="0" w:line="362" w:lineRule="exact"/>
        <w:rPr>
          <w:sz w:val="20"/>
          <w:szCs w:val="20"/>
          <w:color w:val="auto"/>
        </w:rPr>
      </w:pPr>
    </w:p>
    <w:p>
      <w:pPr>
        <w:ind w:left="2160"/>
        <w:spacing w:after="0"/>
        <w:tabs>
          <w:tab w:leader="none" w:pos="26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-14605</wp:posOffset>
            </wp:positionV>
            <wp:extent cx="89789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897890" cy="7620"/>
                    </a:xfrm>
                    <a:prstGeom prst="rect">
                      <a:avLst/>
                    </a:prstGeom>
                    <a:noFill/>
                  </pic:spPr>
                </pic:pic>
              </a:graphicData>
            </a:graphic>
          </wp:anchor>
        </w:drawing>
      </w:r>
    </w:p>
    <w:p>
      <w:pPr>
        <w:ind w:left="2720"/>
        <w:spacing w:after="0"/>
        <w:rPr>
          <w:sz w:val="20"/>
          <w:szCs w:val="20"/>
          <w:color w:val="auto"/>
        </w:rPr>
      </w:pPr>
      <w:r>
        <w:rPr>
          <w:rFonts w:ascii="Arial" w:cs="Arial" w:eastAsia="Arial" w:hAnsi="Arial"/>
          <w:sz w:val="19"/>
          <w:szCs w:val="19"/>
          <w:color w:val="auto"/>
        </w:rPr>
        <w:t>Name: Craig Malloy</w:t>
      </w:r>
    </w:p>
    <w:p>
      <w:pPr>
        <w:spacing w:after="0" w:line="4"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[Fourth Amendment to Credit and Guaranty Agreement]</w:t>
      </w:r>
    </w:p>
    <w:p>
      <w:pPr>
        <w:sectPr>
          <w:pgSz w:w="11900" w:h="16838" w:orient="portrait"/>
          <w:cols w:equalWidth="0" w:num="1">
            <w:col w:w="9019"/>
          </w:cols>
          <w:pgMar w:left="1440" w:top="787"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6"/>
          <w:szCs w:val="16"/>
          <w:b w:val="1"/>
          <w:bCs w:val="1"/>
          <w:color w:val="auto"/>
        </w:rPr>
        <w:t>Exhibit 12.1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jc w:val="center"/>
              <w:ind w:left="2068"/>
              <w:spacing w:after="0"/>
              <w:rPr>
                <w:sz w:val="20"/>
                <w:szCs w:val="20"/>
                <w:color w:val="auto"/>
              </w:rPr>
            </w:pPr>
            <w:r>
              <w:rPr>
                <w:rFonts w:ascii="Arial" w:cs="Arial" w:eastAsia="Arial" w:hAnsi="Arial"/>
                <w:sz w:val="16"/>
                <w:szCs w:val="16"/>
                <w:b w:val="1"/>
                <w:bCs w:val="1"/>
                <w:color w:val="auto"/>
                <w:w w:val="97"/>
              </w:rPr>
              <w:t>American Airlines Group Inc.</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7"/>
        </w:trPr>
        <w:tc>
          <w:tcPr>
            <w:tcW w:w="9280" w:type="dxa"/>
            <w:vAlign w:val="bottom"/>
          </w:tcPr>
          <w:p>
            <w:pPr>
              <w:jc w:val="center"/>
              <w:ind w:left="2088"/>
              <w:spacing w:after="0"/>
              <w:rPr>
                <w:sz w:val="20"/>
                <w:szCs w:val="20"/>
                <w:color w:val="auto"/>
              </w:rPr>
            </w:pPr>
            <w:r>
              <w:rPr>
                <w:rFonts w:ascii="Arial" w:cs="Arial" w:eastAsia="Arial" w:hAnsi="Arial"/>
                <w:sz w:val="16"/>
                <w:szCs w:val="16"/>
                <w:b w:val="1"/>
                <w:bCs w:val="1"/>
                <w:color w:val="auto"/>
                <w:w w:val="97"/>
              </w:rPr>
              <w:t>Computation of Ratio of Earnings to Fixed Charges</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5"/>
        </w:trPr>
        <w:tc>
          <w:tcPr>
            <w:tcW w:w="9280" w:type="dxa"/>
            <w:vAlign w:val="bottom"/>
          </w:tcPr>
          <w:p>
            <w:pPr>
              <w:jc w:val="center"/>
              <w:ind w:left="2088"/>
              <w:spacing w:after="0"/>
              <w:rPr>
                <w:sz w:val="20"/>
                <w:szCs w:val="20"/>
                <w:color w:val="auto"/>
              </w:rPr>
            </w:pPr>
            <w:r>
              <w:rPr>
                <w:rFonts w:ascii="Arial" w:cs="Arial" w:eastAsia="Arial" w:hAnsi="Arial"/>
                <w:sz w:val="16"/>
                <w:szCs w:val="16"/>
                <w:b w:val="1"/>
                <w:bCs w:val="1"/>
                <w:color w:val="auto"/>
                <w:w w:val="97"/>
              </w:rPr>
              <w:t>(In millions)</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94"/>
        </w:trPr>
        <w:tc>
          <w:tcPr>
            <w:tcW w:w="9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450"/>
              <w:spacing w:after="0"/>
              <w:rPr>
                <w:sz w:val="20"/>
                <w:szCs w:val="20"/>
                <w:color w:val="auto"/>
              </w:rPr>
            </w:pPr>
            <w:r>
              <w:rPr>
                <w:rFonts w:ascii="Arial" w:cs="Arial" w:eastAsia="Arial" w:hAnsi="Arial"/>
                <w:sz w:val="14"/>
                <w:szCs w:val="14"/>
                <w:color w:val="auto"/>
              </w:rPr>
              <w:t>Six Months Ended</w:t>
            </w:r>
          </w:p>
        </w:tc>
      </w:tr>
      <w:tr>
        <w:trPr>
          <w:trHeight w:val="177"/>
        </w:trPr>
        <w:tc>
          <w:tcPr>
            <w:tcW w:w="9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June 30, 2018</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1,042</w:t>
            </w:r>
          </w:p>
        </w:tc>
      </w:tr>
      <w:tr>
        <w:trPr>
          <w:trHeight w:val="226"/>
        </w:trPr>
        <w:tc>
          <w:tcPr>
            <w:tcW w:w="9280" w:type="dxa"/>
            <w:vAlign w:val="bottom"/>
          </w:tcPr>
          <w:p>
            <w:pPr>
              <w:ind w:left="160"/>
              <w:spacing w:after="0"/>
              <w:rPr>
                <w:sz w:val="20"/>
                <w:szCs w:val="20"/>
                <w:color w:val="auto"/>
              </w:rPr>
            </w:pPr>
            <w:r>
              <w:rPr>
                <w:rFonts w:ascii="Arial" w:cs="Arial" w:eastAsia="Arial" w:hAnsi="Arial"/>
                <w:sz w:val="14"/>
                <w:szCs w:val="14"/>
                <w:color w:val="auto"/>
              </w:rPr>
              <w:t>Add: Total fixed charges (per below)</w:t>
            </w:r>
          </w:p>
        </w:tc>
        <w:tc>
          <w:tcPr>
            <w:tcW w:w="30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4"/>
                <w:szCs w:val="14"/>
                <w:color w:val="auto"/>
              </w:rPr>
              <w:t>1,042</w:t>
            </w:r>
          </w:p>
        </w:tc>
      </w:tr>
      <w:tr>
        <w:trPr>
          <w:trHeight w:val="234"/>
        </w:trPr>
        <w:tc>
          <w:tcPr>
            <w:tcW w:w="9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Interest capitalized</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r>
      <w:tr>
        <w:trPr>
          <w:trHeight w:val="248"/>
        </w:trPr>
        <w:tc>
          <w:tcPr>
            <w:tcW w:w="9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earnings before income taxes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2,048</w:t>
            </w:r>
          </w:p>
        </w:tc>
      </w:tr>
      <w:tr>
        <w:trPr>
          <w:trHeight w:val="211"/>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charges:</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6"/>
        </w:trPr>
        <w:tc>
          <w:tcPr>
            <w:tcW w:w="9280" w:type="dxa"/>
            <w:vAlign w:val="bottom"/>
          </w:tcPr>
          <w:p>
            <w:pPr>
              <w:ind w:left="16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50"/>
              <w:spacing w:after="0"/>
              <w:rPr>
                <w:sz w:val="20"/>
                <w:szCs w:val="20"/>
                <w:color w:val="auto"/>
              </w:rPr>
            </w:pPr>
            <w:r>
              <w:rPr>
                <w:rFonts w:ascii="Arial" w:cs="Arial" w:eastAsia="Arial" w:hAnsi="Arial"/>
                <w:sz w:val="14"/>
                <w:szCs w:val="14"/>
                <w:color w:val="auto"/>
              </w:rPr>
              <w:t>566</w:t>
            </w:r>
          </w:p>
        </w:tc>
      </w:tr>
      <w:tr>
        <w:trPr>
          <w:trHeight w:val="234"/>
        </w:trPr>
        <w:tc>
          <w:tcPr>
            <w:tcW w:w="9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Portion of rental expense representative of the interest factor</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476</w:t>
            </w:r>
          </w:p>
        </w:tc>
      </w:tr>
      <w:tr>
        <w:trPr>
          <w:trHeight w:val="214"/>
        </w:trPr>
        <w:tc>
          <w:tcPr>
            <w:tcW w:w="9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fixed charges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1,042</w:t>
            </w:r>
          </w:p>
        </w:tc>
      </w:tr>
      <w:tr>
        <w:trPr>
          <w:trHeight w:val="20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earnings to fixed charges</w:t>
            </w:r>
          </w:p>
        </w:tc>
        <w:tc>
          <w:tcPr>
            <w:tcW w:w="3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w:t>
            </w: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19" w:right="219" w:bottom="1440" w:gutter="0" w:footer="0" w:header="0"/>
        </w:sectPr>
      </w:pPr>
    </w:p>
    <w:bookmarkStart w:id="258" w:name="page259"/>
    <w:bookmarkEnd w:id="258"/>
    <w:p>
      <w:pPr>
        <w:jc w:val="right"/>
        <w:spacing w:after="0"/>
        <w:rPr>
          <w:sz w:val="20"/>
          <w:szCs w:val="20"/>
          <w:color w:val="auto"/>
        </w:rPr>
      </w:pPr>
      <w:r>
        <w:rPr>
          <w:rFonts w:ascii="Arial" w:cs="Arial" w:eastAsia="Arial" w:hAnsi="Arial"/>
          <w:sz w:val="16"/>
          <w:szCs w:val="16"/>
          <w:b w:val="1"/>
          <w:bCs w:val="1"/>
          <w:color w:val="auto"/>
        </w:rPr>
        <w:t>Exhibit 12.2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jc w:val="center"/>
              <w:ind w:left="2088"/>
              <w:spacing w:after="0"/>
              <w:rPr>
                <w:sz w:val="20"/>
                <w:szCs w:val="20"/>
                <w:color w:val="auto"/>
              </w:rPr>
            </w:pPr>
            <w:r>
              <w:rPr>
                <w:rFonts w:ascii="Arial" w:cs="Arial" w:eastAsia="Arial" w:hAnsi="Arial"/>
                <w:sz w:val="16"/>
                <w:szCs w:val="16"/>
                <w:b w:val="1"/>
                <w:bCs w:val="1"/>
                <w:color w:val="auto"/>
                <w:w w:val="97"/>
              </w:rPr>
              <w:t>American Airlines, Inc.</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7"/>
        </w:trPr>
        <w:tc>
          <w:tcPr>
            <w:tcW w:w="9280" w:type="dxa"/>
            <w:vAlign w:val="bottom"/>
          </w:tcPr>
          <w:p>
            <w:pPr>
              <w:jc w:val="center"/>
              <w:ind w:left="2088"/>
              <w:spacing w:after="0"/>
              <w:rPr>
                <w:sz w:val="20"/>
                <w:szCs w:val="20"/>
                <w:color w:val="auto"/>
              </w:rPr>
            </w:pPr>
            <w:r>
              <w:rPr>
                <w:rFonts w:ascii="Arial" w:cs="Arial" w:eastAsia="Arial" w:hAnsi="Arial"/>
                <w:sz w:val="16"/>
                <w:szCs w:val="16"/>
                <w:b w:val="1"/>
                <w:bCs w:val="1"/>
                <w:color w:val="auto"/>
                <w:w w:val="97"/>
              </w:rPr>
              <w:t>Computation of Ratio of Earnings to Fixed Charges</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5"/>
        </w:trPr>
        <w:tc>
          <w:tcPr>
            <w:tcW w:w="9280" w:type="dxa"/>
            <w:vAlign w:val="bottom"/>
          </w:tcPr>
          <w:p>
            <w:pPr>
              <w:jc w:val="center"/>
              <w:ind w:left="2088"/>
              <w:spacing w:after="0"/>
              <w:rPr>
                <w:sz w:val="20"/>
                <w:szCs w:val="20"/>
                <w:color w:val="auto"/>
              </w:rPr>
            </w:pPr>
            <w:r>
              <w:rPr>
                <w:rFonts w:ascii="Arial" w:cs="Arial" w:eastAsia="Arial" w:hAnsi="Arial"/>
                <w:sz w:val="16"/>
                <w:szCs w:val="16"/>
                <w:b w:val="1"/>
                <w:bCs w:val="1"/>
                <w:color w:val="auto"/>
                <w:w w:val="97"/>
              </w:rPr>
              <w:t>(In millions)</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94"/>
        </w:trPr>
        <w:tc>
          <w:tcPr>
            <w:tcW w:w="9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450"/>
              <w:spacing w:after="0"/>
              <w:rPr>
                <w:sz w:val="20"/>
                <w:szCs w:val="20"/>
                <w:color w:val="auto"/>
              </w:rPr>
            </w:pPr>
            <w:r>
              <w:rPr>
                <w:rFonts w:ascii="Arial" w:cs="Arial" w:eastAsia="Arial" w:hAnsi="Arial"/>
                <w:sz w:val="14"/>
                <w:szCs w:val="14"/>
                <w:color w:val="auto"/>
              </w:rPr>
              <w:t>Six Months Ended</w:t>
            </w:r>
          </w:p>
        </w:tc>
      </w:tr>
      <w:tr>
        <w:trPr>
          <w:trHeight w:val="177"/>
        </w:trPr>
        <w:tc>
          <w:tcPr>
            <w:tcW w:w="9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June 30, 2018</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1,189</w:t>
            </w:r>
          </w:p>
        </w:tc>
      </w:tr>
      <w:tr>
        <w:trPr>
          <w:trHeight w:val="226"/>
        </w:trPr>
        <w:tc>
          <w:tcPr>
            <w:tcW w:w="9280" w:type="dxa"/>
            <w:vAlign w:val="bottom"/>
          </w:tcPr>
          <w:p>
            <w:pPr>
              <w:ind w:left="160"/>
              <w:spacing w:after="0"/>
              <w:rPr>
                <w:sz w:val="20"/>
                <w:szCs w:val="20"/>
                <w:color w:val="auto"/>
              </w:rPr>
            </w:pPr>
            <w:r>
              <w:rPr>
                <w:rFonts w:ascii="Arial" w:cs="Arial" w:eastAsia="Arial" w:hAnsi="Arial"/>
                <w:sz w:val="14"/>
                <w:szCs w:val="14"/>
                <w:color w:val="auto"/>
              </w:rPr>
              <w:t>Add: Total fixed charges (per below)</w:t>
            </w:r>
          </w:p>
        </w:tc>
        <w:tc>
          <w:tcPr>
            <w:tcW w:w="30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4"/>
                <w:szCs w:val="14"/>
                <w:color w:val="auto"/>
              </w:rPr>
              <w:t>1,016</w:t>
            </w:r>
          </w:p>
        </w:tc>
      </w:tr>
      <w:tr>
        <w:trPr>
          <w:trHeight w:val="234"/>
        </w:trPr>
        <w:tc>
          <w:tcPr>
            <w:tcW w:w="9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Interest capitalized</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r>
      <w:tr>
        <w:trPr>
          <w:trHeight w:val="248"/>
        </w:trPr>
        <w:tc>
          <w:tcPr>
            <w:tcW w:w="9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earnings before income taxes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2,169</w:t>
            </w:r>
          </w:p>
        </w:tc>
      </w:tr>
      <w:tr>
        <w:trPr>
          <w:trHeight w:val="211"/>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charges:</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6"/>
        </w:trPr>
        <w:tc>
          <w:tcPr>
            <w:tcW w:w="9280" w:type="dxa"/>
            <w:vAlign w:val="bottom"/>
          </w:tcPr>
          <w:p>
            <w:pPr>
              <w:ind w:left="16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50"/>
              <w:spacing w:after="0"/>
              <w:rPr>
                <w:sz w:val="20"/>
                <w:szCs w:val="20"/>
                <w:color w:val="auto"/>
              </w:rPr>
            </w:pPr>
            <w:r>
              <w:rPr>
                <w:rFonts w:ascii="Arial" w:cs="Arial" w:eastAsia="Arial" w:hAnsi="Arial"/>
                <w:sz w:val="14"/>
                <w:szCs w:val="14"/>
                <w:color w:val="auto"/>
              </w:rPr>
              <w:t>546</w:t>
            </w:r>
          </w:p>
        </w:tc>
      </w:tr>
      <w:tr>
        <w:trPr>
          <w:trHeight w:val="234"/>
        </w:trPr>
        <w:tc>
          <w:tcPr>
            <w:tcW w:w="9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Portion of rental expense representative of the interest factor</w:t>
            </w: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470</w:t>
            </w:r>
          </w:p>
        </w:tc>
      </w:tr>
      <w:tr>
        <w:trPr>
          <w:trHeight w:val="214"/>
        </w:trPr>
        <w:tc>
          <w:tcPr>
            <w:tcW w:w="9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fixed charges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1,016</w:t>
            </w:r>
          </w:p>
        </w:tc>
      </w:tr>
      <w:tr>
        <w:trPr>
          <w:trHeight w:val="20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earnings to fixed charges</w:t>
            </w:r>
          </w:p>
        </w:tc>
        <w:tc>
          <w:tcPr>
            <w:tcW w:w="3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18" w:right="2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90" w:lineRule="exact"/>
        <w:rPr>
          <w:sz w:val="20"/>
          <w:szCs w:val="20"/>
          <w:color w:val="auto"/>
        </w:rPr>
      </w:pPr>
    </w:p>
    <w:p>
      <w:pPr>
        <w:ind w:left="560" w:hanging="286"/>
        <w:spacing w:after="0"/>
        <w:tabs>
          <w:tab w:leader="none" w:pos="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96"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560" w:hanging="286"/>
        <w:spacing w:after="0" w:line="248" w:lineRule="auto"/>
        <w:tabs>
          <w:tab w:leader="none" w:pos="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560" w:right="20" w:hanging="286"/>
        <w:spacing w:after="0" w:line="246" w:lineRule="auto"/>
        <w:tabs>
          <w:tab w:leader="none" w:pos="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jc w:val="both"/>
        <w:ind w:left="1120" w:right="20" w:hanging="284"/>
        <w:spacing w:after="0" w:line="246"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120" w:right="20" w:hanging="284"/>
        <w:spacing w:after="0" w:line="248" w:lineRule="auto"/>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July 26, 2018</w:t>
      </w:r>
    </w:p>
    <w:p>
      <w:pPr>
        <w:spacing w:after="0" w:line="15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10160</wp:posOffset>
            </wp:positionV>
            <wp:extent cx="198310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198310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 W. Douglas Parker</w:t>
      </w:r>
    </w:p>
    <w:p>
      <w:pPr>
        <w:spacing w:after="0" w:line="50" w:lineRule="exact"/>
        <w:rPr>
          <w:sz w:val="20"/>
          <w:szCs w:val="20"/>
          <w:color w:val="auto"/>
        </w:rPr>
      </w:pPr>
    </w:p>
    <w:p>
      <w:pPr>
        <w:ind w:left="6600"/>
        <w:spacing w:after="0"/>
        <w:tabs>
          <w:tab w:leader="none" w:pos="7140" w:val="left"/>
        </w:tabs>
        <w:rPr>
          <w:sz w:val="20"/>
          <w:szCs w:val="20"/>
          <w:color w:val="auto"/>
        </w:rPr>
      </w:pPr>
      <w:r>
        <w:rPr>
          <w:rFonts w:ascii="Arial" w:cs="Arial" w:eastAsia="Arial" w:hAnsi="Arial"/>
          <w:sz w:val="16"/>
          <w:szCs w:val="16"/>
          <w:color w:val="auto"/>
        </w:rPr>
        <w:t>Title:</w:t>
        <w:tab/>
        <w:t>Chief Executive Officer</w:t>
      </w:r>
    </w:p>
    <w:p>
      <w:pPr>
        <w:sectPr>
          <w:pgSz w:w="11900" w:h="16838" w:orient="portrait"/>
          <w:cols w:equalWidth="0" w:num="1">
            <w:col w:w="11440"/>
          </w:cols>
          <w:pgMar w:left="240" w:top="519" w:right="219" w:bottom="1440" w:gutter="0" w:footer="0" w:header="0"/>
        </w:sectPr>
      </w:pPr>
    </w:p>
    <w:bookmarkStart w:id="260" w:name="page261"/>
    <w:bookmarkEnd w:id="260"/>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90" w:lineRule="exact"/>
        <w:rPr>
          <w:sz w:val="20"/>
          <w:szCs w:val="20"/>
          <w:color w:val="auto"/>
        </w:rPr>
      </w:pPr>
    </w:p>
    <w:p>
      <w:pPr>
        <w:ind w:left="560" w:hanging="286"/>
        <w:spacing w:after="0"/>
        <w:tabs>
          <w:tab w:leader="none" w:pos="5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96"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560" w:hanging="286"/>
        <w:spacing w:after="0" w:line="248" w:lineRule="auto"/>
        <w:tabs>
          <w:tab w:leader="none" w:pos="5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560" w:right="20" w:hanging="286"/>
        <w:spacing w:after="0" w:line="246" w:lineRule="auto"/>
        <w:tabs>
          <w:tab w:leader="none" w:pos="5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jc w:val="both"/>
        <w:ind w:left="1120" w:right="20" w:hanging="284"/>
        <w:spacing w:after="0" w:line="246"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120" w:right="20" w:hanging="284"/>
        <w:spacing w:after="0" w:line="248" w:lineRule="auto"/>
        <w:tabs>
          <w:tab w:leader="none" w:pos="11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July 26, 2018</w:t>
      </w:r>
    </w:p>
    <w:p>
      <w:pPr>
        <w:spacing w:after="0" w:line="15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10160</wp:posOffset>
            </wp:positionV>
            <wp:extent cx="198310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198310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 Derek J. Kerr</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Title: Executive Vice President and Chief</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40"/>
          </w:cols>
          <w:pgMar w:left="240" w:top="518" w:right="2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6"/>
          <w:szCs w:val="16"/>
          <w:b w:val="1"/>
          <w:bCs w:val="1"/>
          <w:color w:val="auto"/>
        </w:rPr>
        <w:t>Exhibit 31.3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CEO CERTIFICATION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90" w:lineRule="exact"/>
        <w:rPr>
          <w:sz w:val="20"/>
          <w:szCs w:val="20"/>
          <w:color w:val="auto"/>
        </w:rPr>
      </w:pPr>
    </w:p>
    <w:p>
      <w:pPr>
        <w:ind w:left="560" w:hanging="286"/>
        <w:spacing w:after="0"/>
        <w:tabs>
          <w:tab w:leader="none" w:pos="5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96"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560" w:hanging="286"/>
        <w:spacing w:after="0" w:line="248" w:lineRule="auto"/>
        <w:tabs>
          <w:tab w:leader="none" w:pos="5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560" w:right="20" w:hanging="286"/>
        <w:spacing w:after="0" w:line="246" w:lineRule="auto"/>
        <w:tabs>
          <w:tab w:leader="none" w:pos="5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jc w:val="both"/>
        <w:ind w:left="1120" w:right="20" w:hanging="284"/>
        <w:spacing w:after="0" w:line="246"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120" w:right="20" w:hanging="284"/>
        <w:spacing w:after="0" w:line="248" w:lineRule="auto"/>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July 26, 2018</w:t>
      </w:r>
    </w:p>
    <w:p>
      <w:pPr>
        <w:spacing w:after="0" w:line="15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10160</wp:posOffset>
            </wp:positionV>
            <wp:extent cx="198310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198310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 W. Douglas Parker</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40"/>
          </w:cols>
          <w:pgMar w:left="240" w:top="518" w:right="219" w:bottom="1440" w:gutter="0" w:footer="0" w:header="0"/>
        </w:sectPr>
      </w:pPr>
    </w:p>
    <w:bookmarkStart w:id="262" w:name="page263"/>
    <w:bookmarkEnd w:id="262"/>
    <w:p>
      <w:pPr>
        <w:jc w:val="right"/>
        <w:spacing w:after="0"/>
        <w:rPr>
          <w:sz w:val="20"/>
          <w:szCs w:val="20"/>
          <w:color w:val="auto"/>
        </w:rPr>
      </w:pPr>
      <w:r>
        <w:rPr>
          <w:rFonts w:ascii="Arial" w:cs="Arial" w:eastAsia="Arial" w:hAnsi="Arial"/>
          <w:sz w:val="16"/>
          <w:szCs w:val="16"/>
          <w:b w:val="1"/>
          <w:bCs w:val="1"/>
          <w:color w:val="auto"/>
        </w:rPr>
        <w:t>Exhibit 31.4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CFO CERTIFICATION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90" w:lineRule="exact"/>
        <w:rPr>
          <w:sz w:val="20"/>
          <w:szCs w:val="20"/>
          <w:color w:val="auto"/>
        </w:rPr>
      </w:pPr>
    </w:p>
    <w:p>
      <w:pPr>
        <w:ind w:left="560" w:hanging="286"/>
        <w:spacing w:after="0"/>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96"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560" w:hanging="286"/>
        <w:spacing w:after="0" w:line="248" w:lineRule="auto"/>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560" w:right="20" w:hanging="286"/>
        <w:spacing w:after="0" w:line="246" w:lineRule="auto"/>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jc w:val="both"/>
        <w:ind w:left="1120" w:right="20" w:hanging="284"/>
        <w:spacing w:after="0" w:line="246"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1120" w:hanging="284"/>
        <w:spacing w:after="0" w:line="246"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560" w:right="20" w:hanging="286"/>
        <w:spacing w:after="0" w:line="248" w:lineRule="auto"/>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1120" w:hanging="284"/>
        <w:spacing w:after="0" w:line="248"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120" w:right="20" w:hanging="284"/>
        <w:spacing w:after="0" w:line="248" w:lineRule="auto"/>
        <w:tabs>
          <w:tab w:leader="none" w:pos="11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July 26, 2018</w:t>
      </w:r>
    </w:p>
    <w:p>
      <w:pPr>
        <w:spacing w:after="0" w:line="155"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10160</wp:posOffset>
            </wp:positionV>
            <wp:extent cx="198310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198310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 Derek J. Kerr</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Title: Executive Vice President and Chief</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40"/>
          </w:cols>
          <w:pgMar w:left="240" w:top="518" w:right="2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6"/>
          <w:szCs w:val="16"/>
          <w:b w:val="1"/>
          <w:bCs w:val="1"/>
          <w:color w:val="auto"/>
        </w:rPr>
        <w:t>Exhibit 32.1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18 U.S.C. Section 1350,</w:t>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 connection with the Quarterly Report on Form 10-Q of American Airlines Group Inc. (the “Company”) for the quarterly period ended June 30,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560" w:hanging="286"/>
        <w:spacing w:after="0"/>
        <w:tabs>
          <w:tab w:leader="none" w:pos="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65176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2651760" cy="762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W. Douglas Parker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Chief Executive Officer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26, 2018</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65176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2651760" cy="762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Derek J. Kerr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26, 2018</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40"/>
          </w:cols>
          <w:pgMar w:left="240" w:top="518" w:right="2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6"/>
          <w:szCs w:val="16"/>
          <w:b w:val="1"/>
          <w:bCs w:val="1"/>
          <w:color w:val="auto"/>
        </w:rPr>
        <w:t>Exhibit 32.2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18 U.S.C. Section 1350,</w:t>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connection with the Quarterly Report on Form 10-Q of American Airlines, Inc. (the “Company”) for the quarterly period ended June 30, 2018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3" w:lineRule="exact"/>
        <w:rPr>
          <w:sz w:val="20"/>
          <w:szCs w:val="20"/>
          <w:color w:val="auto"/>
        </w:rPr>
      </w:pPr>
    </w:p>
    <w:p>
      <w:pPr>
        <w:ind w:left="560" w:hanging="286"/>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65176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2651760" cy="762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W. Douglas Parker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Chief Executive Officer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26, 2018</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65176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2651760" cy="762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Derek J. Kerr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July 26, 2018</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40"/>
      </w:cols>
      <w:pgMar w:left="240" w:top="5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1)"/>
      <w:numFmt w:val="lowerLetter"/>
      <w:start w:val="1"/>
    </w:lvl>
  </w:abstractNum>
  <w:abstractNum w:abstractNumId="3">
    <w:nsid w:val="555C55B5"/>
    <w:multiLevelType w:val="hybridMultilevel"/>
    <w:lvl w:ilvl="0">
      <w:lvlJc w:val="left"/>
      <w:lvlText w:val="%1."/>
      <w:numFmt w:val="decimal"/>
      <w:start w:val="1"/>
    </w:lvl>
    <w:lvl w:ilvl="1">
      <w:lvlJc w:val="left"/>
      <w:lvlText w:val="(%2)"/>
      <w:numFmt w:val="lowerLetter"/>
      <w:start w:val="1"/>
    </w:lvl>
  </w:abstractNum>
  <w:abstractNum w:abstractNumId="4">
    <w:nsid w:val="3FA62ACA"/>
    <w:multiLevelType w:val="hybridMultilevel"/>
    <w:lvl w:ilvl="0">
      <w:lvlJc w:val="left"/>
      <w:lvlText w:val="(%1)"/>
      <w:numFmt w:val="lowerLetter"/>
      <w:start w:val="2"/>
    </w:lvl>
  </w:abstractNum>
  <w:abstractNum w:abstractNumId="5">
    <w:nsid w:val="14FCE74E"/>
    <w:multiLevelType w:val="hybridMultilevel"/>
    <w:lvl w:ilvl="0">
      <w:lvlJc w:val="left"/>
      <w:lvlText w:val="%1."/>
      <w:numFmt w:val="decimal"/>
      <w:start w:val="2"/>
    </w:lvl>
  </w:abstractNum>
  <w:abstractNum w:abstractNumId="6">
    <w:nsid w:val="6A3DD3E8"/>
    <w:multiLevelType w:val="hybridMultilevel"/>
    <w:lvl w:ilvl="0">
      <w:lvlJc w:val="left"/>
      <w:lvlText w:val="(%1)"/>
      <w:numFmt w:val="decimal"/>
      <w:start w:val="1"/>
    </w:lvl>
  </w:abstractNum>
  <w:abstractNum w:abstractNumId="7">
    <w:nsid w:val="71C91298"/>
    <w:multiLevelType w:val="hybridMultilevel"/>
    <w:lvl w:ilvl="0">
      <w:lvlJc w:val="left"/>
      <w:lvlText w:val="(%1)"/>
      <w:numFmt w:val="decimal"/>
      <w:start w:val="6"/>
    </w:lvl>
  </w:abstractNum>
  <w:abstractNum w:abstractNumId="8">
    <w:nsid w:val="9DAF632"/>
    <w:multiLevelType w:val="hybridMultilevel"/>
    <w:lvl w:ilvl="0">
      <w:lvlJc w:val="left"/>
      <w:lvlText w:val="%1."/>
      <w:numFmt w:val="decimal"/>
      <w:start w:val="3"/>
    </w:lvl>
  </w:abstractNum>
  <w:abstractNum w:abstractNumId="9">
    <w:nsid w:val="53299938"/>
    <w:multiLevelType w:val="hybridMultilevel"/>
    <w:lvl w:ilvl="0">
      <w:lvlJc w:val="left"/>
      <w:lvlText w:val="%1."/>
      <w:numFmt w:val="decimal"/>
      <w:start w:val="5"/>
    </w:lvl>
    <w:lvl w:ilvl="1">
      <w:lvlJc w:val="left"/>
      <w:lvlText w:val="(%2)"/>
      <w:numFmt w:val="lowerLetter"/>
      <w:start w:val="1"/>
    </w:lvl>
  </w:abstractNum>
  <w:abstractNum w:abstractNumId="10">
    <w:nsid w:val="1FBFE8E0"/>
    <w:multiLevelType w:val="hybridMultilevel"/>
    <w:lvl w:ilvl="0">
      <w:lvlJc w:val="left"/>
      <w:lvlText w:val="(%1)"/>
      <w:numFmt w:val="decimal"/>
      <w:start w:val="1"/>
    </w:lvl>
  </w:abstractNum>
  <w:abstractNum w:abstractNumId="11">
    <w:nsid w:val="5092CA79"/>
    <w:multiLevelType w:val="hybridMultilevel"/>
    <w:lvl w:ilvl="0">
      <w:lvlJc w:val="left"/>
      <w:lvlText w:val="(%1)"/>
      <w:numFmt w:val="decimal"/>
      <w:start w:val="1"/>
    </w:lvl>
  </w:abstractNum>
  <w:abstractNum w:abstractNumId="12">
    <w:nsid w:val="1D545C4D"/>
    <w:multiLevelType w:val="hybridMultilevel"/>
    <w:lvl w:ilvl="0">
      <w:lvlJc w:val="left"/>
      <w:lvlText w:val="%1."/>
      <w:numFmt w:val="decimal"/>
      <w:start w:val="6"/>
    </w:lvl>
  </w:abstractNum>
  <w:abstractNum w:abstractNumId="13">
    <w:nsid w:val="59ADEA3D"/>
    <w:multiLevelType w:val="hybridMultilevel"/>
    <w:lvl w:ilvl="0">
      <w:lvlJc w:val="left"/>
      <w:lvlText w:val="%1."/>
      <w:numFmt w:val="decimal"/>
      <w:start w:val="8"/>
    </w:lvl>
  </w:abstractNum>
  <w:abstractNum w:abstractNumId="14">
    <w:nsid w:val="288F1A34"/>
    <w:multiLevelType w:val="hybridMultilevel"/>
    <w:lvl w:ilvl="0">
      <w:lvlJc w:val="left"/>
      <w:lvlText w:val="(%1)"/>
      <w:numFmt w:val="decimal"/>
      <w:start w:val="1"/>
    </w:lvl>
  </w:abstractNum>
  <w:abstractNum w:abstractNumId="15">
    <w:nsid w:val="2A155DBC"/>
    <w:multiLevelType w:val="hybridMultilevel"/>
    <w:lvl w:ilvl="0">
      <w:lvlJc w:val="left"/>
      <w:lvlText w:val="(%1)"/>
      <w:numFmt w:val="decimal"/>
      <w:start w:val="1"/>
    </w:lvl>
  </w:abstractNum>
  <w:abstractNum w:abstractNumId="16">
    <w:nsid w:val="1D9F6E5F"/>
    <w:multiLevelType w:val="hybridMultilevel"/>
    <w:lvl w:ilvl="0">
      <w:lvlJc w:val="left"/>
      <w:lvlText w:val="%1."/>
      <w:numFmt w:val="decimal"/>
      <w:start w:val="13"/>
    </w:lvl>
  </w:abstractNum>
  <w:abstractNum w:abstractNumId="17">
    <w:nsid w:val="97E1B4E"/>
    <w:multiLevelType w:val="hybridMultilevel"/>
    <w:lvl w:ilvl="0">
      <w:lvlJc w:val="left"/>
      <w:lvlText w:val="(%1)"/>
      <w:numFmt w:val="lowerLetter"/>
      <w:start w:val="1"/>
    </w:lvl>
  </w:abstractNum>
  <w:abstractNum w:abstractNumId="18">
    <w:nsid w:val="51088277"/>
    <w:multiLevelType w:val="hybridMultilevel"/>
    <w:lvl w:ilvl="0">
      <w:lvlJc w:val="left"/>
      <w:lvlText w:val="%1."/>
      <w:numFmt w:val="decimal"/>
      <w:start w:val="1"/>
    </w:lvl>
    <w:lvl w:ilvl="1">
      <w:lvlJc w:val="left"/>
      <w:lvlText w:val="(%2)"/>
      <w:numFmt w:val="lowerLetter"/>
      <w:start w:val="1"/>
    </w:lvl>
  </w:abstractNum>
  <w:abstractNum w:abstractNumId="19">
    <w:nsid w:val="1CA0C5FA"/>
    <w:multiLevelType w:val="hybridMultilevel"/>
    <w:lvl w:ilvl="0">
      <w:lvlJc w:val="left"/>
      <w:lvlText w:val="(%1)"/>
      <w:numFmt w:val="lowerLetter"/>
      <w:start w:val="2"/>
    </w:lvl>
  </w:abstractNum>
  <w:abstractNum w:abstractNumId="20">
    <w:nsid w:val="53584BCB"/>
    <w:multiLevelType w:val="hybridMultilevel"/>
    <w:lvl w:ilvl="0">
      <w:lvlJc w:val="left"/>
      <w:lvlText w:val="%1."/>
      <w:numFmt w:val="decimal"/>
      <w:start w:val="2"/>
    </w:lvl>
  </w:abstractNum>
  <w:abstractNum w:abstractNumId="21">
    <w:nsid w:val="415E28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C58FD0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3">
    <w:nsid w:val="23D86AAC"/>
    <w:multiLevelType w:val="hybridMultilevel"/>
    <w:lvl w:ilvl="0">
      <w:lvlJc w:val="left"/>
      <w:lvlText w:val="(%1)"/>
      <w:numFmt w:val="decimal"/>
      <w:start w:val="1"/>
    </w:lvl>
  </w:abstractNum>
  <w:abstractNum w:abstractNumId="24">
    <w:nsid w:val="45E6D486"/>
    <w:multiLevelType w:val="hybridMultilevel"/>
    <w:lvl w:ilvl="0">
      <w:lvlJc w:val="left"/>
      <w:lvlText w:val="(%1)"/>
      <w:numFmt w:val="decimal"/>
      <w:start w:val="1"/>
    </w:lvl>
  </w:abstractNum>
  <w:abstractNum w:abstractNumId="25">
    <w:nsid w:val="5C10FE21"/>
    <w:multiLevelType w:val="hybridMultilevel"/>
    <w:lvl w:ilvl="0">
      <w:lvlJc w:val="left"/>
      <w:lvlText w:val="%1."/>
      <w:numFmt w:val="decimal"/>
      <w:start w:val="6"/>
    </w:lvl>
  </w:abstractNum>
  <w:abstractNum w:abstractNumId="26">
    <w:nsid w:val="E7FFA2B"/>
    <w:multiLevelType w:val="hybridMultilevel"/>
    <w:lvl w:ilvl="0">
      <w:lvlJc w:val="left"/>
      <w:lvlText w:val="(%1)"/>
      <w:numFmt w:val="decimal"/>
      <w:start w:val="1"/>
    </w:lvl>
  </w:abstractNum>
  <w:abstractNum w:abstractNumId="27">
    <w:nsid w:val="3C5991AA"/>
    <w:multiLevelType w:val="hybridMultilevel"/>
    <w:lvl w:ilvl="0">
      <w:lvlJc w:val="left"/>
      <w:lvlText w:val="%1."/>
      <w:numFmt w:val="decimal"/>
      <w:start w:val="7"/>
    </w:lvl>
  </w:abstractNum>
  <w:abstractNum w:abstractNumId="28">
    <w:nsid w:val="4BD8591A"/>
    <w:multiLevelType w:val="hybridMultilevel"/>
    <w:lvl w:ilvl="0">
      <w:lvlJc w:val="left"/>
      <w:lvlText w:val="%1."/>
      <w:numFmt w:val="decimal"/>
      <w:start w:val="8"/>
    </w:lvl>
  </w:abstractNum>
  <w:abstractNum w:abstractNumId="29">
    <w:nsid w:val="78DF6A55"/>
    <w:multiLevelType w:val="hybridMultilevel"/>
    <w:lvl w:ilvl="0">
      <w:lvlJc w:val="left"/>
      <w:lvlText w:val="(%1)"/>
      <w:numFmt w:val="decimal"/>
      <w:start w:val="1"/>
    </w:lvl>
  </w:abstractNum>
  <w:abstractNum w:abstractNumId="30">
    <w:nsid w:val="39B7AAA2"/>
    <w:multiLevelType w:val="hybridMultilevel"/>
    <w:lvl w:ilvl="0">
      <w:lvlJc w:val="left"/>
      <w:lvlText w:val="(%1)"/>
      <w:numFmt w:val="decimal"/>
      <w:start w:val="1"/>
    </w:lvl>
  </w:abstractNum>
  <w:abstractNum w:abstractNumId="31">
    <w:nsid w:val="2B0D8DBE"/>
    <w:multiLevelType w:val="hybridMultilevel"/>
    <w:lvl w:ilvl="0">
      <w:lvlJc w:val="left"/>
      <w:lvlText w:val="%1."/>
      <w:numFmt w:val="decimal"/>
      <w:start w:val="12"/>
    </w:lvl>
  </w:abstractNum>
  <w:abstractNum w:abstractNumId="32">
    <w:nsid w:val="6C80EC70"/>
    <w:multiLevelType w:val="hybridMultilevel"/>
    <w:lvl w:ilvl="0">
      <w:lvlJc w:val="left"/>
      <w:lvlText w:val="(%1)"/>
      <w:numFmt w:val="decimal"/>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1)"/>
      <w:numFmt w:val="decimal"/>
      <w:start w:val="1"/>
    </w:lvl>
  </w:abstractNum>
  <w:abstractNum w:abstractNumId="35">
    <w:nsid w:val="2C27173B"/>
    <w:multiLevelType w:val="hybridMultilevel"/>
    <w:lvl w:ilvl="0">
      <w:lvlJc w:val="left"/>
      <w:lvlText w:val="(%1)"/>
      <w:numFmt w:val="lowerLetter"/>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1)"/>
      <w:numFmt w:val="decimal"/>
      <w:start w:val="1"/>
    </w:lvl>
  </w:abstractNum>
  <w:abstractNum w:abstractNumId="38">
    <w:nsid w:val="1DF029D3"/>
    <w:multiLevelType w:val="hybridMultilevel"/>
    <w:lvl w:ilvl="0">
      <w:lvlJc w:val="left"/>
      <w:lvlText w:val="(%1)"/>
      <w:numFmt w:val="decimal"/>
      <w:start w:val="1"/>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1)"/>
      <w:numFmt w:val="decimal"/>
      <w:start w:val="1"/>
    </w:lvl>
  </w:abstractNum>
  <w:abstractNum w:abstractNumId="41">
    <w:nsid w:val="3DB012B3"/>
    <w:multiLevelType w:val="hybridMultilevel"/>
    <w:lvl w:ilvl="0">
      <w:lvlJc w:val="left"/>
      <w:lvlText w:val="•"/>
      <w:numFmt w:val="bullet"/>
      <w:start w:val="1"/>
    </w:lvl>
  </w:abstractNum>
  <w:abstractNum w:abstractNumId="42">
    <w:nsid w:val="2708C9AF"/>
    <w:multiLevelType w:val="hybridMultilevel"/>
    <w:lvl w:ilvl="0">
      <w:lvlJc w:val="left"/>
      <w:lvlText w:val="(%1)"/>
      <w:numFmt w:val="decimal"/>
      <w:start w:val="1"/>
    </w:lvl>
  </w:abstractNum>
  <w:abstractNum w:abstractNumId="43">
    <w:nsid w:val="5B25ACE2"/>
    <w:multiLevelType w:val="hybridMultilevel"/>
    <w:lvl w:ilvl="0">
      <w:lvlJc w:val="left"/>
      <w:lvlText w:val="(%1)"/>
      <w:numFmt w:val="decimal"/>
      <w:start w:val="1"/>
    </w:lvl>
  </w:abstractNum>
  <w:abstractNum w:abstractNumId="44">
    <w:nsid w:val="175DFCF0"/>
    <w:multiLevelType w:val="hybridMultilevel"/>
    <w:lvl w:ilvl="0">
      <w:lvlJc w:val="left"/>
      <w:lvlText w:val="•"/>
      <w:numFmt w:val="bullet"/>
      <w:start w:val="1"/>
    </w:lvl>
  </w:abstractNum>
  <w:abstractNum w:abstractNumId="45">
    <w:nsid w:val="4F97E3E4"/>
    <w:multiLevelType w:val="hybridMultilevel"/>
    <w:lvl w:ilvl="0">
      <w:lvlJc w:val="left"/>
      <w:lvlText w:val="(%1)"/>
      <w:numFmt w:val="decimal"/>
      <w:start w:val="1"/>
    </w:lvl>
  </w:abstractNum>
  <w:abstractNum w:abstractNumId="46">
    <w:nsid w:val="53B0A9E"/>
    <w:multiLevelType w:val="hybridMultilevel"/>
    <w:lvl w:ilvl="0">
      <w:lvlJc w:val="left"/>
      <w:lvlText w:val="(%1)"/>
      <w:numFmt w:val="decimal"/>
      <w:start w:val="1"/>
    </w:lvl>
  </w:abstractNum>
  <w:abstractNum w:abstractNumId="47">
    <w:nsid w:val="34FD6B4F"/>
    <w:multiLevelType w:val="hybridMultilevel"/>
    <w:lvl w:ilvl="0">
      <w:lvlJc w:val="left"/>
      <w:lvlText w:val="(%1)"/>
      <w:numFmt w:val="decimal"/>
      <w:start w:val="1"/>
    </w:lvl>
  </w:abstractNum>
  <w:abstractNum w:abstractNumId="48">
    <w:nsid w:val="5915FF32"/>
    <w:multiLevelType w:val="hybridMultilevel"/>
    <w:lvl w:ilvl="0">
      <w:lvlJc w:val="left"/>
      <w:lvlText w:val="(%1)"/>
      <w:numFmt w:val="decimal"/>
      <w:start w:val="1"/>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lowerLetter"/>
      <w:start w:val="4"/>
    </w:lvl>
  </w:abstractNum>
  <w:abstractNum w:abstractNumId="51">
    <w:nsid w:val="2C6E4AFD"/>
    <w:multiLevelType w:val="hybridMultilevel"/>
    <w:lvl w:ilvl="0">
      <w:lvlJc w:val="left"/>
      <w:lvlText w:val="•"/>
      <w:numFmt w:val="bullet"/>
      <w:start w:val="1"/>
    </w:lvl>
  </w:abstractNum>
  <w:abstractNum w:abstractNumId="52">
    <w:nsid w:val="17A1B582"/>
    <w:multiLevelType w:val="hybridMultilevel"/>
    <w:lvl w:ilvl="0">
      <w:lvlJc w:val="left"/>
      <w:lvlText w:val="•"/>
      <w:numFmt w:val="bullet"/>
      <w:start w:val="1"/>
    </w:lvl>
    <w:lvl w:ilvl="1">
      <w:lvlJc w:val="left"/>
      <w:lvlText w:val="•"/>
      <w:numFmt w:val="bullet"/>
      <w:start w:val="1"/>
    </w:lvl>
  </w:abstractNum>
  <w:abstractNum w:abstractNumId="53">
    <w:nsid w:val="4DF72E4E"/>
    <w:multiLevelType w:val="hybridMultilevel"/>
    <w:lvl w:ilvl="0">
      <w:lvlJc w:val="left"/>
      <w:lvlText w:val="•"/>
      <w:numFmt w:val="bullet"/>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
      <w:numFmt w:val="bullet"/>
      <w:start w:val="1"/>
    </w:lvl>
  </w:abstractNum>
  <w:abstractNum w:abstractNumId="56">
    <w:nsid w:val="2A082C70"/>
    <w:multiLevelType w:val="hybridMultilevel"/>
    <w:lvl w:ilvl="0">
      <w:lvlJc w:val="left"/>
      <w:lvlText w:val="•"/>
      <w:numFmt w:val="bullet"/>
      <w:start w:val="1"/>
    </w:lvl>
  </w:abstractNum>
  <w:abstractNum w:abstractNumId="57">
    <w:nsid w:val="5EC6AFD4"/>
    <w:multiLevelType w:val="hybridMultilevel"/>
    <w:lvl w:ilvl="0">
      <w:lvlJc w:val="left"/>
      <w:lvlText w:val="•"/>
      <w:numFmt w:val="bullet"/>
      <w:start w:val="1"/>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
      <w:numFmt w:val="bullet"/>
      <w:start w:val="1"/>
    </w:lvl>
  </w:abstractNum>
  <w:abstractNum w:abstractNumId="60">
    <w:nsid w:val="57A61A29"/>
    <w:multiLevelType w:val="hybridMultilevel"/>
    <w:lvl w:ilvl="0">
      <w:lvlJc w:val="left"/>
      <w:lvlText w:val="(%1)"/>
      <w:numFmt w:val="decimal"/>
      <w:start w:val="22"/>
    </w:lvl>
  </w:abstractNum>
  <w:abstractNum w:abstractNumId="61">
    <w:nsid w:val="5399C654"/>
    <w:multiLevelType w:val="hybridMultilevel"/>
    <w:lvl w:ilvl="0">
      <w:lvlJc w:val="left"/>
      <w:lvlText w:val="%1."/>
      <w:numFmt w:val="decimal"/>
      <w:start w:val="1"/>
    </w:lvl>
  </w:abstractNum>
  <w:abstractNum w:abstractNumId="62">
    <w:nsid w:val="20EE1348"/>
    <w:multiLevelType w:val="hybridMultilevel"/>
    <w:lvl w:ilvl="0">
      <w:lvlJc w:val="left"/>
      <w:lvlText w:val="%1."/>
      <w:numFmt w:val="decimal"/>
      <w:start w:val="2"/>
    </w:lvl>
  </w:abstractNum>
  <w:abstractNum w:abstractNumId="63">
    <w:nsid w:val="4427069A"/>
    <w:multiLevelType w:val="hybridMultilevel"/>
    <w:lvl w:ilvl="0">
      <w:lvlJc w:val="left"/>
      <w:lvlText w:val="%1."/>
      <w:numFmt w:val="decimal"/>
      <w:start w:val="3"/>
    </w:lvl>
  </w:abstractNum>
  <w:abstractNum w:abstractNumId="64">
    <w:nsid w:val="B37E80A"/>
    <w:multiLevelType w:val="hybridMultilevel"/>
    <w:lvl w:ilvl="0">
      <w:lvlJc w:val="left"/>
      <w:lvlText w:val="%1."/>
      <w:numFmt w:val="decimal"/>
      <w:start w:val="4"/>
    </w:lvl>
  </w:abstractNum>
  <w:abstractNum w:abstractNumId="65">
    <w:nsid w:val="2157F6BC"/>
    <w:multiLevelType w:val="hybridMultilevel"/>
    <w:lvl w:ilvl="0">
      <w:lvlJc w:val="left"/>
      <w:lvlText w:val="%1."/>
      <w:numFmt w:val="decimal"/>
      <w:start w:val="6"/>
    </w:lvl>
  </w:abstractNum>
  <w:abstractNum w:abstractNumId="66">
    <w:nsid w:val="704E1DD5"/>
    <w:multiLevelType w:val="hybridMultilevel"/>
    <w:lvl w:ilvl="0">
      <w:lvlJc w:val="left"/>
      <w:lvlText w:val="%1."/>
      <w:numFmt w:val="decimal"/>
      <w:start w:val="7"/>
    </w:lvl>
  </w:abstractNum>
  <w:abstractNum w:abstractNumId="67">
    <w:nsid w:val="57D2F10E"/>
    <w:multiLevelType w:val="hybridMultilevel"/>
    <w:lvl w:ilvl="0">
      <w:lvlJc w:val="left"/>
      <w:lvlText w:val="%1."/>
      <w:numFmt w:val="decimal"/>
      <w:start w:val="8"/>
    </w:lvl>
  </w:abstractNum>
  <w:abstractNum w:abstractNumId="68">
    <w:nsid w:val="BFFAE18"/>
    <w:multiLevelType w:val="hybridMultilevel"/>
    <w:lvl w:ilvl="0">
      <w:lvlJc w:val="left"/>
      <w:lvlText w:val="%1."/>
      <w:numFmt w:val="decimal"/>
      <w:start w:val="9"/>
    </w:lvl>
  </w:abstractNum>
  <w:abstractNum w:abstractNumId="69">
    <w:nsid w:val="E3E47A8"/>
    <w:multiLevelType w:val="hybridMultilevel"/>
    <w:lvl w:ilvl="0">
      <w:lvlJc w:val="left"/>
      <w:lvlText w:val="(%1)"/>
      <w:numFmt w:val="lowerRoman"/>
      <w:start w:val="1"/>
    </w:lvl>
  </w:abstractNum>
  <w:abstractNum w:abstractNumId="70">
    <w:nsid w:val="2E48F044"/>
    <w:multiLevelType w:val="hybridMultilevel"/>
    <w:lvl w:ilvl="0">
      <w:lvlJc w:val="left"/>
      <w:lvlText w:val="%1."/>
      <w:numFmt w:val="decimal"/>
      <w:start w:val="10"/>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1."/>
      <w:numFmt w:val="decimal"/>
      <w:start w:val="1"/>
    </w:lvl>
  </w:abstractNum>
  <w:abstractNum w:abstractNumId="74">
    <w:nsid w:val="24F6AB8E"/>
    <w:multiLevelType w:val="hybridMultilevel"/>
    <w:lvl w:ilvl="0">
      <w:lvlJc w:val="left"/>
      <w:lvlText w:val="%1."/>
      <w:numFmt w:val="decimal"/>
      <w:start w:val="2"/>
    </w:lvl>
  </w:abstractNum>
  <w:abstractNum w:abstractNumId="75">
    <w:nsid w:val="634C574C"/>
    <w:multiLevelType w:val="hybridMultilevel"/>
    <w:lvl w:ilvl="0">
      <w:lvlJc w:val="left"/>
      <w:lvlText w:val="%1."/>
      <w:numFmt w:val="decimal"/>
      <w:start w:val="3"/>
    </w:lvl>
  </w:abstractNum>
  <w:abstractNum w:abstractNumId="76">
    <w:nsid w:val="24E99DD7"/>
    <w:multiLevelType w:val="hybridMultilevel"/>
    <w:lvl w:ilvl="0">
      <w:lvlJc w:val="left"/>
      <w:lvlText w:val="%1."/>
      <w:numFmt w:val="decimal"/>
      <w:start w:val="1"/>
    </w:lvl>
  </w:abstractNum>
  <w:abstractNum w:abstractNumId="77">
    <w:nsid w:val="2A31B62D"/>
    <w:multiLevelType w:val="hybridMultilevel"/>
    <w:lvl w:ilvl="0">
      <w:lvlJc w:val="left"/>
      <w:lvlText w:val="(%1)"/>
      <w:numFmt w:val="lowerLetter"/>
      <w:start w:val="1"/>
    </w:lvl>
    <w:lvl w:ilvl="1">
      <w:lvlJc w:val="left"/>
      <w:lvlText w:val="(%2)"/>
      <w:numFmt w:val="lowerRoman"/>
      <w:start w:val="1"/>
    </w:lvl>
  </w:abstractNum>
  <w:abstractNum w:abstractNumId="78">
    <w:nsid w:val="1849C29B"/>
    <w:multiLevelType w:val="hybridMultilevel"/>
    <w:lvl w:ilvl="0">
      <w:lvlJc w:val="left"/>
      <w:lvlText w:val="(%1)"/>
      <w:numFmt w:val="lowerLetter"/>
      <w:start w:val="3"/>
    </w:lvl>
  </w:abstractNum>
  <w:abstractNum w:abstractNumId="79">
    <w:nsid w:val="7DFF9D09"/>
    <w:multiLevelType w:val="hybridMultilevel"/>
    <w:lvl w:ilvl="0">
      <w:lvlJc w:val="left"/>
      <w:lvlText w:val="%1."/>
      <w:numFmt w:val="decimal"/>
      <w:start w:val="2"/>
    </w:lvl>
  </w:abstractNum>
  <w:abstractNum w:abstractNumId="80">
    <w:nsid w:val="754342"/>
    <w:multiLevelType w:val="hybridMultilevel"/>
    <w:lvl w:ilvl="0">
      <w:lvlJc w:val="left"/>
      <w:lvlText w:val="%1."/>
      <w:numFmt w:val="decimal"/>
      <w:start w:val="4"/>
    </w:lvl>
  </w:abstractNum>
  <w:abstractNum w:abstractNumId="81">
    <w:nsid w:val="69E7F3E5"/>
    <w:multiLevelType w:val="hybridMultilevel"/>
    <w:lvl w:ilvl="0">
      <w:lvlJc w:val="left"/>
      <w:lvlText w:val="(%1)"/>
      <w:numFmt w:val="lowerLetter"/>
      <w:start w:val="1"/>
    </w:lvl>
  </w:abstractNum>
  <w:abstractNum w:abstractNumId="82">
    <w:nsid w:val="2A6DE806"/>
    <w:multiLevelType w:val="hybridMultilevel"/>
    <w:lvl w:ilvl="0">
      <w:lvlJc w:val="left"/>
      <w:lvlText w:val="(%1)"/>
      <w:numFmt w:val="lowerRoman"/>
      <w:start w:val="1"/>
    </w:lvl>
  </w:abstractNum>
  <w:abstractNum w:abstractNumId="83">
    <w:nsid w:val="1816F8C4"/>
    <w:multiLevelType w:val="hybridMultilevel"/>
    <w:lvl w:ilvl="0">
      <w:lvlJc w:val="left"/>
      <w:lvlText w:val="%1."/>
      <w:numFmt w:val="decimal"/>
      <w:start w:val="5"/>
    </w:lvl>
  </w:abstractNum>
  <w:abstractNum w:abstractNumId="84">
    <w:nsid w:val="37DF2233"/>
    <w:multiLevelType w:val="hybridMultilevel"/>
    <w:lvl w:ilvl="0">
      <w:lvlJc w:val="left"/>
      <w:lvlText w:val="%1."/>
      <w:numFmt w:val="decimal"/>
      <w:start w:val="6"/>
    </w:lvl>
  </w:abstractNum>
  <w:abstractNum w:abstractNumId="85">
    <w:nsid w:val="7AB49DAF"/>
    <w:multiLevelType w:val="hybridMultilevel"/>
    <w:lvl w:ilvl="0">
      <w:lvlJc w:val="left"/>
      <w:lvlText w:val="%1."/>
      <w:numFmt w:val="decimal"/>
      <w:start w:val="7"/>
    </w:lvl>
  </w:abstractNum>
  <w:abstractNum w:abstractNumId="86">
    <w:nsid w:val="759F82CD"/>
    <w:multiLevelType w:val="hybridMultilevel"/>
    <w:lvl w:ilvl="0">
      <w:lvlJc w:val="left"/>
      <w:lvlText w:val="%1."/>
      <w:numFmt w:val="decimal"/>
      <w:start w:val="8"/>
    </w:lvl>
  </w:abstractNum>
  <w:abstractNum w:abstractNumId="87">
    <w:nsid w:val="61E74EA3"/>
    <w:multiLevelType w:val="hybridMultilevel"/>
    <w:lvl w:ilvl="0">
      <w:lvlJc w:val="left"/>
      <w:lvlText w:val="(%1)"/>
      <w:numFmt w:val="lowerLetter"/>
      <w:start w:val="1"/>
    </w:lvl>
  </w:abstractNum>
  <w:abstractNum w:abstractNumId="88">
    <w:nsid w:val="597B4D84"/>
    <w:multiLevelType w:val="hybridMultilevel"/>
    <w:lvl w:ilvl="0">
      <w:lvlJc w:val="left"/>
      <w:lvlText w:val="%1."/>
      <w:numFmt w:val="decimal"/>
      <w:start w:val="9"/>
    </w:lvl>
  </w:abstractNum>
  <w:abstractNum w:abstractNumId="89">
    <w:nsid w:val="F819E7F"/>
    <w:multiLevelType w:val="hybridMultilevel"/>
    <w:lvl w:ilvl="0">
      <w:lvlJc w:val="left"/>
      <w:lvlText w:val="%1."/>
      <w:numFmt w:val="decimal"/>
      <w:start w:val="12"/>
    </w:lvl>
  </w:abstractNum>
  <w:abstractNum w:abstractNumId="90">
    <w:nsid w:val="57C7D42D"/>
    <w:multiLevelType w:val="hybridMultilevel"/>
    <w:lvl w:ilvl="0">
      <w:lvlJc w:val="left"/>
      <w:lvlText w:val="%1."/>
      <w:numFmt w:val="upperLetter"/>
      <w:start w:val="1"/>
    </w:lvl>
  </w:abstractNum>
  <w:abstractNum w:abstractNumId="91">
    <w:nsid w:val="312167AD"/>
    <w:multiLevelType w:val="hybridMultilevel"/>
    <w:lvl w:ilvl="0">
      <w:lvlJc w:val="left"/>
      <w:lvlText w:val="%1."/>
      <w:numFmt w:val="decimal"/>
      <w:start w:val="1"/>
    </w:lvl>
  </w:abstractNum>
  <w:abstractNum w:abstractNumId="92">
    <w:nsid w:val="631B64D4"/>
    <w:multiLevelType w:val="hybridMultilevel"/>
    <w:lvl w:ilvl="0">
      <w:lvlJc w:val="left"/>
      <w:lvlText w:val="%1."/>
      <w:numFmt w:val="decimal"/>
      <w:start w:val="5"/>
    </w:lvl>
  </w:abstractNum>
  <w:abstractNum w:abstractNumId="93">
    <w:nsid w:val="78B5E776"/>
    <w:multiLevelType w:val="hybridMultilevel"/>
    <w:lvl w:ilvl="0">
      <w:lvlJc w:val="left"/>
      <w:lvlText w:val="%1."/>
      <w:numFmt w:val="decimal"/>
      <w:start w:val="1"/>
    </w:lvl>
  </w:abstractNum>
  <w:abstractNum w:abstractNumId="94">
    <w:nsid w:val="75486E47"/>
    <w:multiLevelType w:val="hybridMultilevel"/>
    <w:lvl w:ilvl="0">
      <w:lvlJc w:val="left"/>
      <w:lvlText w:val="%1."/>
      <w:numFmt w:val="decimal"/>
      <w:start w:val="2"/>
    </w:lvl>
  </w:abstractNum>
  <w:abstractNum w:abstractNumId="95">
    <w:nsid w:val="6E534CDE"/>
    <w:multiLevelType w:val="hybridMultilevel"/>
    <w:lvl w:ilvl="0">
      <w:lvlJc w:val="left"/>
      <w:lvlText w:val="%1."/>
      <w:numFmt w:val="decimal"/>
      <w:start w:val="3"/>
    </w:lvl>
  </w:abstractNum>
  <w:abstractNum w:abstractNumId="96">
    <w:nsid w:val="1A0DDE32"/>
    <w:multiLevelType w:val="hybridMultilevel"/>
    <w:lvl w:ilvl="0">
      <w:lvlJc w:val="left"/>
      <w:lvlText w:val="%1."/>
      <w:numFmt w:val="decimal"/>
      <w:start w:val="4"/>
    </w:lvl>
  </w:abstractNum>
  <w:abstractNum w:abstractNumId="97">
    <w:nsid w:val="65968C1C"/>
    <w:multiLevelType w:val="hybridMultilevel"/>
    <w:lvl w:ilvl="0">
      <w:lvlJc w:val="left"/>
      <w:lvlText w:val="%1."/>
      <w:numFmt w:val="decimal"/>
      <w:start w:val="5"/>
    </w:lvl>
  </w:abstractNum>
  <w:abstractNum w:abstractNumId="98">
    <w:nsid w:val="46263DEC"/>
    <w:multiLevelType w:val="hybridMultilevel"/>
    <w:lvl w:ilvl="0">
      <w:lvlJc w:val="left"/>
      <w:lvlText w:val="%1."/>
      <w:numFmt w:val="decimal"/>
      <w:start w:val="7"/>
    </w:lvl>
  </w:abstractNum>
  <w:abstractNum w:abstractNumId="99">
    <w:nsid w:val="260D8C4A"/>
    <w:multiLevelType w:val="hybridMultilevel"/>
    <w:lvl w:ilvl="0">
      <w:lvlJc w:val="left"/>
      <w:lvlText w:val="%1."/>
      <w:numFmt w:val="decimal"/>
      <w:start w:val="8"/>
    </w:lvl>
  </w:abstractNum>
  <w:abstractNum w:abstractNumId="100">
    <w:nsid w:val="73D4D3C4"/>
    <w:multiLevelType w:val="hybridMultilevel"/>
    <w:lvl w:ilvl="0">
      <w:lvlJc w:val="left"/>
      <w:lvlText w:val="%1."/>
      <w:numFmt w:val="decimal"/>
      <w:start w:val="10"/>
    </w:lvl>
  </w:abstractNum>
  <w:abstractNum w:abstractNumId="101">
    <w:nsid w:val="746F2E30"/>
    <w:multiLevelType w:val="hybridMultilevel"/>
    <w:lvl w:ilvl="0">
      <w:lvlJc w:val="left"/>
      <w:lvlText w:val="%1."/>
      <w:numFmt w:val="decimal"/>
      <w:start w:val="11"/>
    </w:lvl>
  </w:abstractNum>
  <w:abstractNum w:abstractNumId="102">
    <w:nsid w:val="6FDE8AF6"/>
    <w:multiLevelType w:val="hybridMultilevel"/>
    <w:lvl w:ilvl="0">
      <w:lvlJc w:val="left"/>
      <w:lvlText w:val="%1."/>
      <w:numFmt w:val="decimal"/>
      <w:start w:val="1"/>
    </w:lvl>
  </w:abstractNum>
  <w:abstractNum w:abstractNumId="103">
    <w:nsid w:val="3FC32E20"/>
    <w:multiLevelType w:val="hybridMultilevel"/>
    <w:lvl w:ilvl="0">
      <w:lvlJc w:val="left"/>
      <w:lvlText w:val="%1."/>
      <w:numFmt w:val="decimal"/>
      <w:start w:val="5"/>
    </w:lvl>
  </w:abstractNum>
  <w:abstractNum w:abstractNumId="104">
    <w:nsid w:val="49C0E823"/>
    <w:multiLevelType w:val="hybridMultilevel"/>
    <w:lvl w:ilvl="0">
      <w:lvlJc w:val="left"/>
      <w:lvlText w:val="%1."/>
      <w:numFmt w:val="decimal"/>
      <w:start w:val="7"/>
    </w:lvl>
  </w:abstractNum>
  <w:abstractNum w:abstractNumId="105">
    <w:nsid w:val="14D53685"/>
    <w:multiLevelType w:val="hybridMultilevel"/>
    <w:lvl w:ilvl="0">
      <w:lvlJc w:val="left"/>
      <w:lvlText w:val="(%1)"/>
      <w:numFmt w:val="lowerLetter"/>
      <w:start w:val="1"/>
    </w:lvl>
  </w:abstractNum>
  <w:abstractNum w:abstractNumId="106">
    <w:nsid w:val="230F856C"/>
    <w:multiLevelType w:val="hybridMultilevel"/>
    <w:lvl w:ilvl="0">
      <w:lvlJc w:val="left"/>
      <w:lvlText w:val="(%1)"/>
      <w:numFmt w:val="lowerLetter"/>
      <w:start w:val="2"/>
    </w:lvl>
  </w:abstractNum>
  <w:abstractNum w:abstractNumId="107">
    <w:nsid w:val="6EAA85FB"/>
    <w:multiLevelType w:val="hybridMultilevel"/>
    <w:lvl w:ilvl="0">
      <w:lvlJc w:val="left"/>
      <w:lvlText w:val="(%1)"/>
      <w:numFmt w:val="lowerRoman"/>
      <w:start w:val="3"/>
    </w:lvl>
  </w:abstractNum>
  <w:abstractNum w:abstractNumId="108">
    <w:nsid w:val="3F06ECB2"/>
    <w:multiLevelType w:val="hybridMultilevel"/>
    <w:lvl w:ilvl="0">
      <w:lvlJc w:val="left"/>
      <w:lvlText w:val="%1."/>
      <w:numFmt w:val="decimal"/>
      <w:start w:val="1"/>
    </w:lvl>
  </w:abstractNum>
  <w:abstractNum w:abstractNumId="109">
    <w:nsid w:val="3B594807"/>
    <w:multiLevelType w:val="hybridMultilevel"/>
    <w:lvl w:ilvl="0">
      <w:lvlJc w:val="left"/>
      <w:lvlText w:val="%1."/>
      <w:numFmt w:val="decimal"/>
      <w:start w:val="2"/>
    </w:lvl>
  </w:abstractNum>
  <w:abstractNum w:abstractNumId="110">
    <w:nsid w:val="6CAA2304"/>
    <w:multiLevelType w:val="hybridMultilevel"/>
    <w:lvl w:ilvl="0">
      <w:lvlJc w:val="left"/>
      <w:lvlText w:val="%1."/>
      <w:numFmt w:val="decimal"/>
      <w:start w:val="4"/>
    </w:lvl>
  </w:abstractNum>
  <w:abstractNum w:abstractNumId="111">
    <w:nsid w:val="3F7C2FF4"/>
    <w:multiLevelType w:val="hybridMultilevel"/>
    <w:lvl w:ilvl="0">
      <w:lvlJc w:val="left"/>
      <w:lvlText w:val="%1."/>
      <w:numFmt w:val="decimal"/>
      <w:start w:val="5"/>
    </w:lvl>
  </w:abstractNum>
  <w:abstractNum w:abstractNumId="112">
    <w:nsid w:val="25413BEC"/>
    <w:multiLevelType w:val="hybridMultilevel"/>
    <w:lvl w:ilvl="0">
      <w:lvlJc w:val="left"/>
      <w:lvlText w:val="%1."/>
      <w:numFmt w:val="decimal"/>
      <w:start w:val="7"/>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decimal"/>
      <w:start w:val="8"/>
    </w:lvl>
  </w:abstractNum>
  <w:abstractNum w:abstractNumId="115">
    <w:nsid w:val="5D205E20"/>
    <w:multiLevelType w:val="hybridMultilevel"/>
    <w:lvl w:ilvl="0">
      <w:lvlJc w:val="left"/>
      <w:lvlText w:val="%1."/>
      <w:numFmt w:val="decimal"/>
      <w:start w:val="9"/>
    </w:lvl>
  </w:abstractNum>
  <w:abstractNum w:abstractNumId="116">
    <w:nsid w:val="11CCA8BA"/>
    <w:multiLevelType w:val="hybridMultilevel"/>
    <w:lvl w:ilvl="0">
      <w:lvlJc w:val="left"/>
      <w:lvlText w:val="%1."/>
      <w:numFmt w:val="decimal"/>
      <w:start w:val="10"/>
    </w:lvl>
  </w:abstractNum>
  <w:abstractNum w:abstractNumId="117">
    <w:nsid w:val="4D32AB86"/>
    <w:multiLevelType w:val="hybridMultilevel"/>
    <w:lvl w:ilvl="0">
      <w:lvlJc w:val="left"/>
      <w:lvlText w:val="%1."/>
      <w:numFmt w:val="decimal"/>
      <w:start w:val="11"/>
    </w:lvl>
  </w:abstractNum>
  <w:abstractNum w:abstractNumId="118">
    <w:nsid w:val="3F07ACC3"/>
    <w:multiLevelType w:val="hybridMultilevel"/>
    <w:lvl w:ilvl="0">
      <w:lvlJc w:val="left"/>
      <w:lvlText w:val="%1."/>
      <w:numFmt w:val="decimal"/>
      <w:start w:val="1"/>
    </w:lvl>
  </w:abstractNum>
  <w:abstractNum w:abstractNumId="119">
    <w:nsid w:val="6B47F63E"/>
    <w:multiLevelType w:val="hybridMultilevel"/>
    <w:lvl w:ilvl="0">
      <w:lvlJc w:val="left"/>
      <w:lvlText w:val="%1."/>
      <w:numFmt w:val="decimal"/>
      <w:start w:val="3"/>
    </w:lvl>
  </w:abstractNum>
  <w:abstractNum w:abstractNumId="120">
    <w:nsid w:val="5CB44A05"/>
    <w:multiLevelType w:val="hybridMultilevel"/>
    <w:lvl w:ilvl="0">
      <w:lvlJc w:val="left"/>
      <w:lvlText w:val="%1."/>
      <w:numFmt w:val="decimal"/>
      <w:start w:val="4"/>
    </w:lvl>
  </w:abstractNum>
  <w:abstractNum w:abstractNumId="121">
    <w:nsid w:val="16CF80F1"/>
    <w:multiLevelType w:val="hybridMultilevel"/>
    <w:lvl w:ilvl="0">
      <w:lvlJc w:val="left"/>
      <w:lvlText w:val="%1."/>
      <w:numFmt w:val="decimal"/>
      <w:start w:val="5"/>
    </w:lvl>
  </w:abstractNum>
  <w:abstractNum w:abstractNumId="122">
    <w:nsid w:val="1C695DEC"/>
    <w:multiLevelType w:val="hybridMultilevel"/>
    <w:lvl w:ilvl="0">
      <w:lvlJc w:val="left"/>
      <w:lvlText w:val="%1."/>
      <w:numFmt w:val="decimal"/>
      <w:start w:val="6"/>
    </w:lvl>
  </w:abstractNum>
  <w:abstractNum w:abstractNumId="123">
    <w:nsid w:val="3FCFAED9"/>
    <w:multiLevelType w:val="hybridMultilevel"/>
    <w:lvl w:ilvl="0">
      <w:lvlJc w:val="left"/>
      <w:lvlText w:val="%1."/>
      <w:numFmt w:val="decimal"/>
      <w:start w:val="7"/>
    </w:lvl>
  </w:abstractNum>
  <w:abstractNum w:abstractNumId="124">
    <w:nsid w:val="F856867"/>
    <w:multiLevelType w:val="hybridMultilevel"/>
    <w:lvl w:ilvl="0">
      <w:lvlJc w:val="left"/>
      <w:lvlText w:val="%1."/>
      <w:numFmt w:val="decimal"/>
      <w:start w:val="8"/>
    </w:lvl>
  </w:abstractNum>
  <w:abstractNum w:abstractNumId="125">
    <w:nsid w:val="11B1CC33"/>
    <w:multiLevelType w:val="hybridMultilevel"/>
    <w:lvl w:ilvl="0">
      <w:lvlJc w:val="left"/>
      <w:lvlText w:val="%1."/>
      <w:numFmt w:val="decimal"/>
      <w:start w:val="10"/>
    </w:lvl>
  </w:abstractNum>
  <w:abstractNum w:abstractNumId="126">
    <w:nsid w:val="2E22FBB7"/>
    <w:multiLevelType w:val="hybridMultilevel"/>
    <w:lvl w:ilvl="0">
      <w:lvlJc w:val="left"/>
      <w:lvlText w:val="%1."/>
      <w:numFmt w:val="decimal"/>
      <w:start w:val="11"/>
    </w:lvl>
  </w:abstractNum>
  <w:abstractNum w:abstractNumId="127">
    <w:nsid w:val="29934699"/>
    <w:multiLevelType w:val="hybridMultilevel"/>
    <w:lvl w:ilvl="0">
      <w:lvlJc w:val="left"/>
      <w:lvlText w:val="%1."/>
      <w:numFmt w:val="decimal"/>
      <w:start w:val="1"/>
    </w:lvl>
  </w:abstractNum>
  <w:abstractNum w:abstractNumId="128">
    <w:nsid w:val="77485850"/>
    <w:multiLevelType w:val="hybridMultilevel"/>
    <w:lvl w:ilvl="0">
      <w:lvlJc w:val="left"/>
      <w:lvlText w:val="%1."/>
      <w:numFmt w:val="decimal"/>
      <w:start w:val="5"/>
    </w:lvl>
  </w:abstractNum>
  <w:abstractNum w:abstractNumId="129">
    <w:nsid w:val="744939A3"/>
    <w:multiLevelType w:val="hybridMultilevel"/>
    <w:lvl w:ilvl="0">
      <w:lvlJc w:val="left"/>
      <w:lvlText w:val="%1."/>
      <w:numFmt w:val="decimal"/>
      <w:start w:val="7"/>
    </w:lvl>
  </w:abstractNum>
  <w:abstractNum w:abstractNumId="130">
    <w:nsid w:val="4FA0D2E3"/>
    <w:multiLevelType w:val="hybridMultilevel"/>
    <w:lvl w:ilvl="0">
      <w:lvlJc w:val="left"/>
      <w:lvlText w:val="(%1)"/>
      <w:numFmt w:val="lowerLetter"/>
      <w:start w:val="1"/>
    </w:lvl>
  </w:abstractNum>
  <w:abstractNum w:abstractNumId="131">
    <w:nsid w:val="6B1D2C14"/>
    <w:multiLevelType w:val="hybridMultilevel"/>
    <w:lvl w:ilvl="0">
      <w:lvlJc w:val="left"/>
      <w:lvlText w:val="(%1)"/>
      <w:numFmt w:val="lowerLetter"/>
      <w:start w:val="2"/>
    </w:lvl>
  </w:abstractNum>
  <w:abstractNum w:abstractNumId="132">
    <w:nsid w:val="68B867D3"/>
    <w:multiLevelType w:val="hybridMultilevel"/>
    <w:lvl w:ilvl="0">
      <w:lvlJc w:val="left"/>
      <w:lvlText w:val="(%1)"/>
      <w:numFmt w:val="lowerRoman"/>
      <w:start w:val="2"/>
    </w:lvl>
  </w:abstractNum>
  <w:abstractNum w:abstractNumId="133">
    <w:nsid w:val="3F7F5DD9"/>
    <w:multiLevelType w:val="hybridMultilevel"/>
    <w:lvl w:ilvl="0">
      <w:lvlJc w:val="left"/>
      <w:lvlText w:val="%1."/>
      <w:numFmt w:val="decimal"/>
      <w:start w:val="1"/>
    </w:lvl>
  </w:abstractNum>
  <w:abstractNum w:abstractNumId="134">
    <w:nsid w:val="2AE05A34"/>
    <w:multiLevelType w:val="hybridMultilevel"/>
    <w:lvl w:ilvl="0">
      <w:lvlJc w:val="left"/>
      <w:lvlText w:val="%1."/>
      <w:numFmt w:val="decimal"/>
      <w:start w:val="2"/>
    </w:lvl>
  </w:abstractNum>
  <w:abstractNum w:abstractNumId="135">
    <w:nsid w:val="32794FF7"/>
    <w:multiLevelType w:val="hybridMultilevel"/>
    <w:lvl w:ilvl="0">
      <w:lvlJc w:val="left"/>
      <w:lvlText w:val="%1."/>
      <w:numFmt w:val="decimal"/>
      <w:start w:val="3"/>
    </w:lvl>
  </w:abstractNum>
  <w:abstractNum w:abstractNumId="136">
    <w:nsid w:val="5454945E"/>
    <w:multiLevelType w:val="hybridMultilevel"/>
    <w:lvl w:ilvl="0">
      <w:lvlJc w:val="left"/>
      <w:lvlText w:val="%1."/>
      <w:numFmt w:val="decimal"/>
      <w:start w:val="4"/>
    </w:lvl>
  </w:abstractNum>
  <w:abstractNum w:abstractNumId="137">
    <w:nsid w:val="4DEFDFA0"/>
    <w:multiLevelType w:val="hybridMultilevel"/>
    <w:lvl w:ilvl="0">
      <w:lvlJc w:val="left"/>
      <w:lvlText w:val="%1."/>
      <w:numFmt w:val="decimal"/>
      <w:start w:val="5"/>
    </w:lvl>
  </w:abstractNum>
  <w:abstractNum w:abstractNumId="138">
    <w:nsid w:val="2123D5F2"/>
    <w:multiLevelType w:val="hybridMultilevel"/>
    <w:lvl w:ilvl="0">
      <w:lvlJc w:val="left"/>
      <w:lvlText w:val="%1."/>
      <w:numFmt w:val="decimal"/>
      <w:start w:val="6"/>
    </w:lvl>
  </w:abstractNum>
  <w:abstractNum w:abstractNumId="139">
    <w:nsid w:val="135B8110"/>
    <w:multiLevelType w:val="hybridMultilevel"/>
    <w:lvl w:ilvl="0">
      <w:lvlJc w:val="left"/>
      <w:lvlText w:val="(%1)"/>
      <w:numFmt w:val="lowerRoman"/>
      <w:start w:val="1"/>
    </w:lvl>
  </w:abstractNum>
  <w:abstractNum w:abstractNumId="140">
    <w:nsid w:val="94927A8"/>
    <w:multiLevelType w:val="hybridMultilevel"/>
    <w:lvl w:ilvl="0">
      <w:lvlJc w:val="left"/>
      <w:lvlText w:val="%1."/>
      <w:numFmt w:val="decimal"/>
      <w:start w:val="7"/>
    </w:lvl>
  </w:abstractNum>
  <w:abstractNum w:abstractNumId="141">
    <w:nsid w:val="DCDF8F6"/>
    <w:multiLevelType w:val="hybridMultilevel"/>
    <w:lvl w:ilvl="0">
      <w:lvlJc w:val="left"/>
      <w:lvlText w:val="%1."/>
      <w:numFmt w:val="decimal"/>
      <w:start w:val="9"/>
    </w:lvl>
  </w:abstractNum>
  <w:abstractNum w:abstractNumId="142">
    <w:nsid w:val="52D7B105"/>
    <w:multiLevelType w:val="hybridMultilevel"/>
    <w:lvl w:ilvl="0">
      <w:lvlJc w:val="left"/>
      <w:lvlText w:val="%1."/>
      <w:numFmt w:val="decimal"/>
      <w:start w:val="10"/>
    </w:lvl>
  </w:abstractNum>
  <w:abstractNum w:abstractNumId="143">
    <w:nsid w:val="2E8A6394"/>
    <w:multiLevelType w:val="hybridMultilevel"/>
    <w:lvl w:ilvl="0">
      <w:lvlJc w:val="left"/>
      <w:lvlText w:val="%1."/>
      <w:numFmt w:val="decimal"/>
      <w:start w:val="1"/>
    </w:lvl>
  </w:abstractNum>
  <w:abstractNum w:abstractNumId="144">
    <w:nsid w:val="24E60401"/>
    <w:multiLevelType w:val="hybridMultilevel"/>
    <w:lvl w:ilvl="0">
      <w:lvlJc w:val="left"/>
      <w:lvlText w:val="%1."/>
      <w:numFmt w:val="decimal"/>
      <w:start w:val="2"/>
    </w:lvl>
  </w:abstractNum>
  <w:abstractNum w:abstractNumId="145">
    <w:nsid w:val="2A6AD9BE"/>
    <w:multiLevelType w:val="hybridMultilevel"/>
    <w:lvl w:ilvl="0">
      <w:lvlJc w:val="left"/>
      <w:lvlText w:val="%1."/>
      <w:numFmt w:val="decimal"/>
      <w:start w:val="3"/>
    </w:lvl>
  </w:abstractNum>
  <w:abstractNum w:abstractNumId="146">
    <w:nsid w:val="BAAC1B4"/>
    <w:multiLevelType w:val="hybridMultilevel"/>
    <w:lvl w:ilvl="0">
      <w:lvlJc w:val="left"/>
      <w:lvlText w:val="%1."/>
      <w:numFmt w:val="decimal"/>
      <w:start w:val="4"/>
    </w:lvl>
  </w:abstractNum>
  <w:abstractNum w:abstractNumId="147">
    <w:nsid w:val="36B2ACBC"/>
    <w:multiLevelType w:val="hybridMultilevel"/>
    <w:lvl w:ilvl="0">
      <w:lvlJc w:val="left"/>
      <w:lvlText w:val="%1."/>
      <w:numFmt w:val="decimal"/>
      <w:start w:val="5"/>
    </w:lvl>
  </w:abstractNum>
  <w:abstractNum w:abstractNumId="148">
    <w:nsid w:val="779D8544"/>
    <w:multiLevelType w:val="hybridMultilevel"/>
    <w:lvl w:ilvl="0">
      <w:lvlJc w:val="left"/>
      <w:lvlText w:val="%1."/>
      <w:numFmt w:val="decimal"/>
      <w:start w:val="6"/>
    </w:lvl>
  </w:abstractNum>
  <w:abstractNum w:abstractNumId="149">
    <w:nsid w:val="4AB26E78"/>
    <w:multiLevelType w:val="hybridMultilevel"/>
    <w:lvl w:ilvl="0">
      <w:lvlJc w:val="left"/>
      <w:lvlText w:val="%1."/>
      <w:numFmt w:val="decimal"/>
      <w:start w:val="7"/>
    </w:lvl>
  </w:abstractNum>
  <w:abstractNum w:abstractNumId="150">
    <w:nsid w:val="21FAA2FA"/>
    <w:multiLevelType w:val="hybridMultilevel"/>
    <w:lvl w:ilvl="0">
      <w:lvlJc w:val="left"/>
      <w:lvlText w:val="%1."/>
      <w:numFmt w:val="decimal"/>
      <w:start w:val="1"/>
    </w:lvl>
  </w:abstractNum>
  <w:abstractNum w:abstractNumId="151">
    <w:nsid w:val="5451CF49"/>
    <w:multiLevelType w:val="hybridMultilevel"/>
    <w:lvl w:ilvl="0">
      <w:lvlJc w:val="left"/>
      <w:lvlText w:val="%1."/>
      <w:numFmt w:val="decimal"/>
      <w:start w:val="2"/>
    </w:lvl>
  </w:abstractNum>
  <w:abstractNum w:abstractNumId="152">
    <w:nsid w:val="6181EF69"/>
    <w:multiLevelType w:val="hybridMultilevel"/>
    <w:lvl w:ilvl="0">
      <w:lvlJc w:val="left"/>
      <w:lvlText w:val="%1."/>
      <w:numFmt w:val="decimal"/>
      <w:start w:val="3"/>
    </w:lvl>
  </w:abstractNum>
  <w:abstractNum w:abstractNumId="153">
    <w:nsid w:val="3E6400E6"/>
    <w:multiLevelType w:val="hybridMultilevel"/>
    <w:lvl w:ilvl="0">
      <w:lvlJc w:val="left"/>
      <w:lvlText w:val="%1."/>
      <w:numFmt w:val="decimal"/>
      <w:start w:val="4"/>
    </w:lvl>
  </w:abstractNum>
  <w:abstractNum w:abstractNumId="154">
    <w:nsid w:val="14217E23"/>
    <w:multiLevelType w:val="hybridMultilevel"/>
    <w:lvl w:ilvl="0">
      <w:lvlJc w:val="left"/>
      <w:lvlText w:val="%1."/>
      <w:numFmt w:val="decimal"/>
      <w:start w:val="1"/>
    </w:lvl>
  </w:abstractNum>
  <w:abstractNum w:abstractNumId="155">
    <w:nsid w:val="710757D0"/>
    <w:multiLevelType w:val="hybridMultilevel"/>
    <w:lvl w:ilvl="0">
      <w:lvlJc w:val="left"/>
      <w:lvlText w:val="%1."/>
      <w:numFmt w:val="decimal"/>
      <w:start w:val="2"/>
    </w:lvl>
  </w:abstractNum>
  <w:abstractNum w:abstractNumId="156">
    <w:nsid w:val="5015CD1A"/>
    <w:multiLevelType w:val="hybridMultilevel"/>
    <w:lvl w:ilvl="0">
      <w:lvlJc w:val="left"/>
      <w:lvlText w:val="%1."/>
      <w:numFmt w:val="decimal"/>
      <w:start w:val="3"/>
    </w:lvl>
  </w:abstractNum>
  <w:abstractNum w:abstractNumId="157">
    <w:nsid w:val="424479DA"/>
    <w:multiLevelType w:val="hybridMultilevel"/>
    <w:lvl w:ilvl="0">
      <w:lvlJc w:val="left"/>
      <w:lvlText w:val="%1."/>
      <w:numFmt w:val="decimal"/>
      <w:start w:val="4"/>
    </w:lvl>
  </w:abstractNum>
  <w:abstractNum w:abstractNumId="158">
    <w:nsid w:val="1A9A9E69"/>
    <w:multiLevelType w:val="hybridMultilevel"/>
    <w:lvl w:ilvl="0">
      <w:lvlJc w:val="left"/>
      <w:lvlText w:val="%1."/>
      <w:numFmt w:val="decimal"/>
      <w:start w:val="5"/>
    </w:lvl>
  </w:abstractNum>
  <w:abstractNum w:abstractNumId="159">
    <w:nsid w:val="475E256A"/>
    <w:multiLevelType w:val="hybridMultilevel"/>
    <w:lvl w:ilvl="0">
      <w:lvlJc w:val="left"/>
      <w:lvlText w:val="%1."/>
      <w:numFmt w:val="decimal"/>
      <w:start w:val="1"/>
    </w:lvl>
  </w:abstractNum>
  <w:abstractNum w:abstractNumId="160">
    <w:nsid w:val="368DB37E"/>
    <w:multiLevelType w:val="hybridMultilevel"/>
    <w:lvl w:ilvl="0">
      <w:lvlJc w:val="left"/>
      <w:lvlText w:val="%1."/>
      <w:numFmt w:val="decimal"/>
      <w:start w:val="2"/>
    </w:lvl>
  </w:abstractNum>
  <w:abstractNum w:abstractNumId="161">
    <w:nsid w:val="6A3B714C"/>
    <w:multiLevelType w:val="hybridMultilevel"/>
    <w:lvl w:ilvl="0">
      <w:lvlJc w:val="left"/>
      <w:lvlText w:val="%1."/>
      <w:numFmt w:val="decimal"/>
      <w:start w:val="4"/>
    </w:lvl>
  </w:abstractNum>
  <w:abstractNum w:abstractNumId="162">
    <w:nsid w:val="327B517E"/>
    <w:multiLevelType w:val="hybridMultilevel"/>
    <w:lvl w:ilvl="0">
      <w:lvlJc w:val="left"/>
      <w:lvlText w:val="%1."/>
      <w:numFmt w:val="decimal"/>
      <w:start w:val="5"/>
    </w:lvl>
  </w:abstractNum>
  <w:abstractNum w:abstractNumId="163">
    <w:nsid w:val="1F461B51"/>
    <w:multiLevelType w:val="hybridMultilevel"/>
    <w:lvl w:ilvl="0">
      <w:lvlJc w:val="left"/>
      <w:lvlText w:val="%1."/>
      <w:numFmt w:val="decimal"/>
      <w:start w:val="6"/>
    </w:lvl>
  </w:abstractNum>
  <w:abstractNum w:abstractNumId="164">
    <w:nsid w:val="29BACF25"/>
    <w:multiLevelType w:val="hybridMultilevel"/>
    <w:lvl w:ilvl="0">
      <w:lvlJc w:val="left"/>
      <w:lvlText w:val="%1."/>
      <w:numFmt w:val="decimal"/>
      <w:start w:val="1"/>
    </w:lvl>
  </w:abstractNum>
  <w:abstractNum w:abstractNumId="165">
    <w:nsid w:val="5D5BABB3"/>
    <w:multiLevelType w:val="hybridMultilevel"/>
    <w:lvl w:ilvl="0">
      <w:lvlJc w:val="left"/>
      <w:lvlText w:val="%1."/>
      <w:numFmt w:val="decimal"/>
      <w:start w:val="4"/>
    </w:lvl>
  </w:abstractNum>
  <w:abstractNum w:abstractNumId="166">
    <w:nsid w:val="51BF6B48"/>
    <w:multiLevelType w:val="hybridMultilevel"/>
    <w:lvl w:ilvl="0">
      <w:lvlJc w:val="left"/>
      <w:lvlText w:val="%1."/>
      <w:numFmt w:val="decimal"/>
      <w:start w:val="5"/>
    </w:lvl>
  </w:abstractNum>
  <w:abstractNum w:abstractNumId="167">
    <w:nsid w:val="7E0F6384"/>
    <w:multiLevelType w:val="hybridMultilevel"/>
    <w:lvl w:ilvl="0">
      <w:lvlJc w:val="left"/>
      <w:lvlText w:val="%1."/>
      <w:numFmt w:val="decimal"/>
      <w:start w:val="6"/>
    </w:lvl>
  </w:abstractNum>
  <w:abstractNum w:abstractNumId="168">
    <w:nsid w:val="2B4B8B53"/>
    <w:multiLevelType w:val="hybridMultilevel"/>
    <w:lvl w:ilvl="0">
      <w:lvlJc w:val="left"/>
      <w:lvlText w:val="%1."/>
      <w:numFmt w:val="decimal"/>
      <w:start w:val="1"/>
    </w:lvl>
  </w:abstractNum>
  <w:abstractNum w:abstractNumId="169">
    <w:nsid w:val="72E3413A"/>
    <w:multiLevelType w:val="hybridMultilevel"/>
    <w:lvl w:ilvl="0">
      <w:lvlJc w:val="left"/>
      <w:lvlText w:val="%1."/>
      <w:numFmt w:val="decimal"/>
      <w:start w:val="2"/>
    </w:lvl>
  </w:abstractNum>
  <w:abstractNum w:abstractNumId="170">
    <w:nsid w:val="116AE494"/>
    <w:multiLevelType w:val="hybridMultilevel"/>
    <w:lvl w:ilvl="0">
      <w:lvlJc w:val="left"/>
      <w:lvlText w:val="%1."/>
      <w:numFmt w:val="decimal"/>
      <w:start w:val="3"/>
    </w:lvl>
  </w:abstractNum>
  <w:abstractNum w:abstractNumId="171">
    <w:nsid w:val="3494B2FB"/>
    <w:multiLevelType w:val="hybridMultilevel"/>
    <w:lvl w:ilvl="0">
      <w:lvlJc w:val="left"/>
      <w:lvlText w:val="(%1)"/>
      <w:numFmt w:val="lowerRoman"/>
      <w:start w:val="1"/>
    </w:lvl>
  </w:abstractNum>
  <w:abstractNum w:abstractNumId="172">
    <w:nsid w:val="B13A31"/>
    <w:multiLevelType w:val="hybridMultilevel"/>
    <w:lvl w:ilvl="0">
      <w:lvlJc w:val="left"/>
      <w:lvlText w:val="%1."/>
      <w:numFmt w:val="decimal"/>
      <w:start w:val="4"/>
    </w:lvl>
  </w:abstractNum>
  <w:abstractNum w:abstractNumId="173">
    <w:nsid w:val="64429599"/>
    <w:multiLevelType w:val="hybridMultilevel"/>
    <w:lvl w:ilvl="0">
      <w:lvlJc w:val="left"/>
      <w:lvlText w:val="%1."/>
      <w:numFmt w:val="decimal"/>
      <w:start w:val="5"/>
    </w:lvl>
  </w:abstractNum>
  <w:abstractNum w:abstractNumId="174">
    <w:nsid w:val="631F1690"/>
    <w:multiLevelType w:val="hybridMultilevel"/>
    <w:lvl w:ilvl="0">
      <w:lvlJc w:val="left"/>
      <w:lvlText w:val="%1."/>
      <w:numFmt w:val="decimal"/>
      <w:start w:val="6"/>
    </w:lvl>
  </w:abstractNum>
  <w:abstractNum w:abstractNumId="175">
    <w:nsid w:val="25973E32"/>
    <w:multiLevelType w:val="hybridMultilevel"/>
    <w:lvl w:ilvl="0">
      <w:lvlJc w:val="left"/>
      <w:lvlText w:val="%1."/>
      <w:numFmt w:val="decimal"/>
      <w:start w:val="7"/>
    </w:lvl>
  </w:abstractNum>
  <w:abstractNum w:abstractNumId="176">
    <w:nsid w:val="EAD6F57"/>
    <w:multiLevelType w:val="hybridMultilevel"/>
    <w:lvl w:ilvl="0">
      <w:lvlJc w:val="left"/>
      <w:lvlText w:val="%1."/>
      <w:numFmt w:val="decimal"/>
      <w:start w:val="9"/>
    </w:lvl>
  </w:abstractNum>
  <w:abstractNum w:abstractNumId="177">
    <w:nsid w:val="6EC9D844"/>
    <w:multiLevelType w:val="hybridMultilevel"/>
    <w:lvl w:ilvl="0">
      <w:lvlJc w:val="left"/>
      <w:lvlText w:val="(%1)"/>
      <w:numFmt w:val="lowerRoman"/>
      <w:start w:val="2"/>
    </w:lvl>
  </w:abstractNum>
  <w:abstractNum w:abstractNumId="178">
    <w:nsid w:val="5C49EAEE"/>
    <w:multiLevelType w:val="hybridMultilevel"/>
    <w:lvl w:ilvl="0">
      <w:lvlJc w:val="left"/>
      <w:lvlText w:val="(%1)"/>
      <w:numFmt w:val="lowerRoman"/>
      <w:start w:val="3"/>
    </w:lvl>
  </w:abstractNum>
  <w:abstractNum w:abstractNumId="179">
    <w:nsid w:val="64AF49B"/>
    <w:multiLevelType w:val="hybridMultilevel"/>
    <w:lvl w:ilvl="0">
      <w:lvlJc w:val="left"/>
      <w:lvlText w:val="(%1)"/>
      <w:numFmt w:val="lowerRoman"/>
      <w:start w:val="4"/>
    </w:lvl>
  </w:abstractNum>
  <w:abstractNum w:abstractNumId="180">
    <w:nsid w:val="397C46BC"/>
    <w:multiLevelType w:val="hybridMultilevel"/>
    <w:lvl w:ilvl="0">
      <w:lvlJc w:val="left"/>
      <w:lvlText w:val="(%1)"/>
      <w:numFmt w:val="lowerRoman"/>
      <w:start w:val="9"/>
    </w:lvl>
  </w:abstractNum>
  <w:abstractNum w:abstractNumId="181">
    <w:nsid w:val="7E448DE9"/>
    <w:multiLevelType w:val="hybridMultilevel"/>
    <w:lvl w:ilvl="0">
      <w:lvlJc w:val="left"/>
      <w:lvlText w:val="(%1)"/>
      <w:numFmt w:val="lowerLetter"/>
      <w:start w:val="24"/>
    </w:lvl>
    <w:lvl w:ilvl="1">
      <w:lvlJc w:val="left"/>
      <w:lvlText w:val="(%2)"/>
      <w:numFmt w:val="lowerLetter"/>
      <w:start w:val="2"/>
    </w:lvl>
  </w:abstractNum>
  <w:abstractNum w:abstractNumId="182">
    <w:nsid w:val="5A9CC3E5"/>
    <w:multiLevelType w:val="hybridMultilevel"/>
    <w:lvl w:ilvl="0">
      <w:lvlJc w:val="left"/>
      <w:lvlText w:val="(%1)"/>
      <w:numFmt w:val="lowerRoman"/>
      <w:start w:val="11"/>
    </w:lvl>
    <w:lvl w:ilvl="1">
      <w:lvlJc w:val="left"/>
      <w:lvlText w:val="(%2)"/>
      <w:numFmt w:val="lowerLetter"/>
      <w:start w:val="2"/>
    </w:lvl>
  </w:abstractNum>
  <w:abstractNum w:abstractNumId="183">
    <w:nsid w:val="1AFE3625"/>
    <w:multiLevelType w:val="hybridMultilevel"/>
    <w:lvl w:ilvl="0">
      <w:lvlJc w:val="left"/>
      <w:lvlText w:val="(%1)"/>
      <w:numFmt w:val="lowerRoman"/>
      <w:start w:val="12"/>
    </w:lvl>
  </w:abstractNum>
  <w:abstractNum w:abstractNumId="184">
    <w:nsid w:val="3CA88ECF"/>
    <w:multiLevelType w:val="hybridMultilevel"/>
    <w:lvl w:ilvl="0">
      <w:lvlJc w:val="left"/>
      <w:lvlText w:val="(%1)"/>
      <w:numFmt w:val="lowerLetter"/>
      <w:start w:val="2"/>
    </w:lvl>
  </w:abstractNum>
  <w:abstractNum w:abstractNumId="185">
    <w:nsid w:val="6EBE4208"/>
    <w:multiLevelType w:val="hybridMultilevel"/>
    <w:lvl w:ilvl="0">
      <w:lvlJc w:val="left"/>
      <w:lvlText w:val="(%1)"/>
      <w:numFmt w:val="lowerLetter"/>
      <w:start w:val="9"/>
    </w:lvl>
    <w:lvl w:ilvl="1">
      <w:lvlJc w:val="left"/>
      <w:lvlText w:val="(%2)"/>
      <w:numFmt w:val="lowerLetter"/>
      <w:start w:val="23"/>
    </w:lvl>
  </w:abstractNum>
  <w:abstractNum w:abstractNumId="186">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187">
    <w:nsid w:val="CBE5BE9"/>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88">
    <w:nsid w:val="3102BBE2"/>
    <w:multiLevelType w:val="hybridMultilevel"/>
    <w:lvl w:ilvl="0">
      <w:lvlJc w:val="left"/>
      <w:lvlText w:val="(%1)"/>
      <w:numFmt w:val="lowerLetter"/>
      <w:start w:val="26"/>
    </w:lvl>
    <w:lvl w:ilvl="1">
      <w:lvlJc w:val="left"/>
      <w:lvlText w:val="(%2)"/>
      <w:numFmt w:val="lowerLetter"/>
      <w:start w:val="61"/>
    </w:lvl>
    <w:lvl w:ilvl="2">
      <w:lvlJc w:val="left"/>
      <w:lvlText w:val="%3"/>
      <w:numFmt w:val="lowerLetter"/>
      <w:start w:val="1"/>
    </w:lvl>
  </w:abstractNum>
  <w:abstractNum w:abstractNumId="189">
    <w:nsid w:val="26A02C5E"/>
    <w:multiLevelType w:val="hybridMultilevel"/>
    <w:lvl w:ilvl="0">
      <w:lvlJc w:val="left"/>
      <w:lvlText w:val="(%1)"/>
      <w:numFmt w:val="lowerRoman"/>
      <w:start w:val="4"/>
    </w:lvl>
  </w:abstractNum>
  <w:abstractNum w:abstractNumId="190">
    <w:nsid w:val="541C8153"/>
    <w:multiLevelType w:val="hybridMultilevel"/>
    <w:lvl w:ilvl="0">
      <w:lvlJc w:val="left"/>
      <w:lvlText w:val="(%1)"/>
      <w:numFmt w:val="lowerLetter"/>
      <w:start w:val="1"/>
    </w:lvl>
  </w:abstractNum>
  <w:abstractNum w:abstractNumId="191">
    <w:nsid w:val="67906F60"/>
    <w:multiLevelType w:val="hybridMultilevel"/>
    <w:lvl w:ilvl="0">
      <w:lvlJc w:val="left"/>
      <w:lvlText w:val="%1"/>
      <w:numFmt w:val="lowerRoman"/>
      <w:start w:val="1"/>
    </w:lvl>
    <w:lvl w:ilvl="1">
      <w:lvlJc w:val="left"/>
      <w:lvlText w:val="(%2)"/>
      <w:numFmt w:val="lowerLetter"/>
      <w:start w:val="3"/>
    </w:lvl>
  </w:abstractNum>
  <w:abstractNum w:abstractNumId="192">
    <w:nsid w:val="10DB9DAA"/>
    <w:multiLevelType w:val="hybridMultilevel"/>
    <w:lvl w:ilvl="0">
      <w:lvlJc w:val="left"/>
      <w:lvlText w:val="(%1)"/>
      <w:numFmt w:val="lowerRoman"/>
      <w:start w:val="4"/>
    </w:lvl>
    <w:lvl w:ilvl="1">
      <w:lvlJc w:val="left"/>
      <w:lvlText w:val="(%2)"/>
      <w:numFmt w:val="lowerLetter"/>
      <w:start w:val="6"/>
    </w:lvl>
  </w:abstractNum>
  <w:abstractNum w:abstractNumId="193">
    <w:nsid w:val="697D2D2"/>
    <w:multiLevelType w:val="hybridMultilevel"/>
    <w:lvl w:ilvl="0">
      <w:lvlJc w:val="left"/>
      <w:lvlText w:val="(%1)"/>
      <w:numFmt w:val="lowerLetter"/>
      <w:start w:val="7"/>
    </w:lvl>
  </w:abstractNum>
  <w:abstractNum w:abstractNumId="194">
    <w:nsid w:val="6D68AB2"/>
    <w:multiLevelType w:val="hybridMultilevel"/>
    <w:lvl w:ilvl="0">
      <w:lvlJc w:val="left"/>
      <w:lvlText w:val="(%1)"/>
      <w:numFmt w:val="lowerLetter"/>
      <w:start w:val="2"/>
    </w:lvl>
  </w:abstractNum>
  <w:abstractNum w:abstractNumId="195">
    <w:nsid w:val="3A966CD0"/>
    <w:multiLevelType w:val="hybridMultilevel"/>
    <w:lvl w:ilvl="0">
      <w:lvlJc w:val="left"/>
      <w:lvlText w:val="%1."/>
      <w:numFmt w:val="decimal"/>
      <w:start w:val="1"/>
    </w:lvl>
    <w:lvl w:ilvl="1">
      <w:lvlJc w:val="left"/>
      <w:lvlText w:val="(%2)"/>
      <w:numFmt w:val="lowerLetter"/>
      <w:start w:val="1"/>
    </w:lvl>
  </w:abstractNum>
  <w:abstractNum w:abstractNumId="196">
    <w:nsid w:val="63F37E85"/>
    <w:multiLevelType w:val="hybridMultilevel"/>
    <w:lvl w:ilvl="0">
      <w:lvlJc w:val="left"/>
      <w:lvlText w:val="%1."/>
      <w:numFmt w:val="decimal"/>
      <w:start w:val="1"/>
    </w:lvl>
    <w:lvl w:ilvl="1">
      <w:lvlJc w:val="left"/>
      <w:lvlText w:val="(%2)"/>
      <w:numFmt w:val="lowerLetter"/>
      <w:start w:val="1"/>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jpeg"/><Relationship Id="rId159" Type="http://schemas.openxmlformats.org/officeDocument/2006/relationships/image" Target="media/image145.png"/><Relationship Id="rId160" Type="http://schemas.openxmlformats.org/officeDocument/2006/relationships/image" Target="media/image146.jpe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jpeg"/><Relationship Id="rId166" Type="http://schemas.openxmlformats.org/officeDocument/2006/relationships/image" Target="media/image152.png"/><Relationship Id="rId167" Type="http://schemas.openxmlformats.org/officeDocument/2006/relationships/image" Target="media/image153.jpeg"/><Relationship Id="rId168" Type="http://schemas.openxmlformats.org/officeDocument/2006/relationships/image" Target="media/image154.jpeg"/><Relationship Id="rId169" Type="http://schemas.openxmlformats.org/officeDocument/2006/relationships/image" Target="media/image155.jpeg"/><Relationship Id="rId170" Type="http://schemas.openxmlformats.org/officeDocument/2006/relationships/image" Target="media/image156.jpeg"/><Relationship Id="rId171" Type="http://schemas.openxmlformats.org/officeDocument/2006/relationships/image" Target="media/image157.jpeg"/><Relationship Id="rId172" Type="http://schemas.openxmlformats.org/officeDocument/2006/relationships/image" Target="media/image158.jpe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jpeg"/><Relationship Id="rId177" Type="http://schemas.openxmlformats.org/officeDocument/2006/relationships/image" Target="media/image163.jpeg"/><Relationship Id="rId178" Type="http://schemas.openxmlformats.org/officeDocument/2006/relationships/image" Target="media/image164.png"/><Relationship Id="rId179" Type="http://schemas.openxmlformats.org/officeDocument/2006/relationships/image" Target="media/image165.jpeg"/><Relationship Id="rId180" Type="http://schemas.openxmlformats.org/officeDocument/2006/relationships/image" Target="media/image166.jpeg"/><Relationship Id="rId181" Type="http://schemas.openxmlformats.org/officeDocument/2006/relationships/image" Target="media/image167.jpeg"/><Relationship Id="rId182" Type="http://schemas.openxmlformats.org/officeDocument/2006/relationships/image" Target="media/image168.jpeg"/><Relationship Id="rId183" Type="http://schemas.openxmlformats.org/officeDocument/2006/relationships/image" Target="media/image169.jpe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jpeg"/><Relationship Id="rId190" Type="http://schemas.openxmlformats.org/officeDocument/2006/relationships/image" Target="media/image176.jpeg"/><Relationship Id="rId191" Type="http://schemas.openxmlformats.org/officeDocument/2006/relationships/image" Target="media/image177.jpeg"/><Relationship Id="rId192" Type="http://schemas.openxmlformats.org/officeDocument/2006/relationships/image" Target="media/image178.jpeg"/><Relationship Id="rId193" Type="http://schemas.openxmlformats.org/officeDocument/2006/relationships/image" Target="media/image179.png"/><Relationship Id="rId194" Type="http://schemas.openxmlformats.org/officeDocument/2006/relationships/image" Target="media/image180.jpeg"/><Relationship Id="rId195" Type="http://schemas.openxmlformats.org/officeDocument/2006/relationships/image" Target="media/image181.jpeg"/><Relationship Id="rId196" Type="http://schemas.openxmlformats.org/officeDocument/2006/relationships/image" Target="media/image182.jpeg"/><Relationship Id="rId197" Type="http://schemas.openxmlformats.org/officeDocument/2006/relationships/image" Target="media/image183.jpe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jpeg"/><Relationship Id="rId204" Type="http://schemas.openxmlformats.org/officeDocument/2006/relationships/image" Target="media/image190.png"/><Relationship Id="rId205" Type="http://schemas.openxmlformats.org/officeDocument/2006/relationships/image" Target="media/image191.jpeg"/><Relationship Id="rId206" Type="http://schemas.openxmlformats.org/officeDocument/2006/relationships/image" Target="media/image192.jpeg"/><Relationship Id="rId207" Type="http://schemas.openxmlformats.org/officeDocument/2006/relationships/image" Target="media/image193.jpeg"/><Relationship Id="rId208" Type="http://schemas.openxmlformats.org/officeDocument/2006/relationships/image" Target="media/image194.jpeg"/><Relationship Id="rId209" Type="http://schemas.openxmlformats.org/officeDocument/2006/relationships/image" Target="media/image195.jpe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jpeg"/><Relationship Id="rId215" Type="http://schemas.openxmlformats.org/officeDocument/2006/relationships/image" Target="media/image201.jpeg"/><Relationship Id="rId216" Type="http://schemas.openxmlformats.org/officeDocument/2006/relationships/image" Target="media/image202.jpeg"/><Relationship Id="rId217" Type="http://schemas.openxmlformats.org/officeDocument/2006/relationships/image" Target="media/image203.jpeg"/><Relationship Id="rId218" Type="http://schemas.openxmlformats.org/officeDocument/2006/relationships/image" Target="media/image204.jpeg"/><Relationship Id="rId219" Type="http://schemas.openxmlformats.org/officeDocument/2006/relationships/image" Target="media/image205.jpeg"/><Relationship Id="rId220" Type="http://schemas.openxmlformats.org/officeDocument/2006/relationships/image" Target="media/image206.jpeg"/><Relationship Id="rId221" Type="http://schemas.openxmlformats.org/officeDocument/2006/relationships/image" Target="media/image207.jpeg"/><Relationship Id="rId222" Type="http://schemas.openxmlformats.org/officeDocument/2006/relationships/image" Target="media/image208.png"/><Relationship Id="rId223" Type="http://schemas.openxmlformats.org/officeDocument/2006/relationships/image" Target="media/image209.jpeg"/><Relationship Id="rId224" Type="http://schemas.openxmlformats.org/officeDocument/2006/relationships/image" Target="media/image210.jpeg"/><Relationship Id="rId225" Type="http://schemas.openxmlformats.org/officeDocument/2006/relationships/image" Target="media/image211.jpeg"/><Relationship Id="rId226" Type="http://schemas.openxmlformats.org/officeDocument/2006/relationships/image" Target="media/image212.jpe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jpeg"/><Relationship Id="rId230" Type="http://schemas.openxmlformats.org/officeDocument/2006/relationships/image" Target="media/image216.png"/><Relationship Id="rId231" Type="http://schemas.openxmlformats.org/officeDocument/2006/relationships/image" Target="media/image217.jpeg"/><Relationship Id="rId232" Type="http://schemas.openxmlformats.org/officeDocument/2006/relationships/image" Target="media/image218.jpeg"/><Relationship Id="rId233" Type="http://schemas.openxmlformats.org/officeDocument/2006/relationships/image" Target="media/image219.jpe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jpeg"/><Relationship Id="rId237" Type="http://schemas.openxmlformats.org/officeDocument/2006/relationships/image" Target="media/image223.jpeg"/><Relationship Id="rId238" Type="http://schemas.openxmlformats.org/officeDocument/2006/relationships/image" Target="media/image224.png"/><Relationship Id="rId239" Type="http://schemas.openxmlformats.org/officeDocument/2006/relationships/image" Target="media/image225.jpeg"/><Relationship Id="rId240" Type="http://schemas.openxmlformats.org/officeDocument/2006/relationships/image" Target="media/image226.jpe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jpeg"/><Relationship Id="rId247" Type="http://schemas.openxmlformats.org/officeDocument/2006/relationships/image" Target="media/image233.jpeg"/><Relationship Id="rId248" Type="http://schemas.openxmlformats.org/officeDocument/2006/relationships/image" Target="media/image234.jpeg"/><Relationship Id="rId249" Type="http://schemas.openxmlformats.org/officeDocument/2006/relationships/image" Target="media/image235.jpe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jpeg"/><Relationship Id="rId258" Type="http://schemas.openxmlformats.org/officeDocument/2006/relationships/image" Target="media/image244.jpeg"/><Relationship Id="rId259" Type="http://schemas.openxmlformats.org/officeDocument/2006/relationships/image" Target="media/image245.jpeg"/><Relationship Id="rId260" Type="http://schemas.openxmlformats.org/officeDocument/2006/relationships/image" Target="media/image246.jpeg"/><Relationship Id="rId261" Type="http://schemas.openxmlformats.org/officeDocument/2006/relationships/image" Target="media/image247.jpeg"/><Relationship Id="rId262" Type="http://schemas.openxmlformats.org/officeDocument/2006/relationships/image" Target="media/image248.jpeg"/><Relationship Id="rId263" Type="http://schemas.openxmlformats.org/officeDocument/2006/relationships/image" Target="media/image249.jpeg"/><Relationship Id="rId264" Type="http://schemas.openxmlformats.org/officeDocument/2006/relationships/image" Target="media/image250.jpeg"/><Relationship Id="rId265" Type="http://schemas.openxmlformats.org/officeDocument/2006/relationships/image" Target="media/image251.jpeg"/><Relationship Id="rId266" Type="http://schemas.openxmlformats.org/officeDocument/2006/relationships/image" Target="media/image252.jpe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141" Type="http://schemas.openxmlformats.org/officeDocument/2006/relationships/hyperlink" Target="http://www.sec.gov/Archives/edgar/data/4515/000119312513466973/d640718dex31.htm" TargetMode="External"/><Relationship Id="rId142" Type="http://schemas.openxmlformats.org/officeDocument/2006/relationships/hyperlink" Target="http://www.sec.gov/Archives/edgar/data/6201/000119312518191662/d594984dex31.htm" TargetMode="External"/><Relationship Id="rId143" Type="http://schemas.openxmlformats.org/officeDocument/2006/relationships/hyperlink" Target="http://www.sec.gov/Archives/edgar/data/6201/000119312518191662/d594984dex32.htm" TargetMode="External"/><Relationship Id="rId144" Type="http://schemas.openxmlformats.org/officeDocument/2006/relationships/hyperlink" Target="http://www.sec.gov/Archives/edgar/data/4515/000119312518165266/d589456dex42.htm" TargetMode="External"/><Relationship Id="rId145" Type="http://schemas.openxmlformats.org/officeDocument/2006/relationships/hyperlink" Target="http://www.sec.gov/Archives/edgar/data/4515/000119312518165266/d589456dex46.htm" TargetMode="External"/><Relationship Id="rId146" Type="http://schemas.openxmlformats.org/officeDocument/2006/relationships/hyperlink" Target="http://www.sec.gov/Archives/edgar/data/4515/000119312518165266/d589456dex44.htm" TargetMode="External"/><Relationship Id="rId147" Type="http://schemas.openxmlformats.org/officeDocument/2006/relationships/hyperlink" Target="http://www.sec.gov/Archives/edgar/data/4515/000119312518165266/d589456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2019-12-28T20:58:03Z</dcterms:created>
  <dcterms:modified xsi:type="dcterms:W3CDTF">2019-12-28T20:58:03Z</dcterms:modified>
</cp:coreProperties>
</file>