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54610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2024</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4"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132080</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60" w:type="dxa"/>
        <w:tblCellMar>
          <w:top w:w="0" w:type="dxa"/>
          <w:left w:w="0" w:type="dxa"/>
          <w:bottom w:w="0" w:type="dxa"/>
          <w:right w:w="0" w:type="dxa"/>
        </w:tblCellMar>
      </w:tblPr>
      <w:tr>
        <w:trPr>
          <w:trHeight w:val="221"/>
        </w:trPr>
        <w:tc>
          <w:tcPr>
            <w:tcW w:w="4840" w:type="dxa"/>
            <w:vAlign w:val="bottom"/>
          </w:tcPr>
          <w:p>
            <w:pPr>
              <w:jc w:val="center"/>
              <w:ind w:right="1043"/>
              <w:spacing w:after="0"/>
              <w:rPr>
                <w:sz w:val="20"/>
                <w:szCs w:val="20"/>
                <w:color w:val="auto"/>
              </w:rPr>
            </w:pPr>
            <w:r>
              <w:rPr>
                <w:rFonts w:ascii="Arial" w:cs="Arial" w:eastAsia="Arial" w:hAnsi="Arial"/>
                <w:sz w:val="16"/>
                <w:szCs w:val="16"/>
                <w:b w:val="1"/>
                <w:bCs w:val="1"/>
                <w:color w:val="auto"/>
              </w:rPr>
              <w:t>Delaware</w:t>
            </w:r>
          </w:p>
        </w:tc>
        <w:tc>
          <w:tcPr>
            <w:tcW w:w="2420" w:type="dxa"/>
            <w:vAlign w:val="bottom"/>
          </w:tcPr>
          <w:p>
            <w:pPr>
              <w:jc w:val="right"/>
              <w:ind w:right="60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840" w:type="dxa"/>
            <w:vAlign w:val="bottom"/>
          </w:tcPr>
          <w:p>
            <w:pPr>
              <w:jc w:val="center"/>
              <w:ind w:right="1043"/>
              <w:spacing w:after="0"/>
              <w:rPr>
                <w:sz w:val="20"/>
                <w:szCs w:val="20"/>
                <w:color w:val="auto"/>
              </w:rPr>
            </w:pPr>
            <w:r>
              <w:rPr>
                <w:rFonts w:ascii="Arial" w:cs="Arial" w:eastAsia="Arial" w:hAnsi="Arial"/>
                <w:sz w:val="14"/>
                <w:szCs w:val="14"/>
                <w:color w:val="auto"/>
              </w:rPr>
              <w:t>(State or other jurisdiction of incorporation or organization)</w:t>
            </w:r>
          </w:p>
        </w:tc>
        <w:tc>
          <w:tcPr>
            <w:tcW w:w="2420" w:type="dxa"/>
            <w:vAlign w:val="bottom"/>
          </w:tcPr>
          <w:p>
            <w:pPr>
              <w:jc w:val="center"/>
              <w:ind w:left="12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840" w:type="dxa"/>
            <w:vAlign w:val="bottom"/>
          </w:tcPr>
          <w:p>
            <w:pPr>
              <w:jc w:val="right"/>
              <w:ind w:right="1503"/>
              <w:spacing w:after="0"/>
              <w:rPr>
                <w:sz w:val="20"/>
                <w:szCs w:val="20"/>
                <w:color w:val="auto"/>
              </w:rPr>
            </w:pPr>
            <w:r>
              <w:rPr>
                <w:rFonts w:ascii="Arial" w:cs="Arial" w:eastAsia="Arial" w:hAnsi="Arial"/>
                <w:sz w:val="16"/>
                <w:szCs w:val="16"/>
                <w:b w:val="1"/>
                <w:bCs w:val="1"/>
                <w:color w:val="auto"/>
              </w:rPr>
              <w:t>1 Skyview Drive, Fort Worth,  Texas</w:t>
            </w:r>
          </w:p>
        </w:tc>
        <w:tc>
          <w:tcPr>
            <w:tcW w:w="2420" w:type="dxa"/>
            <w:vAlign w:val="bottom"/>
          </w:tcPr>
          <w:p>
            <w:pPr>
              <w:jc w:val="right"/>
              <w:ind w:right="804"/>
              <w:spacing w:after="0"/>
              <w:rPr>
                <w:sz w:val="20"/>
                <w:szCs w:val="20"/>
                <w:color w:val="auto"/>
              </w:rPr>
            </w:pPr>
            <w:r>
              <w:rPr>
                <w:rFonts w:ascii="Arial" w:cs="Arial" w:eastAsia="Arial" w:hAnsi="Arial"/>
                <w:sz w:val="16"/>
                <w:szCs w:val="16"/>
                <w:b w:val="1"/>
                <w:bCs w:val="1"/>
                <w:color w:val="auto"/>
              </w:rPr>
              <w:t>76155</w:t>
            </w:r>
          </w:p>
        </w:tc>
      </w:tr>
      <w:tr>
        <w:trPr>
          <w:trHeight w:val="190"/>
        </w:trPr>
        <w:tc>
          <w:tcPr>
            <w:tcW w:w="4840" w:type="dxa"/>
            <w:vAlign w:val="bottom"/>
          </w:tcPr>
          <w:p>
            <w:pPr>
              <w:jc w:val="center"/>
              <w:ind w:right="1063"/>
              <w:spacing w:after="0"/>
              <w:rPr>
                <w:sz w:val="20"/>
                <w:szCs w:val="20"/>
                <w:color w:val="auto"/>
              </w:rPr>
            </w:pPr>
            <w:r>
              <w:rPr>
                <w:rFonts w:ascii="Arial" w:cs="Arial" w:eastAsia="Arial" w:hAnsi="Arial"/>
                <w:sz w:val="14"/>
                <w:szCs w:val="14"/>
                <w:color w:val="auto"/>
              </w:rPr>
              <w:t>(Address of principal executive offices)</w:t>
            </w:r>
          </w:p>
        </w:tc>
        <w:tc>
          <w:tcPr>
            <w:tcW w:w="2420" w:type="dxa"/>
            <w:vAlign w:val="bottom"/>
          </w:tcPr>
          <w:p>
            <w:pPr>
              <w:jc w:val="center"/>
              <w:ind w:left="144"/>
              <w:spacing w:after="0"/>
              <w:rPr>
                <w:sz w:val="20"/>
                <w:szCs w:val="20"/>
                <w:color w:val="auto"/>
              </w:rPr>
            </w:pPr>
            <w:r>
              <w:rPr>
                <w:rFonts w:ascii="Arial" w:cs="Arial" w:eastAsia="Arial" w:hAnsi="Arial"/>
                <w:sz w:val="14"/>
                <w:szCs w:val="14"/>
                <w:color w:val="auto"/>
              </w:rPr>
              <w:t>(Zip code)</w:t>
            </w:r>
          </w:p>
        </w:tc>
      </w:tr>
      <w:tr>
        <w:trPr>
          <w:trHeight w:val="352"/>
        </w:trPr>
        <w:tc>
          <w:tcPr>
            <w:tcW w:w="4840" w:type="dxa"/>
            <w:vAlign w:val="bottom"/>
          </w:tcPr>
          <w:p>
            <w:pPr>
              <w:jc w:val="right"/>
              <w:ind w:right="123"/>
              <w:spacing w:after="0"/>
              <w:rPr>
                <w:sz w:val="20"/>
                <w:szCs w:val="20"/>
                <w:color w:val="auto"/>
              </w:rPr>
            </w:pPr>
            <w:r>
              <w:rPr>
                <w:rFonts w:ascii="Arial" w:cs="Arial" w:eastAsia="Arial" w:hAnsi="Arial"/>
                <w:sz w:val="16"/>
                <w:szCs w:val="16"/>
                <w:b w:val="1"/>
                <w:bCs w:val="1"/>
                <w:color w:val="auto"/>
              </w:rPr>
              <w:t>(682) 278-9000</w:t>
            </w:r>
          </w:p>
        </w:tc>
        <w:tc>
          <w:tcPr>
            <w:tcW w:w="24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132080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00" w:type="dxa"/>
        <w:tblCellMar>
          <w:top w:w="0" w:type="dxa"/>
          <w:left w:w="0" w:type="dxa"/>
          <w:bottom w:w="0" w:type="dxa"/>
          <w:right w:w="0" w:type="dxa"/>
        </w:tblCellMar>
      </w:tblPr>
      <w:tr>
        <w:trPr>
          <w:trHeight w:val="221"/>
        </w:trPr>
        <w:tc>
          <w:tcPr>
            <w:tcW w:w="4460" w:type="dxa"/>
            <w:vAlign w:val="bottom"/>
          </w:tcPr>
          <w:p>
            <w:pPr>
              <w:jc w:val="center"/>
              <w:ind w:right="664"/>
              <w:spacing w:after="0"/>
              <w:rPr>
                <w:sz w:val="20"/>
                <w:szCs w:val="20"/>
                <w:color w:val="auto"/>
              </w:rPr>
            </w:pPr>
            <w:r>
              <w:rPr>
                <w:rFonts w:ascii="Arial" w:cs="Arial" w:eastAsia="Arial" w:hAnsi="Arial"/>
                <w:sz w:val="16"/>
                <w:szCs w:val="16"/>
                <w:b w:val="1"/>
                <w:bCs w:val="1"/>
                <w:color w:val="auto"/>
              </w:rPr>
              <w:t>Delaware</w:t>
            </w:r>
          </w:p>
        </w:tc>
        <w:tc>
          <w:tcPr>
            <w:tcW w:w="2960" w:type="dxa"/>
            <w:vAlign w:val="bottom"/>
          </w:tcPr>
          <w:p>
            <w:pPr>
              <w:jc w:val="right"/>
              <w:ind w:right="604"/>
              <w:spacing w:after="0"/>
              <w:rPr>
                <w:sz w:val="20"/>
                <w:szCs w:val="20"/>
                <w:color w:val="auto"/>
              </w:rPr>
            </w:pPr>
            <w:r>
              <w:rPr>
                <w:rFonts w:ascii="Arial" w:cs="Arial" w:eastAsia="Arial" w:hAnsi="Arial"/>
                <w:sz w:val="16"/>
                <w:szCs w:val="16"/>
                <w:b w:val="1"/>
                <w:bCs w:val="1"/>
                <w:color w:val="auto"/>
              </w:rPr>
              <w:t>13-1502798</w:t>
            </w:r>
          </w:p>
        </w:tc>
      </w:tr>
      <w:tr>
        <w:trPr>
          <w:trHeight w:val="190"/>
        </w:trPr>
        <w:tc>
          <w:tcPr>
            <w:tcW w:w="4460" w:type="dxa"/>
            <w:vAlign w:val="bottom"/>
          </w:tcPr>
          <w:p>
            <w:pPr>
              <w:jc w:val="center"/>
              <w:ind w:right="664"/>
              <w:spacing w:after="0"/>
              <w:rPr>
                <w:sz w:val="20"/>
                <w:szCs w:val="20"/>
                <w:color w:val="auto"/>
              </w:rPr>
            </w:pPr>
            <w:r>
              <w:rPr>
                <w:rFonts w:ascii="Arial" w:cs="Arial" w:eastAsia="Arial" w:hAnsi="Arial"/>
                <w:sz w:val="14"/>
                <w:szCs w:val="14"/>
                <w:color w:val="auto"/>
              </w:rPr>
              <w:t>(State or other jurisdiction of incorporation or organization)</w:t>
            </w:r>
          </w:p>
        </w:tc>
        <w:tc>
          <w:tcPr>
            <w:tcW w:w="2960" w:type="dxa"/>
            <w:vAlign w:val="bottom"/>
          </w:tcPr>
          <w:p>
            <w:pPr>
              <w:jc w:val="center"/>
              <w:ind w:left="66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460" w:type="dxa"/>
            <w:vAlign w:val="bottom"/>
          </w:tcPr>
          <w:p>
            <w:pPr>
              <w:ind w:left="620"/>
              <w:spacing w:after="0"/>
              <w:rPr>
                <w:sz w:val="20"/>
                <w:szCs w:val="20"/>
                <w:color w:val="auto"/>
              </w:rPr>
            </w:pPr>
            <w:r>
              <w:rPr>
                <w:rFonts w:ascii="Arial" w:cs="Arial" w:eastAsia="Arial" w:hAnsi="Arial"/>
                <w:sz w:val="16"/>
                <w:szCs w:val="16"/>
                <w:b w:val="1"/>
                <w:bCs w:val="1"/>
                <w:color w:val="auto"/>
              </w:rPr>
              <w:t>1 Skyview Drive, Fort Worth,  Texas</w:t>
            </w:r>
          </w:p>
        </w:tc>
        <w:tc>
          <w:tcPr>
            <w:tcW w:w="2960" w:type="dxa"/>
            <w:vAlign w:val="bottom"/>
          </w:tcPr>
          <w:p>
            <w:pPr>
              <w:jc w:val="right"/>
              <w:ind w:right="804"/>
              <w:spacing w:after="0"/>
              <w:rPr>
                <w:sz w:val="20"/>
                <w:szCs w:val="20"/>
                <w:color w:val="auto"/>
              </w:rPr>
            </w:pPr>
            <w:r>
              <w:rPr>
                <w:rFonts w:ascii="Arial" w:cs="Arial" w:eastAsia="Arial" w:hAnsi="Arial"/>
                <w:sz w:val="16"/>
                <w:szCs w:val="16"/>
                <w:b w:val="1"/>
                <w:bCs w:val="1"/>
                <w:color w:val="auto"/>
              </w:rPr>
              <w:t>76155</w:t>
            </w:r>
          </w:p>
        </w:tc>
      </w:tr>
      <w:tr>
        <w:trPr>
          <w:trHeight w:val="190"/>
        </w:trPr>
        <w:tc>
          <w:tcPr>
            <w:tcW w:w="4460" w:type="dxa"/>
            <w:vAlign w:val="bottom"/>
          </w:tcPr>
          <w:p>
            <w:pPr>
              <w:jc w:val="center"/>
              <w:ind w:right="684"/>
              <w:spacing w:after="0"/>
              <w:rPr>
                <w:sz w:val="20"/>
                <w:szCs w:val="20"/>
                <w:color w:val="auto"/>
              </w:rPr>
            </w:pPr>
            <w:r>
              <w:rPr>
                <w:rFonts w:ascii="Arial" w:cs="Arial" w:eastAsia="Arial" w:hAnsi="Arial"/>
                <w:sz w:val="14"/>
                <w:szCs w:val="14"/>
                <w:color w:val="auto"/>
              </w:rPr>
              <w:t>(Address of principal executive offices)</w:t>
            </w:r>
          </w:p>
        </w:tc>
        <w:tc>
          <w:tcPr>
            <w:tcW w:w="2960" w:type="dxa"/>
            <w:vAlign w:val="bottom"/>
          </w:tcPr>
          <w:p>
            <w:pPr>
              <w:jc w:val="center"/>
              <w:ind w:left="664"/>
              <w:spacing w:after="0"/>
              <w:rPr>
                <w:sz w:val="20"/>
                <w:szCs w:val="20"/>
                <w:color w:val="auto"/>
              </w:rPr>
            </w:pPr>
            <w:r>
              <w:rPr>
                <w:rFonts w:ascii="Arial" w:cs="Arial" w:eastAsia="Arial" w:hAnsi="Arial"/>
                <w:sz w:val="14"/>
                <w:szCs w:val="14"/>
                <w:color w:val="auto"/>
              </w:rPr>
              <w:t>(Zip code)</w:t>
            </w:r>
          </w:p>
        </w:tc>
      </w:tr>
    </w:tbl>
    <w:p>
      <w:pPr>
        <w:spacing w:after="0" w:line="12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(682) 278-9000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466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9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99"/>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97"/>
              </w:rPr>
              <w:t>AAL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3"/>
        </w:trPr>
        <w:tc>
          <w:tcPr>
            <w:tcW w:w="4660" w:type="dxa"/>
            <w:vAlign w:val="bottom"/>
            <w:gridSpan w:val="3"/>
            <w:vMerge w:val="restart"/>
          </w:tcPr>
          <w:p>
            <w:pPr>
              <w:jc w:val="center"/>
              <w:ind w:right="800"/>
              <w:spacing w:after="0"/>
              <w:rPr>
                <w:sz w:val="20"/>
                <w:szCs w:val="20"/>
                <w:color w:val="auto"/>
              </w:rPr>
            </w:pPr>
            <w:r>
              <w:rPr>
                <w:rFonts w:ascii="Arial" w:cs="Arial" w:eastAsia="Arial" w:hAnsi="Arial"/>
                <w:sz w:val="16"/>
                <w:szCs w:val="16"/>
                <w:b w:val="1"/>
                <w:bCs w:val="1"/>
                <w:color w:val="auto"/>
              </w:rPr>
              <w:t>Preferred Stock Purchase Rights</w:t>
            </w:r>
          </w:p>
        </w:tc>
        <w:tc>
          <w:tcPr>
            <w:tcW w:w="2980" w:type="dxa"/>
            <w:vAlign w:val="bottom"/>
            <w:gridSpan w:val="2"/>
            <w:vMerge w:val="restart"/>
          </w:tcPr>
          <w:p>
            <w:pPr>
              <w:jc w:val="center"/>
              <w:ind w:right="780"/>
              <w:spacing w:after="0"/>
              <w:rPr>
                <w:sz w:val="20"/>
                <w:szCs w:val="20"/>
                <w:color w:val="auto"/>
              </w:rPr>
            </w:pPr>
            <w:r>
              <w:rPr>
                <w:rFonts w:ascii="Arial" w:cs="Arial" w:eastAsia="Arial" w:hAnsi="Arial"/>
                <w:sz w:val="16"/>
                <w:szCs w:val="16"/>
                <w:color w:val="auto"/>
                <w:w w:val="99"/>
              </w:rPr>
              <w:t>—</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90"/>
        </w:trPr>
        <w:tc>
          <w:tcPr>
            <w:tcW w:w="4660" w:type="dxa"/>
            <w:vAlign w:val="bottom"/>
            <w:gridSpan w:val="3"/>
            <w:vMerge w:val="continue"/>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156"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63" w:lineRule="exact"/>
        <w:rPr>
          <w:sz w:val="24"/>
          <w:szCs w:val="24"/>
          <w:color w:val="auto"/>
        </w:rPr>
      </w:pPr>
    </w:p>
    <w:p>
      <w:pPr>
        <w:jc w:val="both"/>
        <w:ind w:firstLine="162"/>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249"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97" w:right="339" w:bottom="0" w:gutter="0" w:footer="0" w:header="0"/>
        </w:sectPr>
      </w:pPr>
    </w:p>
    <w:p>
      <w:pPr>
        <w:spacing w:after="0" w:line="174"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2" w:lineRule="exact"/>
        <w:rPr>
          <w:sz w:val="24"/>
          <w:szCs w:val="24"/>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4"/>
          <w:szCs w:val="24"/>
          <w:color w:val="auto"/>
        </w:rPr>
      </w:pPr>
      <w:r>
        <w:rPr>
          <w:sz w:val="24"/>
          <w:szCs w:val="24"/>
          <w:color w:val="auto"/>
        </w:rPr>
        <w:br w:type="column"/>
      </w:r>
    </w:p>
    <w:p>
      <w:pPr>
        <w:spacing w:after="0" w:line="384" w:lineRule="exact"/>
        <w:tabs>
          <w:tab w:leader="none" w:pos="260" w:val="left"/>
          <w:tab w:leader="none" w:pos="18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62" w:lineRule="exact"/>
        <w:tabs>
          <w:tab w:leader="none" w:pos="260" w:val="left"/>
          <w:tab w:leader="none" w:pos="18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84"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62" w:lineRule="exact"/>
        <w:tabs>
          <w:tab w:leader="none" w:pos="260" w:val="left"/>
          <w:tab w:leader="none" w:pos="1760" w:val="left"/>
        </w:tabs>
        <w:rPr>
          <w:sz w:val="20"/>
          <w:szCs w:val="20"/>
          <w:color w:val="auto"/>
        </w:rPr>
      </w:pPr>
      <w:r>
        <w:rPr>
          <w:rFonts w:ascii="MS PGothic" w:cs="MS PGothic" w:eastAsia="MS PGothic" w:hAnsi="MS PGothic"/>
          <w:sz w:val="30"/>
          <w:szCs w:val="30"/>
          <w:color w:val="auto"/>
          <w:vertAlign w:val="subscript"/>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3">
            <w:col w:w="1620" w:space="320"/>
            <w:col w:w="3020" w:space="280"/>
            <w:col w:w="6000"/>
          </w:cols>
          <w:pgMar w:left="320" w:top="1097" w:right="339" w:bottom="0" w:gutter="0" w:footer="0" w:header="0"/>
          <w:type w:val="continuous"/>
        </w:sectPr>
      </w:pPr>
    </w:p>
    <w:p>
      <w:pPr>
        <w:spacing w:after="0" w:line="258" w:lineRule="exact"/>
        <w:rPr>
          <w:sz w:val="24"/>
          <w:szCs w:val="24"/>
          <w:color w:val="auto"/>
        </w:rPr>
      </w:pPr>
    </w:p>
    <w:p>
      <w:pPr>
        <w:ind w:right="20" w:firstLine="162"/>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100"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1097" w:right="339" w:bottom="0" w:gutter="0" w:footer="0" w:header="0"/>
          <w:type w:val="continuous"/>
        </w:sectPr>
      </w:pPr>
    </w:p>
    <w:bookmarkStart w:id="1" w:name="page2"/>
    <w:bookmarkEnd w:id="1"/>
    <w:p>
      <w:pPr>
        <w:ind w:left="1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200"/>
          </w:cols>
          <w:pgMar w:left="340" w:top="125" w:right="3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w:t>
      </w:r>
    </w:p>
    <w:p>
      <w:pPr>
        <w:spacing w:after="0" w:line="211" w:lineRule="exact"/>
        <w:rPr>
          <w:sz w:val="20"/>
          <w:szCs w:val="20"/>
          <w:color w:val="auto"/>
        </w:rPr>
      </w:pPr>
    </w:p>
    <w:p>
      <w:pPr>
        <w:sectPr>
          <w:pgSz w:w="11900" w:h="16838" w:orient="portrait"/>
          <w:cols w:equalWidth="0" w:num="5">
            <w:col w:w="8580" w:space="720"/>
            <w:col w:w="140" w:space="440"/>
            <w:col w:w="260" w:space="200"/>
            <w:col w:w="160" w:space="500"/>
            <w:col w:w="200"/>
          </w:cols>
          <w:pgMar w:left="340" w:top="125" w:right="359" w:bottom="1440" w:gutter="0" w:footer="0" w:header="0"/>
          <w:type w:val="continuous"/>
        </w:sectPr>
      </w:pP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July 19, 2024, there were 656,703,913 shares of American Airlines Group Inc. common stock outstanding.</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of July 19, 2024,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200660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June 30, 2024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1"/>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1"/>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6300" w:type="dxa"/>
            <w:vAlign w:val="bottom"/>
            <w:gridSpan w:val="14"/>
          </w:tcPr>
          <w:p>
            <w:pPr>
              <w:spacing w:after="0" w:line="195"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700" w:type="dxa"/>
            <w:vAlign w:val="bottom"/>
            <w:gridSpan w:val="2"/>
          </w:tcPr>
          <w:p>
            <w:pPr>
              <w:spacing w:after="0"/>
              <w:rPr>
                <w:sz w:val="16"/>
                <w:szCs w:val="16"/>
                <w:color w:val="auto"/>
              </w:rPr>
            </w:pPr>
          </w:p>
        </w:tc>
        <w:tc>
          <w:tcPr>
            <w:tcW w:w="480" w:type="dxa"/>
            <w:vAlign w:val="bottom"/>
            <w:gridSpan w:val="2"/>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180" w:type="dxa"/>
            <w:vAlign w:val="bottom"/>
            <w:gridSpan w:val="7"/>
          </w:tcPr>
          <w:p>
            <w:pPr>
              <w:spacing w:after="0"/>
              <w:rPr>
                <w:sz w:val="18"/>
                <w:szCs w:val="18"/>
                <w:color w:val="auto"/>
              </w:rPr>
            </w:pPr>
          </w:p>
        </w:tc>
        <w:tc>
          <w:tcPr>
            <w:tcW w:w="27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3860" w:type="dxa"/>
            <w:vAlign w:val="bottom"/>
            <w:gridSpan w:val="4"/>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1800" w:type="dxa"/>
            <w:vAlign w:val="bottom"/>
            <w:gridSpan w:val="6"/>
          </w:tcPr>
          <w:p>
            <w:pPr>
              <w:spacing w:after="0"/>
              <w:rPr>
                <w:sz w:val="18"/>
                <w:szCs w:val="18"/>
                <w:color w:val="auto"/>
              </w:rPr>
            </w:pPr>
          </w:p>
        </w:tc>
        <w:tc>
          <w:tcPr>
            <w:tcW w:w="3860" w:type="dxa"/>
            <w:vAlign w:val="bottom"/>
            <w:gridSpan w:val="4"/>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8"/>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3"/>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1680" w:type="dxa"/>
            <w:vAlign w:val="bottom"/>
            <w:gridSpan w:val="6"/>
          </w:tcPr>
          <w:p>
            <w:pPr>
              <w:spacing w:after="0"/>
              <w:rPr>
                <w:sz w:val="18"/>
                <w:szCs w:val="18"/>
                <w:color w:val="auto"/>
              </w:rPr>
            </w:pP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38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1800" w:type="dxa"/>
            <w:vAlign w:val="bottom"/>
            <w:gridSpan w:val="6"/>
          </w:tcPr>
          <w:p>
            <w:pPr>
              <w:spacing w:after="0"/>
              <w:rPr>
                <w:sz w:val="18"/>
                <w:szCs w:val="18"/>
                <w:color w:val="auto"/>
              </w:rPr>
            </w:pPr>
          </w:p>
        </w:tc>
        <w:tc>
          <w:tcPr>
            <w:tcW w:w="38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8"/>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1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60" w:type="dxa"/>
            <w:vAlign w:val="bottom"/>
            <w:gridSpan w:val="2"/>
          </w:tcPr>
          <w:p>
            <w:pPr>
              <w:spacing w:after="0"/>
              <w:rPr>
                <w:sz w:val="18"/>
                <w:szCs w:val="18"/>
                <w:color w:val="auto"/>
              </w:rPr>
            </w:pPr>
          </w:p>
        </w:tc>
        <w:tc>
          <w:tcPr>
            <w:tcW w:w="41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9"/>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6"/>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4280" w:type="dxa"/>
            <w:vAlign w:val="bottom"/>
            <w:gridSpan w:val="7"/>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56</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11"/>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4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500" w:type="dxa"/>
            <w:vAlign w:val="bottom"/>
            <w:gridSpan w:val="12"/>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79"/>
              </w:rPr>
              <w:t>58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50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58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760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88</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02"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Downturns in economic conditions could adversely affect our business.</w:t>
      </w:r>
    </w:p>
    <w:p>
      <w:pPr>
        <w:spacing w:after="0" w:line="175"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We will need to obtain sufficient financing or other capital to operate successfully.</w:t>
      </w:r>
    </w:p>
    <w:p>
      <w:pPr>
        <w:spacing w:after="0" w:line="161" w:lineRule="exact"/>
        <w:rPr>
          <w:rFonts w:ascii="Arial" w:cs="Arial" w:eastAsia="Arial" w:hAnsi="Arial"/>
          <w:sz w:val="20"/>
          <w:szCs w:val="20"/>
          <w:color w:val="auto"/>
        </w:rPr>
      </w:pPr>
    </w:p>
    <w:p>
      <w:pPr>
        <w:jc w:val="both"/>
        <w:ind w:left="660" w:hanging="328"/>
        <w:spacing w:after="0" w:line="26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134"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34"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18"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The loss of key personnel upon whom we depend to operate our business or the inability to attract, develop and retain additional qualified personnel could adversely affect our business.</w:t>
      </w:r>
    </w:p>
    <w:p>
      <w:pPr>
        <w:spacing w:after="0" w:line="118" w:lineRule="exact"/>
        <w:rPr>
          <w:rFonts w:ascii="Arial" w:cs="Arial" w:eastAsia="Arial" w:hAnsi="Arial"/>
          <w:sz w:val="20"/>
          <w:szCs w:val="20"/>
          <w:color w:val="auto"/>
        </w:rPr>
      </w:pPr>
    </w:p>
    <w:p>
      <w:pPr>
        <w:jc w:val="both"/>
        <w:ind w:left="660" w:hanging="328"/>
        <w:spacing w:after="0" w:line="25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Our business has been and will continue to be materially affected by many changing economic, geopolitical, commercial, regulatory and other conditions beyond our control, including global events that affect travel behavior, and our results of operations could be volatile and fluctuate materially due to changes in such conditions.</w:t>
      </w:r>
    </w:p>
    <w:p>
      <w:pPr>
        <w:spacing w:after="0" w:line="14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The airline industry is intensely competitive and dynamic.</w:t>
      </w:r>
    </w:p>
    <w:p>
      <w:pPr>
        <w:spacing w:after="0" w:line="175"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Union disputes, employee strikes and other labor-related disruptions may adversely affect our operations and financial performance.</w:t>
      </w:r>
    </w:p>
    <w:p>
      <w:pPr>
        <w:spacing w:after="0" w:line="161"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18"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Any damage to our reputation or brand image could adversely affect our business or financial results.</w:t>
      </w:r>
    </w:p>
    <w:p>
      <w:pPr>
        <w:spacing w:after="0" w:line="17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Changes to our business model that are designed to increase revenues and reduce costs may not be successful and may cause operational difficulties or decreased demand.</w:t>
      </w:r>
    </w:p>
    <w:p>
      <w:pPr>
        <w:spacing w:after="0" w:line="134"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18"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61"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Our ability to utilize our NOLs and other carryforwards may be limited, and any new U.S. tax legislation may adversely affect our business and financial results.</w:t>
      </w:r>
    </w:p>
    <w:p>
      <w:pPr>
        <w:spacing w:after="0" w:line="118"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20" w:hanging="328"/>
        <w:spacing w:after="0" w:line="27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18" w:lineRule="exact"/>
        <w:rPr>
          <w:rFonts w:ascii="Arial" w:cs="Arial" w:eastAsia="Arial" w:hAnsi="Arial"/>
          <w:sz w:val="20"/>
          <w:szCs w:val="20"/>
          <w:color w:val="auto"/>
        </w:rPr>
      </w:pPr>
    </w:p>
    <w:p>
      <w:pPr>
        <w:jc w:val="both"/>
        <w:ind w:left="660" w:hanging="328"/>
        <w:spacing w:after="0" w:line="25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141"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1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34" w:lineRule="exact"/>
        <w:rPr>
          <w:rFonts w:ascii="Arial" w:cs="Arial" w:eastAsia="Arial" w:hAnsi="Arial"/>
          <w:sz w:val="20"/>
          <w:szCs w:val="20"/>
          <w:color w:val="auto"/>
        </w:rPr>
      </w:pPr>
    </w:p>
    <w:p>
      <w:pPr>
        <w:ind w:left="660" w:hanging="328"/>
        <w:spacing w:after="0" w:line="27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We may be adversely affected by conflicts overseas, terrorist attacks or other acts of violence, domestically or abroad; the travel industry continues to face ongoing security concerns.</w:t>
      </w:r>
    </w:p>
    <w:p>
      <w:pPr>
        <w:spacing w:after="0" w:line="118" w:lineRule="exact"/>
        <w:rPr>
          <w:rFonts w:ascii="Arial" w:cs="Arial" w:eastAsia="Arial" w:hAnsi="Arial"/>
          <w:sz w:val="20"/>
          <w:szCs w:val="20"/>
          <w:color w:val="auto"/>
        </w:rPr>
      </w:pPr>
    </w:p>
    <w:p>
      <w:pPr>
        <w:jc w:val="both"/>
        <w:ind w:left="660" w:hanging="328"/>
        <w:spacing w:after="0" w:line="262"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We are subject to risks associated with climate change, including increased regulation of our greenhouse gas (GHG) emissions, changing consumer preferences and the potential for increased impacts of severe weather events on our operations and infrastructure.</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18"/>
          <w:szCs w:val="18"/>
          <w:color w:val="auto"/>
        </w:rPr>
        <w:t>A shortage of pilots or other personnel has in the past and could continue to materially adversely affect our business.</w:t>
      </w:r>
    </w:p>
    <w:p>
      <w:pPr>
        <w:spacing w:after="0" w:line="161" w:lineRule="exact"/>
        <w:rPr>
          <w:rFonts w:ascii="Arial" w:cs="Arial" w:eastAsia="Arial" w:hAnsi="Arial"/>
          <w:sz w:val="20"/>
          <w:szCs w:val="20"/>
          <w:color w:val="auto"/>
        </w:rPr>
      </w:pPr>
    </w:p>
    <w:p>
      <w:pPr>
        <w:jc w:val="both"/>
        <w:ind w:left="660" w:hanging="328"/>
        <w:spacing w:after="0" w:line="25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spacing w:after="0" w:line="13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134" w:lineRule="exact"/>
        <w:rPr>
          <w:rFonts w:ascii="Arial" w:cs="Arial" w:eastAsia="Arial" w:hAnsi="Arial"/>
          <w:sz w:val="20"/>
          <w:szCs w:val="20"/>
          <w:color w:val="auto"/>
        </w:rPr>
      </w:pPr>
    </w:p>
    <w:p>
      <w:pPr>
        <w:jc w:val="both"/>
        <w:ind w:left="660" w:hanging="328"/>
        <w:spacing w:after="0" w:line="25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Evolving data privacy requirements (in particular, compliance with applicable federal, state and foreign laws relating to handling of 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w:t>
      </w:r>
    </w:p>
    <w:p>
      <w:pPr>
        <w:spacing w:after="0" w:line="138" w:lineRule="exact"/>
        <w:rPr>
          <w:rFonts w:ascii="Arial" w:cs="Arial" w:eastAsia="Arial" w:hAnsi="Arial"/>
          <w:sz w:val="20"/>
          <w:szCs w:val="20"/>
          <w:color w:val="auto"/>
        </w:rPr>
      </w:pPr>
    </w:p>
    <w:p>
      <w:pPr>
        <w:jc w:val="both"/>
        <w:ind w:left="660" w:right="20" w:hanging="328"/>
        <w:spacing w:after="0" w:line="262"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We are exposed to risks from cyberattacks, and any cybersecurity incidents involving us, our third-party service providers, or one of our AAdvantage partners or other business partners, could materially adversely affect our business, results of operations and financial condition.</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18"/>
          <w:szCs w:val="18"/>
          <w:color w:val="auto"/>
        </w:rPr>
        <w:t>We rely on third-party distribution channels and must effectively manage the costs, rights and functionality of these channels.</w:t>
      </w:r>
    </w:p>
    <w:p>
      <w:pPr>
        <w:spacing w:after="0" w:line="161" w:lineRule="exact"/>
        <w:rPr>
          <w:rFonts w:ascii="Arial" w:cs="Arial" w:eastAsia="Arial" w:hAnsi="Arial"/>
          <w:sz w:val="20"/>
          <w:szCs w:val="20"/>
          <w:color w:val="auto"/>
        </w:rPr>
      </w:pPr>
    </w:p>
    <w:p>
      <w:pPr>
        <w:jc w:val="both"/>
        <w:ind w:left="660" w:hanging="328"/>
        <w:spacing w:after="0" w:line="25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 and interruptions or disruptions in service at one of our key facilities could have a material adverse impact on our operations.</w:t>
      </w:r>
    </w:p>
    <w:p>
      <w:pPr>
        <w:spacing w:after="0" w:line="138"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18"/>
          <w:szCs w:val="18"/>
          <w:color w:val="auto"/>
        </w:rPr>
        <w:t>Increases in insurance costs or reductions in insurance coverage may adversely impact our operations and financial results.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24,661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24,081</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6,917</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23,644</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656,965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653,602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656,406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652,801</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-4902835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7,841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7,000</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910</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2,067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2,026</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658</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13,572</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42,752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41,794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10,198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10,307</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760</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54,002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52,861</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(22,958)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(22,097)</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31,044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30,764</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7,939</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$837 and $834, respectively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2,047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2,051</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2,888</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1,753</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10,413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10,783</w:t>
            </w:r>
          </w:p>
        </w:tc>
      </w:tr>
      <w:tr>
        <w:trPr>
          <w:trHeight w:val="196"/>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64,125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63,058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0"/>
        </w:trPr>
        <w:tc>
          <w:tcPr>
            <w:tcW w:w="75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 (DEFICIT)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3,632</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3,016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2,353</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2,377</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8,030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6,200</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3,453</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1,209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1,309</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2,849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2,738</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24,610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22,062</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27,636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29,270</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6,031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5,874</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6,452</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1,558</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44,261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46,198</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49"/>
        </w:trPr>
        <w:tc>
          <w:tcPr>
            <w:tcW w:w="7580" w:type="dxa"/>
            <w:vAlign w:val="bottom"/>
          </w:tcPr>
          <w:p>
            <w:pPr>
              <w:ind w:left="360"/>
              <w:spacing w:after="0" w:line="149" w:lineRule="exact"/>
              <w:rPr>
                <w:sz w:val="20"/>
                <w:szCs w:val="20"/>
                <w:color w:val="auto"/>
              </w:rPr>
            </w:pPr>
            <w:r>
              <w:rPr>
                <w:rFonts w:ascii="Arial" w:cs="Arial" w:eastAsia="Arial" w:hAnsi="Arial"/>
                <w:sz w:val="15"/>
                <w:szCs w:val="15"/>
                <w:color w:val="auto"/>
              </w:rPr>
              <w:t>Common stock, $0.01 par value; 1,750,000,000 shares authorized, 656,607,802 shares issued and</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5"/>
                <w:szCs w:val="15"/>
                <w:color w:val="auto"/>
              </w:rPr>
              <w:t>outstanding at June 30, 2024; 654,273,192 shares issued and outstanding at December 31, 2023</w:t>
            </w:r>
          </w:p>
        </w:tc>
        <w:tc>
          <w:tcPr>
            <w:tcW w:w="26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6"/>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(4,858)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(4,894)</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(7,284)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(7,689)</w:t>
            </w:r>
          </w:p>
        </w:tc>
      </w:tr>
      <w:tr>
        <w:trPr>
          <w:trHeight w:val="19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(5,202)</w:t>
            </w:r>
          </w:p>
        </w:tc>
      </w:tr>
      <w:tr>
        <w:trPr>
          <w:trHeight w:val="222"/>
        </w:trPr>
        <w:tc>
          <w:tcPr>
            <w:tcW w:w="75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64,125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63,058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 and sale of property and equipment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restricted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2,143</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debt, finance leases and other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Operating leases converted to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5540" w:type="dxa"/>
            <w:vAlign w:val="bottom"/>
          </w:tcPr>
          <w:p>
            <w:pPr>
              <w:ind w:left="20"/>
              <w:spacing w:after="0" w:line="176" w:lineRule="exact"/>
              <w:rPr>
                <w:sz w:val="20"/>
                <w:szCs w:val="20"/>
                <w:color w:val="auto"/>
              </w:rPr>
            </w:pPr>
            <w:r>
              <w:rPr>
                <w:rFonts w:ascii="Arial" w:cs="Arial" w:eastAsia="Arial" w:hAnsi="Arial"/>
                <w:sz w:val="18"/>
                <w:szCs w:val="18"/>
                <w:color w:val="auto"/>
              </w:rPr>
              <w:t>Issuance of 1,772,443 shares of AAG common stock pursuant to</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Modification of share-based awards</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5540" w:type="dxa"/>
            <w:vAlign w:val="bottom"/>
          </w:tcPr>
          <w:p>
            <w:pPr>
              <w:ind w:left="20"/>
              <w:spacing w:after="0" w:line="176" w:lineRule="exact"/>
              <w:rPr>
                <w:sz w:val="20"/>
                <w:szCs w:val="20"/>
                <w:color w:val="auto"/>
              </w:rPr>
            </w:pPr>
            <w:r>
              <w:rPr>
                <w:rFonts w:ascii="Arial" w:cs="Arial" w:eastAsia="Arial" w:hAnsi="Arial"/>
                <w:sz w:val="18"/>
                <w:szCs w:val="18"/>
                <w:color w:val="auto"/>
              </w:rPr>
              <w:t>Issuance of 562,167 shares of AAG common stock pursuant to</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2"/>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4"/>
        </w:trPr>
        <w:tc>
          <w:tcPr>
            <w:tcW w:w="5540" w:type="dxa"/>
            <w:vAlign w:val="bottom"/>
          </w:tcPr>
          <w:p>
            <w:pPr>
              <w:ind w:left="20"/>
              <w:spacing w:after="0" w:line="183" w:lineRule="exact"/>
              <w:rPr>
                <w:sz w:val="20"/>
                <w:szCs w:val="20"/>
                <w:color w:val="auto"/>
              </w:rPr>
            </w:pPr>
            <w:r>
              <w:rPr>
                <w:rFonts w:ascii="Arial" w:cs="Arial" w:eastAsia="Arial" w:hAnsi="Arial"/>
                <w:sz w:val="18"/>
                <w:szCs w:val="18"/>
                <w:color w:val="auto"/>
              </w:rPr>
              <w:t>Issuance of 2,175,213 shares of AAG common stock pursuant to</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5"/>
        </w:trPr>
        <w:tc>
          <w:tcPr>
            <w:tcW w:w="55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4"/>
        </w:trPr>
        <w:tc>
          <w:tcPr>
            <w:tcW w:w="55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Issuance of 469,087 shares of AAG common stock pursuant to</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2023.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Labor Relations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July 2024, American and the Association of Professional Flight Attendants (APFA), the union representing our approximately 27,000 mainline flight attendants, reached a new tentative collective bargaining agreement. The tentative agreement is subject to approval by the APFA Board of Directors and is subject to ratification by American’s flight attendants through a vote that is presently expected to close in September 2024. Upon flight attendant ratification, the ratified agreement will include a provision for a one-time payment of approximately $500 million and provisions for other benefit-related items. Since the tentative agreement has not yet been ratified and there is uncertainty about the outcome of that process, we have not accrued for the one-time payment or for the other benefit-related expenses as of June 30,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14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2023</w:t>
            </w:r>
          </w:p>
        </w:tc>
      </w:tr>
      <w:tr>
        <w:trPr>
          <w:trHeight w:val="224"/>
        </w:trPr>
        <w:tc>
          <w:tcPr>
            <w:tcW w:w="59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88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Severance expenses</w:t>
            </w:r>
          </w:p>
        </w:tc>
        <w:tc>
          <w:tcPr>
            <w:tcW w:w="880" w:type="dxa"/>
            <w:vAlign w:val="bottom"/>
          </w:tcPr>
          <w:p>
            <w:pPr>
              <w:spacing w:after="0"/>
              <w:rPr>
                <w:sz w:val="19"/>
                <w:szCs w:val="19"/>
                <w:color w:val="auto"/>
              </w:rPr>
            </w:pPr>
          </w:p>
        </w:tc>
        <w:tc>
          <w:tcPr>
            <w:tcW w:w="1440" w:type="dxa"/>
            <w:vAlign w:val="bottom"/>
            <w:gridSpan w:val="3"/>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94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8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8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94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8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9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and extinguishment</w:t>
            </w: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2"/>
        </w:trPr>
        <w:tc>
          <w:tcPr>
            <w:tcW w:w="594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hanging="332"/>
        <w:spacing w:after="0" w:line="231"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our mainline passenger service team members, including a one-time signing bonus which was principally paid in the first quarter of 2024.</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following table provides the computation of basic and diluted earnings per common share (EPS) (in millions,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652,801</w:t>
            </w:r>
          </w:p>
        </w:tc>
        <w:tc>
          <w:tcPr>
            <w:tcW w:w="0" w:type="dxa"/>
            <w:vAlign w:val="bottom"/>
          </w:tcPr>
          <w:p>
            <w:pPr>
              <w:spacing w:after="0"/>
              <w:rPr>
                <w:sz w:val="1"/>
                <w:szCs w:val="1"/>
                <w:color w:val="auto"/>
              </w:rPr>
            </w:pPr>
          </w:p>
        </w:tc>
      </w:tr>
      <w:tr>
        <w:trPr>
          <w:trHeight w:val="223"/>
        </w:trPr>
        <w:tc>
          <w:tcPr>
            <w:tcW w:w="5940" w:type="dxa"/>
            <w:vAlign w:val="bottom"/>
          </w:tcPr>
          <w:p>
            <w:pPr>
              <w:ind w:left="140"/>
              <w:spacing w:after="0"/>
              <w:rPr>
                <w:sz w:val="20"/>
                <w:szCs w:val="20"/>
                <w:color w:val="auto"/>
              </w:rPr>
            </w:pPr>
            <w:r>
              <w:rPr>
                <w:rFonts w:ascii="Arial" w:cs="Arial" w:eastAsia="Arial" w:hAnsi="Arial"/>
                <w:sz w:val="18"/>
                <w:szCs w:val="18"/>
                <w:color w:val="auto"/>
              </w:rPr>
              <w:t>Basic EPS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on 6.50% convertible senior notes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purposes of computing diluted EPS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shares outstanding</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652,801</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 awards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certain PSP Warrants and Treasury Loan Warrants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Assumed conversion of 6.50% convertible senior notes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61,728</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718,890</w:t>
            </w:r>
          </w:p>
        </w:tc>
        <w:tc>
          <w:tcPr>
            <w:tcW w:w="0" w:type="dxa"/>
            <w:vAlign w:val="bottom"/>
          </w:tcPr>
          <w:p>
            <w:pPr>
              <w:spacing w:after="0"/>
              <w:rPr>
                <w:sz w:val="1"/>
                <w:szCs w:val="1"/>
                <w:color w:val="auto"/>
              </w:rPr>
            </w:pPr>
          </w:p>
        </w:tc>
      </w:tr>
      <w:tr>
        <w:trPr>
          <w:trHeight w:val="223"/>
        </w:trPr>
        <w:tc>
          <w:tcPr>
            <w:tcW w:w="5940" w:type="dxa"/>
            <w:vAlign w:val="bottom"/>
          </w:tcPr>
          <w:p>
            <w:pPr>
              <w:ind w:left="680"/>
              <w:spacing w:after="0"/>
              <w:rPr>
                <w:sz w:val="20"/>
                <w:szCs w:val="20"/>
                <w:color w:val="auto"/>
              </w:rPr>
            </w:pPr>
            <w:r>
              <w:rPr>
                <w:rFonts w:ascii="Arial" w:cs="Arial" w:eastAsia="Arial" w:hAnsi="Arial"/>
                <w:sz w:val="18"/>
                <w:szCs w:val="18"/>
                <w:color w:val="auto"/>
              </w:rPr>
              <w:t>Diluted EPS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26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60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7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2,912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3,112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r>
    </w:tbl>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for the three and six months ended June 30, 2024 and 2023, excluded from the calculation of diluted EPS because inclusion of such shares would be antidilutive, are certain shares underlying the warrants issued pursuant to (i) the payroll support program established under the Coronavirus Aid, Relief, and Economic Security Act (PSP1), (ii) the payroll support program established under the Subtitle A of Title IV of Division N of the Consolidated Appropriations Act, 2021 (PSP2), (iii) the payroll support program established under the American Rescue Plan Act of 2021 (PSP3) (collectively, the PSP Warrants) and (iv) the Loan and Guarantee Agreement with the U.S. Department of Treasury (Treasury Loan Warrants).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provides a summary of the PSP Warrants and the Treasury Loan Warrants: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2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Warrants Issued (shares, in</w:t>
            </w:r>
          </w:p>
        </w:tc>
        <w:tc>
          <w:tcPr>
            <w:tcW w:w="400" w:type="dxa"/>
            <w:vAlign w:val="bottom"/>
          </w:tcPr>
          <w:p>
            <w:pPr>
              <w:spacing w:after="0"/>
              <w:rPr>
                <w:sz w:val="14"/>
                <w:szCs w:val="14"/>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Exercise Price</w:t>
            </w:r>
          </w:p>
        </w:tc>
        <w:tc>
          <w:tcPr>
            <w:tcW w:w="3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3340" w:type="dxa"/>
            <w:vAlign w:val="bottom"/>
            <w:gridSpan w:val="2"/>
            <w:vMerge w:val="continue"/>
          </w:tcPr>
          <w:p>
            <w:pPr>
              <w:spacing w:after="0"/>
              <w:rPr>
                <w:sz w:val="16"/>
                <w:szCs w:val="16"/>
                <w:color w:val="auto"/>
              </w:rPr>
            </w:pPr>
          </w:p>
        </w:tc>
        <w:tc>
          <w:tcPr>
            <w:tcW w:w="2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thousands)</w:t>
            </w:r>
          </w:p>
        </w:tc>
        <w:tc>
          <w:tcPr>
            <w:tcW w:w="40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PSP1 Warrants</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April 2025 to September 2025</w:t>
            </w:r>
          </w:p>
        </w:tc>
        <w:tc>
          <w:tcPr>
            <w:tcW w:w="0" w:type="dxa"/>
            <w:vAlign w:val="bottom"/>
          </w:tcPr>
          <w:p>
            <w:pPr>
              <w:spacing w:after="0"/>
              <w:rPr>
                <w:sz w:val="1"/>
                <w:szCs w:val="1"/>
                <w:color w:val="auto"/>
              </w:rPr>
            </w:pPr>
          </w:p>
        </w:tc>
      </w:tr>
      <w:tr>
        <w:trPr>
          <w:trHeight w:val="22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PSP2 Warrants</w:t>
            </w:r>
          </w:p>
        </w:tc>
        <w:tc>
          <w:tcPr>
            <w:tcW w:w="2060" w:type="dxa"/>
            <w:vAlign w:val="bottom"/>
          </w:tcPr>
          <w:p>
            <w:pPr>
              <w:jc w:val="right"/>
              <w:spacing w:after="0"/>
              <w:rPr>
                <w:sz w:val="20"/>
                <w:szCs w:val="20"/>
                <w:color w:val="auto"/>
              </w:rPr>
            </w:pPr>
            <w:r>
              <w:rPr>
                <w:rFonts w:ascii="Arial" w:cs="Arial" w:eastAsia="Arial" w:hAnsi="Arial"/>
                <w:sz w:val="18"/>
                <w:szCs w:val="18"/>
                <w:color w:val="auto"/>
              </w:rPr>
              <w:t>6,576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January 2026 to April 2026</w:t>
            </w: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PSP3 Warrants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April 2026 to June 2026</w:t>
            </w:r>
          </w:p>
        </w:tc>
        <w:tc>
          <w:tcPr>
            <w:tcW w:w="0" w:type="dxa"/>
            <w:vAlign w:val="bottom"/>
          </w:tcPr>
          <w:p>
            <w:pPr>
              <w:spacing w:after="0"/>
              <w:rPr>
                <w:sz w:val="1"/>
                <w:szCs w:val="1"/>
                <w:color w:val="auto"/>
              </w:rPr>
            </w:pPr>
          </w:p>
        </w:tc>
      </w:tr>
      <w:tr>
        <w:trPr>
          <w:trHeight w:val="23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Treasury Loan Warrants</w:t>
            </w:r>
          </w:p>
        </w:tc>
        <w:tc>
          <w:tcPr>
            <w:tcW w:w="2060" w:type="dxa"/>
            <w:vAlign w:val="bottom"/>
          </w:tcPr>
          <w:p>
            <w:pPr>
              <w:jc w:val="right"/>
              <w:spacing w:after="0"/>
              <w:rPr>
                <w:sz w:val="20"/>
                <w:szCs w:val="20"/>
                <w:color w:val="auto"/>
              </w:rPr>
            </w:pPr>
            <w:r>
              <w:rPr>
                <w:rFonts w:ascii="Arial" w:cs="Arial" w:eastAsia="Arial" w:hAnsi="Arial"/>
                <w:sz w:val="18"/>
                <w:szCs w:val="18"/>
                <w:color w:val="auto"/>
              </w:rPr>
              <w:t>4,396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rPr>
              <w:t>September 2025</w:t>
            </w:r>
          </w:p>
        </w:tc>
        <w:tc>
          <w:tcPr>
            <w:tcW w:w="0" w:type="dxa"/>
            <w:vAlign w:val="bottom"/>
          </w:tcPr>
          <w:p>
            <w:pPr>
              <w:spacing w:after="0"/>
              <w:rPr>
                <w:sz w:val="1"/>
                <w:szCs w:val="1"/>
                <w:color w:val="auto"/>
              </w:rPr>
            </w:pPr>
          </w:p>
        </w:tc>
      </w:tr>
      <w:tr>
        <w:trPr>
          <w:trHeight w:val="737"/>
        </w:trPr>
        <w:tc>
          <w:tcPr>
            <w:tcW w:w="3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ind w:left="260" w:right="9200" w:hanging="252"/>
        <w:spacing w:after="0" w:line="364" w:lineRule="auto"/>
        <w:tabs>
          <w:tab w:leader="none" w:pos="217"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20" w:type="dxa"/>
            <w:vAlign w:val="bottom"/>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r>
      <w:tr>
        <w:trPr>
          <w:trHeight w:val="211"/>
        </w:trPr>
        <w:tc>
          <w:tcPr>
            <w:tcW w:w="20" w:type="dxa"/>
            <w:vAlign w:val="bottom"/>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12,057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22,795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22,348</w:t>
            </w: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23"/>
        </w:trPr>
        <w:tc>
          <w:tcPr>
            <w:tcW w:w="20" w:type="dxa"/>
            <w:vAlign w:val="bottom"/>
          </w:tcPr>
          <w:p>
            <w:pPr>
              <w:spacing w:after="0"/>
              <w:rPr>
                <w:sz w:val="19"/>
                <w:szCs w:val="19"/>
                <w:color w:val="auto"/>
              </w:rPr>
            </w:pP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24,081</w:t>
            </w: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2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29"/>
        </w:trPr>
        <w:tc>
          <w:tcPr>
            <w:tcW w:w="20" w:type="dxa"/>
            <w:vAlign w:val="bottom"/>
          </w:tcPr>
          <w:p>
            <w:pPr>
              <w:spacing w:after="0"/>
              <w:rPr>
                <w:sz w:val="19"/>
                <w:szCs w:val="19"/>
                <w:color w:val="auto"/>
              </w:rPr>
            </w:pPr>
          </w:p>
        </w:tc>
        <w:tc>
          <w:tcPr>
            <w:tcW w:w="5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23"/>
        </w:trPr>
        <w:tc>
          <w:tcPr>
            <w:tcW w:w="20" w:type="dxa"/>
            <w:vAlign w:val="bottom"/>
          </w:tcPr>
          <w:p>
            <w:pPr>
              <w:spacing w:after="0"/>
              <w:rPr>
                <w:sz w:val="19"/>
                <w:szCs w:val="19"/>
                <w:color w:val="auto"/>
              </w:rPr>
            </w:pPr>
          </w:p>
        </w:tc>
        <w:tc>
          <w:tcPr>
            <w:tcW w:w="5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r>
      <w:tr>
        <w:trPr>
          <w:trHeight w:val="223"/>
        </w:trPr>
        <w:tc>
          <w:tcPr>
            <w:tcW w:w="20" w:type="dxa"/>
            <w:vAlign w:val="bottom"/>
          </w:tcPr>
          <w:p>
            <w:pPr>
              <w:spacing w:after="0"/>
              <w:rPr>
                <w:sz w:val="19"/>
                <w:szCs w:val="19"/>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26,244</w:t>
            </w: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3,555</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48"/>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-1174115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7"/>
              </w:rPr>
              <w:t>9,327</w:t>
            </w:r>
          </w:p>
        </w:tc>
      </w:tr>
      <w:tr>
        <w:trPr>
          <w:trHeight w:val="230"/>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19"/>
                <w:szCs w:val="19"/>
                <w:color w:val="auto"/>
              </w:rPr>
            </w:pPr>
          </w:p>
        </w:tc>
        <w:tc>
          <w:tcPr>
            <w:tcW w:w="1080" w:type="dxa"/>
            <w:vAlign w:val="bottom"/>
          </w:tcPr>
          <w:p>
            <w:pPr>
              <w:jc w:val="center"/>
              <w:ind w:left="390"/>
              <w:spacing w:after="0"/>
              <w:rPr>
                <w:sz w:val="20"/>
                <w:szCs w:val="20"/>
                <w:color w:val="auto"/>
              </w:rPr>
            </w:pPr>
            <w:r>
              <w:rPr>
                <w:rFonts w:ascii="Arial" w:cs="Arial" w:eastAsia="Arial" w:hAnsi="Arial"/>
                <w:sz w:val="18"/>
                <w:szCs w:val="18"/>
                <w:color w:val="auto"/>
                <w:w w:val="97"/>
              </w:rPr>
              <w:t>2,168</w:t>
            </w:r>
          </w:p>
        </w:tc>
      </w:tr>
      <w:tr>
        <w:trPr>
          <w:trHeight w:val="229"/>
        </w:trPr>
        <w:tc>
          <w:tcPr>
            <w:tcW w:w="9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rPr>
              <w:t>(1,845)</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June 30, 2024 </w:t>
            </w:r>
            <w:r>
              <w:rPr>
                <w:rFonts w:ascii="Arial" w:cs="Arial" w:eastAsia="Arial" w:hAnsi="Arial"/>
                <w:sz w:val="23"/>
                <w:szCs w:val="23"/>
                <w:color w:val="auto"/>
                <w:vertAlign w:val="superscript"/>
              </w:rPr>
              <w:t>(2)</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7"/>
              </w:rPr>
              <w:t>9,650</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June 30, 2024, our current loyalty program liability was $3.6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the six months ended June 30, 2024, $4.7 billion of revenue was recognized in passenger revenue that was included in our air traffic liability at December 31, 2023.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2013 Term Loan Facility, variable interest rate of 8.19%, installments through February 2028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7.07%, installments through January 2027</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2023 Term Loan Facility, variable interest rate of 7.77%, installments beginning in December</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2024 through June 2029</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8.50% senior secured notes, interest only payments until due in May 2029</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through April 2026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AAdvantage Term Loan Facility, variable interest rate of 10.34%, installments through April</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(1)</w:t>
            </w:r>
          </w:p>
        </w:tc>
        <w:tc>
          <w:tcPr>
            <w:tcW w:w="5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7,096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5.90%, averaging 3.56%, maturing from 2024 to 2034</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2.55% to 8.85%, averaging 6.93%, maturing from 2024 to 2036</w:t>
            </w:r>
          </w:p>
        </w:tc>
        <w:tc>
          <w:tcPr>
            <w:tcW w:w="2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from 2026 to 2036</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0" w:type="dxa"/>
            <w:vAlign w:val="bottom"/>
          </w:tcPr>
          <w:p>
            <w:pPr>
              <w:spacing w:after="0"/>
              <w:rPr>
                <w:sz w:val="1"/>
                <w:szCs w:val="1"/>
                <w:color w:val="auto"/>
              </w:rPr>
            </w:pPr>
          </w:p>
        </w:tc>
      </w:tr>
      <w:tr>
        <w:trPr>
          <w:trHeight w:val="210"/>
        </w:trPr>
        <w:tc>
          <w:tcPr>
            <w:tcW w:w="7560" w:type="dxa"/>
            <w:vAlign w:val="bottom"/>
            <w:gridSpan w:val="2"/>
          </w:tcPr>
          <w:p>
            <w:pPr>
              <w:ind w:left="20"/>
              <w:spacing w:after="0"/>
              <w:rPr>
                <w:sz w:val="20"/>
                <w:szCs w:val="20"/>
                <w:color w:val="auto"/>
              </w:rPr>
            </w:pPr>
            <w:r>
              <w:rPr>
                <w:rFonts w:ascii="Arial" w:cs="Arial" w:eastAsia="Arial" w:hAnsi="Arial"/>
                <w:sz w:val="18"/>
                <w:szCs w:val="18"/>
                <w:i w:val="1"/>
                <w:iCs w:val="1"/>
                <w:color w:val="auto"/>
              </w:rPr>
              <w:t>Unsecured</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PSP1 Promissory Note, interest only payments until due in April 2030</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PSP2 Promissory Note, interest only payments until due in January 2031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PSP3 Promissory Note, interest only payments until due in April 2031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32,759</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28,895</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2024, the maximum availability under our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4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Revolving Facility</w:t>
            </w:r>
          </w:p>
        </w:tc>
        <w:tc>
          <w:tcPr>
            <w:tcW w:w="5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facilities</w:t>
            </w:r>
          </w:p>
        </w:tc>
        <w:tc>
          <w:tcPr>
            <w:tcW w:w="57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15</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370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00" w:type="dxa"/>
            <w:vAlign w:val="bottom"/>
            <w:tcBorders>
              <w:bottom w:val="single" w:sz="8" w:color="9A9A9A"/>
            </w:tcBorders>
          </w:tcPr>
          <w:p>
            <w:pPr>
              <w:spacing w:after="0"/>
              <w:rPr>
                <w:sz w:val="9"/>
                <w:szCs w:val="9"/>
                <w:color w:val="auto"/>
              </w:rPr>
            </w:pPr>
          </w:p>
        </w:tc>
        <w:tc>
          <w:tcPr>
            <w:tcW w:w="57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2024, American entered into a revolving credit facility that provides for borrowing capacity of up to $350 million, maturing in March 2027 with an option to extend for an additional year. As of June 30, 2024, there were no amounts drawn under this facility. Additionally, American currently has $47 million of available borrowing base under a cargo receivables facility that is set to expire in December 2024. As further described below, the aggregate commitments under the 2013, 2014 and 2023 Revolving Facilities are $2.9 billion through June 4, 2029.</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June 30, 2024, the if-converted value of the 6.50% convertible senior notes due 2025 (the Convertible Notes) did not exceed the principal amount. The last reported sale price per share of our common stock (as defined in the indenture governing our Convertible Notes, the Convertible Notes Indenture) did not exceed 130% of the conversion price of the Convertible Notes for at least 20 of the 30 consecutive trading days ending on June 30, 2024. Accordingly, pursuant to the terms of the Convertible Notes Indenture, the holders of the Convertible Notes cannot convert at their option at any time during the quarter ending September 30, 2024.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2024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Credit Facilities – 2013 Revolving Facility</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June 4, 2024, American and AAG entered into the Ninth Amendment to Amended and Restated Credit and Guaranty Agreement (the Ninth Amendment), amending the Amended and Restated Credit and Guaranty Agreement, dated as of May 21, 2015 (as amended, the 2013 Credit Agreement), pursuant to which American terminated all existing revolving commitments and letter of credit commitments available under the 2013 Credit Agreement and established new revolving commitments in an aggregate amount of $500 million (which includes the ability to issue letters of credit in an aggregate amount of $100 million) (the newly established commitments, the 2013 Revolving Facility), which have a maturity date of June 4, 2029. Additionally, as a result of the Ninth Amendment, the 2013 Revolving Facility bears interest at a base rate (subject to a floor of 1.00%) plus an applicable margin of 2.00%, 2.25% or 2.50%, depending on AAG’s public corporate credit rating, or, at American’s option, the Secured Overnight Financing Rate (SOFR) for a tenor of one, three, or six months, depending on the interest period selected by American (subject to a floor of 0.00%), plus an applicable margin of 3.00%, 3.25% or 3.50%, depending on AAG’s public corporate credit rating. Pursuant to the Ninth Amendment, SOFR borrowings under the 2013 Revolving Facility are not subject to a credit spread adjustment.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Credit Facilities – 2014 Revolving Facility</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Tenth Amendment to Amended and Restated Credit and Guaranty Agreement (the Tenth Amendment), amending the Amended and Restated Credit and Guaranty Agreement, dated as of April 20, 2015 (as amended, the 2014 Credit Agreement), pursuant to which American terminated all existing revolving commitments and letter of credit commitments available under the 2014 Credit Agreement and established new revolving commitments in an aggregate amount of $1.5 billion (which includes the ability to issue letters of credit in an aggregate amount of $200 million) (the newly established commitments, the 2014 Revolving Facility), which have a maturity date of June 4, 2029. Additionally, as a result of the Tenth Amendment, the 2014 Revolving Facility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The Tenth Amendment also reduced the minimum liquidity financial covenant threshold from $2.2 billion to $2.0 billion and reduced the liquidity requirement for making certain restricted payments from $4.2 billion to $4.0 billion. Pursuant to the Tenth Amendment, SOFR borrowings under the 2014 Revolving Facility are not subject to a credit spread adjustment.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Credit Facilities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First Amendment to Credit and Guaranty Agreement (the First Amendment) and the Second Amendment to Credit and Guaranty Agreement (the Second Amendment), each amending the Credit and Guaranty Agreement, dated as of December 4, 2023 (as amended, the 2023 Credit Agreement). Pursuant to the First Amendment, American established a revolving credit facility (the 2023 Revolving Facility) in an aggregate amount of $890 million, maturing June 4, 2029. The 2023 Revolving Facility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2023 Revolving Facility are not subject to a credit spread adjustment. Pursuant to the Second Amendment, American replaced the $1.1 billion of initial term loans made pursuant to the 2023 Credit Agreement with new term loans in a principal amount of $1.1 billion (such new term loans, the 2023 Term Loan Facility). The 2023 Term Loan Facility bears interest at a base rate (subject to a floor of 1.00%), plus an applicable margin of 1.50% per annum or, at American’s option, the SOFR rate for a tenor of one, three, or six months, depending on the interest period selected by American (subject to a floor of 0.00%), plus an applicable margin of 2.50% per annum. SOFR borrowings under the 2023 Term Loan Facility are not subject to a credit spread adjustment.</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2016 Revolving Facility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June 4, 2024, American terminated all revolving commitments under the Credit and Guaranty Agreement, dated as of April 29, 2016 (as amended, the April 2016 Credit Agreement). As a result, the April 2016 Credit Agreement was terminated and all liens securing the April 2016 Credit Agreement were released.</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Loans and Other Notes Payable Issued in 2024</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six months of 2024, American entered into agreements under which it borrowed $530 million in connection with the financing of certain aircraft. Debt incurred under these agreements matures in 2030 through 2036 and bears interest at variable rates (comprised of SOFR plus an applicable margin) averaging 6.92% as of June 30,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2023, we had approximately $13.7 billion of gross federal net operating losses (NOLs) and $4.7 billion of other carryforwards available to reduce future federal taxable income, of which $3.4 billion will expire beginning in 2029 if unused and $ 15.0 billion can be carried forward indefinitely. We also had approximately $5.5 billion of NOL carryforwards to reduce future state taxable income at December 31, 2023, which will expire in taxable years 2023 through 2043 if unused.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six months ended June 30, 2024.</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Fair Value Measurements as of June 30, 2024</w:t>
            </w:r>
          </w:p>
        </w:tc>
        <w:tc>
          <w:tcPr>
            <w:tcW w:w="98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9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 Restricted short-term investments mature in one year or less except for $199 million as of June 30, 2024.</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our equity investments in China Southern Airlines Company Limited (China Southern Airlines), Vertical Aerospace Ltd. (Vertical) and GOL Linhas Aéreas Inteligentes S.A. (GOL). See Note 8 for further information on our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June 30, 2024 and December 31, 2023, which would have been classified as Level 3 in the fair value hierarchy. The fair value of the Convertible Notes, which would have been classified as Level 2, was $1.0 billion and $1.1 billion as of June 30, 2024 and December 31, 2023, respectively.</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2024</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2023</w:t>
            </w:r>
          </w:p>
        </w:tc>
      </w:tr>
      <w:tr>
        <w:trPr>
          <w:trHeight w:val="161"/>
        </w:trPr>
        <w:tc>
          <w:tcPr>
            <w:tcW w:w="5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197"/>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7"/>
                <w:szCs w:val="17"/>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9"/>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31,286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32,396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32,310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condensed consolidated balance sheets. Our share of equity method investees’ financial results and changes in fair value are recorded in nonoperating other income (expense), net on the condensed consolidated statements of operations.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equity investment ownership interests and carrying values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56"/>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Equity Method</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2000" w:type="dxa"/>
            <w:vAlign w:val="bottom"/>
            <w:gridSpan w:val="2"/>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Fair Value</w:t>
            </w:r>
          </w:p>
        </w:tc>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Primarily includes our investment in JetSMART Holdings Limited, which is accounted for under the equity method, and our investments in Vertical and GOL, which are each accounted for at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six months of 2024, we made required contributions of $281 million to our defined benefit pension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Retiree</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Medical and</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Income Tax</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4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Unrealized Loss</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Postretirement</w:t>
            </w: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Benefit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on Investments</w:t>
            </w:r>
          </w:p>
        </w:tc>
        <w:tc>
          <w:tcPr>
            <w:tcW w:w="160" w:type="dxa"/>
            <w:vAlign w:val="bottom"/>
          </w:tcPr>
          <w:p>
            <w:pPr>
              <w:spacing w:after="0"/>
              <w:rPr>
                <w:sz w:val="16"/>
                <w:szCs w:val="16"/>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8"/>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21" w:right="339" w:bottom="1440" w:gutter="0" w:footer="0" w:header="0"/>
        </w:sect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Amounts reclassified from AOCI</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3"/>
                <w:szCs w:val="13"/>
                <w:color w:val="auto"/>
              </w:rPr>
            </w:pPr>
          </w:p>
        </w:tc>
        <w:tc>
          <w:tcPr>
            <w:tcW w:w="2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440" w:type="dxa"/>
            <w:vAlign w:val="bottom"/>
          </w:tcPr>
          <w:p>
            <w:pPr>
              <w:jc w:val="center"/>
              <w:ind w:left="668"/>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2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ind w:right="500" w:hanging="19"/>
        <w:spacing w:after="0" w:line="245"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400" w:space="620"/>
            <w:col w:w="2220"/>
          </w:cols>
          <w:pgMar w:left="320" w:top="121" w:right="339" w:bottom="1440" w:gutter="0" w:footer="0" w:header="0"/>
          <w:type w:val="continuous"/>
        </w:sectPr>
      </w:pPr>
    </w:p>
    <w:p>
      <w:pPr>
        <w:ind w:left="20"/>
        <w:spacing w:after="0" w:line="236" w:lineRule="auto"/>
        <w:rPr>
          <w:sz w:val="20"/>
          <w:szCs w:val="20"/>
          <w:color w:val="auto"/>
        </w:rPr>
      </w:pPr>
      <w:r>
        <w:rPr>
          <w:rFonts w:ascii="Arial" w:cs="Arial" w:eastAsia="Arial" w:hAnsi="Arial"/>
          <w:sz w:val="18"/>
          <w:szCs w:val="18"/>
          <w:color w:val="auto"/>
        </w:rPr>
        <w:t>Amortization of pension, retiree medical and</w:t>
      </w:r>
    </w:p>
    <w:p>
      <w:pPr>
        <w:ind w:left="180"/>
        <w:spacing w:after="0"/>
        <w:rPr>
          <w:sz w:val="20"/>
          <w:szCs w:val="20"/>
          <w:color w:val="auto"/>
        </w:rPr>
      </w:pPr>
      <w:r>
        <w:rPr>
          <w:rFonts w:ascii="Arial" w:cs="Arial" w:eastAsia="Arial" w:hAnsi="Arial"/>
          <w:sz w:val="18"/>
          <w:szCs w:val="18"/>
          <w:color w:val="auto"/>
        </w:rPr>
        <w:t>other postretirement benefits:</w:t>
      </w:r>
    </w:p>
    <w:tbl>
      <w:tblPr>
        <w:tblLayout w:type="fixed"/>
        <w:tblInd w:w="0" w:type="dxa"/>
        <w:tblCellMar>
          <w:top w:w="0" w:type="dxa"/>
          <w:left w:w="0" w:type="dxa"/>
          <w:bottom w:w="0" w:type="dxa"/>
          <w:right w:w="0" w:type="dxa"/>
        </w:tblCellMar>
      </w:tblPr>
      <w:tr>
        <w:trPr>
          <w:trHeight w:val="194"/>
        </w:trPr>
        <w:tc>
          <w:tcPr>
            <w:tcW w:w="3920" w:type="dxa"/>
            <w:vAlign w:val="bottom"/>
            <w:vMerge w:val="restart"/>
          </w:tcPr>
          <w:p>
            <w:pPr>
              <w:ind w:left="360"/>
              <w:spacing w:after="0"/>
              <w:rPr>
                <w:sz w:val="20"/>
                <w:szCs w:val="20"/>
                <w:color w:val="auto"/>
              </w:rPr>
            </w:pPr>
            <w:r>
              <w:rPr>
                <w:rFonts w:ascii="Arial" w:cs="Arial" w:eastAsia="Arial" w:hAnsi="Arial"/>
                <w:sz w:val="18"/>
                <w:szCs w:val="18"/>
                <w:color w:val="auto"/>
              </w:rPr>
              <w:t>Prior service cost</w:t>
            </w: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6"/>
                <w:szCs w:val="16"/>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840" w:type="dxa"/>
            <w:vAlign w:val="bottom"/>
          </w:tcPr>
          <w:p>
            <w:pPr>
              <w:ind w:left="120"/>
              <w:spacing w:after="0" w:line="194"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5"/>
        </w:trPr>
        <w:tc>
          <w:tcPr>
            <w:tcW w:w="39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2840" w:type="dxa"/>
            <w:vAlign w:val="bottom"/>
          </w:tcPr>
          <w:p>
            <w:pPr>
              <w:ind w:left="2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4"/>
        </w:trPr>
        <w:tc>
          <w:tcPr>
            <w:tcW w:w="39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4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35"/>
        </w:trPr>
        <w:tc>
          <w:tcPr>
            <w:tcW w:w="3920" w:type="dxa"/>
            <w:vAlign w:val="bottom"/>
            <w:vMerge w:val="continue"/>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for the three months ended June 30, 2024 and 2023 include $79 million and $80 million of depreciation and amortization, respectively, and $2 million and $1 million of aircraft rent, respectively. Regional expenses for the six months ended June 30, 2024 and 2023 include $158 million and $160 million of depreciation and amortization, respectively, and $4 million and $3 million of aircraft rent, respectively.</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three months ended June 30, 2024 and 2023, we recognized $150 million and $168 million, respectively, of expense under our capacity purchase agreement with Republic Airways Inc. (Republic). During the six months ended June 30, 2024 and 2023, we recognized $299 million and $336 million, respectively, of expense under our capacity purchase agreement with Republic. We hold a 25% equity interest in Republic Airways Holdings Inc., the parent company of Republic.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commenced wind-down activities to accommodate mutual customers. Following written submissions by the parties and a hearing on July 26, 2023, the U.S. District Court for the District of Massachusetts entered a Final Judgment and Order Entering Permanent Injunction on July 28, 2023. The parties are complying with the terms of the Final Judgment and Order Entering Permanent Injunction, including winding down activities related to the NEA. American filed a notice of appeal to the U.S. Court of Appeals for the First Circuit on September 25, 2023, and such appeal remains pending.</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In March 2023, American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American, together with JetBlue, filed a motion to dismiss the third amended complaint, and that motion remains pending. We believe these lawsuits are without merit and are defending against them vigorously.</w:t>
      </w:r>
    </w:p>
    <w:p>
      <w:pPr>
        <w:spacing w:after="0" w:line="1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On July 18, 2024, AAG and certain of its current and former officers were named as defendants in a putative class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action lawsuit filed in the United States District Court for the Northern District of Texas, captioned </w:t>
      </w:r>
      <w:r>
        <w:rPr>
          <w:rFonts w:ascii="Arial" w:cs="Arial" w:eastAsia="Arial" w:hAnsi="Arial"/>
          <w:sz w:val="18"/>
          <w:szCs w:val="18"/>
          <w:i w:val="1"/>
          <w:iCs w:val="1"/>
          <w:color w:val="auto"/>
        </w:rPr>
        <w:t>Qawasmi v. American Airlines Group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The plaintiff purports to represent investors who acquired AAG securities between January 25, 2024 and May 28, 2024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complaint asserts violations of Sections 10(b) and 20(a) of the Securities Exchange Act of 1934 based on allegations that, during the Relevant Period, AAG misrepresented and/or omitted material facts related to its financial outlook and certain commercial initiatives. We believe this lawsuit is without merit and intend to defend against it vigorously.</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24,661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24,081</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26,242</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6,912</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23,632</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70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567</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7,837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6,998</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910</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2,038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1,995</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Receivables from related parties,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7,070</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2,425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2,266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561</w:t>
            </w:r>
          </w:p>
        </w:tc>
        <w:tc>
          <w:tcPr>
            <w:tcW w:w="0" w:type="dxa"/>
            <w:vAlign w:val="bottom"/>
          </w:tcPr>
          <w:p>
            <w:pPr>
              <w:spacing w:after="0"/>
              <w:rPr>
                <w:sz w:val="1"/>
                <w:szCs w:val="1"/>
                <w:color w:val="auto"/>
              </w:rPr>
            </w:pPr>
          </w:p>
        </w:tc>
      </w:tr>
      <w:tr>
        <w:trPr>
          <w:trHeight w:val="195"/>
        </w:trPr>
        <w:tc>
          <w:tcPr>
            <w:tcW w:w="7560" w:type="dxa"/>
            <w:vAlign w:val="bottom"/>
          </w:tcPr>
          <w:p>
            <w:pPr>
              <w:ind w:left="66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21,892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20,367</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Flight equipment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42,395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41,440</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Ground property and equipment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9,848</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760</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52,048</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(22,431)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(21,588)</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30,460</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7,825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7,886</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Intangibles, net of accumulated amortization of $837 and $834, respectively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2,051</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Deferred tax asset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2,282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2,589</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1,630</w:t>
            </w:r>
          </w:p>
        </w:tc>
        <w:tc>
          <w:tcPr>
            <w:tcW w:w="0" w:type="dxa"/>
            <w:vAlign w:val="bottom"/>
          </w:tcPr>
          <w:p>
            <w:pPr>
              <w:spacing w:after="0"/>
              <w:rPr>
                <w:sz w:val="1"/>
                <w:szCs w:val="1"/>
                <w:color w:val="auto"/>
              </w:rPr>
            </w:pPr>
          </w:p>
        </w:tc>
      </w:tr>
      <w:tr>
        <w:trPr>
          <w:trHeight w:val="195"/>
        </w:trPr>
        <w:tc>
          <w:tcPr>
            <w:tcW w:w="756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9,906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10,361</w:t>
            </w: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70,366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69,074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3,632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3,625</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2,232</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Accrued salaries and wages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2,210</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Air traffic liability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6,200</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Loyalty program liability</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3,619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3,453</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1,292</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2,605</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21,617</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24,050</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2,629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3,020</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5,874</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6,448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6,416</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1,520</w:t>
            </w:r>
          </w:p>
        </w:tc>
        <w:tc>
          <w:tcPr>
            <w:tcW w:w="0" w:type="dxa"/>
            <w:vAlign w:val="bottom"/>
          </w:tcPr>
          <w:p>
            <w:pPr>
              <w:spacing w:after="0"/>
              <w:rPr>
                <w:sz w:val="1"/>
                <w:szCs w:val="1"/>
                <w:color w:val="auto"/>
              </w:rPr>
            </w:pPr>
          </w:p>
        </w:tc>
      </w:tr>
      <w:tr>
        <w:trPr>
          <w:trHeight w:val="195"/>
        </w:trPr>
        <w:tc>
          <w:tcPr>
            <w:tcW w:w="7560" w:type="dxa"/>
            <w:vAlign w:val="bottom"/>
          </w:tcPr>
          <w:p>
            <w:pPr>
              <w:ind w:left="660"/>
              <w:spacing w:after="0"/>
              <w:rPr>
                <w:sz w:val="20"/>
                <w:szCs w:val="20"/>
                <w:color w:val="auto"/>
              </w:rPr>
            </w:pPr>
            <w:r>
              <w:rPr>
                <w:rFonts w:ascii="Arial" w:cs="Arial" w:eastAsia="Arial" w:hAnsi="Arial"/>
                <w:sz w:val="15"/>
                <w:szCs w:val="15"/>
                <w:color w:val="auto"/>
              </w:rPr>
              <w:t>Total noncurrent liabilities</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39,428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40,880</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560" w:type="dxa"/>
            <w:vAlign w:val="bottom"/>
          </w:tcPr>
          <w:p>
            <w:pPr>
              <w:ind w:left="34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17,364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17,335</w:t>
            </w:r>
          </w:p>
        </w:tc>
        <w:tc>
          <w:tcPr>
            <w:tcW w:w="0" w:type="dxa"/>
            <w:vAlign w:val="bottom"/>
          </w:tcPr>
          <w:p>
            <w:pPr>
              <w:spacing w:after="0"/>
              <w:rPr>
                <w:sz w:val="1"/>
                <w:szCs w:val="1"/>
                <w:color w:val="auto"/>
              </w:rPr>
            </w:pPr>
          </w:p>
        </w:tc>
      </w:tr>
      <w:tr>
        <w:trPr>
          <w:trHeight w:val="204"/>
        </w:trPr>
        <w:tc>
          <w:tcPr>
            <w:tcW w:w="7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(4,999)</w:t>
            </w: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(5,759)</w:t>
            </w:r>
          </w:p>
        </w:tc>
        <w:tc>
          <w:tcPr>
            <w:tcW w:w="0" w:type="dxa"/>
            <w:vAlign w:val="bottom"/>
          </w:tcPr>
          <w:p>
            <w:pPr>
              <w:spacing w:after="0"/>
              <w:rPr>
                <w:sz w:val="1"/>
                <w:szCs w:val="1"/>
                <w:color w:val="auto"/>
              </w:rPr>
            </w:pPr>
          </w:p>
        </w:tc>
      </w:tr>
      <w:tr>
        <w:trPr>
          <w:trHeight w:val="197"/>
        </w:trPr>
        <w:tc>
          <w:tcPr>
            <w:tcW w:w="75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7,219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6,577</w:t>
            </w:r>
          </w:p>
        </w:tc>
        <w:tc>
          <w:tcPr>
            <w:tcW w:w="0" w:type="dxa"/>
            <w:vAlign w:val="bottom"/>
          </w:tcPr>
          <w:p>
            <w:pPr>
              <w:spacing w:after="0"/>
              <w:rPr>
                <w:sz w:val="1"/>
                <w:szCs w:val="1"/>
                <w:color w:val="auto"/>
              </w:rPr>
            </w:pPr>
          </w:p>
        </w:tc>
      </w:tr>
      <w:tr>
        <w:trPr>
          <w:trHeight w:val="195"/>
        </w:trPr>
        <w:tc>
          <w:tcPr>
            <w:tcW w:w="75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70,366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69,074</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 and sale of property and equipment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restricted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7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2,143</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debt, finance leases and other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Operating leases converted to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Modification of share-based awards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rFonts w:ascii="Arial" w:cs="Arial" w:eastAsia="Arial" w:hAnsi="Arial"/>
          <w:sz w:val="18"/>
          <w:szCs w:val="18"/>
          <w:b w:val="1"/>
          <w:bCs w:val="1"/>
          <w:color w:val="auto"/>
        </w:rPr>
      </w:pPr>
    </w:p>
    <w:p>
      <w:pPr>
        <w:ind w:left="520" w:hanging="269"/>
        <w:spacing w:after="0"/>
        <w:tabs>
          <w:tab w:leader="none" w:pos="520" w:val="left"/>
        </w:tabs>
        <w:numPr>
          <w:ilvl w:val="1"/>
          <w:numId w:val="16"/>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2023. American is the principal wholly-owned subsidiary of American Airlines Group Inc. (AAG). All significant intercompany transactions have been eliminated.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Labor Relations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July 2024, American and the Association of Professional Flight Attendants (APFA), the union representing American’s approximately 27,000 mainline flight attendants, reached a new tentative collective bargaining agreement. The tentative agreement is subject to approval by the APFA Board of Directors and is subject to ratification by American’s flight attendants through a vote that is presently expected to close in September 2024. Upon flight attendant ratification, the ratified agreement will include a provision for a one-time payment of approximately $500 million and provisions for other benefit-related items. Since the tentative agreement has not yet been ratified and there is uncertainty about the outcome of that process, American has not accrued for the one-time payment or for the other benefit-related expenses as of June 30,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14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2023</w:t>
            </w:r>
          </w:p>
        </w:tc>
      </w:tr>
      <w:tr>
        <w:trPr>
          <w:trHeight w:val="224"/>
        </w:trPr>
        <w:tc>
          <w:tcPr>
            <w:tcW w:w="59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88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Severance expenses</w:t>
            </w:r>
          </w:p>
        </w:tc>
        <w:tc>
          <w:tcPr>
            <w:tcW w:w="880" w:type="dxa"/>
            <w:vAlign w:val="bottom"/>
          </w:tcPr>
          <w:p>
            <w:pPr>
              <w:spacing w:after="0"/>
              <w:rPr>
                <w:sz w:val="19"/>
                <w:szCs w:val="19"/>
                <w:color w:val="auto"/>
              </w:rPr>
            </w:pPr>
          </w:p>
        </w:tc>
        <w:tc>
          <w:tcPr>
            <w:tcW w:w="1440" w:type="dxa"/>
            <w:vAlign w:val="bottom"/>
            <w:gridSpan w:val="3"/>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94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8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59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and extinguishment</w:t>
            </w: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2"/>
        </w:trPr>
        <w:tc>
          <w:tcPr>
            <w:tcW w:w="594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37"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American’s mainline passenger service team members, including a one-time signing bonus which was principally paid in the first quarter of 2024.</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9200" w:hanging="252"/>
        <w:spacing w:after="0" w:line="364" w:lineRule="auto"/>
        <w:tabs>
          <w:tab w:leader="none" w:pos="217"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7"/>
                <w:szCs w:val="17"/>
                <w:color w:val="auto"/>
              </w:rPr>
            </w:pPr>
          </w:p>
        </w:tc>
        <w:tc>
          <w:tcPr>
            <w:tcW w:w="232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0" w:type="dxa"/>
            <w:vAlign w:val="bottom"/>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r>
      <w:tr>
        <w:trPr>
          <w:trHeight w:val="211"/>
        </w:trPr>
        <w:tc>
          <w:tcPr>
            <w:tcW w:w="4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Passenger travel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12,057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22,795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22,348</w:t>
            </w:r>
          </w:p>
        </w:tc>
      </w:tr>
      <w:tr>
        <w:trPr>
          <w:trHeight w:val="229"/>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23"/>
        </w:trPr>
        <w:tc>
          <w:tcPr>
            <w:tcW w:w="40" w:type="dxa"/>
            <w:vAlign w:val="bottom"/>
          </w:tcPr>
          <w:p>
            <w:pPr>
              <w:spacing w:after="0"/>
              <w:rPr>
                <w:sz w:val="19"/>
                <w:szCs w:val="19"/>
                <w:color w:val="auto"/>
              </w:rPr>
            </w:pPr>
          </w:p>
        </w:tc>
        <w:tc>
          <w:tcPr>
            <w:tcW w:w="594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24,081</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Loyalty revenue - marketing services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29"/>
        </w:trPr>
        <w:tc>
          <w:tcPr>
            <w:tcW w:w="40" w:type="dxa"/>
            <w:vAlign w:val="bottom"/>
          </w:tcPr>
          <w:p>
            <w:pPr>
              <w:spacing w:after="0"/>
              <w:rPr>
                <w:sz w:val="19"/>
                <w:szCs w:val="19"/>
                <w:color w:val="auto"/>
              </w:rPr>
            </w:pPr>
          </w:p>
        </w:tc>
        <w:tc>
          <w:tcPr>
            <w:tcW w:w="59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40" w:type="dxa"/>
            <w:vAlign w:val="bottom"/>
          </w:tcPr>
          <w:p>
            <w:pPr>
              <w:spacing w:after="0"/>
              <w:rPr>
                <w:sz w:val="19"/>
                <w:szCs w:val="19"/>
                <w:color w:val="auto"/>
              </w:rPr>
            </w:pPr>
          </w:p>
        </w:tc>
        <w:tc>
          <w:tcPr>
            <w:tcW w:w="5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23"/>
        </w:trPr>
        <w:tc>
          <w:tcPr>
            <w:tcW w:w="40" w:type="dxa"/>
            <w:vAlign w:val="bottom"/>
          </w:tcPr>
          <w:p>
            <w:pPr>
              <w:spacing w:after="0"/>
              <w:rPr>
                <w:sz w:val="19"/>
                <w:szCs w:val="19"/>
                <w:color w:val="auto"/>
              </w:rPr>
            </w:pP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26,242</w:t>
            </w:r>
          </w:p>
        </w:tc>
      </w:tr>
      <w:tr>
        <w:trPr>
          <w:trHeight w:val="21"/>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3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3,555</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48"/>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-1174115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7"/>
              </w:rPr>
              <w:t>9,327</w:t>
            </w:r>
          </w:p>
        </w:tc>
      </w:tr>
      <w:tr>
        <w:trPr>
          <w:trHeight w:val="229"/>
        </w:trPr>
        <w:tc>
          <w:tcPr>
            <w:tcW w:w="946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140" w:type="dxa"/>
            <w:vAlign w:val="bottom"/>
          </w:tcPr>
          <w:p>
            <w:pPr>
              <w:jc w:val="center"/>
              <w:ind w:left="450"/>
              <w:spacing w:after="0"/>
              <w:rPr>
                <w:sz w:val="20"/>
                <w:szCs w:val="20"/>
                <w:color w:val="auto"/>
              </w:rPr>
            </w:pPr>
            <w:r>
              <w:rPr>
                <w:rFonts w:ascii="Arial" w:cs="Arial" w:eastAsia="Arial" w:hAnsi="Arial"/>
                <w:sz w:val="18"/>
                <w:szCs w:val="18"/>
                <w:color w:val="auto"/>
                <w:w w:val="97"/>
              </w:rPr>
              <w:t>2,168</w:t>
            </w:r>
          </w:p>
        </w:tc>
      </w:tr>
      <w:tr>
        <w:trPr>
          <w:trHeight w:val="230"/>
        </w:trPr>
        <w:tc>
          <w:tcPr>
            <w:tcW w:w="9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rPr>
              <w:t>(1,845)</w:t>
            </w:r>
          </w:p>
        </w:tc>
      </w:tr>
      <w:tr>
        <w:trPr>
          <w:trHeight w:val="223"/>
        </w:trPr>
        <w:tc>
          <w:tcPr>
            <w:tcW w:w="946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June 30, 2024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7"/>
              </w:rPr>
              <w:t>9,650</w:t>
            </w:r>
          </w:p>
        </w:tc>
      </w:tr>
      <w:tr>
        <w:trPr>
          <w:trHeight w:val="21"/>
        </w:trPr>
        <w:tc>
          <w:tcPr>
            <w:tcW w:w="20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air travel, non-air travel and other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June 30, 2024, American’s current loyalty program liability was $3.6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the six months ended June 30, 2024, $4.7 billion of revenue was recognized in passenger revenue that was included in American’s air traffic liability at December 31, 2023.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8.19%, installments through February 2028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7.07%, installments through January 2027</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175"/>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2023 Term Loan Facility, variable interest rate of 7.77%, installments beginning in December</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2024 through June 2029</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8.50% senior secured notes, interest only payments until due in May 2029</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through April 2026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AAdvantage Term Loan Facility, variable interest rate of 10.34%, installments through April</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00"/>
              <w:spacing w:after="0" w:line="243"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7,096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5.90%, averaging 3.56%, maturing from 2024 to 2034</w:t>
            </w:r>
          </w:p>
        </w:tc>
        <w:tc>
          <w:tcPr>
            <w:tcW w:w="28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2.55% to 8.85%, averaging 6.93%, maturing from 2024 to 2036</w:t>
            </w:r>
          </w:p>
        </w:tc>
        <w:tc>
          <w:tcPr>
            <w:tcW w:w="2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from 2026 to 2036</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11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0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2024, the maximum availability under American’s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2024, American entered into a revolving credit facility that provides for borrowing capacity of up to $350 million, maturing in March 2027 with an option to extend for an additional year. As of June 30, 2024, there were no amounts drawn under this facility. Additionally, American currently has $47 million of available borrowing base under a cargo receivables facility that is set to expire in December 2024. As further described below, the aggregate commitments under the 2013, 2014 and 2023 Revolving Facilities are $2.9 billion through June 4, 2029.</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2024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Credit Facilities – 2013 Revolving Facility</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June 4, 2024, American and AAG entered into the Ninth Amendment to Amended and Restated Credit and Guaranty Agreement (the Ninth Amendment), amending the Amended and Restated Credit and Guaranty Agreement, dated as of May 21, 2015 (as amended, the 2013 Credit Agreement), pursuant to which American terminated all existing revolving commitments and letter of credit commitments available under the 2013 Credit Agreement and established new revolving commitments in an aggregate amount of $500 million (which includes the ability to issue letters of credit in an aggregate amount of $100 million) (the newly established commitments, the 2013 Revolving Facility), which have a maturity date of June 4, 2029. Additionally, as a result of the Ninth Amendment, the 2013 Revolving Facility bears interest at a base rate (subject to a floor of 1.00%) plus an applicable margin of 2.00%, 2.25% or 2.50%, depending on AAG’s public corporate credit rating, or, at American’s option, the Secured Overnight Financing Rate (SOFR) for a tenor of one, three, or six months, depending on the interest period selected by American (subject to a floor of 0.00%), plus an applicable margin of 3.00%, 3.25% or 3.50%, depending on AAG’s public corporate credit rating. Pursuant to the Ninth Amendment, SOFR borrowings under the 2013 Revolving Facility are not subject to a credit spread adjustment.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Credit Facilities – 2014 Revolving Facility</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Tenth Amendment to Amended and Restated Credit and Guaranty Agreement (the Tenth Amendment), amending the Amended and Restated Credit and Guaranty Agreement, dated as of April 20, 2015 (as amended, the 2014 Credit Agreement), pursuant to which American terminated all existing revolving commitments and letter of credit commitments available under the 2014 Credit Agreement and established new revolving commitments in an aggregate amount of $1.5 billion (which includes the ability to issue letters of credit in an aggregate amount of $200 million) (the newly established commitments, the 2014 Revolving Facility), which have a maturity date of June 4, 2029. Additionally, as a result of the Tenth Amendment, the 2014 Revolving Facility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The Tenth Amendment also reduced the minimum liquidity financial covenant threshold from $2.2 billion to $2.0 billion and reduced the liquidity requirement for making certain restricted payments from $4.2 billion to $4.0 billion. Pursuant to the Tenth Amendment, SOFR borrowings under the 2014 Revolving Facility are not subject to a credit spread adjustment.</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Credit Facilities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June 4, 2024, American and AAG entered into the First Amendment to Credit and Guaranty Agreement (the First Amendment) and the Second Amendment to Credit and Guaranty Agreement (the Second Amendment), each amending the Credit and Guaranty Agreement, dated as of December 4, 2023 (as amended, the 2023 Credit Agreement). Pursuant to the First Amendment, American established a revolving credit facility (the 2023 Revolving Facility) in an aggregate amount of $890 million, maturing June 4, 2029. The 2023 Revolving Facility bears interest at a base rate (subject to a floor of 1.00%) plus an applicable margin of 2.00%, 2.25% or 2.50%, depending on AAG’s public corporate credit rating, or, at American’s option, the SOFR rate for a tenor of one, three, or six months, depending on the interest period selected by American (subject to a floor of 0.00%), plus an applicable margin of 3.00%, 3.25% or 3.50%, depending on AAG’s public corporate credit rating. SOFR borrowings under the 2023 Revolving Facility are not subject to a credit spread adjustment. Pursuant to the Second Amendment, American replaced the $1.1 billion of initial term loans made pursuant to the 2023 Credit Agreement with new term loans in a principal amount of $1.1 billion (such new term loans, the 2023 Term Loan Facility). The 2023 Term Loan Facility bears interest at a base rate (subject to a floor of 1.00%), plus an applicable margin of 1.50% per annum or, at American’s option, the SOFR rate for a tenor of one, three, or six months, depending on the interest period selected by American (subject to a floor of 0.00%), plus an applicable margin of 2.50% per annum. SOFR borrowings under the 2023 Term Loan Facility are not subject to a credit spread adjustment.</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2016 Revolving Facility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June 4, 2024, American terminated all revolving commitments under the Credit and Guaranty Agreement, dated as of April 29, 2016 (as amended, the April 2016 Credit Agreement). As a result, the April 2016 Credit Agreement was terminated and all liens securing the April 2016 Credit Agreement were released.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Loans and Other Notes Payable Issued in 2024</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first six months of 2024, American entered into agreements under which it borrowed $530 million in connection with the financing of certain aircraft. Debt incurred under these agreements matures in 2030 through 2036 and bears interest at variable rates (comprised of SOFR plus an applicable margin) averaging 6.92% as of June 30,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2023, American had approximately $13.7 billion of gross federal net operating losses (NOLs) and $3.6 billion of other carryforwards available to reduce future federal taxable income, of which $3.8 billion will expire beginning in 2033 if unused and $13.5 billion can be carried forward indefinitely. American is a member of AAG’s consolidated federal and certain state income tax returns. American also had approximately $5.3 billion of NOL carryforwards to reduce future state taxable income at December 31, 2023, which will expire in taxable years 2023 through 2043 if unused.</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 There can be no assurance that an additional valuation allowance on American’s net deferred tax assets will not be required. Such valuation allowance could be material.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six months ended June 30, 2024.</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Fair Value Measurements as of June 30, 2024</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32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 Restricted short-term investments mature in one year or less except for $199 million as of June 30,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37"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American’s equity investments in China Southern Airlines Company Limited (China Southern Airlines), Vertical Aerospace Ltd. (Vertical) and GOL Linhas Aéreas Inteligentes S.A. (GOL). See Note 7 for further information on American’s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2024</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2023</w:t>
            </w:r>
          </w:p>
        </w:tc>
      </w:tr>
      <w:tr>
        <w:trPr>
          <w:trHeight w:val="143"/>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2"/>
                <w:szCs w:val="12"/>
                <w:color w:val="auto"/>
              </w:rPr>
            </w:pPr>
          </w:p>
        </w:tc>
        <w:tc>
          <w:tcPr>
            <w:tcW w:w="1040" w:type="dxa"/>
            <w:vAlign w:val="bottom"/>
            <w:gridSpan w:val="2"/>
          </w:tcPr>
          <w:p>
            <w:pPr>
              <w:jc w:val="center"/>
              <w:ind w:right="580"/>
              <w:spacing w:after="0" w:line="14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100" w:type="dxa"/>
            <w:vAlign w:val="bottom"/>
          </w:tcPr>
          <w:p>
            <w:pPr>
              <w:jc w:val="center"/>
              <w:ind w:right="242"/>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6"/>
                <w:szCs w:val="16"/>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26,059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27,177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27,008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condensed consolidated balance sheets. American’s share of equity method investees’ financial results and changes in fair value are recorded in nonoperating other income (expense), net on the condensed consolidated statements of operations.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American’s equity investment ownership interests and carrying values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c>
          <w:tcPr>
            <w:tcW w:w="0" w:type="dxa"/>
            <w:vAlign w:val="bottom"/>
          </w:tcPr>
          <w:p>
            <w:pPr>
              <w:spacing w:after="0"/>
              <w:rPr>
                <w:sz w:val="1"/>
                <w:szCs w:val="1"/>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Accounting Treatment</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56"/>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2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Equity Method</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2000" w:type="dxa"/>
            <w:vAlign w:val="bottom"/>
            <w:gridSpan w:val="2"/>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Fair Value</w:t>
            </w:r>
          </w:p>
        </w:tc>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0" w:hanging="332"/>
        <w:spacing w:after="0" w:line="231"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Primarily includes American’s investment in JetSMART Holdings Limited, which is accounted for under the equity method, and American’s investments in Vertical and GOL, which are each accounted for at fair value.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six months of 2024, American made required contributions of $280 million to its defined benefit pension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p>
      <w:pPr>
        <w:jc w:val="center"/>
        <w:ind w:left="1280"/>
        <w:spacing w:after="0"/>
        <w:rPr>
          <w:sz w:val="20"/>
          <w:szCs w:val="20"/>
          <w:color w:val="auto"/>
        </w:rPr>
      </w:pPr>
      <w:r>
        <w:rPr>
          <w:rFonts w:ascii="Arial" w:cs="Arial" w:eastAsia="Arial" w:hAnsi="Arial"/>
          <w:sz w:val="14"/>
          <w:szCs w:val="14"/>
          <w:b w:val="1"/>
          <w:bCs w:val="1"/>
          <w:color w:val="auto"/>
        </w:rPr>
        <w:t>Pension,</w:t>
      </w:r>
    </w:p>
    <w:p>
      <w:pPr>
        <w:jc w:val="center"/>
        <w:ind w:left="1280"/>
        <w:spacing w:after="0" w:line="221" w:lineRule="auto"/>
        <w:rPr>
          <w:sz w:val="20"/>
          <w:szCs w:val="20"/>
          <w:color w:val="auto"/>
        </w:rPr>
      </w:pPr>
      <w:r>
        <w:rPr>
          <w:rFonts w:ascii="Arial" w:cs="Arial" w:eastAsia="Arial" w:hAnsi="Arial"/>
          <w:sz w:val="14"/>
          <w:szCs w:val="14"/>
          <w:b w:val="1"/>
          <w:bCs w:val="1"/>
          <w:color w:val="auto"/>
        </w:rPr>
        <w:t>Retiree</w:t>
      </w:r>
    </w:p>
    <w:p>
      <w:pPr>
        <w:ind w:left="5860"/>
        <w:spacing w:after="0" w:line="221" w:lineRule="auto"/>
        <w:rPr>
          <w:sz w:val="20"/>
          <w:szCs w:val="20"/>
          <w:color w:val="auto"/>
        </w:rPr>
      </w:pPr>
      <w:r>
        <w:rPr>
          <w:rFonts w:ascii="Arial" w:cs="Arial" w:eastAsia="Arial" w:hAnsi="Arial"/>
          <w:sz w:val="14"/>
          <w:szCs w:val="14"/>
          <w:b w:val="1"/>
          <w:bCs w:val="1"/>
          <w:color w:val="auto"/>
        </w:rPr>
        <w:t>Medical and</w:t>
      </w:r>
    </w:p>
    <w:tbl>
      <w:tblPr>
        <w:tblLayout w:type="fixed"/>
        <w:tblInd w:w="0" w:type="dxa"/>
        <w:tblCellMar>
          <w:top w:w="0" w:type="dxa"/>
          <w:left w:w="0" w:type="dxa"/>
          <w:bottom w:w="0" w:type="dxa"/>
          <w:right w:w="0" w:type="dxa"/>
        </w:tblCellMar>
      </w:tblPr>
      <w:tr>
        <w:trPr>
          <w:trHeight w:val="131"/>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rPr>
              <w:t>Other</w:t>
            </w:r>
          </w:p>
        </w:tc>
        <w:tc>
          <w:tcPr>
            <w:tcW w:w="14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Unrealized Loss</w:t>
            </w:r>
          </w:p>
        </w:tc>
        <w:tc>
          <w:tcPr>
            <w:tcW w:w="160" w:type="dxa"/>
            <w:vAlign w:val="bottom"/>
          </w:tcPr>
          <w:p>
            <w:pPr>
              <w:spacing w:after="0"/>
              <w:rPr>
                <w:sz w:val="11"/>
                <w:szCs w:val="11"/>
                <w:color w:val="auto"/>
              </w:rPr>
            </w:pPr>
          </w:p>
        </w:tc>
        <w:tc>
          <w:tcPr>
            <w:tcW w:w="1120" w:type="dxa"/>
            <w:vAlign w:val="bottom"/>
          </w:tcPr>
          <w:p>
            <w:pPr>
              <w:jc w:val="center"/>
              <w:ind w:right="77"/>
              <w:spacing w:after="0" w:line="131" w:lineRule="exact"/>
              <w:rPr>
                <w:sz w:val="20"/>
                <w:szCs w:val="20"/>
                <w:color w:val="auto"/>
              </w:rPr>
            </w:pPr>
            <w:r>
              <w:rPr>
                <w:rFonts w:ascii="Arial" w:cs="Arial" w:eastAsia="Arial" w:hAnsi="Arial"/>
                <w:sz w:val="14"/>
                <w:szCs w:val="14"/>
                <w:b w:val="1"/>
                <w:bCs w:val="1"/>
                <w:color w:val="auto"/>
              </w:rPr>
              <w:t>Income Tax</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Postretirement</w:t>
            </w: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Benefit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on Investments</w:t>
            </w:r>
          </w:p>
        </w:tc>
        <w:tc>
          <w:tcPr>
            <w:tcW w:w="160" w:type="dxa"/>
            <w:vAlign w:val="bottom"/>
          </w:tcPr>
          <w:p>
            <w:pPr>
              <w:spacing w:after="0"/>
              <w:rPr>
                <w:sz w:val="16"/>
                <w:szCs w:val="16"/>
                <w:color w:val="auto"/>
              </w:rPr>
            </w:pPr>
          </w:p>
        </w:tc>
        <w:tc>
          <w:tcPr>
            <w:tcW w:w="1120" w:type="dxa"/>
            <w:vAlign w:val="bottom"/>
          </w:tcPr>
          <w:p>
            <w:pPr>
              <w:jc w:val="center"/>
              <w:ind w:right="77"/>
              <w:spacing w:after="0" w:line="189" w:lineRule="exact"/>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8"/>
                <w:szCs w:val="18"/>
                <w:b w:val="1"/>
                <w:bCs w:val="1"/>
                <w:color w:val="auto"/>
                <w:vertAlign w:val="superscript"/>
              </w:rPr>
              <w:t>(1)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8"/>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on the condensed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Amounts reclassified from AOCI</w:t>
            </w: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3"/>
                <w:szCs w:val="13"/>
                <w:color w:val="auto"/>
              </w:rPr>
            </w:pPr>
          </w:p>
        </w:tc>
        <w:tc>
          <w:tcPr>
            <w:tcW w:w="16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164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condensed consolidated</w:t>
            </w:r>
          </w:p>
        </w:tc>
        <w:tc>
          <w:tcPr>
            <w:tcW w:w="0" w:type="dxa"/>
            <w:vAlign w:val="bottom"/>
          </w:tcPr>
          <w:p>
            <w:pPr>
              <w:spacing w:after="0"/>
              <w:rPr>
                <w:sz w:val="1"/>
                <w:szCs w:val="1"/>
                <w:color w:val="auto"/>
              </w:rPr>
            </w:pPr>
          </w:p>
        </w:tc>
      </w:tr>
      <w:tr>
        <w:trPr>
          <w:trHeight w:val="196"/>
        </w:trPr>
        <w:tc>
          <w:tcPr>
            <w:tcW w:w="386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 Components</w:t>
            </w: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69"/>
        </w:trPr>
        <w:tc>
          <w:tcPr>
            <w:tcW w:w="37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Amortization of pension, retiree medical and</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postretirement benefits:</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60" w:type="dxa"/>
            <w:vAlign w:val="bottom"/>
            <w:gridSpan w:val="2"/>
            <w:vMerge w:val="restart"/>
          </w:tcPr>
          <w:p>
            <w:pPr>
              <w:ind w:left="360"/>
              <w:spacing w:after="0"/>
              <w:rPr>
                <w:sz w:val="20"/>
                <w:szCs w:val="20"/>
                <w:color w:val="auto"/>
              </w:rPr>
            </w:pPr>
            <w:r>
              <w:rPr>
                <w:rFonts w:ascii="Arial" w:cs="Arial" w:eastAsia="Arial" w:hAnsi="Arial"/>
                <w:sz w:val="18"/>
                <w:szCs w:val="18"/>
                <w:color w:val="auto"/>
              </w:rPr>
              <w:t>Prior service cost</w:t>
            </w:r>
          </w:p>
        </w:tc>
        <w:tc>
          <w:tcPr>
            <w:tcW w:w="260" w:type="dxa"/>
            <w:vAlign w:val="bottom"/>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720" w:type="dxa"/>
            <w:vAlign w:val="bottom"/>
            <w:vMerge w:val="restart"/>
          </w:tcPr>
          <w:p>
            <w:pPr>
              <w:jc w:val="right"/>
              <w:ind w:right="516"/>
              <w:spacing w:after="0"/>
              <w:rPr>
                <w:sz w:val="20"/>
                <w:szCs w:val="20"/>
                <w:color w:val="auto"/>
              </w:rPr>
            </w:pPr>
            <w:r>
              <w:rPr>
                <w:rFonts w:ascii="Arial" w:cs="Arial" w:eastAsia="Arial" w:hAnsi="Arial"/>
                <w:sz w:val="18"/>
                <w:szCs w:val="18"/>
                <w:color w:val="auto"/>
                <w:w w:val="9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43"/>
        </w:trPr>
        <w:tc>
          <w:tcPr>
            <w:tcW w:w="386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386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43"/>
        </w:trPr>
        <w:tc>
          <w:tcPr>
            <w:tcW w:w="3860" w:type="dxa"/>
            <w:vAlign w:val="bottom"/>
            <w:gridSpan w:val="2"/>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Regional expenses for the three months ended June 30, 2024 and 2023 include $69 million and $67 million of depreciation and amortization, respectively, and $2 million and $1 million of aircraft rent, respectively. Regional expenses for the six months ended June 30, 2024 and 2023 include $138 million and $135 million of depreciation and amortization, respectively, and $4 million and $3 million of aircraft rent, respectively.</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three months ended June 30, 2024 and 2023, American recognized $150 million and $168 million, respectively, of expense under its capacity purchase agreement with Republic Airways Inc. (Republic). During the six months ended June 30, 2024 and 2023, American recognized $299 million and $336 million, respectively, of expense under its capacity purchase agreement with Republic. American holds a 25% equity interest in Republic Airways Holdings Inc., the parent company of Republic.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7"/>
                <w:szCs w:val="17"/>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7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AAG</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7"/>
              </w:rPr>
              <w:t>9,494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9,144</w:t>
            </w:r>
          </w:p>
        </w:tc>
      </w:tr>
      <w:tr>
        <w:trPr>
          <w:trHeight w:val="229"/>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815"/>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rPr>
              <w:t>(2,074)</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7"/>
              </w:rPr>
              <w:t>7,388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7,070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commenced wind-down activities to accommodate mutual customers. Following written submissions by the parties and a hearing on July 26, 2023, the U.S. District Court for the District of Massachusetts entered a Final Judgment and Order Entering Permanent Injunction on July 28, 2023. The parties are complying with the terms of the Final Judgment and Order Entering Permanent Injunction, including winding down activities related to the NEA. American filed a notice of appeal to the U.S. Court of Appeals for the First Circuit on September 25, 2023, and such appeal remains pending.</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In March 2023, American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American, together with JetBlue, filed a motion to dismiss the third amended complaint, and that motion remains pending. American believes these lawsuits are without merit and is defending against them vigorously.</w:t>
      </w:r>
    </w:p>
    <w:p>
      <w:pPr>
        <w:spacing w:after="0" w:line="13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On July 18, 2024, AAG and certain of its current and former officers were named as defendants in a putative class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action lawsuit filed in the United States District Court for the Northern District of Texas, captioned </w:t>
      </w:r>
      <w:r>
        <w:rPr>
          <w:rFonts w:ascii="Arial" w:cs="Arial" w:eastAsia="Arial" w:hAnsi="Arial"/>
          <w:sz w:val="18"/>
          <w:szCs w:val="18"/>
          <w:i w:val="1"/>
          <w:iCs w:val="1"/>
          <w:color w:val="auto"/>
        </w:rPr>
        <w:t>Qawasmi v. American Airlines Group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The plaintiff purports to represent investors who acquired AAG securities between January 25, 2024 and May 28, 2024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complaint asserts violations of Sections 10(b) and 20(a) of the Securities Exchange Act of 1934 based on allegations that, during the Relevant Period, AAG misrepresented and/or omitted material facts related to its financial outlook and certain commercial initiatives. American believes this lawsuit is without merit and intends to defend against it vigorously.</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2023 (the 2023 Form 10-K). The information contained herein is not a comprehensive discussion and analysis of the financial condition and results of operations of AAG and American, but rather updates disclosures made in the 2023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Second Quarter 2024 Results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98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93"/>
              <w:spacing w:after="0" w:line="121" w:lineRule="exact"/>
              <w:rPr>
                <w:sz w:val="20"/>
                <w:szCs w:val="20"/>
                <w:color w:val="auto"/>
              </w:rPr>
            </w:pPr>
            <w:r>
              <w:rPr>
                <w:rFonts w:ascii="Arial" w:cs="Arial" w:eastAsia="Arial" w:hAnsi="Arial"/>
                <w:sz w:val="13"/>
                <w:szCs w:val="13"/>
                <w:b w:val="1"/>
                <w:bCs w:val="1"/>
                <w:color w:val="auto"/>
              </w:rPr>
              <w:t>Increase</w:t>
            </w:r>
          </w:p>
        </w:tc>
        <w:tc>
          <w:tcPr>
            <w:tcW w:w="1260" w:type="dxa"/>
            <w:vAlign w:val="bottom"/>
          </w:tcPr>
          <w:p>
            <w:pPr>
              <w:jc w:val="center"/>
              <w:ind w:left="34"/>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20" w:type="dxa"/>
            <w:vAlign w:val="bottom"/>
            <w:gridSpan w:val="7"/>
          </w:tcPr>
          <w:p>
            <w:pPr>
              <w:jc w:val="right"/>
              <w:ind w:right="153"/>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5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6"/>
              </w:rPr>
              <w:t>12.4</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(779)</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w w:val="97"/>
              </w:rPr>
              <w:t>(36.0)</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(41.7)</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1260" w:type="dxa"/>
            <w:vAlign w:val="bottom"/>
          </w:tcPr>
          <w:p>
            <w:pPr>
              <w:jc w:val="center"/>
              <w:ind w:left="34"/>
              <w:spacing w:after="0"/>
              <w:rPr>
                <w:sz w:val="20"/>
                <w:szCs w:val="20"/>
                <w:color w:val="auto"/>
              </w:rPr>
            </w:pPr>
            <w:r>
              <w:rPr>
                <w:rFonts w:ascii="Arial" w:cs="Arial" w:eastAsia="Arial" w:hAnsi="Arial"/>
                <w:sz w:val="18"/>
                <w:szCs w:val="18"/>
                <w:color w:val="auto"/>
                <w:w w:val="97"/>
              </w:rPr>
              <w:t>(26.6)</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(46.4)</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 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5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(41.7)</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6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7"/>
              </w:rPr>
              <w:t>(66.1)</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6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7"/>
              </w:rPr>
              <w:t>(42.1)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-2468245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-2468245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below and Note 2 to AAG’s Condensed Consolidated Financial Statements in Part I, Item 1A for details on the components of net special items.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and Net Income</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Pre-tax income on both a GAAP basis and excluding pre-tax net special items was $1.0 billion and $ 1.8 billion in the second quarters of 2024 and 2023, respectively. Net income was $717 million and $1.3 billion in the second quarters of 2024 and 2023, respectively.</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period-over-period decrease in our pre-tax income on both a GAAP basis and excluding pre-tax net special items was principally driven by increases in aircraft fuel expense, salaries, wages and benefits, maintenance expense and other operating expenses. These costs were offset in part by higher passenger revenue.</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May 2023, American and the Allied Pilots Association, the union representing our mainline pilots, reached an agreement in principle on a new collective bargaining agreement, which was ratified in August 2023. This four-year agreement provides wage rate increases, including an initial wage rate increase of 21% effective as of January 1, 2023, quality-of-life benefits and other benefit-related items.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July 2024, American and the Association of Professional Flight Attendants (APFA), the union representing our approximately 27,000 mainline flight attendants, reached a new tentative collective bargaining agreement. The tentative agreement is subject to approval by the APFA Board of Directors and is subject to ratification by American’s flight attendants through a vote that is presently expected to close in September 2024. Upon flight attendant ratification, the ratified agreement will include a provision for a one-time payment of approximately $500 million and provisions for other benefit-related items. Since the tentative agreement has not yet been ratified and there is uncertainty about the outcome of that process, we have not accrued for the one-time payment or for the other benefit-related expenses as of June 30,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second quarter of 2024, we reported total operating revenues of $14.3 billion, an increase of $279 million, or 2.0%, as compared to the second quarter of 2023. Passenger revenue was $13.2 billion, an increase of $224 million, or 1.7%, as compared to the second quarter of 2023. In the second quarter of 2024, we experienced a 6.3% decrease in passenger yield on an 8.0% capacity growth year-over-year, as measured by available seat miles (ASMs). Load factor was 86.6% for the second quarter of 2024, compared to 86.2% for the second quarter of 2023. This revenue performance reflected weak industry pricing conditions in light of significantly increased industry capacity, as well as softness in customer bookings due in part to certain commercial initiatives that we deployed, many of which were reversed late in the second quarter of 2024.</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$57 million, or 6.4%, in the second quarter of 2024 from the second quarter of 2023, driven primarily by higher revenue associated with our loyalty program. During the three months ended June 30, 2024 and 2023, cash payments from co-branded credit card and other partners were $1.4 billion and $1.2 billion, respectively.</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total revenue per available seat mile (TRASM) was 19.05 cents in the second quarter of 2024, a 5.6% decrease as compared to 20.18 cents in the second quarter of 2023. This decrease was driven by a 6.3% decrease in passenger yield primarily due to a softer domestic revenue environment.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expense was $3.1 billion in the second quarter of 2024, which was $338 million, or 12.4%, higher as compared to the second quarter of 2023. This was primarily due to an 8.8% increase in gallons of fuel consumed due to increased capacity and a 3.3% increase in the average price per gallon of aircraft fuel including related taxes to $2.70 in the second quarter of 2024 from $2.62 in the second quarter of 2023.</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June 30, 2024,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w:t>
      </w:r>
    </w:p>
    <w:p>
      <w:pPr>
        <w:spacing w:after="0" w:line="9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2024 second quarter total operating cost per available seat mile (CASM) was 17.21 cents, an increase of 0.8% from 17.07 cents in the second quarter of 2023.</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2024 second quarter CASM excluding net special items and fuel was 13.14 cents, a decrease of 0.1% from 13.16 cents in the second quarter of 2023.</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a reconciliation of CASM to CASM excluding net special items and fuel, see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As of June 30, 2024, we had $11.7 billion in total available liquidity, consisting of $8.4 billion in unrestricted cash and short-term investments, and $3.3 billion in total undrawn capacity under revolving credit and other facilities.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During the first six months of 2024, we completed the following financing transactions (see Note 5 to AAG’s Condensed Consolidated Financial Statements in Part I, Item 1A for further information):</w:t>
      </w:r>
    </w:p>
    <w:p>
      <w:pPr>
        <w:spacing w:after="0" w:line="99" w:lineRule="exact"/>
        <w:rPr>
          <w:sz w:val="20"/>
          <w:szCs w:val="20"/>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entered into a revolving credit facility that provides for borrowing capacity of up to $350 million, maturing in March 2027 with an option to extend for an additional year;</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amended the 2013, 2014 and 2023 Credit Agreements to reduce the applicable interest rate margins, and terminated all revolving commitments under the April 2016 Credit Agreement, increasing overall available revolving credit capacity from $2.8 billion to $2.9 billion, maturing in June 2029;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amended the 2023 Term Loan Facility to reduce the applicable interest rate margin;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$530 million of equipment loans and other notes payable in connection with the financing of certain aircraft.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following table presents the reconciliation of pre-tax income (GAAP measure) to pre-tax income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1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20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20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r>
      <w:tr>
        <w:trPr>
          <w:trHeight w:val="196"/>
        </w:trPr>
        <w:tc>
          <w:tcPr>
            <w:tcW w:w="20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0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Income Excluding Net Special Items: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Pre-tax income – GAAP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30"/>
        </w:trPr>
        <w:tc>
          <w:tcPr>
            <w:tcW w:w="6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Regional operating special items, net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0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Nonoperating special items,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pre-tax net special items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r>
      <w:tr>
        <w:trPr>
          <w:trHeight w:val="21"/>
        </w:trPr>
        <w:tc>
          <w:tcPr>
            <w:tcW w:w="20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-1482090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-1482090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jc w:val="center"/>
        <w:ind w:left="5520" w:right="600" w:hanging="5512"/>
        <w:spacing w:after="0" w:line="721" w:lineRule="auto"/>
        <w:tabs>
          <w:tab w:leader="none" w:pos="322"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allows management an additional tool to understand and analyze our non-fuel costs and core operating performance. Amounts may not recalculate due to rounding.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20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208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r>
      <w:tr>
        <w:trPr>
          <w:trHeight w:val="211"/>
        </w:trPr>
        <w:tc>
          <w:tcPr>
            <w:tcW w:w="60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6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w:t>
            </w:r>
          </w:p>
        </w:tc>
      </w:tr>
      <w:tr>
        <w:trPr>
          <w:trHeight w:val="230"/>
        </w:trPr>
        <w:tc>
          <w:tcPr>
            <w:tcW w:w="60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jc w:val="center"/>
              <w:ind w:right="2340"/>
              <w:spacing w:after="0"/>
              <w:rPr>
                <w:sz w:val="20"/>
                <w:szCs w:val="20"/>
                <w:color w:val="auto"/>
              </w:rPr>
            </w:pPr>
            <w:r>
              <w:rPr>
                <w:rFonts w:ascii="Arial" w:cs="Arial" w:eastAsia="Arial" w:hAnsi="Arial"/>
                <w:sz w:val="18"/>
                <w:szCs w:val="18"/>
                <w:color w:val="auto"/>
                <w:w w:val="99"/>
              </w:rPr>
              <w:t>Mainline operating special items, net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040" w:type="dxa"/>
            <w:vAlign w:val="bottom"/>
            <w:gridSpan w:val="2"/>
          </w:tcPr>
          <w:p>
            <w:pPr>
              <w:jc w:val="center"/>
              <w:ind w:right="2300"/>
              <w:spacing w:after="0"/>
              <w:rPr>
                <w:sz w:val="20"/>
                <w:szCs w:val="20"/>
                <w:color w:val="auto"/>
              </w:rPr>
            </w:pPr>
            <w:r>
              <w:rPr>
                <w:rFonts w:ascii="Arial" w:cs="Arial" w:eastAsia="Arial" w:hAnsi="Arial"/>
                <w:sz w:val="18"/>
                <w:szCs w:val="18"/>
                <w:color w:val="auto"/>
                <w:w w:val="99"/>
              </w:rPr>
              <w:t>Regional operating special items, net</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17,735</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134,665</w:t>
            </w:r>
          </w:p>
        </w:tc>
      </w:tr>
      <w:tr>
        <w:trPr>
          <w:trHeight w:val="20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17.56</w:t>
            </w:r>
          </w:p>
        </w:tc>
      </w:tr>
      <w:tr>
        <w:trPr>
          <w:trHeight w:val="229"/>
        </w:trPr>
        <w:tc>
          <w:tcPr>
            <w:tcW w:w="60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6040" w:type="dxa"/>
            <w:vAlign w:val="bottom"/>
            <w:gridSpan w:val="2"/>
            <w:shd w:val="clear" w:color="auto" w:fill="CCEEFF"/>
          </w:tcPr>
          <w:p>
            <w:pPr>
              <w:jc w:val="center"/>
              <w:ind w:right="2380"/>
              <w:spacing w:after="0"/>
              <w:rPr>
                <w:sz w:val="20"/>
                <w:szCs w:val="20"/>
                <w:color w:val="auto"/>
              </w:rPr>
            </w:pPr>
            <w:r>
              <w:rPr>
                <w:rFonts w:ascii="Arial" w:cs="Arial" w:eastAsia="Arial" w:hAnsi="Arial"/>
                <w:sz w:val="18"/>
                <w:szCs w:val="18"/>
                <w:color w:val="auto"/>
                <w:w w:val="99"/>
              </w:rPr>
              <w:t>Regional operating special items, net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48"/>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-2656840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jc w:val="center"/>
        <w:ind w:left="5520" w:right="600" w:hanging="5512"/>
        <w:spacing w:after="0" w:line="721" w:lineRule="auto"/>
        <w:tabs>
          <w:tab w:leader="none" w:pos="322"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29"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table below sets forth selected operating data for the three and six months ended June 30, 2024 and 2023. Amounts may not recalculate due to rounding.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1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3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Increase</w:t>
            </w:r>
          </w:p>
        </w:tc>
        <w:tc>
          <w:tcPr>
            <w:tcW w:w="136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(Decrease)</w:t>
            </w: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8.5%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112,034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8"/>
                <w:szCs w:val="18"/>
                <w:color w:val="auto"/>
              </w:rPr>
              <w:t>75,263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69,658</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8.0%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134,665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0.4pts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0.9pts</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00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21.62</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(6.3)%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21.49</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00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(5.6)%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19.49</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4"/>
        </w:trPr>
        <w:tc>
          <w:tcPr>
            <w:tcW w:w="4700" w:type="dxa"/>
            <w:vAlign w:val="bottom"/>
          </w:tcPr>
          <w:p>
            <w:pPr>
              <w:ind w:left="180"/>
              <w:spacing w:after="0" w:line="183" w:lineRule="exact"/>
              <w:rPr>
                <w:sz w:val="20"/>
                <w:szCs w:val="20"/>
                <w:color w:val="auto"/>
              </w:rPr>
            </w:pPr>
            <w:r>
              <w:rPr>
                <w:rFonts w:ascii="Arial" w:cs="Arial" w:eastAsia="Arial" w:hAnsi="Arial"/>
                <w:sz w:val="18"/>
                <w:szCs w:val="18"/>
                <w:color w:val="auto"/>
              </w:rPr>
              <w:t>Average aircraft fuel price including related taxes</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2.62</w:t>
            </w:r>
          </w:p>
        </w:tc>
        <w:tc>
          <w:tcPr>
            <w:tcW w:w="110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7"/>
              </w:rPr>
              <w:t>3.3%</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2.94</w:t>
            </w:r>
          </w:p>
        </w:tc>
        <w:tc>
          <w:tcPr>
            <w:tcW w:w="110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5"/>
        </w:trPr>
        <w:tc>
          <w:tcPr>
            <w:tcW w:w="4700" w:type="dxa"/>
            <w:vAlign w:val="bottom"/>
          </w:tcPr>
          <w:p>
            <w:pPr>
              <w:ind w:left="360"/>
              <w:spacing w:after="0"/>
              <w:rPr>
                <w:sz w:val="20"/>
                <w:szCs w:val="20"/>
                <w:color w:val="auto"/>
              </w:rPr>
            </w:pPr>
            <w:r>
              <w:rPr>
                <w:rFonts w:ascii="Arial" w:cs="Arial" w:eastAsia="Arial" w:hAnsi="Arial"/>
                <w:sz w:val="18"/>
                <w:szCs w:val="18"/>
                <w:color w:val="auto"/>
              </w:rPr>
              <w:t>(dollars per gallon)</w:t>
            </w: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0.8%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0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1,470</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1,470</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132,500</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132,500</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Excluded from the aircraft count above are 65 regional aircraft in temporary storage as of June 30, 2024 as follows: 55 Embraer 145, eight Bombardier CRJ 700 and two Embraer 170.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2024 Compared to Three Months Ended June 30, 2023</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8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left="326"/>
              <w:spacing w:after="0" w:line="108" w:lineRule="exact"/>
              <w:rPr>
                <w:sz w:val="20"/>
                <w:szCs w:val="20"/>
                <w:color w:val="auto"/>
              </w:rPr>
            </w:pPr>
            <w:r>
              <w:rPr>
                <w:rFonts w:ascii="Arial" w:cs="Arial" w:eastAsia="Arial" w:hAnsi="Arial"/>
                <w:sz w:val="12"/>
                <w:szCs w:val="12"/>
                <w:b w:val="1"/>
                <w:bCs w:val="1"/>
                <w:color w:val="auto"/>
              </w:rPr>
              <w:t>Increase</w:t>
            </w: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00" w:type="dxa"/>
            <w:vAlign w:val="bottom"/>
            <w:gridSpan w:val="2"/>
            <w:vMerge w:val="restart"/>
          </w:tcPr>
          <w:p>
            <w:pPr>
              <w:jc w:val="center"/>
              <w:ind w:right="308"/>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gridSpan w:val="4"/>
            <w:vMerge w:val="restart"/>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(Decrease)</w:t>
            </w:r>
          </w:p>
        </w:tc>
        <w:tc>
          <w:tcPr>
            <w:tcW w:w="112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12,978</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w:t>
            </w:r>
          </w:p>
        </w:tc>
        <w:tc>
          <w:tcPr>
            <w:tcW w:w="3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Cargo</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120" w:type="dxa"/>
            <w:vAlign w:val="bottom"/>
            <w:gridSpan w:val="3"/>
          </w:tcPr>
          <w:p>
            <w:pPr>
              <w:jc w:val="right"/>
              <w:ind w:right="44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14,055</w:t>
            </w:r>
          </w:p>
        </w:tc>
        <w:tc>
          <w:tcPr>
            <w:tcW w:w="120" w:type="dxa"/>
            <w:vAlign w:val="bottom"/>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279</w:t>
            </w:r>
          </w:p>
        </w:tc>
        <w:tc>
          <w:tcPr>
            <w:tcW w:w="380" w:type="dxa"/>
            <w:vAlign w:val="bottom"/>
          </w:tcPr>
          <w:p>
            <w:pPr>
              <w:spacing w:after="0"/>
              <w:rPr>
                <w:sz w:val="19"/>
                <w:szCs w:val="19"/>
                <w:color w:val="auto"/>
              </w:rPr>
            </w:pPr>
          </w:p>
        </w:tc>
        <w:tc>
          <w:tcPr>
            <w:tcW w:w="1120" w:type="dxa"/>
            <w:vAlign w:val="bottom"/>
            <w:gridSpan w:val="3"/>
          </w:tcPr>
          <w:p>
            <w:pPr>
              <w:jc w:val="right"/>
              <w:ind w:right="50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5340" w:type="dxa"/>
            <w:vAlign w:val="bottom"/>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9340" w:type="dxa"/>
            <w:vAlign w:val="bottom"/>
            <w:gridSpan w:val="16"/>
          </w:tcPr>
          <w:p>
            <w:pPr>
              <w:ind w:left="26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gridSpan w:val="6"/>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jc w:val="center"/>
              <w:ind w:left="57"/>
              <w:spacing w:after="0"/>
              <w:rPr>
                <w:sz w:val="20"/>
                <w:szCs w:val="20"/>
                <w:color w:val="auto"/>
              </w:rPr>
            </w:pPr>
            <w:r>
              <w:rPr>
                <w:rFonts w:ascii="Arial" w:cs="Arial" w:eastAsia="Arial" w:hAnsi="Arial"/>
                <w:sz w:val="14"/>
                <w:szCs w:val="14"/>
                <w:b w:val="1"/>
                <w:bCs w:val="1"/>
                <w:color w:val="auto"/>
              </w:rPr>
              <w:t>vs. Three Months Ended June 30, 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Three Months Ended</w:t>
            </w:r>
          </w:p>
        </w:tc>
        <w:tc>
          <w:tcPr>
            <w:tcW w:w="7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540"/>
              <w:spacing w:after="0" w:line="142" w:lineRule="exact"/>
              <w:rPr>
                <w:sz w:val="20"/>
                <w:szCs w:val="20"/>
                <w:color w:val="auto"/>
              </w:rPr>
            </w:pPr>
            <w:r>
              <w:rPr>
                <w:rFonts w:ascii="Arial" w:cs="Arial" w:eastAsia="Arial" w:hAnsi="Arial"/>
                <w:sz w:val="14"/>
                <w:szCs w:val="14"/>
                <w:b w:val="1"/>
                <w:bCs w:val="1"/>
                <w:color w:val="auto"/>
              </w:rPr>
              <w:t>Load</w:t>
            </w:r>
          </w:p>
        </w:tc>
        <w:tc>
          <w:tcPr>
            <w:tcW w:w="78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rPr>
              <w:t>Passenger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Yield</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center"/>
              <w:ind w:right="420"/>
              <w:spacing w:after="0"/>
              <w:rPr>
                <w:sz w:val="20"/>
                <w:szCs w:val="20"/>
                <w:color w:val="auto"/>
              </w:rPr>
            </w:pPr>
            <w:r>
              <w:rPr>
                <w:rFonts w:ascii="Arial" w:cs="Arial" w:eastAsia="Arial" w:hAnsi="Arial"/>
                <w:sz w:val="18"/>
                <w:szCs w:val="18"/>
                <w:color w:val="auto"/>
              </w:rPr>
              <w:t>0.4pts</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(6.3)%</w:t>
            </w:r>
          </w:p>
        </w:tc>
        <w:tc>
          <w:tcPr>
            <w:tcW w:w="11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-1911350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-1911350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-1911350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Passenger revenue increased $224 million, or 1.7%, in the second quarter of 2024 from the second quarter of 2023. In the second quarter of 2024, we experienced a 6.3% decrease in passenger yield on an 8.0% capacity growth year-over-year, as measured by ASMs. Load factor was 86.6% for the second quarter of 2024, compared to 86.2% for the second quarter of 2023. This revenue performance reflected weak industry pricing conditions in light of significantly increased industry capacity, as well as softness in customer bookings due in part to certain commercial initiatives that we deployed, many of which were reversed late in the second quarter of 2024.</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$57 million, or 6.4%, in the second quarter of 2024 from the second quarter of 2023, driven primarily by higher revenue associated with our loyalty program. During the three months ended June 30, 2024 and 2023, cash payments from co-branded credit card and other partners were $1.4 billion and $1.2 billion, respectively.</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Total operating revenues increased $279 million, or 2.0%, in the second quarter of 2024 from the second quarter of 2023, driven primarily by the increase in passenger revenue as described above. Our TRASM was 19.05 cents in the second quarter of 2024, a 5.6% decrease as compared to 20.18 cents in the second quarter of 2023. This decrease was driven by a 6.3% decrease in passenger yield primarily due to a softer domestic revenue environment.</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tcPr>
          <w:p>
            <w:pPr>
              <w:jc w:val="center"/>
              <w:ind w:left="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vMerge w:val="restart"/>
          </w:tcPr>
          <w:p>
            <w:pPr>
              <w:jc w:val="right"/>
              <w:ind w:right="313"/>
              <w:spacing w:after="0" w:line="113" w:lineRule="exact"/>
              <w:rPr>
                <w:sz w:val="20"/>
                <w:szCs w:val="20"/>
                <w:color w:val="auto"/>
              </w:rPr>
            </w:pPr>
            <w:r>
              <w:rPr>
                <w:rFonts w:ascii="Arial" w:cs="Arial" w:eastAsia="Arial" w:hAnsi="Arial"/>
                <w:sz w:val="13"/>
                <w:szCs w:val="13"/>
                <w:b w:val="1"/>
                <w:bCs w:val="1"/>
                <w:color w:val="auto"/>
              </w:rPr>
              <w:t>Increase</w:t>
            </w:r>
          </w:p>
        </w:tc>
        <w:tc>
          <w:tcPr>
            <w:tcW w:w="1480" w:type="dxa"/>
            <w:vAlign w:val="bottom"/>
            <w:vMerge w:val="restart"/>
          </w:tcPr>
          <w:p>
            <w:pPr>
              <w:jc w:val="center"/>
              <w:ind w:left="15"/>
              <w:spacing w:after="0" w:line="113"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6"/>
              </w:rPr>
              <w:t>12.4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6"/>
              </w:rPr>
              <w:t>10.0</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w w:val="96"/>
              </w:rPr>
              <w:t>17.6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3"/>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-2193925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-2193925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-2193925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243"/>
        <w:spacing w:after="0" w:line="268" w:lineRule="auto"/>
        <w:rPr>
          <w:sz w:val="20"/>
          <w:szCs w:val="20"/>
          <w:color w:val="auto"/>
        </w:rPr>
      </w:pPr>
      <w:r>
        <w:rPr>
          <w:rFonts w:ascii="Arial" w:cs="Arial" w:eastAsia="Arial" w:hAnsi="Arial"/>
          <w:sz w:val="18"/>
          <w:szCs w:val="18"/>
          <w:color w:val="auto"/>
        </w:rPr>
        <w:t>Aircraft fuel and related taxes increased $338 million, or 12.4%, in the second quarter of 2024 from the second quarter of 2023 primarily due to an 8.8% increase in gallons of fuel consumed due to increased capacity and a 3.3% increase in the average price per gallon of aircraft fuel including related taxes to $2.70 in the second quarter of 2024 from $2.62 in the second quarter of 2023.</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$318 million, or 8.7%, in the second quarter of 2024 from the second quarter of 2023 primarily driven by higher wage rates and costs for benefit-related items associated with the ratification of a new collective bargaining agreement with our mainline pilots in August 2023.</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increased $115 million, or 10.0%, in the second quarter of 2024 from the second quarter of 2023 primarily due to an increase in regional flight operations at our wholly-owned regional carriers. An increase in the volume of engine overhauls also contributed to higher costs for maintenance, materials and repairs.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$142 million, or 17.6%, in the second quarter of 2024 from the second quarter of 2023 primarily due to increased costs for engine overhauls, component part repairs and airframe heavy checks driven by higher volume and flight hours.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rent and landing fees increased $72 million, or 9.5%, in the second quarter of 2024 from the second quarter of 2023 primarily driven by rate increases at certain airports and incremental engine leases.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Aircraft rent decreased $30 million, or 8.6%, in the second quarter of 2024 from the second quarter of 2023 primarily due to decreased rental payments associated with aircraft operating lease extensions.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decreased $33 million, or 6.8%, in the second quarter of 2024 from the second quarter of 2023 primarily due to a decrease in commissions expense, offset in part by higher credit card fees driven by the overall increase in passenger revenues.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expenses increased $145 million, or 9.7%, in the second quarter of 2024 from the second quarter of 2023 primarily driven by the increase in flight operations, including increased costs for onboard food and catering, crew travel, ground handling and airport lounge operations, as well as certain general and administrative expenses.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jc w:val="center"/>
              <w:ind w:left="2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center"/>
              <w:ind w:right="138"/>
              <w:spacing w:after="0" w:line="108" w:lineRule="exact"/>
              <w:rPr>
                <w:sz w:val="20"/>
                <w:szCs w:val="20"/>
                <w:color w:val="auto"/>
              </w:rPr>
            </w:pPr>
            <w:r>
              <w:rPr>
                <w:rFonts w:ascii="Arial" w:cs="Arial" w:eastAsia="Arial" w:hAnsi="Arial"/>
                <w:sz w:val="12"/>
                <w:szCs w:val="12"/>
                <w:b w:val="1"/>
                <w:bCs w:val="1"/>
                <w:color w:val="auto"/>
              </w:rPr>
              <w:t>Increase</w:t>
            </w:r>
          </w:p>
        </w:tc>
        <w:tc>
          <w:tcPr>
            <w:tcW w:w="1480" w:type="dxa"/>
            <w:vAlign w:val="bottom"/>
            <w:vMerge w:val="restart"/>
          </w:tcPr>
          <w:p>
            <w:pPr>
              <w:jc w:val="center"/>
              <w:ind w:left="25"/>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4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4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78"/>
              <w:spacing w:after="0"/>
              <w:rPr>
                <w:sz w:val="20"/>
                <w:szCs w:val="20"/>
                <w:color w:val="auto"/>
              </w:rPr>
            </w:pPr>
            <w:r>
              <w:rPr>
                <w:rFonts w:ascii="Arial" w:cs="Arial" w:eastAsia="Arial" w:hAnsi="Arial"/>
                <w:sz w:val="18"/>
                <w:szCs w:val="18"/>
                <w:color w:val="auto"/>
                <w:w w:val="99"/>
              </w:rPr>
              <w:t>(34)</w:t>
            </w:r>
          </w:p>
        </w:tc>
        <w:tc>
          <w:tcPr>
            <w:tcW w:w="1480" w:type="dxa"/>
            <w:vAlign w:val="bottom"/>
            <w:shd w:val="clear" w:color="auto" w:fill="CCEEFF"/>
          </w:tcPr>
          <w:p>
            <w:pPr>
              <w:jc w:val="center"/>
              <w:ind w:left="25"/>
              <w:spacing w:after="0"/>
              <w:rPr>
                <w:sz w:val="20"/>
                <w:szCs w:val="20"/>
                <w:color w:val="auto"/>
              </w:rPr>
            </w:pPr>
            <w:r>
              <w:rPr>
                <w:rFonts w:ascii="Arial" w:cs="Arial" w:eastAsia="Arial" w:hAnsi="Arial"/>
                <w:sz w:val="18"/>
                <w:szCs w:val="18"/>
                <w:color w:val="auto"/>
                <w:w w:val="97"/>
              </w:rPr>
              <w:t>(21.3)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(548)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718"/>
              <w:spacing w:after="0"/>
              <w:rPr>
                <w:sz w:val="20"/>
                <w:szCs w:val="20"/>
                <w:color w:val="auto"/>
              </w:rPr>
            </w:pPr>
            <w:r>
              <w:rPr>
                <w:rFonts w:ascii="Arial" w:cs="Arial" w:eastAsia="Arial" w:hAnsi="Arial"/>
                <w:sz w:val="18"/>
                <w:szCs w:val="18"/>
                <w:color w:val="auto"/>
                <w:w w:val="99"/>
              </w:rPr>
              <w:t>62</w:t>
            </w:r>
          </w:p>
        </w:tc>
        <w:tc>
          <w:tcPr>
            <w:tcW w:w="1480" w:type="dxa"/>
            <w:vAlign w:val="bottom"/>
          </w:tcPr>
          <w:p>
            <w:pPr>
              <w:jc w:val="center"/>
              <w:ind w:left="25"/>
              <w:spacing w:after="0"/>
              <w:rPr>
                <w:sz w:val="20"/>
                <w:szCs w:val="20"/>
                <w:color w:val="auto"/>
              </w:rPr>
            </w:pPr>
            <w:r>
              <w:rPr>
                <w:rFonts w:ascii="Arial" w:cs="Arial" w:eastAsia="Arial" w:hAnsi="Arial"/>
                <w:sz w:val="18"/>
                <w:szCs w:val="18"/>
                <w:color w:val="auto"/>
                <w:w w:val="97"/>
              </w:rPr>
              <w:t>(11.3)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18"/>
              <w:spacing w:after="0"/>
              <w:rPr>
                <w:sz w:val="20"/>
                <w:szCs w:val="20"/>
                <w:color w:val="auto"/>
              </w:rPr>
            </w:pPr>
            <w:r>
              <w:rPr>
                <w:rFonts w:ascii="Arial" w:cs="Arial" w:eastAsia="Arial" w:hAnsi="Arial"/>
                <w:sz w:val="18"/>
                <w:szCs w:val="18"/>
                <w:color w:val="auto"/>
                <w:w w:val="99"/>
              </w:rPr>
              <w:t>16</w:t>
            </w:r>
          </w:p>
        </w:tc>
        <w:tc>
          <w:tcPr>
            <w:tcW w:w="1480" w:type="dxa"/>
            <w:vAlign w:val="bottom"/>
            <w:shd w:val="clear" w:color="auto" w:fill="CCEEFF"/>
          </w:tcPr>
          <w:p>
            <w:pPr>
              <w:ind w:left="600"/>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718"/>
              <w:spacing w:after="0"/>
              <w:rPr>
                <w:sz w:val="20"/>
                <w:szCs w:val="20"/>
                <w:color w:val="auto"/>
              </w:rPr>
            </w:pPr>
            <w:r>
              <w:rPr>
                <w:rFonts w:ascii="Arial" w:cs="Arial" w:eastAsia="Arial" w:hAnsi="Arial"/>
                <w:sz w:val="18"/>
                <w:szCs w:val="18"/>
                <w:color w:val="auto"/>
                <w:w w:val="99"/>
              </w:rPr>
              <w:t>44</w:t>
            </w:r>
          </w:p>
        </w:tc>
        <w:tc>
          <w:tcPr>
            <w:tcW w:w="1480" w:type="dxa"/>
            <w:vAlign w:val="bottom"/>
          </w:tcPr>
          <w:p>
            <w:pPr>
              <w:jc w:val="center"/>
              <w:ind w:left="25"/>
              <w:spacing w:after="0"/>
              <w:rPr>
                <w:sz w:val="20"/>
                <w:szCs w:val="20"/>
                <w:color w:val="auto"/>
              </w:rPr>
            </w:pPr>
            <w:r>
              <w:rPr>
                <w:rFonts w:ascii="Arial" w:cs="Arial" w:eastAsia="Arial" w:hAnsi="Arial"/>
                <w:sz w:val="18"/>
                <w:szCs w:val="18"/>
                <w:color w:val="auto"/>
                <w:w w:val="97"/>
              </w:rPr>
              <w:t>(11.0)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-762000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13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Interest income decreased $34 million, or 21.3%, in the second quarter of 2024 from the second quarter of 2023 primarily due to a decrease in short-term investments subsequent to the second quarter of 2023. Interest expense, net decreased $ 62 million, or 11.3%, in the second quarter of 2024 from the second quarter of 2023 primarily due to lower outstanding debt subsequent to the second quarter of 2023.</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 the second quarter of 2024, other nonoperating income, net primarily included $24 million of non-service related pension and other postretirement benefit plan income, offset in part by $12 million of net special charges.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second quarter of 2023, other nonoperating expense, net primarily included $28 million of net special charges associated with debt extinguishments and mark-to-market net unrealized losses associated with certain equity investments, offset in part by $8 million of non-service related pension and other postretirement benefit plan income.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second quarter of 2024, we recorded an income tax provision of $311 million. Substantially all of our income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2024 Compared to Six Months Ended June 30, 2023</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298"/>
              <w:spacing w:after="0" w:line="108" w:lineRule="exact"/>
              <w:rPr>
                <w:sz w:val="20"/>
                <w:szCs w:val="20"/>
                <w:color w:val="auto"/>
              </w:rPr>
            </w:pPr>
            <w:r>
              <w:rPr>
                <w:rFonts w:ascii="Arial" w:cs="Arial" w:eastAsia="Arial" w:hAnsi="Arial"/>
                <w:sz w:val="12"/>
                <w:szCs w:val="12"/>
                <w:b w:val="1"/>
                <w:bCs w:val="1"/>
                <w:color w:val="auto"/>
              </w:rPr>
              <w:t>Increase</w:t>
            </w:r>
          </w:p>
        </w:tc>
        <w:tc>
          <w:tcPr>
            <w:tcW w:w="1500" w:type="dxa"/>
            <w:vAlign w:val="bottom"/>
            <w:vMerge w:val="restart"/>
          </w:tcPr>
          <w:p>
            <w:pPr>
              <w:jc w:val="center"/>
              <w:ind w:left="39"/>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5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Cargo</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439"/>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5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500" w:type="dxa"/>
            <w:vAlign w:val="bottom"/>
          </w:tcPr>
          <w:p>
            <w:pPr>
              <w:jc w:val="right"/>
              <w:ind w:right="49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-762635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-762635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-762635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vs. Six Months Ended June 30, 2023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Six Months Ended</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128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Load</w:t>
            </w:r>
          </w:p>
        </w:tc>
        <w:tc>
          <w:tcPr>
            <w:tcW w:w="10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Passenger</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24,661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0.9pts</w:t>
            </w:r>
          </w:p>
        </w:tc>
        <w:tc>
          <w:tcPr>
            <w:tcW w:w="90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Passenger revenue increased $580 million, or 2.4%, in the first six months of 2024 from the first six months of 2023. In the first six months of 2024, we experienced a 6.4% decrease in passenger yield on an 8.3% capacity growth year-over-year, as measured by ASMs. Load factor was 84.1% for the first six months of 2024, compared to 83.2% for the first six months of 2023. This revenue performance reflected weak industry pricing conditions in the second quarter of 2024 in light of significantly increased industry capacity, as well as softness in customer bookings due in part to certain commercial initiatives that we deployed, many of which were reversed late in the second quarter of 2024.</w:t>
      </w:r>
    </w:p>
    <w:p>
      <w:pPr>
        <w:spacing w:after="0" w:line="12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decreased $38 million, or 9.1%, in the first six months of 2024 from the first six months of 2023 primarily due to a 22.8% decrease in cargo yield driven by increased air freight capacity, offset in part by a 17.7% increase in cargo ton miles.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Other operating revenue increased $ 118 million, or 6.8%, in the first six months of 2024 from the first six months of 2023, driven primarily by higher revenue associated with our loyalty program. During the six months ended June 30, 2024 and 2023, cash payments from co-branded credit card and other partners were $3.0 billion and $2.8 billion, respectively.</w:t>
      </w:r>
    </w:p>
    <w:p>
      <w:pPr>
        <w:spacing w:after="0" w:line="117"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Total operating revenues increased $660 million, or 2.5%, in the first six months of 2024 from the first six months of 2023, driven primarily by the increase in passenger revenue as described above. Our TRASM was 18.46 cents in the first six months of 2024, a 5.3% decrease as compared to 19.49 cents in the first six months of 2023. This decrease was driven by a 6.4% decrease in passenger yield primarily due to a softer domestic revenue environment.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tcPr>
          <w:p>
            <w:pPr>
              <w:jc w:val="center"/>
              <w:ind w:left="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vMerge w:val="restart"/>
          </w:tcPr>
          <w:p>
            <w:pPr>
              <w:jc w:val="right"/>
              <w:ind w:right="314"/>
              <w:spacing w:after="0" w:line="108" w:lineRule="exact"/>
              <w:rPr>
                <w:sz w:val="20"/>
                <w:szCs w:val="20"/>
                <w:color w:val="auto"/>
              </w:rPr>
            </w:pPr>
            <w:r>
              <w:rPr>
                <w:rFonts w:ascii="Arial" w:cs="Arial" w:eastAsia="Arial" w:hAnsi="Arial"/>
                <w:sz w:val="12"/>
                <w:szCs w:val="12"/>
                <w:b w:val="1"/>
                <w:bCs w:val="1"/>
                <w:color w:val="auto"/>
              </w:rPr>
              <w:t>Increase</w:t>
            </w:r>
          </w:p>
        </w:tc>
        <w:tc>
          <w:tcPr>
            <w:tcW w:w="1480" w:type="dxa"/>
            <w:vAlign w:val="bottom"/>
            <w:vMerge w:val="restart"/>
          </w:tcPr>
          <w:p>
            <w:pPr>
              <w:jc w:val="center"/>
              <w:ind w:left="15"/>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903</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w w:val="96"/>
              </w:rPr>
              <w:t>13.1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w w:val="96"/>
              </w:rPr>
              <w:t>20.7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6"/>
              </w:rPr>
              <w:t>12.5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8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480" w:type="dxa"/>
            <w:vAlign w:val="bottom"/>
            <w:tcBorders>
              <w:bottom w:val="single" w:sz="8" w:color="CCEEFF"/>
            </w:tcBorders>
          </w:tcPr>
          <w:p>
            <w:pPr>
              <w:jc w:val="center"/>
              <w:ind w:left="15"/>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48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Aircraft fuel and related taxes increased $152 million, or 2.6%, in the first six months of 2024 from the first six months of 2023 primarily due to an 8.4% increase in gallons of fuel consumed due to increased capacity, offset in part by a 5.4% decrease in the average price per gallon of aircraft fuel including related taxes to $2.78 in the first six months of 2024 from $2.94 in the first six months of 2023.</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$903 million, or 13.1%, in the first six months of 2024 from the first six months of 2023 primarily driven by higher wage rates and costs for benefit-related items associated with the ratification of a new collective bargaining agreement with our mainline pilots in August 2023.</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increased $174 million, or 7.6%, in the first six months of 2024 from the first six months of 2023 primarily due to an increase in regional flight operations at our wholly-owned regional carriers. An increase in the volume of engine overhauls also contributed to higher costs for maintenance, materials and repairs.</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$314 million, or 20.7%, in the first six months of 2024 from the first six months of 2023 primarily due to increased costs for engine overhauls, airframe heavy checks and component part repairs driven by higher volume and flight hours.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rent and landing fees increased $183 million, or 12.5%, in the first six months of 2024 from the first six months of 2023 primarily driven by rate increases at certain airports and incremental engine leases.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Aircraft rent decreased $46 million, or 6.7%, in the first six months of 2024 from the first six months of 2023 primarily due to decreased rental payments associated with aircraft operating lease extensions.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Selling expenses decreased $63 million, or 6.8%, in the first six months of 2024 from the first six months of 2023 primarily due to a decrease in commissions expense, offset in part by higher credit card fees driven by the overall increase in passenger revenues.</w:t>
      </w:r>
    </w:p>
    <w:p>
      <w:pPr>
        <w:spacing w:after="0" w:line="99"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Other operating expenses increased $220 million, or 7.5%, in the first six months of 2024 from the first six months of 2023 primarily driven by the increase in flight operations, including increased costs for onboard food and catering, crew travel, ground handling and airport lounge operations, as well as certain general and administrative expenses.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7"/>
                <w:szCs w:val="17"/>
                <w:color w:val="auto"/>
              </w:rPr>
            </w:pPr>
          </w:p>
        </w:tc>
      </w:tr>
      <w:tr>
        <w:trPr>
          <w:trHeight w:val="196"/>
        </w:trPr>
        <w:tc>
          <w:tcPr>
            <w:tcW w:w="762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196"/>
        </w:trPr>
        <w:tc>
          <w:tcPr>
            <w:tcW w:w="7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0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r>
      <w:tr>
        <w:trPr>
          <w:trHeight w:val="231"/>
        </w:trPr>
        <w:tc>
          <w:tcPr>
            <w:tcW w:w="76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Severance expenses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62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62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-1062355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2769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our mainline passenger service team members, including a one-time signing bonus which was principally paid in the first quarter of 2024.</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3140" w:type="dxa"/>
            <w:vAlign w:val="bottom"/>
            <w:gridSpan w:val="6"/>
          </w:tcPr>
          <w:p>
            <w:pPr>
              <w:ind w:left="58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7"/>
              <w:spacing w:after="0" w:line="113" w:lineRule="exact"/>
              <w:rPr>
                <w:sz w:val="20"/>
                <w:szCs w:val="20"/>
                <w:color w:val="auto"/>
              </w:rPr>
            </w:pPr>
            <w:r>
              <w:rPr>
                <w:rFonts w:ascii="Arial" w:cs="Arial" w:eastAsia="Arial" w:hAnsi="Arial"/>
                <w:sz w:val="13"/>
                <w:szCs w:val="13"/>
                <w:b w:val="1"/>
                <w:bCs w:val="1"/>
                <w:color w:val="auto"/>
              </w:rPr>
              <w:t>Increase</w:t>
            </w:r>
          </w:p>
        </w:tc>
        <w:tc>
          <w:tcPr>
            <w:tcW w:w="1480" w:type="dxa"/>
            <w:vAlign w:val="bottom"/>
            <w:vMerge w:val="restart"/>
          </w:tcPr>
          <w:p>
            <w:pPr>
              <w:jc w:val="center"/>
              <w:ind w:left="18"/>
              <w:spacing w:after="0" w:line="113"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38"/>
        </w:trPr>
        <w:tc>
          <w:tcPr>
            <w:tcW w:w="524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524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7"/>
              </w:rPr>
              <w:t>(14.7)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6"/>
              </w:rPr>
              <w:t>86.1</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-762000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Interest income decreased $42 million, or 14.7%, in the first six months of 2024 from the first six months of 2023 primarily due to a decrease in short-term investments subsequent to the second quarter of 2023. Interest expense, net decreased $ 104 million, or 9.7%, in the first six months of 2024 from the first six months of 2023 primarily due to lower outstanding debt subsequent to the second quarter of 2023.</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six months of 2024, other nonoperating expense, net included $58 million of net special charges primarily for mark-to-market net unrealized losses associated with certain equity investments and $10 million of foreign currency losses, offset in part by $50 million of non-service related pension and other postretirement benefit plan income.</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six months of 2023, other nonoperating expense, net primarily included $45 million of net special charges associated with debt refinancings and extinguishments and mark-to-market net unrealized losses associated with certain equity investments, offset in part by $16 million of non-service related pension and other postretirement benefit plan income.</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 the first six months of 2024, we recorded an income tax provision of $210 million. Substantially all of our income before income taxes is attributable to the United States.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2024 Compared to Three Months Ended June 30, 2023</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vMerge w:val="restart"/>
          </w:tcPr>
          <w:p>
            <w:pPr>
              <w:jc w:val="right"/>
              <w:ind w:right="338"/>
              <w:spacing w:after="0" w:line="108" w:lineRule="exact"/>
              <w:rPr>
                <w:sz w:val="20"/>
                <w:szCs w:val="20"/>
                <w:color w:val="auto"/>
              </w:rPr>
            </w:pPr>
            <w:r>
              <w:rPr>
                <w:rFonts w:ascii="Arial" w:cs="Arial" w:eastAsia="Arial" w:hAnsi="Arial"/>
                <w:sz w:val="12"/>
                <w:szCs w:val="12"/>
                <w:b w:val="1"/>
                <w:bCs w:val="1"/>
                <w:color w:val="auto"/>
              </w:rPr>
              <w:t>Increase</w:t>
            </w:r>
          </w:p>
        </w:tc>
        <w:tc>
          <w:tcPr>
            <w:tcW w:w="15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54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Cargo</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540" w:type="dxa"/>
            <w:vAlign w:val="bottom"/>
          </w:tcPr>
          <w:p>
            <w:pPr>
              <w:jc w:val="right"/>
              <w:ind w:right="45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54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540" w:type="dxa"/>
            <w:vAlign w:val="bottom"/>
          </w:tcPr>
          <w:p>
            <w:pPr>
              <w:jc w:val="right"/>
              <w:ind w:right="51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-762000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Passenger revenue increased $ 224 million, or 1.7%, in the second quarter of 2024 from the second quarter of 2023. In the second quarter of 2024, American experienced a decrease in passenger yield on higher capacity growth year-over-year, as measured by ASMs. This revenue performance reflected weak industry pricing conditions in light of significantly increased industry capacity, as well as softness in customer bookings due in part to certain commercial initiatives that American deployed, many of which were reversed late in the second quarter of 2024.</w:t>
      </w:r>
    </w:p>
    <w:p>
      <w:pPr>
        <w:spacing w:after="0" w:line="1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$57 million, or 6.4%, in the second quarter of 2024 from the second quarter of 2023, driven primarily by higher revenue associated with American’s loyalty program. During the three months ended June 30, 2024 and 2023, cash payments from co-branded credit card and other partners were $1.4 billion and $1.2 billion, respectively.</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Total operating revenues increased $279 million, or 2.0%, in the second quarter of 2024 from the second quarter of 2023, driven primarily by the increase in passenger revenue as described above.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jc w:val="center"/>
              <w:ind w:left="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vMerge w:val="restart"/>
          </w:tcPr>
          <w:p>
            <w:pPr>
              <w:jc w:val="right"/>
              <w:ind w:right="334"/>
              <w:spacing w:after="0" w:line="108" w:lineRule="exact"/>
              <w:rPr>
                <w:sz w:val="20"/>
                <w:szCs w:val="20"/>
                <w:color w:val="auto"/>
              </w:rPr>
            </w:pPr>
            <w:r>
              <w:rPr>
                <w:rFonts w:ascii="Arial" w:cs="Arial" w:eastAsia="Arial" w:hAnsi="Arial"/>
                <w:sz w:val="12"/>
                <w:szCs w:val="12"/>
                <w:b w:val="1"/>
                <w:bCs w:val="1"/>
                <w:color w:val="auto"/>
              </w:rPr>
              <w:t>Increase</w:t>
            </w:r>
          </w:p>
        </w:tc>
        <w:tc>
          <w:tcPr>
            <w:tcW w:w="1540" w:type="dxa"/>
            <w:vAlign w:val="bottom"/>
            <w:vMerge w:val="restart"/>
          </w:tcPr>
          <w:p>
            <w:pPr>
              <w:jc w:val="center"/>
              <w:ind w:left="35"/>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5"/>
              </w:rPr>
              <w:t>8.7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5"/>
              </w:rPr>
              <w:t>9.6</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5"/>
              </w:rPr>
              <w:t>9.5</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7"/>
              </w:rPr>
              <w:t>(8.6)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7"/>
              </w:rPr>
              <w:t>(6.8)</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7"/>
              </w:rPr>
              <w:t>(1.9)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5"/>
              </w:rPr>
              <w:t>9.9</w:t>
            </w: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5"/>
              </w:rPr>
              <w:t>8.9</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-1636395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-1636395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-1636395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$338 million, or 12.4%, in the second quarter of 2024 from the second quarter of 2023 primarily due to an 8.8% increase in gallons of fuel consumed due to increased capacity and a 3.3% increase in the average price per gallon of aircraft fuel including related taxes to $2.70 in the second quarter of 2024 from $2.62 in the second quarter of 2023.</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Salaries, wages and benefits increased $317 million, or 8.7%, in the second quarter of 2024 from the second quarter of 2023 primarily driven by higher wage rates and costs for benefit-related items associated with the ratification of a new collective bargaining agreement with American’s mainline pilots in August 2023.</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Regional expenses increased $110 million, or 9.6%, in the second quarter of 2024 from the second quarter of 2023 primarily due to an increase in regional flight operations at American’s regional carriers.</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$142 million, or 17.6%, in the second quarter of 2024 from the second quarter of 2023 primarily due to increased costs for engine overhauls, component part repairs and airframe heavy checks driven by higher volume and flight hours.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rent and landing fees increased $72 million, or 9.5%, in the second quarter of 2024 from the second quarter of 2023 primarily driven by rate increases at certain airports and incremental engine leases.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Aircraft rent decreased $30 million, or 8.6%, in the second quarter of 2024 from the second quarter of 2023 primarily due to decreased rental payments associated with aircraft operating lease extensions.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decreased $33 million, or 6.8%, in the second quarter of 2024 from the second quarter of 2023 primarily due to a decrease in commissions expense, offset in part by higher credit card fees driven by the overall increase in passenger revenues.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expenses increased $148 million, or 9.9%, in the second quarter of 2024 from the second quarter of 2023 primarily driven by the increase in flight operations, including increased costs for onboard food and catering, crew travel, ground handling and airport lounge operations, as well as certain general and administrative expenses.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298"/>
              <w:spacing w:after="0" w:line="108" w:lineRule="exact"/>
              <w:rPr>
                <w:sz w:val="20"/>
                <w:szCs w:val="20"/>
                <w:color w:val="auto"/>
              </w:rPr>
            </w:pPr>
            <w:r>
              <w:rPr>
                <w:rFonts w:ascii="Arial" w:cs="Arial" w:eastAsia="Arial" w:hAnsi="Arial"/>
                <w:sz w:val="12"/>
                <w:szCs w:val="12"/>
                <w:b w:val="1"/>
                <w:bCs w:val="1"/>
                <w:color w:val="auto"/>
              </w:rPr>
              <w:t>Increase</w:t>
            </w:r>
          </w:p>
        </w:tc>
        <w:tc>
          <w:tcPr>
            <w:tcW w:w="1500" w:type="dxa"/>
            <w:vAlign w:val="bottom"/>
            <w:vMerge w:val="restart"/>
          </w:tcPr>
          <w:p>
            <w:pPr>
              <w:jc w:val="center"/>
              <w:ind w:left="39"/>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2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right"/>
              <w:ind w:right="38"/>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0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(563)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500" w:type="dxa"/>
            <w:vAlign w:val="bottom"/>
          </w:tcPr>
          <w:p>
            <w:pPr>
              <w:jc w:val="center"/>
              <w:ind w:left="19"/>
              <w:spacing w:after="0"/>
              <w:rPr>
                <w:sz w:val="20"/>
                <w:szCs w:val="20"/>
                <w:color w:val="auto"/>
              </w:rPr>
            </w:pPr>
            <w:r>
              <w:rPr>
                <w:rFonts w:ascii="Arial" w:cs="Arial" w:eastAsia="Arial" w:hAnsi="Arial"/>
                <w:sz w:val="18"/>
                <w:szCs w:val="18"/>
                <w:color w:val="auto"/>
                <w:w w:val="97"/>
              </w:rPr>
              <w:t>(9.3)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0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500" w:type="dxa"/>
            <w:vAlign w:val="bottom"/>
          </w:tcPr>
          <w:p>
            <w:pPr>
              <w:jc w:val="center"/>
              <w:ind w:left="19"/>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-788035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-788035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-788035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Interest expense, net decreased $52 million, or 9.3%, in the second quarter of 2024 from the second quarter of 2023 primarily due to lower outstanding debt subsequent to the second quarter of 2023.</w:t>
      </w:r>
    </w:p>
    <w:p>
      <w:pPr>
        <w:spacing w:after="0" w:line="9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 the second quarter of 2024, other nonoperating income, net primarily included $24 million of non-service related pension and other postretirement benefit plan income, offset in part by $12 million of net special charges.</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second quarter of 2023, other nonoperating expense, net primarily included $28 million of net special charges associated with debt extinguishments and mark-to-market net unrealized losses associated with certain equity investments, offset in part by $8 million of non-service related pension and other postretirement benefit plan income.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second quarter of 2024, American recorded an income tax provision of $367 million. Substantially all of American’s income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2024 Compared to Six Months Ended June 30, 2023</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jc w:val="center"/>
              <w:ind w:left="1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vMerge w:val="restart"/>
          </w:tcPr>
          <w:p>
            <w:pPr>
              <w:jc w:val="right"/>
              <w:ind w:right="318"/>
              <w:spacing w:after="0" w:line="108" w:lineRule="exact"/>
              <w:rPr>
                <w:sz w:val="20"/>
                <w:szCs w:val="20"/>
                <w:color w:val="auto"/>
              </w:rPr>
            </w:pPr>
            <w:r>
              <w:rPr>
                <w:rFonts w:ascii="Arial" w:cs="Arial" w:eastAsia="Arial" w:hAnsi="Arial"/>
                <w:sz w:val="12"/>
                <w:szCs w:val="12"/>
                <w:b w:val="1"/>
                <w:bCs w:val="1"/>
                <w:color w:val="auto"/>
              </w:rPr>
              <w:t>Increase</w:t>
            </w:r>
          </w:p>
        </w:tc>
        <w:tc>
          <w:tcPr>
            <w:tcW w:w="1480" w:type="dxa"/>
            <w:vAlign w:val="bottom"/>
            <w:vMerge w:val="restart"/>
          </w:tcPr>
          <w:p>
            <w:pPr>
              <w:jc w:val="center"/>
              <w:ind w:left="19"/>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Cargo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480" w:type="dxa"/>
            <w:vAlign w:val="bottom"/>
          </w:tcPr>
          <w:p>
            <w:pPr>
              <w:jc w:val="right"/>
              <w:ind w:right="419"/>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480" w:type="dxa"/>
            <w:vAlign w:val="bottom"/>
          </w:tcPr>
          <w:p>
            <w:pPr>
              <w:jc w:val="right"/>
              <w:ind w:right="47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-762635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-762635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-762635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Passenger revenue increased $580 million, or 2.4%, in the first six months of 2024 from the first six months of 2023. In the first six months of 2024, American experienced a decrease in passenger yield on higher capacity growth year-over-year, as measured by ASMs. This revenue performance reflected weak industry pricing conditions in the second quarter of 2024 in light of significantly increased industry capacity, as well as softness in customer bookings due in part to certain commercial initiatives that American deployed, many of which were reversed late in the second quarter of 2024.</w:t>
      </w:r>
    </w:p>
    <w:p>
      <w:pPr>
        <w:spacing w:after="0" w:line="125"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Cargo revenue decreased $38 million, or 9.1%, in the first six months of 2024 from the first six months of 2023 primarily due to a decrease in cargo yield driven by increased air freight capacity, offset in part by an increase in cargo ton miles.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Other operating revenue increased $118 million, or 6.8%, in the first six months of 2024 from the first six months of 2023, driven primarily by higher revenue associated with American’s loyalty program. During the six months ended June 30, 2024 and 2023, cash payments from co-branded credit card and other partners were $3.0 billion and $2.8 billion, respectively.</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Total operating revenues increased $660 million, or 2.5%, in the first six months of 2024 from the first six months of 2023, driven primarily by the increase in passenger revenue as described above.</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jc w:val="center"/>
              <w:ind w:left="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vMerge w:val="restart"/>
          </w:tcPr>
          <w:p>
            <w:pPr>
              <w:jc w:val="right"/>
              <w:ind w:right="334"/>
              <w:spacing w:after="0" w:line="108" w:lineRule="exact"/>
              <w:rPr>
                <w:sz w:val="20"/>
                <w:szCs w:val="20"/>
                <w:color w:val="auto"/>
              </w:rPr>
            </w:pPr>
            <w:r>
              <w:rPr>
                <w:rFonts w:ascii="Arial" w:cs="Arial" w:eastAsia="Arial" w:hAnsi="Arial"/>
                <w:sz w:val="12"/>
                <w:szCs w:val="12"/>
                <w:b w:val="1"/>
                <w:bCs w:val="1"/>
                <w:color w:val="auto"/>
              </w:rPr>
              <w:t>Increase</w:t>
            </w:r>
          </w:p>
        </w:tc>
        <w:tc>
          <w:tcPr>
            <w:tcW w:w="1540" w:type="dxa"/>
            <w:vAlign w:val="bottom"/>
            <w:vMerge w:val="restart"/>
          </w:tcPr>
          <w:p>
            <w:pPr>
              <w:jc w:val="center"/>
              <w:ind w:left="35"/>
              <w:spacing w:after="0" w:line="108"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904</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5"/>
              </w:rPr>
              <w:t>7.2</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7"/>
              </w:rPr>
              <w:t>(6.7)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7"/>
              </w:rPr>
              <w:t>(6.8)</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540" w:type="dxa"/>
            <w:vAlign w:val="bottom"/>
          </w:tcPr>
          <w:p>
            <w:pPr>
              <w:jc w:val="center"/>
              <w:ind w:left="15"/>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54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540" w:type="dxa"/>
            <w:vAlign w:val="bottom"/>
            <w:tcBorders>
              <w:bottom w:val="single" w:sz="8" w:color="CCEEFF"/>
            </w:tcBorders>
          </w:tcPr>
          <w:p>
            <w:pPr>
              <w:jc w:val="center"/>
              <w:ind w:left="15"/>
              <w:spacing w:after="0"/>
              <w:rPr>
                <w:sz w:val="20"/>
                <w:szCs w:val="20"/>
                <w:color w:val="auto"/>
              </w:rPr>
            </w:pPr>
            <w:r>
              <w:rPr>
                <w:rFonts w:ascii="Arial" w:cs="Arial" w:eastAsia="Arial" w:hAnsi="Arial"/>
                <w:sz w:val="18"/>
                <w:szCs w:val="18"/>
                <w:color w:val="auto"/>
                <w:w w:val="95"/>
              </w:rPr>
              <w:t>7.6</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54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8"/>
                <w:szCs w:val="18"/>
                <w:color w:val="auto"/>
                <w:w w:val="95"/>
              </w:rPr>
              <w:t>7.9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-1782445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-1782445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Aircraft fuel and related taxes increased $152 million, or 2.6%, in the first six months of 2024 from the first six months of 2023 primarily due to an 8.4% increase in gallons of fuel consumed due to increased capacity, offset in part by a 5.4% decrease in the average price per gallon of aircraft fuel including related taxes to $2.78 in the first six months of 2024 from $2.94 in the first six months of 2023.</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Salaries, wages and benefits increased $904 million, or 13.1%, in the first six months of 2024 from the first six months of 2023 primarily driven by higher wage rates and costs for benefit-related items associated with the ratification of a new collective bargaining agreement with American’s mainline pilots in August 2023.</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Regional expenses increased $164 million, or 7.2%, in the first six months of 2024 from the first six months of 2023 primarily due to an increase in regional flight operations at American’s regional carriers.</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Maintenance, materials and repairs increased $314 million, or 20.7%, in the first six months of 2024 from the first six months of 2023 primarily due to increased costs for engine overhauls, airframe heavy checks and component part repairs driven by higher volume and flight hours.</w:t>
      </w:r>
    </w:p>
    <w:p>
      <w:pPr>
        <w:spacing w:after="0" w:line="117"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Other rent and landing fees increased $183 million, or 12.5%, in the first six months of 2024 from the first six months of 2023 primarily driven by rate increases at certain airports and incremental engine leases.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Aircraft rent decreased $ 46 million, or 6.7%, in the first six months of 2024 from the first six months of 2023 primarily due to decreased rental payments associated with aircraft operating lease extensions.</w:t>
      </w:r>
    </w:p>
    <w:p>
      <w:pPr>
        <w:spacing w:after="0" w:line="99"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Selling expenses decreased $63 million, or 6.8%, in the first six months of 2024 from the first six months of 2023 primarily due to a decrease in commissions expense, offset in part by higher credit card fees driven by the overall increase in passenger revenues.</w:t>
      </w:r>
    </w:p>
    <w:p>
      <w:pPr>
        <w:spacing w:after="0" w:line="99" w:lineRule="exact"/>
        <w:rPr>
          <w:sz w:val="20"/>
          <w:szCs w:val="20"/>
          <w:color w:val="auto"/>
        </w:rPr>
      </w:pPr>
    </w:p>
    <w:p>
      <w:pPr>
        <w:jc w:val="both"/>
        <w:ind w:right="20" w:firstLine="202"/>
        <w:spacing w:after="0" w:line="268" w:lineRule="auto"/>
        <w:rPr>
          <w:sz w:val="20"/>
          <w:szCs w:val="20"/>
          <w:color w:val="auto"/>
        </w:rPr>
      </w:pPr>
      <w:r>
        <w:rPr>
          <w:rFonts w:ascii="Arial" w:cs="Arial" w:eastAsia="Arial" w:hAnsi="Arial"/>
          <w:sz w:val="18"/>
          <w:szCs w:val="18"/>
          <w:color w:val="auto"/>
        </w:rPr>
        <w:t>Other operating expenses increased $224 million, or 7.6%, in the first six months of 2024 from the first six months of 2023 primarily driven by the increase in flight operations, including increased costs for onboard food and catering, crew travel, ground handling and airport lounge operations, as well as certain general and administrative expenses.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7"/>
                <w:szCs w:val="17"/>
                <w:color w:val="auto"/>
              </w:rPr>
            </w:pPr>
          </w:p>
        </w:tc>
      </w:tr>
      <w:tr>
        <w:trPr>
          <w:trHeight w:val="196"/>
        </w:trPr>
        <w:tc>
          <w:tcPr>
            <w:tcW w:w="20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196"/>
        </w:trPr>
        <w:tc>
          <w:tcPr>
            <w:tcW w:w="20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jc w:val="right"/>
              <w:ind w:right="81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r>
      <w:tr>
        <w:trPr>
          <w:trHeight w:val="230"/>
        </w:trPr>
        <w:tc>
          <w:tcPr>
            <w:tcW w:w="764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Severance expenses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64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
        </w:trPr>
        <w:tc>
          <w:tcPr>
            <w:tcW w:w="2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42"/>
        </w:trPr>
        <w:tc>
          <w:tcPr>
            <w:tcW w:w="2020" w:type="dxa"/>
            <w:vAlign w:val="bottom"/>
            <w:tcBorders>
              <w:bottom w:val="single" w:sz="8" w:color="auto"/>
            </w:tcBorders>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-864870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jc w:val="both"/>
        <w:ind w:left="340" w:hanging="332"/>
        <w:spacing w:after="0" w:line="237"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American’s mainline passenger service team members, including a one-time signing bonus which was principally paid in the first quarter of 2024.</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vMerge w:val="restart"/>
          </w:tcPr>
          <w:p>
            <w:pPr>
              <w:jc w:val="center"/>
              <w:ind w:right="137"/>
              <w:spacing w:after="0" w:line="113" w:lineRule="exact"/>
              <w:rPr>
                <w:sz w:val="20"/>
                <w:szCs w:val="20"/>
                <w:color w:val="auto"/>
              </w:rPr>
            </w:pPr>
            <w:r>
              <w:rPr>
                <w:rFonts w:ascii="Arial" w:cs="Arial" w:eastAsia="Arial" w:hAnsi="Arial"/>
                <w:sz w:val="13"/>
                <w:szCs w:val="13"/>
                <w:b w:val="1"/>
                <w:bCs w:val="1"/>
                <w:color w:val="auto"/>
              </w:rPr>
              <w:t>Increase</w:t>
            </w:r>
          </w:p>
        </w:tc>
        <w:tc>
          <w:tcPr>
            <w:tcW w:w="1480" w:type="dxa"/>
            <w:vAlign w:val="bottom"/>
            <w:vMerge w:val="restart"/>
          </w:tcPr>
          <w:p>
            <w:pPr>
              <w:jc w:val="center"/>
              <w:ind w:left="18"/>
              <w:spacing w:after="0" w:line="113"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38"/>
        </w:trPr>
        <w:tc>
          <w:tcPr>
            <w:tcW w:w="5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717"/>
              <w:spacing w:after="0"/>
              <w:rPr>
                <w:sz w:val="20"/>
                <w:szCs w:val="20"/>
                <w:color w:val="auto"/>
              </w:rPr>
            </w:pPr>
            <w:r>
              <w:rPr>
                <w:rFonts w:ascii="Arial" w:cs="Arial" w:eastAsia="Arial" w:hAnsi="Arial"/>
                <w:sz w:val="18"/>
                <w:szCs w:val="18"/>
                <w:color w:val="auto"/>
                <w:w w:val="99"/>
              </w:rPr>
              <w:t>24</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left="717"/>
              <w:spacing w:after="0"/>
              <w:rPr>
                <w:sz w:val="20"/>
                <w:szCs w:val="20"/>
                <w:color w:val="auto"/>
              </w:rPr>
            </w:pPr>
            <w:r>
              <w:rPr>
                <w:rFonts w:ascii="Arial" w:cs="Arial" w:eastAsia="Arial" w:hAnsi="Arial"/>
                <w:sz w:val="18"/>
                <w:szCs w:val="18"/>
                <w:color w:val="auto"/>
                <w:w w:val="99"/>
              </w:rPr>
              <w:t>82</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77"/>
              <w:spacing w:after="0"/>
              <w:rPr>
                <w:sz w:val="20"/>
                <w:szCs w:val="20"/>
                <w:color w:val="auto"/>
              </w:rPr>
            </w:pPr>
            <w:r>
              <w:rPr>
                <w:rFonts w:ascii="Arial" w:cs="Arial" w:eastAsia="Arial" w:hAnsi="Arial"/>
                <w:sz w:val="18"/>
                <w:szCs w:val="18"/>
                <w:color w:val="auto"/>
                <w:w w:val="99"/>
              </w:rPr>
              <w:t>(19)</w:t>
            </w:r>
          </w:p>
        </w:tc>
        <w:tc>
          <w:tcPr>
            <w:tcW w:w="14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6"/>
              </w:rPr>
              <w:t>92.2</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717"/>
              <w:spacing w:after="0"/>
              <w:rPr>
                <w:sz w:val="20"/>
                <w:szCs w:val="20"/>
                <w:color w:val="auto"/>
              </w:rPr>
            </w:pPr>
            <w:r>
              <w:rPr>
                <w:rFonts w:ascii="Arial" w:cs="Arial" w:eastAsia="Arial" w:hAnsi="Arial"/>
                <w:sz w:val="18"/>
                <w:szCs w:val="18"/>
                <w:color w:val="auto"/>
                <w:w w:val="99"/>
              </w:rPr>
              <w:t>87</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w w:val="97"/>
              </w:rPr>
              <w:t>(14.0)</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-762000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Interest expense, net decreased $82 million, or 7.4%, in the first six months of 2024 from the first six months of 2023 primarily due to lower outstanding debt subsequent to the second quarter of 2023.</w:t>
      </w:r>
    </w:p>
    <w:p>
      <w:pPr>
        <w:spacing w:after="0" w:line="99"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six months of 2024, other nonoperating expense, net included $58 million of net special charges primarily for mark-to-market net unrealized losses associated with certain equity investments and $10 million of foreign currency losses, offset in part by $50 million of non-service related pension and other postretirement benefit plan income.</w:t>
      </w:r>
    </w:p>
    <w:p>
      <w:pPr>
        <w:spacing w:after="0" w:line="11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the first six months of 2023, other nonoperating expense, net primarily included $45 million of net special charges associated with debt refinancings and extinguishments and mark-to-market net unrealized losses associated with certain equity investments, offset in part by $16 million of non-service related pension and other postretirement benefit plan income.</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color w:val="auto"/>
        </w:rPr>
        <w:t>In the first six months of 2024, American recorded an income tax provision of $297 million. Substantially all of American’s income before income taxes is attributable to the United States.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June 30, 2024, AAG had $11.7 billion in total available liquidity and $875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6,998</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r>
      <w:tr>
        <w:trPr>
          <w:trHeight w:val="21"/>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enhanced equipment trust certificates (EETCs))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and our 5.50% senior secured notes due 2026, 5.75% senior secured notes due 2029 and AAdvantage Term Loan Facility (collectively, the AAdvantage Financing) contain a peak debt service coverage ratio, pursuant to which failure to comply with a certain threshold may result in early repayment, in whole or in part, of the AAdvantage Financing. As of the most recent applicable measurement dates, we were in compliance with each of the foregoing covenants.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net cash provided by operating activities was $3.3 billion and $5.1 billion for the first six months of 2024 and 2023, respectively, a period-over-period decrease of $1.8 billion. This decrease in operating cash flows from the 2023 period to the 2024 period was primarily due to lower profitability in the first six months of 2024 driven by higher salaries, wages and benefits and maintenance expenses, offset in part by higher revenues. In addition, we contributed $281 million to our defined benefit pension plans in the first six months of 2024 as compared to $68 million in the first six months of 2023.</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$1.9 billion and $3.7 billion for the first six months of 2024 and 2023,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investing activities in the first six months of 2024 included $1.5 billion of capital expenditures, which primarily related to the purchase of 12 Embraer 175 aircraft, three Boeing 737 MAX aircraft, two Airbus A321neo aircraft, 32 aircraft engines and aircraft purchase deposits. Additionally, we had $833 million in net purchases of short-term investments. These cash outflows were offset in part by $353 million of proceeds from sale-leaseback transactions and sale of property and equipment, which primarily related to the modernization of Terminals 4 and 5 at Los Angeles International Airport (LAX).</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principal investing activities in the first six months of 2023 included $2.9 billion in net purchases of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had $1.2 billion of capital expenditures, which primarily related to the purchase of seven Boeing 737 MAX aircraft,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Embraer 175 aircraft, two Airbus A321neo aircraft and 13 spare engines.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financing activities was $1.4 billion and $1.2 billion for the first six months of 2024 and 2023, respectively.</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Our principal financing activities in the first six months of 2024 included $1.8 billion in scheduled repayments of debt and finance lease obligations. These cash outflows were offset by $527 million borrowed in connection with the financing of certain aircraft.</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principal financing activities in the first six months of 2023 included $1.1 billion in net repayments of debt and finance lease obligations. We refinanced approximately $1.8 billion in aggregate principal amount of term loans outstanding under the 2013 Term Loan Facility by extending the maturity of $1.0 billion in term loans under the 2013 Term Loan Facility and issuing $750 million in aggregate principal amount of the 7.25% Senior Secured Notes.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net cash provided by operating activities was $3.3 billion and $5.0 billion for the first six months of 2024 and 2023, respectively, a period-over-period decrease of $1.8 billion. This decrease in operating cash flows from the 2023 period to the 2024 period was primarily due to lower profitability in the first six months of 2024 driven by higher salaries, wages and benefits and maintenance expenses, offset in part by higher revenues. In addition, American contributed $280 million to its defined benefit pension plans in the first six months of 2024 as compared to $67 million in the first six months of 2023.</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$1.9 billion and $3.7 billion for the first six months of 2024 and 2023, respectively.</w:t>
      </w:r>
    </w:p>
    <w:p>
      <w:pPr>
        <w:spacing w:after="0" w:line="17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principal investing activities in the first six months of 2024 included $1.4 billion of capital expenditures, which primarily related to the purchase of 12 Embraer 175 aircraft, three Boeing 737 MAX aircraft, two Airbus A321neo aircraft, 32 aircraft engines and aircraft purchase deposits. Additionally, American had $831 million in net purchases of short-term investments. These cash outflows were offset in part by $353 million of proceeds from sale-leaseback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transactions and sale of property and equipment, which primarily related to the modernization of Terminals 4 and 5 at LAX.</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principal investing activities in the first six months of 2023 included $2.9 billion in net purchases of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Additionally, American had $1.2 billion of capital expenditures, which primarily related to the purchase of seven Boeing 737 MAX aircraft,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Embraer 175 aircraft, two Airbus A321neo aircraft and 13 spare engines.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financing activities was $1.3 billion and $1.1 billion for the first six months of 2024 and 2023, respectively.</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American’s principal financing activities in the first six months of 2024 included $1.8 billion in scheduled repayments of debt and finance lease obligations. These cash outflows were offset by $527 million borrowed in connection with the financing of certain aircraft.</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principal financing activities in the first six months of 2023 included $1.1 billion in net repayments of debt and finance lease obligations. American refinanced approximately $1.8 billion in aggregate principal amount of term loans outstanding under the 2013 Term Loan Facility by extending the maturity of $1.0 billion in term loans under the 2013 Term Loan Facility and issuing $750 million in aggregate principal amount of the 7.25% Senior Secured Notes.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June 30, 2024, AAG had $31.5 billion in long-term debt, including current maturities of $4.0 billion. As of June 30, 2024, American had $26.3 billion in long-term debt, including current maturities of $ 3.5 billion. All material changes in our significant indebtedness since our 2023 Form 10-K are discussed in Note 5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June 30, 2024, we had definitive purchase agreements for the acquisition of the following new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2029 and</w:t>
            </w: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2024</w:t>
            </w: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Thereafter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27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4"/>
          </w:tcPr>
          <w:p>
            <w:pPr>
              <w:spacing w:after="0"/>
              <w:rPr>
                <w:sz w:val="20"/>
                <w:szCs w:val="20"/>
                <w:color w:val="auto"/>
              </w:rPr>
            </w:pPr>
            <w:r>
              <w:rPr>
                <w:rFonts w:ascii="Arial" w:cs="Arial" w:eastAsia="Arial" w:hAnsi="Arial"/>
                <w:sz w:val="18"/>
                <w:szCs w:val="18"/>
                <w:color w:val="auto"/>
              </w:rPr>
              <w:t>A320neo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2720" w:type="dxa"/>
            <w:vAlign w:val="bottom"/>
            <w:tcBorders>
              <w:bottom w:val="single" w:sz="8" w:color="CCEEFF"/>
            </w:tcBorders>
            <w:gridSpan w:val="2"/>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4"/>
          </w:tcPr>
          <w:p>
            <w:pPr>
              <w:spacing w:after="0"/>
              <w:rPr>
                <w:sz w:val="20"/>
                <w:szCs w:val="20"/>
                <w:color w:val="auto"/>
              </w:rPr>
            </w:pPr>
            <w:r>
              <w:rPr>
                <w:rFonts w:ascii="Arial" w:cs="Arial" w:eastAsia="Arial" w:hAnsi="Arial"/>
                <w:sz w:val="18"/>
                <w:szCs w:val="18"/>
                <w:color w:val="auto"/>
              </w:rPr>
              <w:t>737 MAX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37"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 xml:space="preserve">Delivery schedule represents our best estimate as of the date of this report as described in footnote (d)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Actual delivery dates are subject to change, which could be material, based on various potential factors including production delays by the manufacturer and regulatory concerns.</w:t>
      </w:r>
    </w:p>
    <w:p>
      <w:pPr>
        <w:spacing w:after="0" w:line="14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We also have agreements for 51 spare engines to be delivered in the third quarter of 2024 and beyond.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reflects these commitments.</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currently have financing commitments in place for all aircraft scheduled to be delivered in 2024, except for three Airbus A320neo Family aircraft. Our ability to draw on the financing commitments we have in place is subject to (1) the satisfaction of various terms and conditions including, in some cases, on our acquisition of the aircraft by a certain date and (2) the performance by the relevant financing counterparty of its obligations thereunder.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2023 Form 10-K.</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Labor Contracts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January 2024, a new five-year collective bargaining agreement was ratified by the Communications Workers of America and International Brotherhood of Teamsters for our mainline passenger service team members, which is amendable in 2029.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June 30, 2024 (in millions). The table does not include commitments that are contingent on events or other factors that are uncertain or unknown at this time and is subject to other conventions as set forth in the applicable accompanying footnotes.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2029 and</w:t>
            </w:r>
          </w:p>
        </w:tc>
        <w:tc>
          <w:tcPr>
            <w:tcW w:w="22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 2024</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26,295</w:t>
            </w: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27,653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93,201</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$327 million and $10 million of unamortized debt discount, premium and issuance costs as of June 30, 2024 for American and AAG Parent, respectively. For additional information, see Note 5 and Note 4 to AAG’s and American’s Condensed Consolidated Financial Statements in Part I, Items 1A and 1B, respectively.</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June 30, 2024.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hanging="332"/>
        <w:spacing w:after="0" w:line="231" w:lineRule="auto"/>
        <w:tabs>
          <w:tab w:leader="none" w:pos="32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$7.1 billion of future principal payments and $895 million of future interest payments as of June 30, 2024, related to EETCs associated with mortgage financings of certain aircraft and spare engines.</w:t>
      </w:r>
    </w:p>
    <w:p>
      <w:pPr>
        <w:spacing w:after="0" w:line="140"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above for additional information about the firm commitment aircraft delivery schedule, in particular the footnote to the table thereunder as to potential changes to such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 Additionally, the amounts in the table exclude three and two Boeing 787 Family aircraft scheduled to be delivered in 2024 and 2025, respectively, in each case for which we have obtained committed lease financing. This financing is reflected in the operating lease commitments line above.</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29"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based on actuarially determined estimates as of December 31, 2023 and is based on estimated payments through 2033. During the first six months of 2024, we made required contributions of $281 million to our defined benefit pension plans.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(such as the COVID-19 pandemic), natural disasters or other causes could reduce the demand for air travel, which would reduce the amount of cash generated by operations. See Part II,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for additional discussion.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2023 Form 10-K.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240"/>
        <w:spacing w:after="0" w:line="344"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spacing w:after="0" w:line="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2023 Form 10-K except as updated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June 30, 2024,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2024 forecasted fuel consumption, we estimate that a one cent per gallon increase in the price of aircraft fuel would increase our 2024 annual fuel expense by approximately $45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June 30, 2024 variable-rate debt and short-term investments balances, annual interest expense on variable rate debt would increase by approximately $100 million and annual interest income on short-term investments would increase by approximately $80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June 30, 2024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June 30, 2024 at the reasonable assurance level.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quarter ended June 30, 2024, there have been no changes in AAG’s or American’s internal control over financial reporting that have materially affected, or are reasonably likely to materially affect, AAG’s and American’s internal control over financial reporting.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June 30, 2024.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12 to each of AAG and American’s Condensed Consolidated Financial Statements in Part I, Item 1A and Part I, Item 1B, respectively, for information on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For example,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COVID-19 pandemic resulted in significant inflationary pressures and volatility in certain currencies, which have increased our costs for aircraft fuel, wages and benefits and other goods and services we require to operate our business, as well as increasing the interest expense on our variable-rate indebtedness.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June 30, 2024, our planned aggregate expenditures for aircraft purchase commitments and certain engines on a consolidated basis for the remainder of 2024 through 2028 would be approximately $14.0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transactions we completed in response to the impact of the COVID-19 pandemic; our non-investment grade credit rating; volatile or otherwise unfavorable market conditions; and the availability of assets to use as collateral for loans or other indebtedness, which has been reduced significantly as a result of certain financing transactions we have undertaken since the beginning of 2020 and may be further reduced.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Furthermore, we hold significant balances of cash and short-term investments, including as necessary to conduct our day-to-day operations, some of which are held in deposit accounts at commercial banks in excess of the government-provided deposit insurance.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significant amounts of indebtedness and other financial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bear interest at floating rates, subjecting us to volatility in interest expenses as interest rates fluctuate;</w:t>
      </w:r>
    </w:p>
    <w:p>
      <w:pPr>
        <w:spacing w:after="0" w:line="171"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contain financial covenants, including the requirement to maintain an aggregate of at least $2.0 billion of unrestricted cash and cash equivalents and amounts available to be drawn under revolving credit facilities, as well as collateral coverage ratios and peak debt service coverage ratios;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availability of borrowings under revolving lines of credit;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right="20" w:hanging="656"/>
        <w:spacing w:after="0" w:line="287" w:lineRule="auto"/>
        <w:tabs>
          <w:tab w:leader="none" w:pos="19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98" w:lineRule="exact"/>
        <w:rPr>
          <w:rFonts w:ascii="Arial" w:cs="Arial" w:eastAsia="Arial" w:hAnsi="Arial"/>
          <w:sz w:val="18"/>
          <w:szCs w:val="18"/>
          <w:color w:val="auto"/>
        </w:rPr>
      </w:pPr>
    </w:p>
    <w:p>
      <w:pPr>
        <w:ind w:left="1940" w:hanging="636"/>
        <w:spacing w:after="0"/>
        <w:tabs>
          <w:tab w:leader="none" w:pos="19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other indebtedness.</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during the COVID-19 pandemic we were required to obtain a significant amount of additional financing from a variety of sources and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Moreover, as a result of the financing activities we undertook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should we seek additional liquidity in the future.</w:t>
      </w:r>
    </w:p>
    <w:p>
      <w:pPr>
        <w:spacing w:after="0" w:line="1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obligations discussed above, including those imposed as a result of any additional financings we may undertake, could also impact our ability to obtain additional financing, if needed, and our flexibility in the conduct of our business, and could materially adversely affect our liquidity, results of operations and financial condition.</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Further, a substantial amount of our long-term indebtedness bears interest at floating interest rates, which tend to fluctuate based on general short-term interest rates, rates set by the U.S. Federal Reserve and other central banks, the supply of and demand for credit in treasury repurchase or other markets and general economic conditions. We have not hedged our interest rate exposure with respect to our floating rate debt. Accordingly, our interest expense for any particular period will fluctuate based on the relevant benchmark rate and other variable interest rates. In 2022 and 2023, in response to rising inflation which coincided with a rapid rebound of economic activity as governments lifted restrictions and economies reopened following the COVID-19 pandemic, central banks around the world—including the U.S. Federal Reserve, the European Central Bank and the Bank of England—undertook a cycle of raising interest rates, which has consequently increased the interest we pay on our floating-rate indebtedness. To the extent the interest rates applicable to our floating rate debt remain elevated or continue to increase, our interest expense will increase, in which event we may have difficulties making interest payments and funding our other fixed costs, and our available cash flow for general corporate requirements may be adversely affected.</w:t>
      </w:r>
    </w:p>
    <w:p>
      <w:pPr>
        <w:spacing w:after="0" w:line="214"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We also have significant obligations for retiree medical and other postretirement benefits.</w:t>
      </w:r>
    </w:p>
    <w:p>
      <w:pPr>
        <w:spacing w:after="0" w:line="1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on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spacing w:after="0" w:line="211"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up to and including 100% of relevant advanced ticket sales, would materially reduce our liquidity. Likewise, other of our commercial agreements contain provisions that allow counterparties to impose less-favorable terms, including the acceleration of amounts due, in the event of material adverse changes in our financial condition. For example, we maintain certain letters of credit as well as insurance- and surety-related agreements under which counterparties may require collateral, including cash collateral.</w:t>
      </w:r>
    </w:p>
    <w:p>
      <w:pPr>
        <w:spacing w:after="0" w:line="219"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develop and retain additional qualified personnel could adversely affect our business.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historically. Any inability to attract, develop and retain significant numbers of qualified management and other personnel would have a material adverse effect on our business, results of operations and financial condition.</w:t>
      </w:r>
    </w:p>
    <w:p>
      <w:pPr>
        <w:spacing w:after="0" w:line="18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has been and will continue to be materially affected by many changing economic, geopolitical, commercial, regulatory and other conditions beyond our control, including global events that affect travel behavior, and our results of operations could be volatile and fluctuate materially due to changes in such conditions.</w:t>
      </w:r>
    </w:p>
    <w:p>
      <w:pPr>
        <w:spacing w:after="0" w:line="23"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geopolitical, commercial, regulatory and other conditions beyond our control, including, among others:</w:t>
      </w:r>
    </w:p>
    <w:p>
      <w:pPr>
        <w:spacing w:after="0" w:line="99" w:lineRule="exact"/>
        <w:rPr>
          <w:sz w:val="20"/>
          <w:szCs w:val="20"/>
          <w:color w:val="auto"/>
        </w:rPr>
      </w:pPr>
    </w:p>
    <w:p>
      <w:pPr>
        <w:ind w:left="1300" w:right="20" w:hanging="644"/>
        <w:spacing w:after="0" w:line="28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higher interest rates;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occurrence of wars, conflicts, terrorist attacks and geopolitical instability;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costs related to meeting our climate goals or obligations, including in respect of the costs to be incurred to migrate to increased use of sustainable aviation fuel (SAF) in lieu of conventional aviation fuel;</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outbreaks of diseases or other public health or safety concerns that affect travel behavior, such as occurred during the COVID-19 pandemic; and</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9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particular, the COVID-19 pandemic, along with the measures governments and private organizations worldwide implemented in an attempt to contain its spread, resulted in significant volatility in demand for air travel, which adversely affected our business, operations and financial condition to an unprecedented extent and for a prolonged period. Measures implemented during the COVID-19 pandemic—such as travel restrictions, including testing regimes, “stay at home” and quarantine orders, limitations on public gatherings, cancellation of public events and many others—initially resulted in a precipitous decline in demand for both domestic and international business and leisure travel. In response to this material deterioration in demand, we took a number of aggressive actions to ameliorate the impacts to our business, operations and financial condition.</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 potential resurgence of COVID-19, or an outbreak of another contagious disease, such as has occurred in the past with the Ebola virus, Middle East Respiratory Syndrome, Severe Acute Respiratory Syndrome, H1N1 influenza virus, avian flu, Zika virus or any other similar illness, if it were to become associated with air travel or persist for an extended period, could materially affect the airline industry and us by reducing revenues and adversely impacting our operations and passengers’ travel behavior. There can be no assurance that any mitigating actions we take in response will be sufficient to avert a deterioration in our business, financial condition and results of operations.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Additionally, the COVID-19 pandemic necessitated changes in business practices which may persist. For example, businesses and other travelers may continue to forego air travel in favor of remote or flexible working policies and communication alternatives such as videoconferencing. In addition, businesses may seek to reduce travel costs by requiring the purchase of less expensive tickets, thereby potentially impacting our average revenue per available seat mile.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greater financial or other resources and/or lower cost structures than ours, as well as other forms of transportation, such as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during the COVID-19 pandemic), as airlines under financial stress, or in bankruptcy, may institute pricing or fee structures intended to attract more customers to achieve near-term survival at the expense of long-term viability.</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or are price sensitive and therefore tend not to be loyal to any one particular carrier. Many of these carriers, including several that have recently commenced operations,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in particular with the planned introduction of long-range narrowbody aircraft in coming years. Additionally, other carriers focused on premium passenger travel are attempting to implement growth strategies. The actions of existing or future carriers, including those described above, could have a material adverse effect on our operations and financial performance.</w:t>
      </w:r>
    </w:p>
    <w:p>
      <w:pPr>
        <w:spacing w:after="0" w:line="1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certain instances, other air carriers are attempting to operate scheduled service with a business model that relies on the Federal Aviation Administration (FAA) Part 135, a regulatory environment that is generally less stringent than the rules applicable to our airline and similar airlines that operate under FAA Part 121 and which provides those airlines certain competitive advantages that Part 121 airlines cannot replicate. We have objected to the United States Department of Transportation (DOT) and the Transportation Security Administration (TSA) that the less stringent Part 135 rules were never intended as a basis for scheduled passenger service and that business model should not be permissible, and the agencies’ review is ongoing. A DOT or TSA decision to allow scheduled passenger service in any form under Part 135 and the actions of existing or future carriers using that business model, including those described above, could adversely impact our business, financial condition and results of operations.</w:t>
      </w:r>
    </w:p>
    <w:p>
      <w:pPr>
        <w:spacing w:after="0" w:line="13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air travel internationally, directly as well as through joint businesses, strategic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Asia). Our financial performance relative to our key competitors will therefore be influenced significantly by macro-economic conditions in particular regions around the world and the relative exposure of our network to the markets in those regions, including the duration of any declines in demand for travel to specific regions as a result of health emergencies (such as during the COVID-19 pandemic), geopolitical instability or other factors, and the speed with which demand for travel to these regions returns.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and prolonged decline in demand for air travel, in particular international travel, in part as a result of the imposition by the U.S. and foreign governments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 regulation, which may result in increases in our costs,</w:t>
      </w:r>
      <w:r>
        <w:rPr>
          <w:rFonts w:ascii="Arial" w:cs="Arial" w:eastAsia="Arial" w:hAnsi="Arial"/>
          <w:sz w:val="18"/>
          <w:szCs w:val="18"/>
          <w:color w:val="auto"/>
        </w:rPr>
        <w:t xml:space="preserve"> </w:t>
      </w:r>
      <w:r>
        <w:rPr>
          <w:rFonts w:ascii="Arial" w:cs="Arial" w:eastAsia="Arial" w:hAnsi="Arial"/>
          <w:sz w:val="18"/>
          <w:szCs w:val="18"/>
          <w:i w:val="1"/>
          <w:iCs w:val="1"/>
          <w:color w:val="auto"/>
        </w:rPr>
        <w:t>disruptions to our operations, limits on our operating flexibility, reductions in the demand for air travel, and competitive disadvantages.”</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the extent alliances formed by our competitors can undertake activities that are not available to us, including as to regulatory approvals, access slots, gates and routes and other matters,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2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We have also established a strategic alliance with Alaska Airlines relating to certain routes on the West Coast of the United States and a strategic alliance relating to the Middle East with Qatar Airways. In July 2010, in connection with a regulatory review related to our transatlantic joint business, we provided certain commitments to the European Commission (EC) regarding, among other things, the availability of take-off and landing slots at London Heathrow (LHR) or London Gatwick airports. The commitments accepted by the EC were binding for 10 years. In anticipation of both the exit of the United Kingdom (UK) from the European Union (EU), commonly referred to as Brexit, and the expiry of the EC commitments in July 2020, the United Kingdom Competition and Markets Authority (CMA), in October 2018, opened an investigation into the transatlantic joint business. In September 2020 and April 2022, the CMA adopted interim measures that effectively extend the EC commitments until March 2026 in light of the uncertainty and other impacts resulting from the COVID-19 pandemic. The CMA restarted its investigation in September 2023 after a pause related to the COVID-19 pandemic and plans to complete the investigation before the scheduled expiration of the interim measures in March 2026. We continue to cooperate fully with the CMA. The foregoing arrangements are important aspects of our international network and we are dependent on the performance and continued cooperation of the other airlines party to those arrangements.</w:t>
      </w:r>
    </w:p>
    <w:p>
      <w:pPr>
        <w:spacing w:after="0" w:line="133"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Northeast Alliance arrangement (NEA). In June 2023, JetBlue delivered a notice of termination of the NEA, effective July 29, 2023, and the carriers have commenced wind-down activities to accommodate mutual customers. American has appealed the District Court’s decision to the Court of Appeals for the First Circuit; such appeal remains pending. Separately, in December 2022, two putative class action lawsuits were filed in the U.S. District Court for the Eastern District of New York alleging that American and JetBlue violated U.S. antitrust law in connection with the previously disclosed NEA. In February 2023, private party plaintiffs filed two additional putative class action antitrust complaints against American and JetBlue in the U.S. District Court for the District of Massachusetts and the U.S. District Court for the Eastern District of New York, respectively. All cases have since been consolidated in the U.S. District Court for the Eastern District of New York. American, together with JetBlue, filed a motion to dismiss on September 21, 2023, which remains pending. We believe these complaints are without merit and are defending against them vigorously.</w:t>
      </w:r>
    </w:p>
    <w:p>
      <w:pPr>
        <w:spacing w:after="0" w:line="1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Other mergers and other forms of airline partnerships, including regulatory approvals such as antitrust immunity grants, may take place and may not involve us as a participant, or could result in unforeseen impacts on the industry generally and our company in particular.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other arrangements,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Additionally, our AAdvantage program, which is an important element of our business,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AAdvantage program as collateral for the AAdvantage Financing, which contains covenants that impose restrictions on certain amendments or changes to certain of our AAdvantage program agreements provided as collateral under the AAdvantage Financing and other aspects of the AAdvantage program. These competitive factors and covenants (to the extent applicable) may affect our ability to attract and retain customers, increase usage of our loyalty program and maximize the revenue generated by our loyalty program.</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may also be impacted by competition regulations affecting certain of our major commercial partners, including our co-branded credit card partners. For example, there has been bipartisan legislation proposed in Congress called the Credit Card Competition Act designed to increase credit card transaction routing options for merchants which, if enacted, could result in a reduction of the fees levied on credit card transactions. If this legislation or any similar legislation or regulation were enacted, it could fundamentally alter the profitability of our agreements with co-branded credit card partners and the benefits we provide to our consumers through the co-branded credit cards issued by these partners.</w:t>
      </w:r>
    </w:p>
    <w:p>
      <w:pPr>
        <w:spacing w:after="0" w:line="21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 and financial performance.</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As of December 31, 2023, approximately 87% of our employees were represented for collective bargaining purposes by labor unions, and 34% were covered by CBAs that are currently amendable or that will become amendable within one year. For the dates that the CBAs with our major work groups become amendable under the RLA, see </w:t>
      </w:r>
      <w:r>
        <w:rPr>
          <w:rFonts w:ascii="Arial" w:cs="Arial" w:eastAsia="Arial" w:hAnsi="Arial"/>
          <w:sz w:val="18"/>
          <w:szCs w:val="18"/>
          <w:i w:val="1"/>
          <w:iCs w:val="1"/>
          <w:color w:val="auto"/>
        </w:rPr>
        <w:t xml:space="preserve">“Labor Relations” </w:t>
      </w:r>
      <w:r>
        <w:rPr>
          <w:rFonts w:ascii="Arial" w:cs="Arial" w:eastAsia="Arial" w:hAnsi="Arial"/>
          <w:sz w:val="18"/>
          <w:szCs w:val="18"/>
          <w:color w:val="auto"/>
        </w:rPr>
        <w:t>under Part I, Item 1. Business – “</w:t>
      </w:r>
      <w:r>
        <w:rPr>
          <w:rFonts w:ascii="Arial" w:cs="Arial" w:eastAsia="Arial" w:hAnsi="Arial"/>
          <w:sz w:val="18"/>
          <w:szCs w:val="18"/>
          <w:i w:val="1"/>
          <w:iCs w:val="1"/>
          <w:color w:val="auto"/>
        </w:rPr>
        <w:t xml:space="preserve">Sustainability – Our People” </w:t>
      </w:r>
      <w:r>
        <w:rPr>
          <w:rFonts w:ascii="Arial" w:cs="Arial" w:eastAsia="Arial" w:hAnsi="Arial"/>
          <w:sz w:val="18"/>
          <w:szCs w:val="18"/>
          <w:color w:val="auto"/>
        </w:rPr>
        <w:t>in our 2023 Form 10-K.</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Personnel shortages, in particular for pilots, and general wage inflation have impacted and are expected to continue to impact our labor costs. In July 2023, we reached a tentative agreement with the union representing our mainline pilots, which was subsequently ratified by the pilots in August 2023. The new agreement, which became effective in the third quarter of 2023, includes significant increases in pilot pay and benefits, in line with agreements recently concluded by our large network competitors with their pilots’ unions. We remain in negotiations for other new labor agreements, including our mainline flight attendants, and anticipate that any new contracts we agree to with our labor groups will include material increases in salaries and other benefits, which will significantly increase our labor expense.</w:t>
      </w:r>
    </w:p>
    <w:p>
      <w:pPr>
        <w:spacing w:after="0" w:line="21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and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restored capacity in line with increased demand for air travel following the height of the COVID-19 pandemic, these third-party operators experienced difficulties in recruiting and retaining sufficient personnel to operate significantly increased schedules, and have in some instances been required to offer significant increases in pay and other benefits to recruit and retain pilots and other personnel. Periods of volatility in travel demand have the potential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2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our reliance upon others to provide essential services on our behalf in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fueling, catering,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have faced challenges retaining and recruiting people with the appropriate skills to meet our requirements. We rely on the operation of complex supply chains and a large number of third parties for the procurement and fulfillment of parts, components, consumable or disposable goods and other products and services essential to our business. The COVID-19 pandemic also caused significant disruption in global supply chains and staffing shortages, which affected and, if there is a resurgence, or similar event in the future, may affect the availability and timely delivery and fulfillment of many goods, including certain of those that we purchase directly or which are required by third parties to perform contracted services for us. Following a faster than expected return of demand for air travel as COVID-19 cases declined worldwide and governments lifted travel restrictions, suppliers and many of the airports we serve experienced acute shortages of personnel, resulting in increased delays, cancellations and, in certain cases, restrictions on passenger numbers or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customer concerns in the nature of “greenwashing” allegations that may surround any of our advertising campaigns, marketing programs or commercial offerings related to our sustainability initiatives,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an outbreak and spread of an infectious disease could adversely impact consumer perceptions of the health and safety of travel, and in particular airline travel, such as occurred during the COVID-19 pandemic. Actual or perceived risk of infection on our flights could have a material adverse effect on the public’s perception of us and may harm our reputation and business. We have in the past, and may in the future be required to take extensive measures to reassure our team members and the traveling public of the safety of air travel, and we could incur significant costs implementing safety, hygiene-related or other actions to limit the actual or perceived threat of infection among our employees and passengers. However, we cannot assure that any actions we might take in response to an infectious disease outbreak will be sufficient to restore the confidence of consumers in the safety of air travel. In addition, as a result of mask mandates and other mitigating measures that airports and carriers were required by law to implement to limit the spread of COVID-19, we experienced an increase in the incidence of aggressive customer behavior and physical confrontation on our flights, certain of which resulted in injuries to our personnel. While the rate of these incidents has declined following the lifting of mask mandates and other COVID-19 measures, if our employees feel unsafe or believe that we are not doing enough to prevent and prosecute such incidents, we could experience higher rates of employee absence or attrition and we may suffer reputational harm which could make it more difficult to attract and retain employees, and which could in turn negatively affect our business, financial condition and results of operations.</w:t>
      </w:r>
    </w:p>
    <w:p>
      <w:pPr>
        <w:spacing w:after="0" w:line="216"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information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9"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and reduce costs may not be successful and may cause operational difficulties or decreased demand.</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program, charging separately for services that had previously been included within the price of a ticket, changes to our practices and contracts with providers of distribution systems to provide additional content flexibility, commercial practices related to ticket distribution channels, including efforts by us to migrate an increasing portion of our customers to our modern, direct distribution channels in lieu of third party channels,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assuming this policy remains in place. In addition, as previously reported, during the second quarter of 2024 we concluded that certain changes to our distribution strategy contributed to softness in customer bookings relative to our expectations and we reversed many of these measures late in the quarter.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might result in adverse brand perceptions, reputational harm or regulatory scrutiny,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we have used certain of our branding and AAdvantage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program. These covenants may have an adverse effect on our ability to use such intellectual property.</w:t>
      </w:r>
    </w:p>
    <w:p>
      <w:pPr>
        <w:spacing w:after="0" w:line="205"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12 to each of AAG’s and American’s Condensed Consolidated Financial Statements in Part I, Item 1A and Part I, Item 1B, respectively.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At December 31, 2023, we had approximately $13.7 billion of gross federal NOLs and $4.7 billion of other carryforwards available to reduce future federal taxable income, of which $3.4 billion will expire beginning in 2029 if unused and $15.0 billion can be carried forward indefinitely. We also had approximately $5.5 billion of NOL carryforwards to reduce future state taxable income at December 31, 2023, which will expire in taxable years 2023 through 2043 if unused. Our NOL carryforwards are subject to adjustment on audit by the Internal Revenue Service and the respective state taxing authorities. Additionally, due to the impact of the COVID-19 pandemic and other economic factors, certain of the NOL carryforwards may expire before we can generate sufficient taxable income to use them.</w:t>
      </w:r>
    </w:p>
    <w:p>
      <w:pPr>
        <w:spacing w:after="0" w:line="131"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There can be no assurance that an additional valuation allowance on our net deferred tax assets will not be required should our financial performance be negatively impacted in the future. Such valuation allowance could be material.</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Inc. (US Airways Group) experienced an ownership change</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$3.0 billion of unlimited NOLs still remaining at December 31, 2023) of our federal NOL carryforwards to be utilized without regard to the annual limitation generally imposed by Section 382. If the special rules are determined not to apply, our ability to utilize such federal NOL carryforwards may be subject to limitation. Potential future transactions involving warrants, stock options, common or preferred stock or other equity, may increase the possibility that the Company will experience a future “ownership change” under Section 382.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3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Notwithstanding the foregoing, an ownership change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 Preservation Plan) in order to preserve our ability to use our NOLs and certain other tax attributes to reduce potential future income tax obligations. The Tax Benefit Preservation Plan was subsequently ratified by our stockholders at the 2022 Annual Meeting of Stockholders of AAG. The Tax Benefit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subject to taxation at the federal, state and local levels in the United States. The U.S. government may enact significant changes to the taxation of business entities. For example, on August 16, 2022, the Inflation Reduction Act was signed into law, introducing, among other changes, a corporate minimum tax on certain corporations and an excise tax on certain stock repurchases by certain corporations. With numerous provisions of the Tax Cuts and Jobs Act set to expire in 2025, we expect that consideration of legislation related to tax laws is likely in coming quarters, but the likelihood of any proposed changes to the tax law being enacted or implemented is unclear, and we are currently unable to predict whether such changes will occur. If changes to tax laws are implemented, we are currently unable to predict the ultimate impact on our business and therefore there can be no assurance our business will not be adversely affected.</w:t>
      </w:r>
    </w:p>
    <w:p>
      <w:pPr>
        <w:spacing w:after="0" w:line="21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Future impairment of goodwill, intangible assets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Company Limited, GOL Linhas Aéreas Inteligentes S.A. (GOL) and JetSMART Holdings Limited, by making an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if any,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volatility in demand for air travel, such as occurred during the COVID-19 pandemic,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which is a risk that we are subject to with respect to our investment in and commercial arrangements with GOL in light of its commencement in January 2024 of bankruptcy proceedings in the U.S. Federal Bankruptcy Court for the Southern District of New York. These events could have a material adverse effect on our business, results of operations and financial condition.</w:t>
      </w:r>
    </w:p>
    <w:p>
      <w:pPr>
        <w:spacing w:after="0" w:line="13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200"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$1.32 per gallon to a high of approximately $4.40 per gallon during the period from January 1, 2021 to June 30, 2024. Aircraft fuel prices reflect not only the price of underlying crude oil, but also the price charged to refine crude oil into aircraft fuel (often referred to as the “crack spread”), transportation costs, handling costs and taxes, and increases in any of these underlying components would increase the price we ultimately pay for aircraft fuel.</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armed conflicts involving oil-producing countries or impacting global trade routes, changes in production levels of individual nations or associations of oil-producing states,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events, may result in fuel supply shortages, variations in the applicable crack spread,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June 30, 2024,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become operational in the coming years, we anticipate that competition for SAF among industry participants will remain intense. As a result, SAF may be significantly more costly than conventional jet fuel. To secure future SAF supply, we have entered into multiple agreements for the purchase of future SAF production, and we continue to engage with producers regarding potential future SAF purchases, which may include investments and other commitments to support these producers. Certain existing or potential future agreements pertain to SAF production from facilities that are planned but not yet financed,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214"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FAA, the TSA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or engine types altogether including, for example, the March 2019 grounding of all Boeing 737 MAX Family aircraft, which was not lifted in the United States until November 2020, the January 2024 grounding of 737-9 MAX aircraft (a model that we do not operate), and the significant limitations imposed on the use of Pratt &amp; Whitney GTF aircraft engines on certain Airbus aircraft (an engine that we do not use in our fleet),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though the issue has since been resolved. See “</w:t>
      </w:r>
      <w:r>
        <w:rPr>
          <w:rFonts w:ascii="Arial" w:cs="Arial" w:eastAsia="Arial" w:hAnsi="Arial"/>
          <w:sz w:val="18"/>
          <w:szCs w:val="18"/>
          <w:i w:val="1"/>
          <w:iCs w:val="1"/>
          <w:color w:val="auto"/>
        </w:rPr>
        <w:t>We rely heavily on technology and automated systems to operate our business, and any failure of these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technologies or systems could harm our business, results of operations and financial condition.” </w:t>
      </w:r>
      <w:r>
        <w:rPr>
          <w:rFonts w:ascii="Arial" w:cs="Arial" w:eastAsia="Arial" w:hAnsi="Arial"/>
          <w:sz w:val="18"/>
          <w:szCs w:val="18"/>
          <w:color w:val="auto"/>
        </w:rPr>
        <w:t>The FAA also exercises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May 2024, Congress passed a five-year funding authorization for the FAA (FAA Authorization Renewal). Among other things, the FAA Authorization Renewal increased the authorized funding level for the FAA and required the hiring of additional air traffic controllers, an effort to address staffing and resource shortages and improve the operation of the ATC system in the U.S. The FAA Authorization Renewal also codified several consumer protection rulemakings related to refunds, vouchers and family seating that could be challenging to implement and have negative financial impacts. Any new or enhanced requirements resulting from the FAA Authorization Renewal, including any new fees, costs we may be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required to incur to comply with new rules and compensation or other penalties we may be required to pay for violations of such rules, have the potential to increase our costs or adversely impact our operation.</w:t>
      </w:r>
    </w:p>
    <w:p>
      <w:pPr>
        <w:spacing w:after="0" w:line="9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many aspects of our customer’s journey, including at the time of ticket purchase, at the airport and onboard the aircraft. DOT recently issued a final rule mandating refunds in certain circumstances, and a final rule requiring disclosure of certain ancillary fees by air carriers and travel agents. Airline associations and individual airlines, including American, are challenging the ancillary fee rules in a proceeding currently pending before the Fifth Circuit Court of Appeals, but we cannot predict whether this challenge will be successful. Compliance with these rules will require significant changes to our IT systems, which will be challenging to complete by the respective compliance deadlines. Finally, the DOT finalized rules in 2023 for accessible lavatories on single-aisle aircraft and has continued to work through proposals for a number of disability regulations that will impact us, including penalties for wheelchair loss or damage and prompt wheelchair assistance.</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in the U.S. These initiatives include increasingly stringent laws to protect the environment, wage/hour requirements, mandatory paid sick or family leave and healthcare mandates. These laws could affect our relationship with our workforce and the vendors that serve our airline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 We recently settled a class litigation brought by flight attendants in California, which covered all wage and hour claims brought by the class through January 1, 2024. In addition, legislation passed by the California legislature in March 2023 should effectively foreclose future meal and rest break claims from flight attendants in California. However, there is still risk of future litigation from flight attendants and other work groups involving other types of wage and hour laws in California and other jurisdictions which have or could seek to implement similar laws.</w:t>
      </w:r>
    </w:p>
    <w:p>
      <w:pPr>
        <w:spacing w:after="0" w:line="13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99" w:lineRule="exact"/>
        <w:rPr>
          <w:sz w:val="20"/>
          <w:szCs w:val="20"/>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8" w:lineRule="exact"/>
        <w:rPr>
          <w:rFonts w:ascii="Arial" w:cs="Arial" w:eastAsia="Arial" w:hAnsi="Arial"/>
          <w:sz w:val="18"/>
          <w:szCs w:val="18"/>
          <w:color w:val="auto"/>
        </w:rPr>
      </w:pPr>
    </w:p>
    <w:p>
      <w:pPr>
        <w:jc w:val="both"/>
        <w:ind w:left="1300" w:right="20" w:hanging="644"/>
        <w:spacing w:after="0" w:line="268"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hanging="644"/>
        <w:spacing w:after="0" w:line="262"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in response to outbreaks of illness, such as occurred during the COVID-19 pandemic, including the imposition of preflight testing regimes or vaccination confirmation requirements which have in the past and may in the future have the effect of reducing demand for air travel in the markets where such requirements are imposed.</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including due to significant staffing shortages,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 We experienced this challenge in January 2023 when an outage in the ATC Notice to Air Missions system led to a nationwide ground-stop for nearly two hours, resulting in significant operational disruption throughout the day.</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more than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adversely impact us and could result in impairments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3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For example, on December 4, 2023, the United Kingdom government launched a consultation on the reform of the rules applicable to airport slots in the United Kingdom. At this stage, the impact of this consultation and any consequent changes to the United Kingdom slot rules on our operations or those of our joint business partners at LHR is uncertain, but could be material.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4"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governmental regulation of our operations, including the inability to obtain or retain needed route authorities and/or slots, and new or evolved policies related to consumer protections. In particular, the COVID-19 pandemic severely impacted the demand for international travel for a prolonged period, and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In spite of the elimination of COVID-19 related travel restrictions, we can provide no assurance as to when demand for international travel will return to pre-COVID-19 pandemic levels in certain markets, if at all, or whether certain international destinations we previously served will be economical in the future.</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subject to varying registration requirements and ongoing reporting obligations in the countries where we operate. Our permission to continue doing business in these countries may depend on our ability to timely fulfil or remedy any noncompliance with these and other governmental requirements. We may also be subject to the risk that relevant government agencies will be delayed in granting or renewing required approvals, including as a result of shutdowns (such as occurred in certain jurisdictions during the COVID-19 pandemic), cybersecurity incidents or other events. Any lapse, revocation, suspension or delay in approval of our authority to do business in a given jurisdiction may prevent us from serving certain destinations and could adversely impact our business, financial condition and results of operations.</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where we do not have as strong a presence. This could materially adversely affect our business, results of operations and financial condition.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Brexit has also led to legal and regulatory uncertainty such as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such as the transatlantic joint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Any of these effects, and others we cannot anticipate, could materially adversely affect our business, results of operations and financial condition.</w:t>
      </w:r>
    </w:p>
    <w:p>
      <w:pPr>
        <w:spacing w:after="0" w:line="131"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3"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may be adversely affected by conflicts overseas, terrorist attacks or other acts of violence, domestically or abroad; the travel industry continues to face ongoing security concerns.</w:t>
      </w:r>
    </w:p>
    <w:p>
      <w:pPr>
        <w:spacing w:after="0" w:line="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Acts of terrorism and other violence, domestically or abroad,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We cannot forecast what new security requirements may be imposed in the future, or their impact on our business. In addition, avoiding areas of armed conflict or locations inaccessible to us due to geopolitical factors can impact our operations and financial results. For instance, airspace closures or restrictions may require us to alter flight paths or make further operational adjustments, such as changes to preferred diversion locations, thereby increasing the distance, duration and amount of fuel required to operate certain international flights, in particular relative to competitors not subject to these airspace restrictions. Armed conflicts in or affecting international markets we serve could also adversely impact our business by, among other things, depressing demand for travel to certain regions or requiring us to suspend air service to certain destinations. For example, in October 2023, we suspended our service to Tel Aviv, Israel, and cannot predict when, or if, we will be in a position to restore such service. The outbreak or spread of armed conflict could force us to make additional reductions or changes to our service and could result in volatility in oil markets and disruptions to global trade, which could materially increase our costs or impact our supply chains.</w:t>
      </w:r>
    </w:p>
    <w:p>
      <w:pPr>
        <w:spacing w:after="0" w:line="233"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GHG emissions, changing consumer preferences and the potential for increased impacts of severe weather events on our operations and infrastructure.</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Efforts to combat climate change have increased the focus by regulators worldwide on the need to reduce greenhouse gas (GHG) emissions, including those from the airline industry. Concerns over GHG emissions have prompted regulators around the world, including but not limited to the EU and UK, to develop ambitious regulations to increase demand and investments in SAF. These mandates are likely to result in further attempts to adopt requirements or change business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environments related to aviation that, if successful, may result in increased costs to the airline industry and us. In addition, several countries and U.S. states have adopted or are considering adopting programs, including potentially new taxes, to regulate GHG emissions. In addition, certain airports have proposed, and could in the future adopt, GHG emission or climate-related goals or measures that could impact our operations or require us to make changes or investments in our infrastructure. In particular, the International Civil Aviation Organization (ICAO) has adopted rules, including those pertaining to the Carbon Offsetting and Reduction Scheme for International Aviation (CORSIA), which will require us to mitigate the growth of GHG emissions associated with a significant majority of our international flights.</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due to significant uncertainty with respect to the future growth of covered GHG emissions, the supply and price of eligible carbon credits and the future development of the market for eligible renewable fuels. Due to the competitive nature of the airline industry and unpredictability of the market for air travel, we can offer no assurance that we may be able to increase our fares, impose surcharges or otherwise increase revenues or decrease other operating costs sufficiently to offset the costs of meeting our obligations under CORSIA.</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Due to the uncertainty surrounding the applicability of CORSIA to our operations in the long-term, we and other airlines are increasingly subject to an unpredictable and inconsistent array of national or regional emissions restrictions, creating a patchwork of complex regulatory requirements that could lead to increased expenses related to the emissions of our flights. Furthermore, recent implementation of and potential for other new regulatory initiatives to reduce airline GHG emissions may increase our compliance costs. For more information on these regulatory developments, see “</w:t>
      </w:r>
      <w:r>
        <w:rPr>
          <w:rFonts w:ascii="Arial" w:cs="Arial" w:eastAsia="Arial" w:hAnsi="Arial"/>
          <w:sz w:val="18"/>
          <w:szCs w:val="18"/>
          <w:i w:val="1"/>
          <w:iCs w:val="1"/>
          <w:color w:val="auto"/>
        </w:rPr>
        <w:t>Environmental Matters</w:t>
      </w:r>
      <w:r>
        <w:rPr>
          <w:rFonts w:ascii="Arial" w:cs="Arial" w:eastAsia="Arial" w:hAnsi="Arial"/>
          <w:sz w:val="18"/>
          <w:szCs w:val="18"/>
          <w:color w:val="auto"/>
        </w:rPr>
        <w:t>” under Part I, Item 1. Business – “</w:t>
      </w:r>
      <w:r>
        <w:rPr>
          <w:rFonts w:ascii="Arial" w:cs="Arial" w:eastAsia="Arial" w:hAnsi="Arial"/>
          <w:sz w:val="18"/>
          <w:szCs w:val="18"/>
          <w:i w:val="1"/>
          <w:iCs w:val="1"/>
          <w:color w:val="auto"/>
        </w:rPr>
        <w:t>Domestic and Global Regulatory Landscape”</w:t>
      </w:r>
      <w:r>
        <w:rPr>
          <w:rFonts w:ascii="Arial" w:cs="Arial" w:eastAsia="Arial" w:hAnsi="Arial"/>
          <w:sz w:val="18"/>
          <w:szCs w:val="18"/>
          <w:color w:val="auto"/>
        </w:rPr>
        <w:t xml:space="preserve"> in our 2023 Form 10-K.</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become operational in the coming years, we anticipate that competition for SAF among industry participants will remain intense. As a result, SAF may be significantly more costly than conventional jet fuel. To secure future SAF supply, we have entered into multiple agreements for the purchase of future SAF production, and we continue to engage with producers regarding potential future SAF purchases, which may include investments and other commitments to support these producers. Certain existing or potential future agreements pertain to SAF production from facilities that are planned but not yet financed,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13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Additionally, growing recognition among consumers of the dangers of climate change may mean some customers choose to fly less frequently or fly on an airline they perceive as operating in a manner that produces fewer GHG emissions. Business customers may choose to use alternatives to travel, such as virtual meetings and workspaces. Greater development of high-speed rail in markets now served by short-haul flights could provide passengers with lower-carbon alternatives to flying with us. Customers may also elect to travel on flights that produce comparatively fewer GHG emissions, particularly after commencement of the EU environmental labelling scheme for flights in 2025. Our collateral to secure loans, in the form of aircraft, airport slots, gates and routes, could lose value as customer demand shifts and economies move to low-carbon alternatives, which may increase our financing cost.</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published a number of sustainability-related targets and goals, including with respect to reducing our GHG emissions. These goals are often long-term in nature, and in many cases rely on assumptions about the future availability and efficacy of technologies that do not yet exist or are not yet commercially viable. Our ability to meet our publicly stated targets is dependent on a number of factors outside our control, including but not limited to the ability of third parties, such as engine and airframe manufacturers, SAF producers and other industry participants, to timely develop and commercialize these technological solutions. Additionally, we face risks associated with allegations or similar claims that our public statements concerning our sustainability efforts or our advertising campaigns, marketing programs or commercial offerings are exaggerated, unsubstantiated or inconsistent with then-current regulations, sometimes referred to as “greenwashing,” and could be subject to litigation or regulatory enforcement actions challenging the basis for such statements which could be costly and disruptive, whether or not meritorious.</w:t>
      </w:r>
    </w:p>
    <w:p>
      <w:pPr>
        <w:spacing w:after="0" w:line="12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as well as the safety of our team members.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Operational impacts, such as more frequent or widespread flight cancellations,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domestic sites, although such costs currently are not expected to have a material adverse effect on our business.</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certain chemicals, most notably per- and polyfluoroalkyl, substances (PFAS). Products containing PFAS have been used in manufacturing, industrial, and consumer applications over many decades, including those related to aviation. Among other things, recent changes to federal requirements for firefighting foams containing PFAS, as well as related state regulations affecting their use, will require operational and infrastructure changes. In February 2024, the EPA published, for public comment, a new rulemaking to list nine PFAS as hazardous constituents under the Resource Conservation and Recovery Act. In April 2024, the EPA published a final rule designating two PFAS substances (perfluorooctanoic acid and perfluorooctanesulfonic acid) as hazardous substances under the Comprehensive Environmental Response, Compensation, and Liability Act. This new rule requires entities to immediately report current and past releases of such substances that meet or exceed the reportable quantity to EPA’s National Response Center. These rulemakings could require additional oversight and management of PFAS-containing waste. We may incur costs in connection with current and future reporting obligations, costs related to materials management and historic usage and disposal of PFAS-containing materials, transitioning away from the usage of PFAS-containing products and firefighting systems, or remediating any environmental impacts.</w:t>
      </w:r>
    </w:p>
    <w:p>
      <w:pPr>
        <w:spacing w:after="0" w:line="1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as well as setting an annual flight cap from specific cities.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the airspace and airports we utilize.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A high level of pilot retirements, more stringent duty time regulations, increased flight hour requirements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These and other factors contributed to a prolonged shortage of qualified, entry-level pilots, shortages of experienced pilots trained and ready for duty, principally at our regional affiliates, and increased compensation costs materially for pilots throughout the industry. While progress has been made in improving pilot staffing, we believe that this industry-wide pilot shortage will remain a problem, in particular for regional airlines in the United States, for the foreseeable future. We have recently implemented a number of recruitment initiatives intended to recruit qualified pilots to our regional airlines, including offering significant financial incentives, but we cannot guarantee that such efforts will be successful. Notwithstanding these efforts, our regional airline subsidiaries and other regional partners have recently been unable to hire adequate numbers of pilots to meet their needs, resulting in a reduction in the number of flights offered, operational disruptions, increased compensation expense and costs of operations, financial difficulties and other adverse effects.</w:t>
      </w:r>
    </w:p>
    <w:p>
      <w:pPr>
        <w:spacing w:after="0" w:line="214" w:lineRule="exact"/>
        <w:rPr>
          <w:sz w:val="20"/>
          <w:szCs w:val="20"/>
          <w:color w:val="auto"/>
        </w:rPr>
      </w:pPr>
    </w:p>
    <w:p>
      <w:pPr>
        <w:jc w:val="both"/>
        <w:ind w:left="260"/>
        <w:spacing w:after="0" w:line="265" w:lineRule="auto"/>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spacing w:after="0" w:line="29"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all of our mainline aircraft were manufactured by either Airbus or Boeing and all of our regional aircraft were manufactured by either Bombardier or Embraer. Further, our supplier base continues to consolidate as evidenced by recent transactions involving Airbus and Bombardier and Mitsubishi and Bombardier, and the cessation of production of certain Bombardier regional aircraft that we and our regional partners currently operate in large numbers. Due to the limited number of suppliers, constraints on production capacity, large order books and long production lead times, manufacturers have faced and are expected to continue to face challenges in timely fulfilling our aircraft on order, and we may face competition from other carriers in securing an adequate supply of aircraft in the future. If new aircraft orders are not filled on a timely basis, we could face higher financing and operating costs than planned. The limited number of these suppliers may also result in reduced competition and potentially higher prices than if the supplier base was less concentrated. In addition, we are vulnerable to any problems associated with the performance of these suppliers’ obligation to supply key aircraft, parts and engines, including design defects, mechanical problems, contractual performance by suppliers or adverse perception by the public that would result in customer avoidance of any of our aircraft. If the aircraft we receive do not meet expected performance or quality standards, including with respect to fuel efficiency, safety and reliability, we could also face higher financing and operating costs than planned and our business, results of operations and financial condition could be adversely impacted. We are also subject to the risk that action by the FAA or any other regulatory authority could result in an inability to certify or operate our aircraft, even temporarily. For instance, in March 2019, the FAA ordered the grounding of all Boeing 737 MAX Family aircraft, which remained in place for over a year and was not lifted in the United States until November 2020. An additional grounding of Boeing aircraft occurred in January 2024 involving the Boeing 737-9 MAX, a model that we do not operate. Further, significant limitations imposed on the use of Pratt &amp; Whitney GTF aircraft engines (an engine that we do not use in our fleet) on certain Airbus aircraft have resulted in very significant numbers of the related aircraft being grounded while awaiting refurbished engines. Regulatory concerns raised by the FAA also previously forced Boeing to suspend deliveries of certain 787 aircraft, temporarily resulting in significant reductions to our planned long-haul flying. More generally, we have recently experienced delivery delays across manufacturers due to regulatory matters such as those described above, regulatory restrictions on production rate increases (such as those that the FAA has recently imposed on Boeing 737 production), supply chain limitations, development delays, and other factors, which have created significant challenges in planning our fleet, and those challenges are likely to continue. There is also the prospect that new aircraft models will continue to face certification delays further impeding the delivery of new aircraft to the airline industry and increasing competition for the production capacity that is available.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timelines, our business, results of operations and financial condition could be negatively impacted. Our failure to integrate newly purchased aircraft into our fleet as planned might require us to seek extensions of the terms for some leased aircraft or otherwise delay the exit of certain aircraft from our fleet, and in certain cases, may require us to undertake costly refurbishments or maintenance of such aircraft. Such unanticipated extensions or delays, which as noted above have recently been relatively commonplace among manufacturers of commercial aircraft, may require us to operate existing aircraft beyond the point at which it is economically optimal to retire them, resulting in increased maintenance costs, or reductions to our schedule, thereby reducing revenues. Repeated or prolonged delays in the production, delivery or induction of our new aircraft could also require us to scale back our growth plans, reduce frequencies or forgo service entirely to certain markets, which could adversely affect our business, financial condition and results of operations.</w:t>
      </w:r>
    </w:p>
    <w:p>
      <w:pPr>
        <w:spacing w:after="0" w:line="21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but may not be limited to our computerized airline reservation system, flight operations and crew scheduling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Furthermore, certain critical aspects of our operation rely on legacy technological systems which may grow more difficult or expensive to support and maintain over time, and such systems may fail to perform as required or become more vulnerable to malfunction or failure over time.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June 17, 2022, the FAA and the telecommunications industry reached an agreement to delay the full implementation of 5G deployment near airports until July 1, 2023. The delayed implementation allowed the aviation industry time to retrofit the radio altimeters on aircraft to prevent potential interference from 5G signals. American has completed the retrofit of its impacted mainline and regional aircraft, and we now expect operational certainty as it pertains to 5G until 2028, when the current operating agreement between the FAA, Federal Communications Commission and the telecommunications industry expires.</w:t>
      </w:r>
    </w:p>
    <w:p>
      <w:pPr>
        <w:spacing w:after="0" w:line="1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defects, errors, equipment and software failures, computer viruses or telecommunications failures.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60"/>
        <w:spacing w:after="0" w:line="265" w:lineRule="auto"/>
        <w:rPr>
          <w:sz w:val="20"/>
          <w:szCs w:val="20"/>
          <w:color w:val="auto"/>
        </w:rPr>
      </w:pPr>
      <w:r>
        <w:rPr>
          <w:rFonts w:ascii="Arial" w:cs="Arial" w:eastAsia="Arial" w:hAnsi="Arial"/>
          <w:sz w:val="18"/>
          <w:szCs w:val="18"/>
          <w:b w:val="1"/>
          <w:bCs w:val="1"/>
          <w:i w:val="1"/>
          <w:iCs w:val="1"/>
          <w:color w:val="auto"/>
        </w:rPr>
        <w:t>Evolving data privacy requirements (in particular, compliance with applicable federal, state and foreign laws relating to handling of 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w:t>
      </w:r>
    </w:p>
    <w:p>
      <w:pPr>
        <w:spacing w:after="0" w:line="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normal course of our business, we collect, process, use and disclose personal information about individuals and rely on third party service providers to host or otherwise process personal information. Many federal, state and foreign governmental bodies and agencies have adopted, or are considering adopting, laws and regulations that impose limits on the collection, processing, use, disclosure and security of personal information about individuals. In some cases, such laws and regulations can be enforced by private parties in addition to government entities. In addition, privacy advocacy and industry groups may propose new and different self-regulatory standards or guidance that may legally or contractually apply to us and our vendors. These non-uniform laws, regulations, standards and guidance are complex and currently evolving and can be subject to significant change and interpretation, and may be inconsistently applied and enforced from one jurisdiction to another.</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and other data such as confidential information. However, like any global enterprise operating in today’s digital business environment, we and our third party service providers have experienced cybersecurity incidents and data breaches. For example, in July 2022, a minor phishing incident resulted in certain employee email accounts being accessed and acquired without authorization that contained personal information about a very limited number of individuals, including travelers (following which we notified the individuals). We react and respond to these cybersecurity incidents in accordance with the applicable legal requirements, our own cybersecurity protocols, as well as our commercial partners’ standards (as appropriate), but we cannot ensure that our responses (or those of our partners and service providers) will be sufficient to prevent or mitigate the potential adverse impacts of these cybersecurity incidents, which may be material.</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There has been heightened legislative and regulatory focus on data privacy and cybersecurity in the U.S., EU, U.K., China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 event of a cybersecurity incident. In addition,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cybersecurity incident response and could potentially reveal system vulnerabilities to threat actors. Failure to timely report cybersecurity incidents under these rules could also result in regulatory investigations, litigation, monetary fines, sanctions, or subject us to other forms of liability. Even though we believe we and our third party service providers are generally in compliance with applicable laws, rules and regulations relating to privacy and data security, the regulatory environment is increasingly challenging as data privacy and cybersecurity laws, rules, regulations, industry standards and other requirements are continually developing. These changing requirements, along with their evolving application, interpretation, and amendment, may present material obligations and risks to our business, including significantly expanded compliance burdens, costs and enforcement risks.</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(the Payment Card Industry Data Security Standard (PCI DSS)). While we and our service providers continue our efforts to meet these standards, new and revised standards may be imposed that may be difficult for us to meet and could increase our costs, and if we are unable to comply with revised standards, we may be subject to fines, restrictions or other liability, which could materially and adversely affect our business. Moreover, it is not guaranteed that PCI DSS compliance will prevent illegal or improper use of our payment systems or the theft, loss or misuse of payment card data or transaction information.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Litigation, claims and enforcement related to data privacy, biometrics and other provisions of state privacy laws may involve new interpretations of privacy laws. There has also been a noticeable uptick in class actions in the U.S. wherein plaintiffs have utilized a variety of laws, including state wiretapping laws, in relation to companies’ use of tracking technologies, such as cookies and pixels. Compliance with these laws and regulations may be inconsistent from jurisdiction to jurisdiction, increasing the cost of compliance and our risk of liability from litigation. Any litigation, claims or enforcement actions to which we are or become a party could potentially result in substantial monetary damages or fines, and negative reputational impacts that cause us to lose existing or future customers, which could materially adversely affect our business, results of operations and financial condition.</w:t>
      </w:r>
    </w:p>
    <w:p>
      <w:pPr>
        <w:spacing w:after="0" w:line="21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exposed to risks from cyberattacks, and any cybersecurity incidents involving us, our third-party service providers, or one of our AAdvantage partners or other business partners, could materially adversely affect our business, results of operations and financial condition.</w:t>
      </w:r>
    </w:p>
    <w:p>
      <w:pPr>
        <w:spacing w:after="0" w:line="2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Significant cybersecurity incidents involving us, our third-party service providers,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cyberattacks; a diminished ability to retain or attract new customers; a deterioration in our relationships with business partners and other third parties; interruptions or failures in our payment related systems;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and there is a risk that our security measures will not be fully effective in the future.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PCI DSS requirements, breach or other significant cybersecurity incident affecting one of our partners, interruptions or failures in our payment related systems, could result in potentially material negative consequences for us, including loss of critical data, service interruptions, delays in operations, and the potential for fines, restrictions and expulsion from card acceptance programs. In addition, we use third party service providers to help us deliver services to customers. These service providers may store personal information, credit card information and/or other confidential information. Such information has been and will be the target of unauthorized access or subject to security breaches because of third-party action, employee error, malfeasance or otherwise. Any of these could (a) result in the loss of information, litigation, indemnity obligations, expensive and inconsistent cybersecurity incident and data breach notification requirements, damage to our reputation, regulatory scrutiny, and other liability, or (b) have a material adverse effect on our business, financial condition and results of operations.</w:t>
      </w:r>
    </w:p>
    <w:p>
      <w:pPr>
        <w:spacing w:after="0" w:line="13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threat of cybersecurity incidents continues to increase as the frequency, intensity and sophistication of cyberattacks and intrusions increase around the world. Diverse threat actors, such as state-sponsored organizations, opportunistic hackers and hacktivists, as well as diverse attack vectors such as social engineering/phishing, malware (including ransomware), malfeasance by insiders, human or technological error, denial of service attacks or exploitation of vulnerabilities, threaten the confidentiality, integrity, and availability of our and our third party service providers’ information systems, personal information and confidential information. Geopolitical issues also continue to increase our cybersecurity risk and potential for cybersecurity incidents, for example, the conflict involving Russia and Ukraine, which has resulted in a heightened risk of cyberattacks against companies like ours that have operations, vendors and/or supply chain providers located in or around the region of conflict or are otherwise related to the conflict. Despite ongoing efforts to maintain and improve the security of our information systems and digital information, individuals, including employees, contractors, and external threat actors, may be able to circumvent the security measures we put in place, and we may be unable to anticipate new techniques used for these attacks and intrusions and implement adequate preventative measures. We, our business partners and service providers have been the target of cybersecurity attacks in the past and expect that we, our business and service partners, will continue to experience cybersecurity incidents in the future.</w:t>
      </w:r>
    </w:p>
    <w:p>
      <w:pPr>
        <w:spacing w:after="0" w:line="1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 cybersecurity incident are substantial. As cybersecurity incidents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data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privacy and cybersecurity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information is secured, such as how personal information is collected, used for marketing purposes, and shared with third parties, also may require changes to our processes and increase compliance costs. There is also an increased risk to our business in the event of a significant cybersecurity or data privacy violation, including additional compliance costs, reputational harm, disruption to the manner in which we provide our services, including the geographies we service, and being subject to complaints and/or regulatory investigations, significant monetary liability, fines, penalties, regulatory enforcement, individual or class action lawsuits, public criticism, loss of customers, loss of goodwill or other additional liabilities, such as claims by industry groups or other third parties. Accordingly, failure to appropriately address data privacy and cybersecurity issues could result in material financial and other liabilities and cause significant reputational harm to our company.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effectively manage the costs, rights and functionality of these channels.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While our priority is to migrate an increasing portion of our customers to our modern, direct distribution channels in lieu of third party channels, we continue to rely on third-party distribution channels, including those provided by or through global distribution systems (GDSs) (e.g., Amadeus, Sabre and Travelport),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w:t>
      </w:r>
    </w:p>
    <w:p>
      <w:pPr>
        <w:spacing w:after="0" w:line="13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continue to migrate the distribution of tickets to our proprietary and other modern distribution channels, and improve the functionality of our distribution channels, while maintaining an industry-competitive cost structure and a high level of customer satisfaction.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For example, as previously reported, during the second quarter of 2024 we concluded that certain commercial initiatives designed to, among other things, migrate customers to our modern, direct distribution channels contributed to softness in customer bookings relative to our expectations, and we reversed many of these measures late in the quarter.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6"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O’Hare International Airport, Dallas/Fort Worth International Airport and Los Angeles International Airport. More generally, following long periods of underinvestment, there is a trend among airports in the United States to engage in significant, expensive expansion, remodeling and infrastructure improvement projects. This spending 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Ronald Reagan Washington National Airport (DCA) and two New York City airports: John F. Kennedy International Airport and LaGuardia Airport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Frankfurt, Paris, Tokyo and other airports outside the U.S. are regulated by local slot authorities pursuant to the International Airline Trade Association Worldwide Scheduling Guidelines and/or applicable local law. Termination of slot controls or other operational restrictions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During periods of reduced demand for air travel, such as during the COVID-19 pandemic, we presently and may in the future rely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be made available, whether they will be granted on the same or similar terms as in past instances, or whether we ultimately could be at risk of losing valuable operating rights. If we are forced to surrender slots or other rights,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3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ability to provide service can also be impaired at airports where the airport gates and other facilities are currently inadequate to accommodate all of the service that we would like to provide, or where we have no access to gates at all.</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(including as a result of social or environmental activism),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3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99"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external events, such as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00" w:hanging="644"/>
        <w:spacing w:after="0" w:line="268"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expectations regarding any future capital deployment program, including share repurchase programs and any future dividend payments that may be declared by our Board of Directors, or any subsequent determination to cease repurchasing stock or paying dividends;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inclusion of our common stock in broad market indexes favored by passive investors;</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investor preferences to invest in certain sectors, including large technology companies in lieu of industrial or transportation companies;</w:t>
      </w:r>
    </w:p>
    <w:p>
      <w:pPr>
        <w:spacing w:after="0" w:line="98" w:lineRule="exact"/>
        <w:rPr>
          <w:rFonts w:ascii="Arial" w:cs="Arial" w:eastAsia="Arial" w:hAnsi="Arial"/>
          <w:sz w:val="18"/>
          <w:szCs w:val="18"/>
          <w:color w:val="auto"/>
        </w:rPr>
      </w:pPr>
    </w:p>
    <w:p>
      <w:pPr>
        <w:jc w:val="both"/>
        <w:ind w:left="1300" w:hanging="644"/>
        <w:spacing w:after="0" w:line="259"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Coronavirus Aid, Relief, and Economic Security Act (CARES Act), Subtitle A of Title IV of Division N of the Consolidated Appropriations Act, 2021 (the PSP Extension Law) and the American Rescue Plan Act of 2021 (ARP);</w:t>
      </w:r>
    </w:p>
    <w:p>
      <w:pPr>
        <w:spacing w:after="0" w:line="1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jc w:val="both"/>
        <w:ind w:left="1300" w:hanging="644"/>
        <w:spacing w:after="0" w:line="259"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closing price of our common stock on the Nasdaq Global Select Market varied from $10.92 to $ 18.80 during 2023 and $10.58 to $15.68 during 2024 year-to-date through July 19, 2024. At times, fluctuations in our stock price have been rapid, imposing risks on investors due to the possibility of significant, short-term price volatility. While we believe that in recent years this wide range of trading prices has largely reflected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1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If we decide to make repurchases of or pay dividends on our common stock, we cannot guarantee that we will continue to do so or that such a capital deployment program will enhance long-term stockholder value.</w:t>
      </w:r>
    </w:p>
    <w:p>
      <w:pPr>
        <w:spacing w:after="0" w:line="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If we determine to make any share repurchases in the future, such repurchases may be made through a variety of methods, which may include open market purchases, privately negotiated transactions, block trades or accelerated share repurchase transactions. Our future repurchases of AAG common stock, if any, may be limited, suspended or discontinued at any time at our discretion and without prior notice.</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If we determine to make any dividends in the future, such dividends that may be declared and paid from time to time will be subject to market and economic conditions, applicable legal requirements and other relevant factors. The amount and timing of any future dividends, if any, may vary, and the payment of any dividend does not assure that we will pay dividends in the future.</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future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We generally are subject to an excise tax on the fair market value of AAG common stock repurchased (less the fair market value of AAG common stock issued and subject to certain adjustments and exceptions) during any year after December 31, 2022. Although our share repurchase programs are intended to enhance long-term stockholder value, there is no assurance that they will do so.</w:t>
      </w:r>
    </w:p>
    <w:p>
      <w:pPr>
        <w:spacing w:after="0" w:line="212"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AAG’s Certificate of Incorporation, Bylaws and Tax Benefit Preservation Plan include provisions that limit voting and acquisition and disposition of our equity interests and specify an exclusive forum for certain stockholder disputes.</w:t>
      </w:r>
    </w:p>
    <w:p>
      <w:pPr>
        <w:spacing w:after="0" w:line="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xml:space="preserve"> in our 2023 Form 10-K and AAG’s Description of the Registrants’ Securities Registered Pursuant to Section 12 of the Securities Exchange Act of 1934, which is filed as Exhibit 4.1 to our 2023 Form 10-K. Further restrictions are set forth in our Tax Benefit Preservation Plan, which was filed as Exhibit 4.1 to AAG’s Current Report on Form 8-K filed on December 22, 2021.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of 1933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1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17"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8"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0"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the Convertible Notes.</w:t>
      </w:r>
    </w:p>
    <w:p>
      <w:pPr>
        <w:spacing w:after="0" w:line="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Further, additional shares of our common stock may be issued in connection with the exercise of warrants originally issued by AAG to the U.S. Department of Treasury and/or the conversion of the 6.50% convertible senior notes due 2025 (the Convertible Notes). If these additional shares or securities are issued or sold, or if it is perceived that they will be sold, the trading price of our common stock and the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the Convertible Notes could decline substantially.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Securities Trading Plans of Directors and Executive Officers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quarter ended June 30, 2024, none of our directors or executive officers adopted or terminated any contract, instruction or written plan for the purchase or sale of AAG securities that was intended to satisfy the affirmative defense conditions of Rule 10b5-1(c) or any “non-Rule 10b5-1 trading arrangement.”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Amendments to Articles of Incorporation or Bylaws; Change in Fiscal Year</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July 24, 2024, the Board of Directors of AAG voted to adopt the Fourth Amended and Restated Bylaws (as amended prior to the date hereof, the “A&amp;R Bylaws”), which became effective immediately upon adoption. The A&amp;R Bylaws amend and restate AAG’s previously existing bylaws in their entirety to, among other things, (i) remove certain informational requirements concerning stockholders seeking to nominate directors and bring matters before an annual meeting, (ii) narrow the scope of persons that the information set forth in (i) must be provided for and (iii) implement technical amendments to the procedures of preparing for, holding and adjourning a meeting of stockholders. The foregoing is qualified in its entirety by reference to the text of the A&amp;R Bylaws, a copy of which is filed as Exhibit 3.1 to this Quarterly Report on Form 10-Q.</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6"/>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0000FF"/>
        </w:rPr>
        <w:t>Fourth Amended and Restated Bylaws of American Airlines Group Inc.</w:t>
      </w:r>
    </w:p>
    <w:p>
      <w:pPr>
        <w:spacing w:after="0" w:line="50" w:lineRule="exact"/>
        <w:rPr>
          <w:sz w:val="20"/>
          <w:szCs w:val="20"/>
          <w:color w:val="auto"/>
        </w:rPr>
      </w:pPr>
    </w:p>
    <w:p>
      <w:pPr>
        <w:jc w:val="both"/>
        <w:ind w:left="760" w:right="200" w:hanging="741"/>
        <w:spacing w:after="0" w:line="253"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Ninth Amendment to Amended and Restated Credit and Guaranty Agreement, dated as of June 4, 2024, amending the Amended and Restated Credit and Guaranty Agreement, dated as of May 21, 2015, among American Airlines, Inc., American Airlines Group Inc., the lenders from time to time party thereto and Barclays Bank PLC, as administrative agent.</w:t>
      </w:r>
      <w:r>
        <w:rPr>
          <w:rFonts w:ascii="Arial" w:cs="Arial" w:eastAsia="Arial" w:hAnsi="Arial"/>
          <w:sz w:val="18"/>
          <w:szCs w:val="18"/>
          <w:color w:val="000000"/>
        </w:rPr>
        <w:t>*</w:t>
      </w:r>
    </w:p>
    <w:p>
      <w:pPr>
        <w:spacing w:after="0" w:line="7" w:lineRule="exact"/>
        <w:rPr>
          <w:sz w:val="20"/>
          <w:szCs w:val="20"/>
          <w:color w:val="auto"/>
        </w:rPr>
      </w:pPr>
    </w:p>
    <w:p>
      <w:pPr>
        <w:jc w:val="both"/>
        <w:ind w:left="760" w:right="200" w:hanging="741"/>
        <w:spacing w:after="0" w:line="247"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FF"/>
        </w:rPr>
        <w:t>Tenth Amendment to the Amended and Restated Credit and Guaranty Agreement, dated as of June 4, 2024, amending the Amended and Restated Credit and Guaranty Agreement, dated as of April 20, 2015, among American Airlines, Inc., American Airlines Group Inc., the lenders from time to time party thereto, Citibank N.A., as administrative agent, and certain other parties thereto.</w:t>
      </w:r>
      <w:r>
        <w:rPr>
          <w:rFonts w:ascii="Arial" w:cs="Arial" w:eastAsia="Arial" w:hAnsi="Arial"/>
          <w:sz w:val="18"/>
          <w:szCs w:val="18"/>
          <w:color w:val="000000"/>
        </w:rPr>
        <w:t>*</w:t>
      </w:r>
    </w:p>
    <w:p>
      <w:pPr>
        <w:spacing w:after="0" w:line="12" w:lineRule="exact"/>
        <w:rPr>
          <w:sz w:val="20"/>
          <w:szCs w:val="20"/>
          <w:color w:val="auto"/>
        </w:rPr>
      </w:pPr>
    </w:p>
    <w:p>
      <w:pPr>
        <w:jc w:val="both"/>
        <w:ind w:left="760" w:right="200" w:hanging="741"/>
        <w:spacing w:after="0" w:line="247"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FF"/>
        </w:rPr>
        <w:t>First Amendment to Credit and Guaranty Agreement, dated as of June 4, 2024, amending the Credit and Guaranty Agreement, dated as of December 4, 2023, among American Airlines, Inc., as the borrower, American Airlines Group Inc., as parent and guarantor, the lenders from time to time party thereto, Citibank, N.A., as administrative agent, and certain other parties from time to time party thereto.</w:t>
      </w:r>
      <w:r>
        <w:rPr>
          <w:rFonts w:ascii="Arial" w:cs="Arial" w:eastAsia="Arial" w:hAnsi="Arial"/>
          <w:sz w:val="18"/>
          <w:szCs w:val="18"/>
          <w:color w:val="000000"/>
        </w:rPr>
        <w:t>*</w:t>
      </w:r>
    </w:p>
    <w:p>
      <w:pPr>
        <w:spacing w:after="0" w:line="12" w:lineRule="exact"/>
        <w:rPr>
          <w:sz w:val="20"/>
          <w:szCs w:val="20"/>
          <w:color w:val="auto"/>
        </w:rPr>
      </w:pPr>
    </w:p>
    <w:p>
      <w:pPr>
        <w:jc w:val="both"/>
        <w:ind w:left="760" w:right="200" w:hanging="741"/>
        <w:spacing w:after="0" w:line="247" w:lineRule="auto"/>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0000FF"/>
        </w:rPr>
        <w:t>Second Amendment to Credit and Guaranty Agreement, dated as of June 4, 2024, amending the Credit and Guaranty Agreement, dated as of December 4, 2023, among American Airlines, Inc., as the borrower, American Airlines Group Inc., as parent and guarantor, the lenders from time to time party thereto, Citibank, N.A., as administrative agent, and certain other parties from time to time party thereto.</w:t>
      </w:r>
      <w:r>
        <w:rPr>
          <w:rFonts w:ascii="Arial" w:cs="Arial" w:eastAsia="Arial" w:hAnsi="Arial"/>
          <w:sz w:val="18"/>
          <w:szCs w:val="18"/>
          <w:color w:val="000000"/>
        </w:rPr>
        <w:t>*</w:t>
      </w:r>
    </w:p>
    <w:p>
      <w:pPr>
        <w:spacing w:after="0" w:line="1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AAG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AAG Chief Financial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0000FF"/>
        </w:rPr>
        <w:t>Certification of American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0000FF"/>
        </w:rPr>
        <w:t>Certification of American Chief Financial Officer pursuant to Rule 13a-14(a).</w:t>
      </w:r>
    </w:p>
    <w:p>
      <w:pPr>
        <w:spacing w:after="0" w:line="50" w:lineRule="exact"/>
        <w:rPr>
          <w:sz w:val="20"/>
          <w:szCs w:val="20"/>
          <w:color w:val="auto"/>
        </w:rPr>
      </w:pPr>
    </w:p>
    <w:p>
      <w:pPr>
        <w:jc w:val="both"/>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AAG Certification pursuant to Rule 13a-14(b) and section 906 of the Sarbanes-Oxley Act of 2002 (subsections (a) and (b) of section 1350, chapter 63 of title 18, United States Code).</w:t>
      </w:r>
    </w:p>
    <w:p>
      <w:pPr>
        <w:jc w:val="both"/>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American Certification pursuant to Rule 13a-14(b) and section 906 of the Sarbanes-Oxley Act of 2002 (subsections (a) and (b) of section 1350, chapter 63 of title 18, United States Code).</w:t>
      </w:r>
    </w:p>
    <w:p>
      <w:pPr>
        <w:jc w:val="both"/>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293" w:lineRule="exact"/>
        <w:rPr>
          <w:sz w:val="20"/>
          <w:szCs w:val="20"/>
          <w:color w:val="auto"/>
        </w:rPr>
      </w:pPr>
    </w:p>
    <w:p>
      <w:pPr>
        <w:ind w:left="5520" w:right="3480" w:hanging="5512"/>
        <w:spacing w:after="0" w:line="866" w:lineRule="auto"/>
        <w:tabs>
          <w:tab w:leader="none" w:pos="1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July 25,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4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July 25,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AMENDED AND RESTATED BYLAWS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AMERICAN AIRLINES GROUP INC.</w:t>
      </w:r>
    </w:p>
    <w:p>
      <w:pPr>
        <w:spacing w:after="0" w:line="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(hereinafter called the “</w:t>
      </w:r>
      <w:r>
        <w:rPr>
          <w:rFonts w:ascii="Times New Roman" w:cs="Times New Roman" w:eastAsia="Times New Roman" w:hAnsi="Times New Roman"/>
          <w:sz w:val="22"/>
          <w:szCs w:val="22"/>
          <w:b w:val="1"/>
          <w:bCs w:val="1"/>
          <w:u w:val="single" w:color="auto"/>
          <w:color w:val="auto"/>
        </w:rPr>
        <w:t>Corporation</w:t>
      </w:r>
      <w:r>
        <w:rPr>
          <w:rFonts w:ascii="Times New Roman" w:cs="Times New Roman" w:eastAsia="Times New Roman" w:hAnsi="Times New Roman"/>
          <w:sz w:val="22"/>
          <w:szCs w:val="22"/>
          <w:b w:val="1"/>
          <w:bCs w:val="1"/>
          <w:color w:val="auto"/>
        </w:rPr>
        <w:t>”)</w:t>
      </w:r>
    </w:p>
    <w:p>
      <w:pPr>
        <w:spacing w:after="0" w:line="14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Effective as of July 24, 2024</w:t>
      </w:r>
    </w:p>
    <w:p>
      <w:pPr>
        <w:spacing w:after="0" w:line="17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 * * * * * * * * *</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Offices</w:t>
      </w:r>
    </w:p>
    <w:p>
      <w:pPr>
        <w:spacing w:after="0" w:line="155"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22"/>
          <w:szCs w:val="22"/>
          <w:color w:val="auto"/>
        </w:rPr>
        <w:t>The registered office of the Corporation shall be in the City of Wilmington, County of New Castle, Delaware. The Corporation may also have offices at such other places, both within and without the State of Delaware, as the Board of Directors may from time to time determine.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Meetings of Stockholders</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Annual Meetings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annual meeting of stockholders for the election of Directors shall be held on such date and at such time as shall be designated from time to time by the Board of Directors, at which meeting the stockholders shall elect a Board of Directors pursuant to Article III hereof and may transact such other business as may properly come before the meeting in accordance with Section 7 of this Article 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Special Meetings of Stockholders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right="60" w:firstLine="8"/>
        <w:spacing w:after="0" w:line="248" w:lineRule="auto"/>
        <w:tabs>
          <w:tab w:leader="none" w:pos="29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required by law or the Restated Certificate of Incorporation, as the same may be amended, restated or supplemented from time to time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xml:space="preserve">”), special meetings of the stockholders for any purpose or purposes may be called only (i) by the Chairman of the Board of Directors, (ii) by the Board of Directors, (iii) by the Chief Executive Officer or (iv) by the Secretary of the Corporation, following his or her receipt of one or more written demands to call a special meeting of the stockholders in accordance with, and subject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from stockholders who hold as of the record date fixed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2(d)</w:t>
      </w:r>
      <w:r>
        <w:rPr>
          <w:rFonts w:ascii="Times New Roman" w:cs="Times New Roman" w:eastAsia="Times New Roman" w:hAnsi="Times New Roman"/>
          <w:sz w:val="22"/>
          <w:szCs w:val="22"/>
          <w:color w:val="auto"/>
        </w:rPr>
        <w:t>, in the aggregate, at least 20% (the “</w:t>
      </w:r>
      <w:r>
        <w:rPr>
          <w:rFonts w:ascii="Times New Roman" w:cs="Times New Roman" w:eastAsia="Times New Roman" w:hAnsi="Times New Roman"/>
          <w:sz w:val="22"/>
          <w:szCs w:val="22"/>
          <w:u w:val="single" w:color="auto"/>
          <w:color w:val="auto"/>
        </w:rPr>
        <w:t>Requisite Percentage</w:t>
      </w:r>
      <w:r>
        <w:rPr>
          <w:rFonts w:ascii="Times New Roman" w:cs="Times New Roman" w:eastAsia="Times New Roman" w:hAnsi="Times New Roman"/>
          <w:sz w:val="22"/>
          <w:szCs w:val="22"/>
          <w:color w:val="auto"/>
        </w:rPr>
        <w:t>”) of the voting power of the outstanding shares of the Corporation (the “</w:t>
      </w:r>
      <w:r>
        <w:rPr>
          <w:rFonts w:ascii="Times New Roman" w:cs="Times New Roman" w:eastAsia="Times New Roman" w:hAnsi="Times New Roman"/>
          <w:sz w:val="22"/>
          <w:szCs w:val="22"/>
          <w:u w:val="single" w:color="auto"/>
          <w:color w:val="auto"/>
        </w:rPr>
        <w:t>Requesting Group</w:t>
      </w:r>
      <w:r>
        <w:rPr>
          <w:rFonts w:ascii="Times New Roman" w:cs="Times New Roman" w:eastAsia="Times New Roman" w:hAnsi="Times New Roman"/>
          <w:sz w:val="22"/>
          <w:szCs w:val="22"/>
          <w:color w:val="auto"/>
        </w:rPr>
        <w:t xml:space="preserve">”). The notice of a special meeting shall state the purpose or purposes of the special meeting, and the business to be conducted at the special meeting shall be limited to the purpose or purposes stated in the notice. Except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stockholders shall not be permitted to propose business to be brought before a special meeting of the stockholders. Stockholders who nominate persons for election to the board of directors at a special meeting must also comply with the requirements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7</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right="40" w:firstLine="8"/>
        <w:spacing w:after="0" w:line="252" w:lineRule="auto"/>
        <w:tabs>
          <w:tab w:leader="none" w:pos="30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stockholder may demand that the Secretary of the Corporation call a special meeting of the stockholders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unless a stockholder has first submitted a request in writing that the Board of Directors fix a record date (a “</w:t>
      </w:r>
      <w:r>
        <w:rPr>
          <w:rFonts w:ascii="Times New Roman" w:cs="Times New Roman" w:eastAsia="Times New Roman" w:hAnsi="Times New Roman"/>
          <w:sz w:val="22"/>
          <w:szCs w:val="22"/>
          <w:u w:val="single" w:color="auto"/>
          <w:color w:val="auto"/>
        </w:rPr>
        <w:t>Demand Record Date</w:t>
      </w:r>
      <w:r>
        <w:rPr>
          <w:rFonts w:ascii="Times New Roman" w:cs="Times New Roman" w:eastAsia="Times New Roman" w:hAnsi="Times New Roman"/>
          <w:sz w:val="22"/>
          <w:szCs w:val="22"/>
          <w:color w:val="auto"/>
        </w:rPr>
        <w:t>”) for the purpose of determining the stockholders entitled to demand that the Secretary of the Corporation call such</w:t>
      </w:r>
    </w:p>
    <w:p>
      <w:pPr>
        <w:sectPr>
          <w:pgSz w:w="11900" w:h="16838" w:orient="portrait"/>
          <w:cols w:equalWidth="0" w:num="1">
            <w:col w:w="11240"/>
          </w:cols>
          <w:pgMar w:left="320" w:top="98" w:right="339" w:bottom="1440" w:gutter="0" w:footer="0" w:header="0"/>
        </w:sectPr>
      </w:pPr>
    </w:p>
    <w:bookmarkStart w:id="91" w:name="page92"/>
    <w:bookmarkEnd w:id="91"/>
    <w:p>
      <w:pPr>
        <w:ind w:right="960"/>
        <w:spacing w:after="0" w:line="271" w:lineRule="auto"/>
        <w:rPr>
          <w:sz w:val="20"/>
          <w:szCs w:val="20"/>
          <w:color w:val="auto"/>
        </w:rPr>
      </w:pPr>
      <w:r>
        <w:rPr>
          <w:rFonts w:ascii="Times New Roman" w:cs="Times New Roman" w:eastAsia="Times New Roman" w:hAnsi="Times New Roman"/>
          <w:sz w:val="22"/>
          <w:szCs w:val="22"/>
          <w:color w:val="auto"/>
        </w:rPr>
        <w:t>special meeting, which request shall be in proper form and delivered to, or mailed and received by, the Secretary of the Corporation at the principal executive offices of the Corporation.</w:t>
      </w:r>
    </w:p>
    <w:p>
      <w:pPr>
        <w:spacing w:after="0" w:line="104" w:lineRule="exact"/>
        <w:rPr>
          <w:sz w:val="20"/>
          <w:szCs w:val="20"/>
          <w:color w:val="auto"/>
        </w:rPr>
      </w:pPr>
    </w:p>
    <w:p>
      <w:pPr>
        <w:ind w:right="320" w:firstLine="8"/>
        <w:spacing w:after="0" w:line="284" w:lineRule="auto"/>
        <w:tabs>
          <w:tab w:leader="none" w:pos="2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in proper form 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 request by a stockholder for the Board of Directors to fix a Demand Record Date shall set forth:</w:t>
      </w:r>
    </w:p>
    <w:p>
      <w:pPr>
        <w:spacing w:after="0" w:line="89" w:lineRule="exact"/>
        <w:rPr>
          <w:rFonts w:ascii="Times New Roman" w:cs="Times New Roman" w:eastAsia="Times New Roman" w:hAnsi="Times New Roman"/>
          <w:sz w:val="22"/>
          <w:szCs w:val="22"/>
          <w:color w:val="auto"/>
        </w:rPr>
      </w:pPr>
    </w:p>
    <w:p>
      <w:pPr>
        <w:ind w:left="340" w:right="40" w:hanging="8"/>
        <w:spacing w:after="0" w:line="250" w:lineRule="auto"/>
        <w:tabs>
          <w:tab w:leader="none" w:pos="59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Requesting Person (as defined below), the Stockholder Information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w:t>
      </w:r>
      <w:r>
        <w:rPr>
          <w:rFonts w:ascii="Times New Roman" w:cs="Times New Roman" w:eastAsia="Times New Roman" w:hAnsi="Times New Roman"/>
          <w:sz w:val="22"/>
          <w:szCs w:val="22"/>
          <w:color w:val="auto"/>
        </w:rPr>
        <w:t xml:space="preserve">, except that 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term “Requesting Person” shall be substituted for the term “Proposing Person” in all places it appears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w:t>
      </w:r>
      <w:r>
        <w:rPr>
          <w:rFonts w:ascii="Times New Roman" w:cs="Times New Roman" w:eastAsia="Times New Roman" w:hAnsi="Times New Roman"/>
          <w:sz w:val="22"/>
          <w:szCs w:val="22"/>
          <w:color w:val="auto"/>
        </w:rPr>
        <w:t>); further, any Requesting Person who is the stockholder of any shares of the Corporation that constitute part of the Requisite Percentage as of the Demand Record Date, but is not the stockholder of record of such shares, shall provide information to establish their ownership consistent with the requirements set forth in Rule 14a-8 of the Securities Exchange Act of 1934, as amended, and the rules and regulations thereunder (as so amended and inclusive of such rules and regulations,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Requesting Person, any Disclosable Interests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set forth in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clauses</w:t>
      </w:r>
    </w:p>
    <w:p>
      <w:pPr>
        <w:spacing w:after="0" w:line="27" w:lineRule="exact"/>
        <w:rPr>
          <w:rFonts w:ascii="Times New Roman" w:cs="Times New Roman" w:eastAsia="Times New Roman" w:hAnsi="Times New Roman"/>
          <w:sz w:val="22"/>
          <w:szCs w:val="22"/>
          <w:color w:val="auto"/>
        </w:rPr>
      </w:pPr>
    </w:p>
    <w:p>
      <w:pPr>
        <w:ind w:left="340" w:right="14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and (F), except that for purposes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the term “Requesting Person” shall be substituted for the term “Proposing Person” in all places it appears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7(c)(ii)</w:t>
      </w:r>
      <w:r>
        <w:rPr>
          <w:rFonts w:ascii="Times New Roman" w:cs="Times New Roman" w:eastAsia="Times New Roman" w:hAnsi="Times New Roman"/>
          <w:sz w:val="21"/>
          <w:szCs w:val="21"/>
          <w:color w:val="auto"/>
        </w:rPr>
        <w:t xml:space="preserve"> clauses (A) and (F) and the disclosure in clause</w:t>
      </w:r>
    </w:p>
    <w:p>
      <w:pPr>
        <w:spacing w:after="0" w:line="1" w:lineRule="exact"/>
        <w:rPr>
          <w:rFonts w:ascii="Times New Roman" w:cs="Times New Roman" w:eastAsia="Times New Roman" w:hAnsi="Times New Roman"/>
          <w:sz w:val="22"/>
          <w:szCs w:val="22"/>
          <w:color w:val="auto"/>
        </w:rPr>
      </w:pPr>
    </w:p>
    <w:p>
      <w:pPr>
        <w:ind w:left="340" w:right="4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shall be made with respect to the business proposed to be conducted at the special meeting or the proposed election of directors at the special meeting, as the case may be);</w:t>
      </w:r>
    </w:p>
    <w:p>
      <w:pPr>
        <w:spacing w:after="0" w:line="116" w:lineRule="exact"/>
        <w:rPr>
          <w:rFonts w:ascii="Times New Roman" w:cs="Times New Roman" w:eastAsia="Times New Roman" w:hAnsi="Times New Roman"/>
          <w:sz w:val="22"/>
          <w:szCs w:val="22"/>
          <w:color w:val="auto"/>
        </w:rPr>
      </w:pPr>
    </w:p>
    <w:p>
      <w:pPr>
        <w:ind w:left="340" w:hanging="8"/>
        <w:spacing w:after="0" w:line="261" w:lineRule="auto"/>
        <w:tabs>
          <w:tab w:leader="none" w:pos="71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each item of business that the Requesting Person proposes to bring before the special meeting, (A) a brief description of the business desired to be brought before the special meeting, the reasons for conducting such business at the special meeting and any material interest in such business of each Requesting Person, (B) the text of the proposal or business (including the text of any resolutions proposed for consideration), and (C) a reasonably detailed description of all agreements, arrangements, discussions and understandings (x) between or among any of the Requesting Persons or (y) between or among any Requesting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disclosures required by this paragraph (iii) shall not include any disclosures with respect to any broker, dealer, commercial bank, trust company or other nominee who is a Requesting Person solely as a result of being the stockholder directed to prepare and submit the notice required by these Bylaws on behalf of a beneficial owner; and</w:t>
      </w:r>
    </w:p>
    <w:p>
      <w:pPr>
        <w:spacing w:after="0" w:line="115" w:lineRule="exact"/>
        <w:rPr>
          <w:rFonts w:ascii="Times New Roman" w:cs="Times New Roman" w:eastAsia="Times New Roman" w:hAnsi="Times New Roman"/>
          <w:sz w:val="21"/>
          <w:szCs w:val="21"/>
          <w:color w:val="auto"/>
        </w:rPr>
      </w:pPr>
    </w:p>
    <w:p>
      <w:pPr>
        <w:ind w:left="340" w:right="920" w:hanging="8"/>
        <w:spacing w:after="0" w:line="271" w:lineRule="auto"/>
        <w:tabs>
          <w:tab w:leader="none" w:pos="70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directors are proposed to be elected at the special meeting, the Nominee Information for each person whom a Requesting Person expects to nominate for election as a director at the special meeting.</w:t>
      </w:r>
    </w:p>
    <w:p>
      <w:pPr>
        <w:spacing w:after="0" w:line="11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the term “Requesting Person” (x) shall mean (i) the stockholder making the request to fix a Demand Record Date for the purpose of determining the</w:t>
      </w:r>
    </w:p>
    <w:p>
      <w:pPr>
        <w:sectPr>
          <w:pgSz w:w="11900" w:h="16838" w:orient="portrait"/>
          <w:cols w:equalWidth="0" w:num="1">
            <w:col w:w="11240"/>
          </w:cols>
          <w:pgMar w:left="320" w:top="1422" w:right="339" w:bottom="1440" w:gutter="0" w:footer="0" w:header="0"/>
        </w:sectPr>
      </w:pPr>
    </w:p>
    <w:bookmarkStart w:id="92" w:name="page93"/>
    <w:bookmarkEnd w:id="92"/>
    <w:p>
      <w:pPr>
        <w:ind w:right="80"/>
        <w:spacing w:after="0" w:line="253" w:lineRule="auto"/>
        <w:rPr>
          <w:sz w:val="20"/>
          <w:szCs w:val="20"/>
          <w:color w:val="auto"/>
        </w:rPr>
      </w:pPr>
      <w:r>
        <w:rPr>
          <w:rFonts w:ascii="Times New Roman" w:cs="Times New Roman" w:eastAsia="Times New Roman" w:hAnsi="Times New Roman"/>
          <w:sz w:val="22"/>
          <w:szCs w:val="22"/>
          <w:color w:val="auto"/>
        </w:rPr>
        <w:t>stockholders entitled to demand that the Secretary call a special meeting, (ii) each member of the Requesting Group, and (iii) the beneficial owner or beneficial owners, if different, on whose behalf such request is made, and (y) shall exclude with respect to Section (2)(c)(ii), (iii) and (iv), any stockholder that has provided such demand solely in response to a solicitation made pursuant to, and in accordance with, Section 14(a) of the Exchange Act by way of a solicitation statement filed on Schedule 14A (a “</w:t>
      </w:r>
      <w:r>
        <w:rPr>
          <w:rFonts w:ascii="Times New Roman" w:cs="Times New Roman" w:eastAsia="Times New Roman" w:hAnsi="Times New Roman"/>
          <w:sz w:val="22"/>
          <w:szCs w:val="22"/>
          <w:u w:val="single" w:color="auto"/>
          <w:color w:val="auto"/>
        </w:rPr>
        <w:t>Solicited Stockholder</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ind w:right="40" w:firstLine="8"/>
        <w:spacing w:after="0" w:line="249" w:lineRule="auto"/>
        <w:tabs>
          <w:tab w:leader="none" w:pos="30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ten days after receipt of a request to fix a Demand Record Date in proper form and otherwise in compliance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from any stockholder, the Board of Directors may adopt a resolution fixing a Demand Record Date for the purpose of determining the stockholders entitled to demand that the Secretary of the Corporation call a special meeting, which date shall not precede the date upon which the resolution fixing the Demand Record Date is adopted by the Board of Directors. If no resolution fixing a Demand Record Date has been adopted by the Board of Directors within the ten day period after the date on which such a request to fix a Demand Record Date was received by the Secretary of the Corporation in proper form, the Demand Record Date in respect thereof shall be deemed to be the 20th day after the date on which such a request is received. Notwithstanding anything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to the contrary, no Demand Record Date shall be fixed if the Board of Directors determines that the demand or demands that would otherwise be submitted following such Demand Record Date could not comply with the requirements set forth in clauses (ii), (iv), (v) or (vi)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2(f)</w:t>
      </w:r>
      <w:r>
        <w:rPr>
          <w:rFonts w:ascii="Times New Roman" w:cs="Times New Roman" w:eastAsia="Times New Roman" w:hAnsi="Times New Roman"/>
          <w:sz w:val="22"/>
          <w:szCs w:val="22"/>
          <w:color w:val="auto"/>
        </w:rPr>
        <w:t>.</w:t>
      </w:r>
    </w:p>
    <w:p>
      <w:pPr>
        <w:spacing w:after="0" w:line="129" w:lineRule="exact"/>
        <w:rPr>
          <w:rFonts w:ascii="Times New Roman" w:cs="Times New Roman" w:eastAsia="Times New Roman" w:hAnsi="Times New Roman"/>
          <w:sz w:val="22"/>
          <w:szCs w:val="22"/>
          <w:color w:val="auto"/>
        </w:rPr>
      </w:pPr>
    </w:p>
    <w:p>
      <w:pPr>
        <w:ind w:firstLine="8"/>
        <w:spacing w:after="0" w:line="259" w:lineRule="auto"/>
        <w:tabs>
          <w:tab w:leader="none" w:pos="29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qualification, a special meeting of the stockholders shall not be called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unless stockholders who hold the Requisite Percentage as of the Demand Record Date timely provide one or more demands to call such special meeting in writing and in proper form to the Secretary of the Corporation at the principal executive offices of the Corporation. To be timely, a stockholder’s demand to call a special meeting must be delivered to, or mailed and received at, the principal executive offices of the Corporation not later than the 60th day following the Demand Record Date. To be in proper form for purposes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 demand to call a special meeting shall set forth (i) the business proposed to be conducted at the special meeting or the proposed election of directors at the special meeting, as the case may be, (ii) the text of the proposal or business (including the text of any resolutions proposed for consideration), if applicable, (iii) with respect to any stockholder or stockholders submitting a demand to call a special meeting the information required to be provided pursuant to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a Requesting Person (which shall exclude with respect to Section (2)(c)(ii), (iii) and (iv), any Solicited Stockholder), and (iv) a representation that each Requesting Stockholder intends to hold their shares of the Corporation that constitute part of the Requisite Percentage as of the Demand Record Date through the date of the special stockholder meeting. A stockholder may revoke a demand to call a special meeting by written revocation delivered to the Secretary at any time prior to the special meeting. If any such revocation(s) are received by the Secretary after the Secretary’s receipt of written demands from the holders of the Requisite Percentage of stockholders, and as a result of such revocation(s), at any time there no longer are unrevoked demands from the Requisite Percentage of stockholders to call a special meeting, the Board of Directors shall have the discretion to determine whether or not to proceed with the special meeting.</w:t>
      </w:r>
    </w:p>
    <w:p>
      <w:pPr>
        <w:sectPr>
          <w:pgSz w:w="11900" w:h="16838" w:orient="portrait"/>
          <w:cols w:equalWidth="0" w:num="1">
            <w:col w:w="11220"/>
          </w:cols>
          <w:pgMar w:left="320" w:top="1422" w:right="359" w:bottom="1440" w:gutter="0" w:footer="0" w:header="0"/>
        </w:sectPr>
      </w:pPr>
    </w:p>
    <w:bookmarkStart w:id="93" w:name="page94"/>
    <w:bookmarkEnd w:id="93"/>
    <w:p>
      <w:pPr>
        <w:ind w:left="-8" w:right="20" w:firstLine="8"/>
        <w:spacing w:after="0" w:line="247" w:lineRule="auto"/>
        <w:tabs>
          <w:tab w:leader="none" w:pos="26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Secretary shall not accept, and shall consider ineffective, a written demand from a stockholder to call a special meeting (i) that does not comply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(ii) that relates to an item of business to be transacted at such meeting that is not a proper subject for stockholder action under applicable law, (iii) that includes an item of business to be transacted at such meeting that did not appear on the written request that resulted in the determination of the Demand Record Date, (iv) that relates to an item of business that is identical or substantially similar to an item of business (a “</w:t>
      </w:r>
      <w:r>
        <w:rPr>
          <w:rFonts w:ascii="Times New Roman" w:cs="Times New Roman" w:eastAsia="Times New Roman" w:hAnsi="Times New Roman"/>
          <w:sz w:val="22"/>
          <w:szCs w:val="22"/>
          <w:u w:val="single" w:color="auto"/>
          <w:color w:val="auto"/>
        </w:rPr>
        <w:t>Similar Item</w:t>
      </w:r>
      <w:r>
        <w:rPr>
          <w:rFonts w:ascii="Times New Roman" w:cs="Times New Roman" w:eastAsia="Times New Roman" w:hAnsi="Times New Roman"/>
          <w:sz w:val="22"/>
          <w:szCs w:val="22"/>
          <w:color w:val="auto"/>
        </w:rPr>
        <w:t xml:space="preserve">”) for which a record date for notice of a stockholder meeting (other than the Demand Record Date) was previously fixed and such demand is delivered between the time beginning on the 61st day after such previous record date and ending on the one-year anniversary of such previous record date, (v) if the Board of Directors calls an annual or special meeting of stockholders (in lieu of calling the special meeting to which the written demand relates)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2(g)</w:t>
      </w:r>
      <w:r>
        <w:rPr>
          <w:rFonts w:ascii="Times New Roman" w:cs="Times New Roman" w:eastAsia="Times New Roman" w:hAnsi="Times New Roman"/>
          <w:sz w:val="22"/>
          <w:szCs w:val="22"/>
          <w:color w:val="auto"/>
        </w:rPr>
        <w:t>, or (vi) if a Similar Item has been presented at the most recent annual meeting or at any special meeting held within one year prior to receipt by the Secretary of such demand to call a special meeting; it being understood that with respect to subsections (iv) and (vi), the election of directors at the preceding annual meeting of stockholders shall be deemed not to constitute a Similar Item in respect of a proposal to remove one or more directors or the entire Board of Directors at a stockholder requested special meeting.</w:t>
      </w:r>
    </w:p>
    <w:p>
      <w:pPr>
        <w:spacing w:after="0" w:line="138" w:lineRule="exact"/>
        <w:rPr>
          <w:rFonts w:ascii="Times New Roman" w:cs="Times New Roman" w:eastAsia="Times New Roman" w:hAnsi="Times New Roman"/>
          <w:sz w:val="22"/>
          <w:szCs w:val="22"/>
          <w:color w:val="auto"/>
        </w:rPr>
      </w:pPr>
    </w:p>
    <w:p>
      <w:pPr>
        <w:ind w:left="-8" w:right="20" w:firstLine="8"/>
        <w:spacing w:after="0" w:line="249" w:lineRule="auto"/>
        <w:tabs>
          <w:tab w:leader="none" w:pos="29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receipt of demands in proper form and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from a stockholder or stockholders holding the Requisite Percentage, the Board of Directors shall duly call, and determine the place, date and time of, a special meeting of stockholders for the purpose or purposes and to conduct the business specified in the demands received by the Corporation. The record date for notice and voting for such a special meeting shall be fixed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of these Bylaws. The Board of Directors shall provide written notice of such special meeting to the stockholders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Notwithstanding anything in these Bylaws to the contrary, the Board of Directors may (i) submit its own proposal or proposals for consideration at such a special meeting or (ii) in lieu of calling the special meeting demanded by a stockholder or stockholders holding the Requisite Percentage, present a Similar Item for stockholder approval at any other meeting of stockholders that is held within 90 days after the date on which the Corporation receives written demands for a special meeting from a stockholder or stockholders holding the Requisite Percentage.</w:t>
      </w:r>
    </w:p>
    <w:p>
      <w:pPr>
        <w:spacing w:after="0" w:line="129" w:lineRule="exact"/>
        <w:rPr>
          <w:rFonts w:ascii="Times New Roman" w:cs="Times New Roman" w:eastAsia="Times New Roman" w:hAnsi="Times New Roman"/>
          <w:sz w:val="22"/>
          <w:szCs w:val="22"/>
          <w:color w:val="auto"/>
        </w:rPr>
      </w:pPr>
    </w:p>
    <w:p>
      <w:pPr>
        <w:ind w:left="-8" w:firstLine="8"/>
        <w:spacing w:after="0" w:line="250" w:lineRule="auto"/>
        <w:tabs>
          <w:tab w:leader="none" w:pos="29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special meeting called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stockholder or stockholders (except for any Solicited Stockholder) who requested that the Board of Directors fix a record date for notice and voting for the special meeting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who delivered a demand to call a special meeting to the Secretary shall further update and supplement the information previously provided to the Corporation in connection with such request or demand, if necessary, so that the information provided or required to be provided in such request or demand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be true and correct as of the record date for notice of the special meeting, and such update and supplement shall be delivered to, or mailed and received by, the Secretary at the principal executive offices of the Corporation not later than eight business days after the record date for notice of the special meeting.</w:t>
      </w:r>
    </w:p>
    <w:p>
      <w:pPr>
        <w:sectPr>
          <w:pgSz w:w="11900" w:h="16838" w:orient="portrait"/>
          <w:cols w:equalWidth="0" w:num="1">
            <w:col w:w="11232"/>
          </w:cols>
          <w:pgMar w:left="328" w:top="1422" w:right="339" w:bottom="1440" w:gutter="0" w:footer="0" w:header="0"/>
        </w:sectPr>
      </w:pPr>
    </w:p>
    <w:bookmarkStart w:id="94" w:name="page95"/>
    <w:bookmarkEnd w:id="94"/>
    <w:p>
      <w:pPr>
        <w:ind w:firstLine="8"/>
        <w:spacing w:after="0" w:line="250" w:lineRule="auto"/>
        <w:tabs>
          <w:tab w:leader="none" w:pos="25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these Bylaws to the contrary, the Secretary shall not be required to call a special meeting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except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If the Board of Directors shall determine that any request to fix a record date for notice and voting for the special meeting or demand to call and hold a special meeting was not properly made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shall determine that the stockholder or stockholders requesting that the Board of Directors fix such record date or submitting a demand to call the special meeting have not otherwise complied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then the Board of Directors shall not be required to fix such record date or to call and hold the special meeting. In addition to the requirements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each Requesting Person shall comply with all requirements of applicable law, including all requirements of the Exchange Act, with respect to any request to fix a record date for notice and voting for the special meeting or demand to call a special meeting.</w:t>
      </w:r>
    </w:p>
    <w:p>
      <w:pPr>
        <w:spacing w:after="0" w:line="1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Location of Meetings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meetings of the stockholders for any purpose may be held, within or without the State of Delaware, at such time and place as shall be designated from time to time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List of Stockholders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Secretary shall cause to be prepared a complete list of stockholders entitled to vote at any meeting of the stockholders, arranged in alphabetical order and showing the address of each stockholder and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days ending on the day before the meeting date, at the election of the Corporation, either: (i) on a reasonably accessible electronic network,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w:t>
      </w:r>
    </w:p>
    <w:p>
      <w:pPr>
        <w:spacing w:after="0" w:line="13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Voting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Unless otherwise required by applicable law, the Certificate of Incorporation, these Bylaws, or the rules or regulations of any stock exchange applicable to the Corporation, any question brought before any meeting of the stockholders, other than the election of Directors, shall be decided by the affirmative vote of the holders of a majority of the total number of votes of the Corporation’s capital stock present in person or represented by proxy at the meeting and entitled to vote on the subject matter, voting as a single class. Except as otherwise required by applicable law, by the Certificate of Incorporation, or by these Bylaws, each stockholder entitled to vote shall, at every meeting of the stockholders, be entitled to one vote in person or by proxy (as described below) for each share of voting stock held by him. Such right to vote shall be subject to the right of the Board of Directors to fix a record date for voting stockholders as hereinafter provided. The Board of Directors, in its discretion, or the Officer of the Corporation presiding at a meeting of the stockholders, in such Officer’s discretion, may require that any votes cast at such meeting shall be cast by written ballot. Any action required or</w:t>
      </w:r>
    </w:p>
    <w:p>
      <w:pPr>
        <w:sectPr>
          <w:pgSz w:w="11900" w:h="16838" w:orient="portrait"/>
          <w:cols w:equalWidth="0" w:num="1">
            <w:col w:w="11240"/>
          </w:cols>
          <w:pgMar w:left="320" w:top="1422" w:right="339" w:bottom="1440" w:gutter="0" w:footer="0" w:header="0"/>
        </w:sectPr>
      </w:pPr>
    </w:p>
    <w:bookmarkStart w:id="95" w:name="page96"/>
    <w:bookmarkEnd w:id="95"/>
    <w:p>
      <w:pPr>
        <w:ind w:right="660"/>
        <w:spacing w:after="0" w:line="271" w:lineRule="auto"/>
        <w:rPr>
          <w:sz w:val="20"/>
          <w:szCs w:val="20"/>
          <w:color w:val="auto"/>
        </w:rPr>
      </w:pPr>
      <w:r>
        <w:rPr>
          <w:rFonts w:ascii="Times New Roman" w:cs="Times New Roman" w:eastAsia="Times New Roman" w:hAnsi="Times New Roman"/>
          <w:sz w:val="22"/>
          <w:szCs w:val="22"/>
          <w:color w:val="auto"/>
        </w:rPr>
        <w:t>permitted to be taken by the stockholders of the Corporation must be effected at a duly called annual or special meeting of stockholders of the Corporation.</w:t>
      </w:r>
    </w:p>
    <w:p>
      <w:pPr>
        <w:spacing w:after="0" w:line="1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Proxies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stockholder entitled to vote at a meeting of stockholders may authorize another person or persons to act for him or her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Any proxy is suspended when the person executing the proxy is present at a meeting of stockholders and elects to vote, except that when such proxy is coupled with an interest and the fact of the interest appears on the face of the proxy, the agent named in the proxy shall have all voting and other rights referred to in the proxy, notwithstanding the presence of the person executing the proxy.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spacing w:after="0" w:line="1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Without limiting the manner in which a stockholder may authorize another person or persons to act for such stockholder as proxy, the following shall constitute a valid means by which a stockholder may grant such authority:</w:t>
      </w:r>
    </w:p>
    <w:p>
      <w:pPr>
        <w:spacing w:after="0" w:line="90" w:lineRule="exact"/>
        <w:rPr>
          <w:sz w:val="20"/>
          <w:szCs w:val="20"/>
          <w:color w:val="auto"/>
        </w:rPr>
      </w:pPr>
    </w:p>
    <w:p>
      <w:pPr>
        <w:ind w:firstLine="8"/>
        <w:spacing w:after="0" w:line="252" w:lineRule="auto"/>
        <w:tabs>
          <w:tab w:leader="none" w:pos="2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38" w:lineRule="exact"/>
        <w:rPr>
          <w:rFonts w:ascii="Times New Roman" w:cs="Times New Roman" w:eastAsia="Times New Roman" w:hAnsi="Times New Roman"/>
          <w:sz w:val="22"/>
          <w:szCs w:val="22"/>
          <w:color w:val="auto"/>
        </w:rPr>
      </w:pPr>
    </w:p>
    <w:p>
      <w:pPr>
        <w:ind w:right="20" w:firstLine="8"/>
        <w:spacing w:after="0" w:line="249" w:lineRule="auto"/>
        <w:tabs>
          <w:tab w:leader="none" w:pos="30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stockholder may authorize another person or persons to act for such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telegram, cablegram or other means of electronic transmission must either set forth or be submitted with information from which it can be determined that the telegram, cablegram or other electronic transmission was authorized by the stockholder. If it is determined that such telegrams, cablegrams or other electronic transmissions are valid, the inspectors or, if there are no inspectors, such other persons making that determination shall specify the information, on which they relied.</w:t>
      </w:r>
    </w:p>
    <w:p>
      <w:pPr>
        <w:spacing w:after="0" w:line="12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21"/>
          <w:szCs w:val="21"/>
          <w:color w:val="auto"/>
        </w:rPr>
        <w:t xml:space="preserve">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copy, facsimile telecommunication or other reproduction shall be a complete reproduction of the entire original writing or transmission.</w:t>
      </w:r>
    </w:p>
    <w:p>
      <w:pPr>
        <w:sectPr>
          <w:pgSz w:w="11900" w:h="16838" w:orient="portrait"/>
          <w:cols w:equalWidth="0" w:num="1">
            <w:col w:w="11220"/>
          </w:cols>
          <w:pgMar w:left="320" w:top="1422" w:right="359" w:bottom="1440" w:gutter="0" w:footer="0" w:header="0"/>
        </w:sectPr>
      </w:pPr>
    </w:p>
    <w:bookmarkStart w:id="96" w:name="page97"/>
    <w:bookmarkEnd w:id="96"/>
    <w:p>
      <w:pPr>
        <w:ind w:right="320"/>
        <w:spacing w:after="0" w:line="271"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the exclusive use by the Board of Directors.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u w:val="single" w:color="auto"/>
          <w:color w:val="auto"/>
        </w:rPr>
        <w:t>Nature of Business at Annual Meetings of Stockholders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firstLine="8"/>
        <w:spacing w:after="0" w:line="259" w:lineRule="auto"/>
        <w:tabs>
          <w:tab w:leader="none" w:pos="29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 annual meeting of the stockholders, only such business shall be conducted as shall have been properly brought before the meeting. To be properly brought before an annual meeting, business must be (i) brought before the meeting by the Board of Directors and specified in a notice of meeting given by or at the direction of the Board of Directors or (ii) otherwise properly brought before the meeting by a stockholder present in person who (A) (1) was a beneficial owner of shares of the Corporation both at the time of giving the notice provided for in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and at the time of the meeting, (2) is entitled to vote at the meeting, and (3) has complied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in all applicable respects, (B) properly made such proposal in accordance with Rule 14a-8 under the Exchange Act or (C) is an Eligible Stockholder (as defined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in accordance with the procedures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The foregoing clause (ii) shall be the exclusive means for a stockholder to propose business to be brought before an annual meeting of the stockholders. The only matters that may be brought before a special meeting are the matters specified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“present in person” shall mean that the stockholder proposing that the business be brought before the annual meeting of the Corporation, or, if the proposing stockholder is not an individual, a qualified representative of such proposing stockholder, appear at such annual meeting. A “qualified representative” of such proposing stockholder shall be, if such proposing stockholder is (i) a general or limited partnership, any general partner or person who functions as a general partner of the general or limited partnership or who controls the general or limited partnership, (ii) a trust, any trustee of the trust, or (iii) a corporation, limited liability company or other entity, any officer or person who functions as an officer of the corporation, limited liability company or other entity or any officer, director, general partner or person who functions as an officer, director or general partner of any entity ultimately in control of the corporation, limited liability company or other entity. Stockholders seeking to nominate persons for election to the Board of Directors must comply with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and 7 or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as applicable, and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not be applicable to nominations except as expressly provided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and 7.</w:t>
      </w:r>
    </w:p>
    <w:p>
      <w:pPr>
        <w:spacing w:after="0" w:line="120" w:lineRule="exact"/>
        <w:rPr>
          <w:rFonts w:ascii="Times New Roman" w:cs="Times New Roman" w:eastAsia="Times New Roman" w:hAnsi="Times New Roman"/>
          <w:sz w:val="21"/>
          <w:szCs w:val="21"/>
          <w:color w:val="auto"/>
        </w:rPr>
      </w:pPr>
    </w:p>
    <w:p>
      <w:pPr>
        <w:ind w:firstLine="8"/>
        <w:spacing w:after="0" w:line="249" w:lineRule="auto"/>
        <w:tabs>
          <w:tab w:leader="none" w:pos="3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any other applicable requirements, for business to be properly brought before an annual meeting by a stockholder, the stockholder must (i) (x) provide Timely Notice (as defined below) thereof in writing and in proper form to the Secretary of the Corporation and (y) provide any updates or supplements to such notice at the times and in the forms required by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(ii) comply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To be timely, a stockholder’s notice must be delivered to, or mailed and received at, the principal executive offices of the Corporation not less than 90 days nor more than 120 days prior to the one-year anniversary of the preceding year’s annual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date of the annual meeting is more than 30 days before or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(such notice within such time periods, “</w:t>
      </w:r>
      <w:r>
        <w:rPr>
          <w:rFonts w:ascii="Times New Roman" w:cs="Times New Roman" w:eastAsia="Times New Roman" w:hAnsi="Times New Roman"/>
          <w:sz w:val="22"/>
          <w:szCs w:val="22"/>
          <w:u w:val="single" w:color="auto"/>
          <w:color w:val="auto"/>
        </w:rPr>
        <w:t>Timely Notice</w:t>
      </w:r>
      <w:r>
        <w:rPr>
          <w:rFonts w:ascii="Times New Roman" w:cs="Times New Roman" w:eastAsia="Times New Roman" w:hAnsi="Times New Roman"/>
          <w:sz w:val="22"/>
          <w:szCs w:val="22"/>
          <w:color w:val="auto"/>
        </w:rPr>
        <w:t>”). In no event shall any</w:t>
      </w:r>
    </w:p>
    <w:p>
      <w:pPr>
        <w:sectPr>
          <w:pgSz w:w="11900" w:h="16838" w:orient="portrait"/>
          <w:cols w:equalWidth="0" w:num="1">
            <w:col w:w="11220"/>
          </w:cols>
          <w:pgMar w:left="320" w:top="1422" w:right="359" w:bottom="1440" w:gutter="0" w:footer="0" w:header="0"/>
        </w:sectPr>
      </w:pPr>
    </w:p>
    <w:bookmarkStart w:id="97" w:name="page98"/>
    <w:bookmarkEnd w:id="97"/>
    <w:p>
      <w:pPr>
        <w:ind w:right="160"/>
        <w:spacing w:after="0" w:line="271" w:lineRule="auto"/>
        <w:rPr>
          <w:sz w:val="20"/>
          <w:szCs w:val="20"/>
          <w:color w:val="auto"/>
        </w:rPr>
      </w:pPr>
      <w:r>
        <w:rPr>
          <w:rFonts w:ascii="Times New Roman" w:cs="Times New Roman" w:eastAsia="Times New Roman" w:hAnsi="Times New Roman"/>
          <w:sz w:val="22"/>
          <w:szCs w:val="22"/>
          <w:color w:val="auto"/>
        </w:rPr>
        <w:t>adjournment or postponement of an annual meeting or the announcement thereof commence a new time period for the giving of Timely Notice as described above.</w:t>
      </w:r>
    </w:p>
    <w:p>
      <w:pPr>
        <w:spacing w:after="0" w:line="104"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in proper form 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 stockholder’s notice to the Secretary shall set forth:</w:t>
      </w:r>
    </w:p>
    <w:p>
      <w:pPr>
        <w:spacing w:after="0" w:line="179" w:lineRule="exact"/>
        <w:rPr>
          <w:rFonts w:ascii="Times New Roman" w:cs="Times New Roman" w:eastAsia="Times New Roman" w:hAnsi="Times New Roman"/>
          <w:sz w:val="22"/>
          <w:szCs w:val="22"/>
          <w:color w:val="auto"/>
        </w:rPr>
      </w:pPr>
    </w:p>
    <w:p>
      <w:pPr>
        <w:ind w:left="340" w:right="20" w:hanging="8"/>
        <w:spacing w:after="0" w:line="261" w:lineRule="auto"/>
        <w:tabs>
          <w:tab w:leader="none" w:pos="598"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Persons,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w:t>
      </w:r>
    </w:p>
    <w:p>
      <w:pPr>
        <w:ind w:left="3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are referred to as “</w:t>
      </w:r>
      <w:r>
        <w:rPr>
          <w:rFonts w:ascii="Times New Roman" w:cs="Times New Roman" w:eastAsia="Times New Roman" w:hAnsi="Times New Roman"/>
          <w:sz w:val="22"/>
          <w:szCs w:val="22"/>
          <w:u w:val="single" w:color="auto"/>
          <w:color w:val="auto"/>
        </w:rPr>
        <w:t>Stockholder Information</w:t>
      </w:r>
      <w:r>
        <w:rPr>
          <w:rFonts w:ascii="Times New Roman" w:cs="Times New Roman" w:eastAsia="Times New Roman" w:hAnsi="Times New Roman"/>
          <w:sz w:val="22"/>
          <w:szCs w:val="22"/>
          <w:color w:val="auto"/>
        </w:rPr>
        <w:t>”);</w:t>
      </w:r>
    </w:p>
    <w:p>
      <w:pPr>
        <w:spacing w:after="0" w:line="141" w:lineRule="exact"/>
        <w:rPr>
          <w:rFonts w:ascii="Times New Roman" w:cs="Times New Roman" w:eastAsia="Times New Roman" w:hAnsi="Times New Roman"/>
          <w:sz w:val="21"/>
          <w:szCs w:val="21"/>
          <w:color w:val="auto"/>
        </w:rPr>
      </w:pPr>
    </w:p>
    <w:p>
      <w:pPr>
        <w:ind w:left="340" w:hanging="8"/>
        <w:spacing w:after="0" w:line="246" w:lineRule="auto"/>
        <w:tabs>
          <w:tab w:leader="none" w:pos="65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22"/>
          <w:szCs w:val="22"/>
          <w:u w:val="single" w:color="auto"/>
          <w:color w:val="auto"/>
        </w:rPr>
        <w:t>Synthetic Equity Position</w:t>
      </w:r>
      <w:r>
        <w:rPr>
          <w:rFonts w:ascii="Times New Roman" w:cs="Times New Roman" w:eastAsia="Times New Roman" w:hAnsi="Times New Roman"/>
          <w:sz w:val="22"/>
          <w:szCs w:val="22"/>
          <w:color w:val="auto"/>
        </w:rPr>
        <w:t xml:space="preserve">”) and that is, directly or indirectly, held or maintained by such Proposing Person with respect to any shares of any class or series of shares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and (F) any other information relating to such Proposing Person that</w:t>
      </w:r>
    </w:p>
    <w:p>
      <w:pPr>
        <w:sectPr>
          <w:pgSz w:w="11900" w:h="16838" w:orient="portrait"/>
          <w:cols w:equalWidth="0" w:num="1">
            <w:col w:w="11220"/>
          </w:cols>
          <w:pgMar w:left="320" w:top="1422" w:right="359" w:bottom="1440" w:gutter="0" w:footer="0" w:header="0"/>
        </w:sectPr>
      </w:pPr>
    </w:p>
    <w:bookmarkStart w:id="98" w:name="page99"/>
    <w:bookmarkEnd w:id="98"/>
    <w:p>
      <w:pPr>
        <w:ind w:left="340" w:right="140"/>
        <w:spacing w:after="0" w:line="250" w:lineRule="auto"/>
        <w:rPr>
          <w:sz w:val="20"/>
          <w:szCs w:val="20"/>
          <w:color w:val="auto"/>
        </w:rPr>
      </w:pPr>
      <w:r>
        <w:rPr>
          <w:rFonts w:ascii="Times New Roman" w:cs="Times New Roman" w:eastAsia="Times New Roman" w:hAnsi="Times New Roman"/>
          <w:sz w:val="22"/>
          <w:szCs w:val="22"/>
          <w:color w:val="auto"/>
        </w:rPr>
        <w:t>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(F) are referred to as “</w:t>
      </w:r>
      <w:r>
        <w:rPr>
          <w:rFonts w:ascii="Times New Roman" w:cs="Times New Roman" w:eastAsia="Times New Roman" w:hAnsi="Times New Roman"/>
          <w:sz w:val="22"/>
          <w:szCs w:val="22"/>
          <w:u w:val="single" w:color="auto"/>
          <w:color w:val="auto"/>
        </w:rPr>
        <w:t>Disclosable Interests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26" w:lineRule="exact"/>
        <w:rPr>
          <w:sz w:val="20"/>
          <w:szCs w:val="20"/>
          <w:color w:val="auto"/>
        </w:rPr>
      </w:pPr>
    </w:p>
    <w:p>
      <w:pPr>
        <w:ind w:left="340" w:hanging="8"/>
        <w:spacing w:after="0" w:line="260" w:lineRule="auto"/>
        <w:tabs>
          <w:tab w:leader="none" w:pos="71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disclosures required by this paragraph</w:t>
      </w:r>
    </w:p>
    <w:p>
      <w:pPr>
        <w:spacing w:after="0" w:line="5" w:lineRule="exact"/>
        <w:rPr>
          <w:rFonts w:ascii="Times New Roman" w:cs="Times New Roman" w:eastAsia="Times New Roman" w:hAnsi="Times New Roman"/>
          <w:sz w:val="21"/>
          <w:szCs w:val="21"/>
          <w:color w:val="auto"/>
        </w:rPr>
      </w:pPr>
    </w:p>
    <w:p>
      <w:pPr>
        <w:jc w:val="both"/>
        <w:ind w:left="340" w:right="300" w:hanging="8"/>
        <w:spacing w:after="0" w:line="245" w:lineRule="auto"/>
        <w:tabs>
          <w:tab w:leader="none" w:pos="71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4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Proposing Person</w:t>
      </w:r>
      <w:r>
        <w:rPr>
          <w:rFonts w:ascii="Times New Roman" w:cs="Times New Roman" w:eastAsia="Times New Roman" w:hAnsi="Times New Roman"/>
          <w:sz w:val="22"/>
          <w:szCs w:val="22"/>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25" w:lineRule="exact"/>
        <w:rPr>
          <w:sz w:val="20"/>
          <w:szCs w:val="20"/>
          <w:color w:val="auto"/>
        </w:rPr>
      </w:pPr>
    </w:p>
    <w:p>
      <w:pPr>
        <w:ind w:right="100" w:firstLine="8"/>
        <w:spacing w:after="0" w:line="249" w:lineRule="auto"/>
        <w:tabs>
          <w:tab w:leader="none" w:pos="3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w:t>
      </w:r>
    </w:p>
    <w:p>
      <w:pPr>
        <w:sectPr>
          <w:pgSz w:w="11900" w:h="16838" w:orient="portrait"/>
          <w:cols w:equalWidth="0" w:num="1">
            <w:col w:w="11220"/>
          </w:cols>
          <w:pgMar w:left="320" w:top="1422" w:right="359" w:bottom="1440" w:gutter="0" w:footer="0" w:header="0"/>
        </w:sectPr>
      </w:pPr>
    </w:p>
    <w:bookmarkStart w:id="99" w:name="page100"/>
    <w:bookmarkEnd w:id="99"/>
    <w:p>
      <w:pPr>
        <w:jc w:val="both"/>
        <w:ind w:right="400" w:firstLine="8"/>
        <w:spacing w:after="0" w:line="256" w:lineRule="auto"/>
        <w:tabs>
          <w:tab w:leader="none" w:pos="2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these Bylaws to the contrary, no business shall be conducted at an annual meeting except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If the Board determines that the business was not properly brought before the meeting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chairman of the meeting shall so declare to the meeting and any such business shall not be considered or transacted.</w:t>
      </w:r>
    </w:p>
    <w:p>
      <w:pPr>
        <w:spacing w:after="0" w:line="122" w:lineRule="exact"/>
        <w:rPr>
          <w:rFonts w:ascii="Times New Roman" w:cs="Times New Roman" w:eastAsia="Times New Roman" w:hAnsi="Times New Roman"/>
          <w:sz w:val="22"/>
          <w:szCs w:val="22"/>
          <w:color w:val="auto"/>
        </w:rPr>
      </w:pPr>
    </w:p>
    <w:p>
      <w:pPr>
        <w:ind w:firstLine="8"/>
        <w:spacing w:after="0" w:line="249" w:lineRule="auto"/>
        <w:tabs>
          <w:tab w:leader="none" w:pos="27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is expressly intended to apply to any business proposed to be brought before an annual meeting of stockholders other than any proposal made pursuant to Rule 14a-8 under the Exchange Act and any Proxy Access Notice (as defined below) submitted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In addition to the requirements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be deemed to affect the rights of stockholders to request inclusion of proposals in the Corporation’s proxy statement pursuant to Rule 14a-8 under the Exchange Act or the ability of any Eligible Stockholder (as defined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to request inclusion of a Nominee in the Corporation’s proxy statement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27" w:lineRule="exact"/>
        <w:rPr>
          <w:rFonts w:ascii="Times New Roman" w:cs="Times New Roman" w:eastAsia="Times New Roman" w:hAnsi="Times New Roman"/>
          <w:sz w:val="22"/>
          <w:szCs w:val="22"/>
          <w:color w:val="auto"/>
        </w:rPr>
      </w:pPr>
    </w:p>
    <w:p>
      <w:pPr>
        <w:ind w:firstLine="8"/>
        <w:spacing w:after="0" w:line="263" w:lineRule="auto"/>
        <w:tabs>
          <w:tab w:leader="none" w:pos="30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w:t>
      </w:r>
      <w:r>
        <w:rPr>
          <w:rFonts w:ascii="Times New Roman" w:cs="Times New Roman" w:eastAsia="Times New Roman" w:hAnsi="Times New Roman"/>
          <w:sz w:val="22"/>
          <w:szCs w:val="22"/>
          <w:u w:val="single" w:color="auto"/>
          <w:color w:val="auto"/>
        </w:rPr>
        <w:t>public disclosure</w:t>
      </w:r>
      <w:r>
        <w:rPr>
          <w:rFonts w:ascii="Times New Roman" w:cs="Times New Roman" w:eastAsia="Times New Roman" w:hAnsi="Times New Roman"/>
          <w:sz w:val="22"/>
          <w:szCs w:val="22"/>
          <w:color w:val="auto"/>
        </w:rPr>
        <w:t>” shall mean disclosure in a press release reported by a national news service or in a document publicly filed by the Corporation with the Securities and Exchange Commission (the “Commission”) pursuant to Sections 13, 14 or 15(d) of the Exchange Act.</w:t>
      </w:r>
    </w:p>
    <w:p>
      <w:pPr>
        <w:spacing w:after="0" w:line="10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i w:val="1"/>
          <w:iCs w:val="1"/>
          <w:u w:val="single" w:color="auto"/>
          <w:color w:val="auto"/>
        </w:rPr>
        <w:t>Notice to Stockholders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Whenever stockholders are required or permitted to take any action at a meeting, a written notice of the meeting shall be given, which shall state the place, if any, date and hour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required by law, written notice of any meeting shall be given not less than ten nor more than 60 days before the date of the meeting to each stockholder entitled to notice of and to vote at such meeting.</w:t>
      </w:r>
    </w:p>
    <w:p>
      <w:pPr>
        <w:spacing w:after="0" w:line="11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i w:val="1"/>
          <w:iCs w:val="1"/>
          <w:u w:val="single" w:color="auto"/>
          <w:color w:val="auto"/>
        </w:rPr>
        <w:t>Quorum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Unless otherwise required by applicable law or the Certificate of Incorporation, the holders of a majority in voting power of the Corporation’s capital stock issued and outstanding and entitled to vote at a meeting of stockholders,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chairman of the meeting or the stockholders entitled to vote at the meeting, present in person or represented by proxy, shall have the power to adjourn the meeting from time to time without further notice until a quorum shall be present or represented.</w:t>
      </w:r>
    </w:p>
    <w:p>
      <w:pPr>
        <w:spacing w:after="0" w:line="126"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u w:val="single" w:color="auto"/>
          <w:color w:val="auto"/>
        </w:rPr>
        <w:t>Adjournment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chairman of the meeting may adjourn any meeting of the stockholders from time to time to reconvene at the same or some other place. Notice need not be given of any adjourned meeting if the time and place, if any, thereof and the means of remote</w:t>
      </w:r>
    </w:p>
    <w:p>
      <w:pPr>
        <w:sectPr>
          <w:pgSz w:w="11900" w:h="16838" w:orient="portrait"/>
          <w:cols w:equalWidth="0" w:num="1">
            <w:col w:w="11180"/>
          </w:cols>
          <w:pgMar w:left="320" w:top="1422" w:right="399" w:bottom="1440" w:gutter="0" w:footer="0" w:header="0"/>
        </w:sectPr>
      </w:pPr>
    </w:p>
    <w:bookmarkStart w:id="100" w:name="page101"/>
    <w:bookmarkEnd w:id="100"/>
    <w:p>
      <w:pPr>
        <w:spacing w:after="0" w:line="251" w:lineRule="auto"/>
        <w:rPr>
          <w:sz w:val="20"/>
          <w:szCs w:val="20"/>
          <w:color w:val="auto"/>
        </w:rPr>
      </w:pPr>
      <w:r>
        <w:rPr>
          <w:rFonts w:ascii="Times New Roman" w:cs="Times New Roman" w:eastAsia="Times New Roman" w:hAnsi="Times New Roman"/>
          <w:sz w:val="22"/>
          <w:szCs w:val="22"/>
          <w:color w:val="auto"/>
        </w:rPr>
        <w:t xml:space="preserve">communications, if any, by which stockholders and proxyholders may be deemed to be present in person and vote at such adjourned meeting are announced at the meeting at which the adjournment is taken or are provided in any other manner permitted by the DGCL. At the adjourned meeting, the Corporation may transact any business which might have been transacted at the original meeting. If the adjournment is for more than 30 days, or if after the adjournment a new record date is fixed for the adjourned meeting, notice of the adjourned meeting in accordance with the requirements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be given to each stockholder of record entitled to notice of and to vote at the meeting.</w:t>
      </w:r>
    </w:p>
    <w:p>
      <w:pPr>
        <w:spacing w:after="0" w:line="12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u w:val="single" w:color="auto"/>
          <w:color w:val="auto"/>
        </w:rPr>
        <w:t>Record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order that the Corporation may determine the stockholders entitled to notice of or to vote at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no record date is fixed by the Board of Directors,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Board of Directors may fix a new record date for the adjourned meeting.</w:t>
      </w:r>
    </w:p>
    <w:p>
      <w:pPr>
        <w:spacing w:after="0" w:line="12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i w:val="1"/>
          <w:iCs w:val="1"/>
          <w:u w:val="single" w:color="auto"/>
          <w:color w:val="auto"/>
        </w:rPr>
        <w:t>Stock Ledger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stock ledger of the Corporation shall be the only evidence as to who are the stockholders entitled to examine the stock ledger, the list required by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the books of the Corporation, or to vote in person or by proxy at any meeting of the stockholders. For these purposes, the stock ledger shall include the Foreign Stock Record described in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of these Bylaws and all the provisions of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governing the maintenance and use of the Foreign Stock Record.</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i w:val="1"/>
          <w:iCs w:val="1"/>
          <w:u w:val="single" w:color="auto"/>
          <w:color w:val="auto"/>
        </w:rPr>
        <w:t>Conduct of Meetings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Board of Directors may adopt by resolution such rules and regulations for the conduct of any meeting of the stockholders as it shall deem appropriate. Except to the extent inconsistent with such rules and regulations as adopted by the Board of Directors, the chairman of any meeting of the stockholders (who shall be one of the members the Board of Directors or the Chief Executive Officer),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(d) limitations on attendance at or participation in the meeting to stockholders of record of the Corporation, their duly authorized and constituted proxies or such other persons as the chairman of the meeting shall determine; (e) restrictions on entry to the meeting after the time fixed for the commencement thereof; and (f) limitations on the time allotted to questions or comments by participants.</w:t>
      </w:r>
    </w:p>
    <w:p>
      <w:pPr>
        <w:sectPr>
          <w:pgSz w:w="11900" w:h="16838" w:orient="portrait"/>
          <w:cols w:equalWidth="0" w:num="1">
            <w:col w:w="11220"/>
          </w:cols>
          <w:pgMar w:left="320" w:top="1422" w:right="359" w:bottom="1440" w:gutter="0" w:footer="0" w:header="0"/>
        </w:sectPr>
      </w:pPr>
    </w:p>
    <w:bookmarkStart w:id="101" w:name="page102"/>
    <w:bookmarkEnd w:id="101"/>
    <w:p>
      <w:pPr>
        <w:ind w:right="100"/>
        <w:spacing w:after="0" w:line="263"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i w:val="1"/>
          <w:iCs w:val="1"/>
          <w:u w:val="single" w:color="auto"/>
          <w:color w:val="auto"/>
        </w:rPr>
        <w:t>Inspectors of Meeting</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In advance of any meeting of the stockholders, the Board of Directors, by resolution, the Chairman of the Board or the Chief Executive Officer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chairman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Directors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Number of Directors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Board of Directors shall consist of not less than one nor more than 15 members, the exact number of which shall be fixed from time to time by resolution adopted by the affirmative vote of a majority of the Board of Directors then in office, except as otherwise set forth in the Certificate of Incorporation or these Bylaws. Directors need not be stockholders.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Nomination of Directors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right="20" w:firstLine="8"/>
        <w:spacing w:after="0" w:line="259" w:lineRule="auto"/>
        <w:tabs>
          <w:tab w:leader="none" w:pos="29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(ii) by a stockholder present in person (A) who was a beneficial owner of shares of the Corporation both at the time of giving the notice provided for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at the time of the meeting, (B) is entitled to vote at the meeting, and (C) has complied with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2 and 7</w:t>
      </w:r>
      <w:r>
        <w:rPr>
          <w:rFonts w:ascii="Times New Roman" w:cs="Times New Roman" w:eastAsia="Times New Roman" w:hAnsi="Times New Roman"/>
          <w:sz w:val="21"/>
          <w:szCs w:val="21"/>
          <w:color w:val="auto"/>
        </w:rPr>
        <w:t xml:space="preserve"> as to such notice and nomination or (iii) by any Eligible Stockholder (as defined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in accordance with the procedures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present in person</w:t>
      </w:r>
      <w:r>
        <w:rPr>
          <w:rFonts w:ascii="Times New Roman" w:cs="Times New Roman" w:eastAsia="Times New Roman" w:hAnsi="Times New Roman"/>
          <w:sz w:val="21"/>
          <w:szCs w:val="21"/>
          <w:color w:val="auto"/>
        </w:rPr>
        <w:t>” shall mean that the stockholder proposing that the business be brought before the meeting of the Corporation, or, if the proposing stockholder is not an individual, a qualified representative of such proposing stockholder, appear at such meeting. A “qualified representative” of such proposing stockholder shall be, if such proposing stockholder is (i) a general or limited partnership, any general partner or person who functions as a general partner of the general or limited partnership or who controls the general or limited partnership,</w:t>
      </w:r>
    </w:p>
    <w:p>
      <w:pPr>
        <w:spacing w:after="0" w:line="1" w:lineRule="exact"/>
        <w:rPr>
          <w:rFonts w:ascii="Times New Roman" w:cs="Times New Roman" w:eastAsia="Times New Roman" w:hAnsi="Times New Roman"/>
          <w:sz w:val="21"/>
          <w:szCs w:val="21"/>
          <w:color w:val="auto"/>
        </w:rPr>
      </w:pPr>
    </w:p>
    <w:p>
      <w:pPr>
        <w:ind w:right="480" w:firstLine="8"/>
        <w:spacing w:after="0" w:line="265" w:lineRule="auto"/>
        <w:tabs>
          <w:tab w:leader="none" w:pos="31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trust, any trustee of the trust or (iii) a corporation, limited liability company or other entity, any officer or person who functions as an officer of the corporation, limited liability company or other entity or any officer, director, general partner or person who functions as an officer, director or general partner of any entity ultimately in control of the corporation, limited liability company or other entity. The foregoing clauses (ii) and (iii) shall be the exclusive means for a stockholder to</w:t>
      </w:r>
    </w:p>
    <w:p>
      <w:pPr>
        <w:sectPr>
          <w:pgSz w:w="11900" w:h="16838" w:orient="portrait"/>
          <w:cols w:equalWidth="0" w:num="1">
            <w:col w:w="11220"/>
          </w:cols>
          <w:pgMar w:left="320" w:top="1418"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make any nomination of a person or persons for election to the Board of Directors at an annual meeting or special meeting.</w:t>
      </w:r>
    </w:p>
    <w:p>
      <w:pPr>
        <w:spacing w:after="0" w:line="16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 xml:space="preserve">(b)(i) In addition to any other applicable requirements, for a stockholder to make any nomination of a person or persons for election to the Board of Directors at an annual meeting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stockholder must (A) provide notice thereof in writing and in proper form to the Secretary of the Corporation delivered to, or mailed and received at, the principal executive offices of the Corporation not less than 90 days nor more than 120 days prior to the one-year anniversary of the preceding year’s annual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date of the annual meeting is more than 30 days before or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(B) provide the information, agreements and questionnaires with respect to such stockholder and its candidate for nomination as required to be set forth by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 and (C) provide any updates or supplements to such notice at the times and in the forms required by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ind w:left="340" w:right="20" w:hanging="8"/>
        <w:spacing w:after="0" w:line="262" w:lineRule="auto"/>
        <w:tabs>
          <w:tab w:leader="none" w:pos="65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such special meeting, the stockholder must (A) provide timely notice thereof in writing and in proper form to the Secretary of the Corporation at the principal executive offices of the Corporation, (B) provide the information with respect to such stockholder and its candidate for nomination as required by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and 7 and (C) provide any updates or supplements to such notice at the times and in the forms required by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To be timely, a stockholder’s notice for nominations to be made at a special meeting must be delivered to, or mailed and received at, the principal executive offices of the Corporation not earlier than the 120th day prior to such special meeting and not later than the 90th day prior to such special meeting or, if later, the tenth day following the day on which public disclosure (as defined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of the date of such special meeting was first made.</w:t>
      </w:r>
    </w:p>
    <w:p>
      <w:pPr>
        <w:spacing w:after="0" w:line="117" w:lineRule="exact"/>
        <w:rPr>
          <w:rFonts w:ascii="Times New Roman" w:cs="Times New Roman" w:eastAsia="Times New Roman" w:hAnsi="Times New Roman"/>
          <w:sz w:val="21"/>
          <w:szCs w:val="21"/>
          <w:color w:val="auto"/>
        </w:rPr>
      </w:pPr>
    </w:p>
    <w:p>
      <w:pPr>
        <w:ind w:left="340" w:right="40" w:hanging="8"/>
        <w:spacing w:after="0" w:line="271" w:lineRule="auto"/>
        <w:tabs>
          <w:tab w:leader="none" w:pos="71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adjournment or postponement of an annual meeting or special meeting or the announcement thereof commence a new time period for the giving of a stockholder’s notice as described above.</w:t>
      </w:r>
    </w:p>
    <w:p>
      <w:pPr>
        <w:spacing w:after="0" w:line="103"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in proper form 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 stockholder’s notice to the Secretary shall set forth:</w:t>
      </w:r>
    </w:p>
    <w:p>
      <w:pPr>
        <w:spacing w:after="0" w:line="179" w:lineRule="exact"/>
        <w:rPr>
          <w:rFonts w:ascii="Times New Roman" w:cs="Times New Roman" w:eastAsia="Times New Roman" w:hAnsi="Times New Roman"/>
          <w:sz w:val="22"/>
          <w:szCs w:val="22"/>
          <w:color w:val="auto"/>
        </w:rPr>
      </w:pPr>
    </w:p>
    <w:p>
      <w:pPr>
        <w:ind w:left="340" w:right="300" w:hanging="8"/>
        <w:spacing w:after="0" w:line="257" w:lineRule="auto"/>
        <w:tabs>
          <w:tab w:leader="none" w:pos="59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Nominating Person (as defined below), the Stockholder Information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w:t>
      </w:r>
      <w:r>
        <w:rPr>
          <w:rFonts w:ascii="Times New Roman" w:cs="Times New Roman" w:eastAsia="Times New Roman" w:hAnsi="Times New Roman"/>
          <w:sz w:val="22"/>
          <w:szCs w:val="22"/>
          <w:color w:val="auto"/>
        </w:rPr>
        <w:t xml:space="preserve">, except that 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u w:val="single" w:color="auto"/>
          <w:color w:val="auto"/>
        </w:rPr>
        <w:t>Nominating Person</w:t>
      </w:r>
      <w:r>
        <w:rPr>
          <w:rFonts w:ascii="Times New Roman" w:cs="Times New Roman" w:eastAsia="Times New Roman" w:hAnsi="Times New Roman"/>
          <w:sz w:val="22"/>
          <w:szCs w:val="22"/>
          <w:color w:val="auto"/>
        </w:rPr>
        <w:t>” shall be substituted for the term “</w:t>
      </w:r>
      <w:r>
        <w:rPr>
          <w:rFonts w:ascii="Times New Roman" w:cs="Times New Roman" w:eastAsia="Times New Roman" w:hAnsi="Times New Roman"/>
          <w:sz w:val="22"/>
          <w:szCs w:val="22"/>
          <w:u w:val="single" w:color="auto"/>
          <w:color w:val="auto"/>
        </w:rPr>
        <w:t>Proposing Person</w:t>
      </w:r>
      <w:r>
        <w:rPr>
          <w:rFonts w:ascii="Times New Roman" w:cs="Times New Roman" w:eastAsia="Times New Roman" w:hAnsi="Times New Roman"/>
          <w:sz w:val="22"/>
          <w:szCs w:val="22"/>
          <w:color w:val="auto"/>
        </w:rPr>
        <w:t xml:space="preserve">” in all places it appears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w:t>
      </w:r>
      <w:r>
        <w:rPr>
          <w:rFonts w:ascii="Times New Roman" w:cs="Times New Roman" w:eastAsia="Times New Roman" w:hAnsi="Times New Roman"/>
          <w:sz w:val="22"/>
          <w:szCs w:val="22"/>
          <w:color w:val="auto"/>
        </w:rPr>
        <w:t>);</w:t>
      </w:r>
    </w:p>
    <w:p>
      <w:pPr>
        <w:spacing w:after="0" w:line="118" w:lineRule="exact"/>
        <w:rPr>
          <w:rFonts w:ascii="Times New Roman" w:cs="Times New Roman" w:eastAsia="Times New Roman" w:hAnsi="Times New Roman"/>
          <w:sz w:val="22"/>
          <w:szCs w:val="22"/>
          <w:color w:val="auto"/>
        </w:rPr>
      </w:pPr>
    </w:p>
    <w:p>
      <w:pPr>
        <w:jc w:val="both"/>
        <w:ind w:left="340" w:hanging="8"/>
        <w:spacing w:after="0" w:line="257" w:lineRule="auto"/>
        <w:tabs>
          <w:tab w:leader="none" w:pos="65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each Nominating Person, any Disclosable Interests (as defined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except that 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u w:val="single" w:color="auto"/>
          <w:color w:val="auto"/>
        </w:rPr>
        <w:t>Nominating Person</w:t>
      </w:r>
      <w:r>
        <w:rPr>
          <w:rFonts w:ascii="Times New Roman" w:cs="Times New Roman" w:eastAsia="Times New Roman" w:hAnsi="Times New Roman"/>
          <w:sz w:val="22"/>
          <w:szCs w:val="22"/>
          <w:color w:val="auto"/>
        </w:rPr>
        <w:t>” shall be substituted for the term “</w:t>
      </w:r>
      <w:r>
        <w:rPr>
          <w:rFonts w:ascii="Times New Roman" w:cs="Times New Roman" w:eastAsia="Times New Roman" w:hAnsi="Times New Roman"/>
          <w:sz w:val="22"/>
          <w:szCs w:val="22"/>
          <w:u w:val="single" w:color="auto"/>
          <w:color w:val="auto"/>
        </w:rPr>
        <w:t>Proposing Person</w:t>
      </w:r>
      <w:r>
        <w:rPr>
          <w:rFonts w:ascii="Times New Roman" w:cs="Times New Roman" w:eastAsia="Times New Roman" w:hAnsi="Times New Roman"/>
          <w:sz w:val="22"/>
          <w:szCs w:val="22"/>
          <w:color w:val="auto"/>
        </w:rPr>
        <w:t xml:space="preserve">” in all places it appears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103" w:name="page104"/>
    <w:bookmarkEnd w:id="103"/>
    <w:p>
      <w:pPr>
        <w:ind w:left="340" w:right="180"/>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and the disclosure with respect to the business to be brought before the meeting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7(c)(ii)</w:t>
      </w:r>
      <w:r>
        <w:rPr>
          <w:rFonts w:ascii="Times New Roman" w:cs="Times New Roman" w:eastAsia="Times New Roman" w:hAnsi="Times New Roman"/>
          <w:sz w:val="22"/>
          <w:szCs w:val="22"/>
          <w:color w:val="auto"/>
        </w:rPr>
        <w:t xml:space="preserve"> shall be made with respect to the election of Directors at the meeting);</w:t>
      </w:r>
    </w:p>
    <w:p>
      <w:pPr>
        <w:spacing w:after="0" w:line="104" w:lineRule="exact"/>
        <w:rPr>
          <w:sz w:val="20"/>
          <w:szCs w:val="20"/>
          <w:color w:val="auto"/>
        </w:rPr>
      </w:pPr>
    </w:p>
    <w:p>
      <w:pPr>
        <w:ind w:left="340" w:right="40" w:hanging="8"/>
        <w:spacing w:after="0" w:line="248" w:lineRule="auto"/>
        <w:tabs>
          <w:tab w:leader="none" w:pos="7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 and (B)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 w:cs="Times New Roman" w:eastAsia="Times New Roman" w:hAnsi="Times New Roman"/>
          <w:sz w:val="22"/>
          <w:szCs w:val="22"/>
          <w:u w:val="single" w:color="auto"/>
          <w:color w:val="auto"/>
        </w:rPr>
        <w:t>Nominee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and (C) a completed and signed questionnaire, representation and agreement as provided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7(a)</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Nominating Person</w:t>
      </w:r>
      <w:r>
        <w:rPr>
          <w:rFonts w:ascii="Times New Roman" w:cs="Times New Roman" w:eastAsia="Times New Roman" w:hAnsi="Times New Roman"/>
          <w:sz w:val="22"/>
          <w:szCs w:val="22"/>
          <w:color w:val="auto"/>
        </w:rPr>
        <w:t>” shall mean (i) the stockholder providing the notice of the nomination proposed to be made at the meeting, (ii) the beneficial owner or beneficial owners, if different, on whose behalf the notice of the nomination proposed to be made at the meeting is made, (iii) any participant (as defined in paragraphs (a)(ii)-(vi) of Instruction 3 to Item 4 of Schedule 14A) with such stockholder in such solicitation.</w:t>
      </w:r>
    </w:p>
    <w:p>
      <w:pPr>
        <w:spacing w:after="0" w:line="125" w:lineRule="exact"/>
        <w:rPr>
          <w:sz w:val="20"/>
          <w:szCs w:val="20"/>
          <w:color w:val="auto"/>
        </w:rPr>
      </w:pPr>
    </w:p>
    <w:p>
      <w:pPr>
        <w:ind w:right="40" w:firstLine="8"/>
        <w:spacing w:after="0" w:line="263" w:lineRule="auto"/>
        <w:tabs>
          <w:tab w:leader="none" w:pos="30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w:t>
      </w:r>
    </w:p>
    <w:p>
      <w:pPr>
        <w:spacing w:after="0" w:line="115" w:lineRule="exact"/>
        <w:rPr>
          <w:rFonts w:ascii="Times New Roman" w:cs="Times New Roman" w:eastAsia="Times New Roman" w:hAnsi="Times New Roman"/>
          <w:sz w:val="21"/>
          <w:szCs w:val="21"/>
          <w:color w:val="auto"/>
        </w:rPr>
      </w:pPr>
    </w:p>
    <w:p>
      <w:pPr>
        <w:ind w:right="100" w:firstLine="8"/>
        <w:spacing w:after="0" w:line="253" w:lineRule="auto"/>
        <w:tabs>
          <w:tab w:leader="none" w:pos="29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requirements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with respect to any nomination proposed to be made at a meeting, each Nominating Person shall comply with all applicable requirements of the Exchange Act with respect to any such nominations. Notwithstanding the foregoing provisions of this Article III, Section 2, unless otherwise required by law, (i) no Nominating Person shall solicit proxies in support of director nominees other than the Corporation’s nominees unless such Nominating Person has complied with Rule 14a-19</w:t>
      </w:r>
    </w:p>
    <w:p>
      <w:pPr>
        <w:sectPr>
          <w:pgSz w:w="11900" w:h="16838" w:orient="portrait"/>
          <w:cols w:equalWidth="0" w:num="1">
            <w:col w:w="11240"/>
          </w:cols>
          <w:pgMar w:left="320" w:top="1422" w:right="339" w:bottom="1440" w:gutter="0" w:footer="0" w:header="0"/>
        </w:sectPr>
      </w:pPr>
    </w:p>
    <w:bookmarkStart w:id="104" w:name="page105"/>
    <w:bookmarkEnd w:id="104"/>
    <w:p>
      <w:pPr>
        <w:ind w:right="60"/>
        <w:spacing w:after="0" w:line="262" w:lineRule="auto"/>
        <w:rPr>
          <w:sz w:val="20"/>
          <w:szCs w:val="20"/>
          <w:color w:val="auto"/>
        </w:rPr>
      </w:pPr>
      <w:r>
        <w:rPr>
          <w:rFonts w:ascii="Times New Roman" w:cs="Times New Roman" w:eastAsia="Times New Roman" w:hAnsi="Times New Roman"/>
          <w:sz w:val="21"/>
          <w:szCs w:val="21"/>
          <w:color w:val="auto"/>
        </w:rPr>
        <w:t>promulgated under the Exchange Act in connection with the solicitation of such proxies, including the provision to the Corporation of notices required thereunder in a timely manner and (ii) if any Nominating Person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Corporation shall disregard any proxies or votes solicited for the Nominating Person’s candidates.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u w:val="single" w:color="auto"/>
          <w:color w:val="auto"/>
        </w:rPr>
        <w:t>Term; Vacancies; Election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Director shall hold office until the next annual election and until his or her successor is duly elected and qualified, or until his or her earlier death, resignation or removal. The Directors shall be elected at the annual meeting of the stockholders in the manner specified by these Bylaws. Any vacancy on the Board of Directors that results from an increase in the number of Directors may be filled by a majority of the Board of Directors then in office,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quorum is present, and any other vacancy occurring on the Board of Directors may be filled by a majority of the Board of Directors then in office, even if less than a quorum, or by a sole remaining Director. Each Director to be elected by the stockholders of the Corporation shall be elected by the affirmative vote of a majority of the votes cast with respect to such Director by the shares represented and entitled to vote therefor at a meeting of the stockholders for the election of Directors at which a quorum is present (an “</w:t>
      </w:r>
      <w:r>
        <w:rPr>
          <w:rFonts w:ascii="Times New Roman" w:cs="Times New Roman" w:eastAsia="Times New Roman" w:hAnsi="Times New Roman"/>
          <w:sz w:val="21"/>
          <w:szCs w:val="21"/>
          <w:u w:val="single" w:color="auto"/>
          <w:color w:val="auto"/>
        </w:rPr>
        <w:t>Election Meeting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Board of Directors determines that the number of nominees exceeds the number of Directors to be elected at such meeting (a “</w:t>
      </w:r>
      <w:r>
        <w:rPr>
          <w:rFonts w:ascii="Times New Roman" w:cs="Times New Roman" w:eastAsia="Times New Roman" w:hAnsi="Times New Roman"/>
          <w:sz w:val="21"/>
          <w:szCs w:val="21"/>
          <w:u w:val="single" w:color="auto"/>
          <w:color w:val="auto"/>
        </w:rPr>
        <w:t>Contested Election</w:t>
      </w:r>
      <w:r>
        <w:rPr>
          <w:rFonts w:ascii="Times New Roman" w:cs="Times New Roman" w:eastAsia="Times New Roman" w:hAnsi="Times New Roman"/>
          <w:sz w:val="21"/>
          <w:szCs w:val="21"/>
          <w:color w:val="auto"/>
        </w:rPr>
        <w:t xml:space="preserve">”), and the Board of Directors has not rescinded such determination by the record date of the Election Meeting as initially announced, each of the Directors to be elected at the Election Meeting shall be elected by the affirmative vote of a plurality of the votes cast by the shares represented and entitled to vote at such meeting with respect to the election of such Director. For purposes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 “majority of votes cast” means that the number of votes cast “for” a candidate for Director exceeds the number of votes cast “against” that Director (with “abstentions” and “broker nonvotes” not counted as votes cast as either “for” or “against” such Director’s election). In an election other than a Contested Election, stockholders will be given the choice to cast votes “for” or “against” the election of Directors or to “abstain” from such vote and shall not have the ability to cast any other vote with respect to such election of Directors. In a Contested Election, stockholders will be given the choice to cast “for” or “withhold” votes for the election of Directors and shall not have the ability to cast any other vote with respect to such election of Directors.</w:t>
      </w:r>
    </w:p>
    <w:p>
      <w:pPr>
        <w:spacing w:after="0" w:line="129"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22"/>
          <w:szCs w:val="22"/>
          <w:color w:val="auto"/>
        </w:rPr>
        <w:t>In the event an Election Meeting involves the election of Directors by separate votes by class or classes or series, the determination as to whether an election constitutes a Contested Election shall be made on a class by class or series by series basis, as applicable.</w:t>
      </w:r>
    </w:p>
    <w:p>
      <w:pPr>
        <w:sectPr>
          <w:pgSz w:w="11900" w:h="16838" w:orient="portrait"/>
          <w:cols w:equalWidth="0" w:num="1">
            <w:col w:w="11220"/>
          </w:cols>
          <w:pgMar w:left="320" w:top="1422" w:right="359" w:bottom="1440" w:gutter="0" w:footer="0" w:header="0"/>
        </w:sectPr>
      </w:pPr>
    </w:p>
    <w:bookmarkStart w:id="105" w:name="page106"/>
    <w:bookmarkEnd w:id="105"/>
    <w:p>
      <w:pPr>
        <w:ind w:right="60"/>
        <w:spacing w:after="0" w:line="258"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Powers of Directors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business, property and affairs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Compensation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Board of Directors shall have the authority to fix the compensation of Directors.</w:t>
      </w:r>
    </w:p>
    <w:p>
      <w:pPr>
        <w:spacing w:after="0" w:line="16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Resignations of Directors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Any Director of the Corporation may resign at any time, by giving notice in writing or by electronic transmission to the Chairman of the Board, the Chief Executive Officer or the Secretary of the Corporation. Such resignation shall take effect when delivered unless the resignation specifies a later effective date determined upon the happening of an event or events. Unless otherwise specified in such notice, the acceptance of such resignation shall not be necessary to make it effective.</w:t>
      </w:r>
    </w:p>
    <w:p>
      <w:pPr>
        <w:spacing w:after="0" w:line="11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u w:val="single" w:color="auto"/>
          <w:color w:val="auto"/>
        </w:rPr>
        <w:t>Additional Requirements For Valid Nomination of Candidates to Serve as Director and, If Elected, to Be Seated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Directors</w:t>
      </w:r>
      <w:r>
        <w:rPr>
          <w:rFonts w:ascii="Times New Roman" w:cs="Times New Roman" w:eastAsia="Times New Roman" w:hAnsi="Times New Roman"/>
          <w:sz w:val="22"/>
          <w:szCs w:val="22"/>
          <w:color w:val="auto"/>
        </w:rPr>
        <w:t>.</w:t>
      </w:r>
    </w:p>
    <w:p>
      <w:pPr>
        <w:spacing w:after="0" w:line="99" w:lineRule="exact"/>
        <w:rPr>
          <w:sz w:val="20"/>
          <w:szCs w:val="20"/>
          <w:color w:val="auto"/>
        </w:rPr>
      </w:pPr>
    </w:p>
    <w:p>
      <w:pPr>
        <w:jc w:val="both"/>
        <w:ind w:right="40" w:firstLine="8"/>
        <w:spacing w:after="0" w:line="263" w:lineRule="auto"/>
        <w:tabs>
          <w:tab w:leader="none" w:pos="2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eligible to be a candidate for election as a Director of the Corporation at an annual or special meeting, a candidate must be nominated in the manner prescribed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8 and the candidate for nomination, whether nominated by the Board of Directors or by a stockholder of record:</w:t>
      </w:r>
    </w:p>
    <w:p>
      <w:pPr>
        <w:spacing w:after="0" w:line="113" w:lineRule="exact"/>
        <w:rPr>
          <w:rFonts w:ascii="Times New Roman" w:cs="Times New Roman" w:eastAsia="Times New Roman" w:hAnsi="Times New Roman"/>
          <w:sz w:val="22"/>
          <w:szCs w:val="22"/>
          <w:color w:val="auto"/>
        </w:rPr>
      </w:pPr>
    </w:p>
    <w:p>
      <w:pPr>
        <w:ind w:left="340" w:hanging="8"/>
        <w:spacing w:after="0" w:line="248" w:lineRule="auto"/>
        <w:tabs>
          <w:tab w:leader="none" w:pos="59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have previously delivered (in accordance with the time period prescribed for delivery in a notice to such candidate given by or on behalf of the Board of Directors), to the Secretary at the principal executive offices of the Corporation, (i) a completed written questionnaire (in a form provided by the Corporation) with respect to the background, qualifications, stock ownership and independence of such proposed nominee and (ii) a written representation and agreement (in form provided by the Corporation) that such candidate for nomination (A) is not a party to any agreement, arrangement or understanding with, and has not given and will not give any commitment or assurance to, any person or entity as to how such proposed nominee, if elected as a Director of the Corporation, will act or vote on any issue or question and (B)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34" w:lineRule="exact"/>
        <w:rPr>
          <w:rFonts w:ascii="Times New Roman" w:cs="Times New Roman" w:eastAsia="Times New Roman" w:hAnsi="Times New Roman"/>
          <w:sz w:val="22"/>
          <w:szCs w:val="22"/>
          <w:color w:val="auto"/>
        </w:rPr>
      </w:pPr>
    </w:p>
    <w:p>
      <w:pPr>
        <w:ind w:left="340" w:hanging="8"/>
        <w:spacing w:after="0" w:line="252" w:lineRule="auto"/>
        <w:tabs>
          <w:tab w:leader="none" w:pos="65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not serve on the boards of more than five other public companies, and any candidate who is a chief executive officer of a public company must not serve on more than two other public company boards, unless in each case the Board of Directors of the Corporation has determined in advance that such simultaneous service will not impair the ability of such candidate to effectively serve on the Board of Directors; and</w:t>
      </w:r>
    </w:p>
    <w:p>
      <w:pPr>
        <w:spacing w:after="0" w:line="138" w:lineRule="exact"/>
        <w:rPr>
          <w:rFonts w:ascii="Times New Roman" w:cs="Times New Roman" w:eastAsia="Times New Roman" w:hAnsi="Times New Roman"/>
          <w:sz w:val="22"/>
          <w:szCs w:val="22"/>
          <w:color w:val="auto"/>
        </w:rPr>
      </w:pPr>
    </w:p>
    <w:p>
      <w:pPr>
        <w:ind w:left="720" w:hanging="388"/>
        <w:spacing w:after="0"/>
        <w:tabs>
          <w:tab w:leader="none" w:pos="72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must be under age 75.</w:t>
      </w:r>
    </w:p>
    <w:p>
      <w:pPr>
        <w:sectPr>
          <w:pgSz w:w="11900" w:h="16838" w:orient="portrait"/>
          <w:cols w:equalWidth="0" w:num="1">
            <w:col w:w="11180"/>
          </w:cols>
          <w:pgMar w:left="320" w:top="1418" w:right="399" w:bottom="1440" w:gutter="0" w:footer="0" w:header="0"/>
        </w:sectPr>
      </w:pPr>
    </w:p>
    <w:bookmarkStart w:id="106" w:name="page107"/>
    <w:bookmarkEnd w:id="106"/>
    <w:p>
      <w:pPr>
        <w:ind w:right="140" w:firstLine="8"/>
        <w:spacing w:after="0" w:line="253" w:lineRule="auto"/>
        <w:tabs>
          <w:tab w:leader="none" w:pos="30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124" w:lineRule="exact"/>
        <w:rPr>
          <w:rFonts w:ascii="Times New Roman" w:cs="Times New Roman" w:eastAsia="Times New Roman" w:hAnsi="Times New Roman"/>
          <w:sz w:val="22"/>
          <w:szCs w:val="22"/>
          <w:color w:val="auto"/>
        </w:rPr>
      </w:pPr>
    </w:p>
    <w:p>
      <w:pPr>
        <w:ind w:right="60" w:firstLine="8"/>
        <w:spacing w:after="0" w:line="247" w:lineRule="auto"/>
        <w:tabs>
          <w:tab w:leader="none" w:pos="29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candidate shall be eligible for nomination as a Director of the Corporation by a stockholder of record unless such candidate for nomination and the Nominating Person seeking to place such candidate’s name in nomination has complied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as applicable. No candidate for nomination nominated by the Board of Directors shall be eligible for nomination as a Director of the Corporation unless such candidate for nomination has provided all information with respect to such candidate for nomination that would be required to be set forth in a stockholder’s notice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7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as applicable, as if such candidate for nomination were a Nominating Person. The Board shall, if the facts warrant, determine that a nomination was not properly made in accordance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as applicable, and if the Board should so determine, the chairman of the meeting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 If at any meeting of stockholders a nomination is made for which advance notice was not given or provided in the manner prescribed by Article II, Section 2 or 8, the chairman of the meeting shall have the power and authority to declare that such nomination shall be disregarded.</w:t>
      </w:r>
    </w:p>
    <w:p>
      <w:pPr>
        <w:spacing w:after="0" w:line="138" w:lineRule="exact"/>
        <w:rPr>
          <w:rFonts w:ascii="Times New Roman" w:cs="Times New Roman" w:eastAsia="Times New Roman" w:hAnsi="Times New Roman"/>
          <w:sz w:val="22"/>
          <w:szCs w:val="22"/>
          <w:color w:val="auto"/>
        </w:rPr>
      </w:pPr>
    </w:p>
    <w:p>
      <w:pPr>
        <w:ind w:firstLine="8"/>
        <w:spacing w:after="0" w:line="263" w:lineRule="auto"/>
        <w:tabs>
          <w:tab w:leader="none" w:pos="30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these Bylaws to the contrary, no candidate for nomination shall be eligible to be seated as a Director of the Corporation unless nominated and elected in accordance with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as applicable, as determined by a majority of the Board of Directors then in office.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u w:val="single" w:color="auto"/>
          <w:color w:val="auto"/>
        </w:rPr>
        <w:t>Proxy Access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right="20" w:firstLine="8"/>
        <w:spacing w:after="0" w:line="251" w:lineRule="auto"/>
        <w:tabs>
          <w:tab w:leader="none" w:pos="29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if any Eligible Stockholder or group of up to 20 Eligible Stockholders submits to the Corporation a Proxy Access Notice that complies with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and such Eligible Stockholder or group of Eligible Stockholders otherwise satisfies all the terms and conditions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(such Eligible Stockholder or group of Eligible Stockholders, a “</w:t>
      </w:r>
      <w:r>
        <w:rPr>
          <w:rFonts w:ascii="Times New Roman" w:cs="Times New Roman" w:eastAsia="Times New Roman" w:hAnsi="Times New Roman"/>
          <w:sz w:val="22"/>
          <w:szCs w:val="22"/>
          <w:u w:val="single" w:color="auto"/>
          <w:color w:val="auto"/>
        </w:rPr>
        <w:t>Nominating Stockholder</w:t>
      </w:r>
      <w:r>
        <w:rPr>
          <w:rFonts w:ascii="Times New Roman" w:cs="Times New Roman" w:eastAsia="Times New Roman" w:hAnsi="Times New Roman"/>
          <w:sz w:val="22"/>
          <w:szCs w:val="22"/>
          <w:color w:val="auto"/>
        </w:rPr>
        <w:t>”), the Corporation shall include in its proxy statement or on its form of proxy and ballot, as applicable (collectively, “</w:t>
      </w:r>
      <w:r>
        <w:rPr>
          <w:rFonts w:ascii="Times New Roman" w:cs="Times New Roman" w:eastAsia="Times New Roman" w:hAnsi="Times New Roman"/>
          <w:sz w:val="22"/>
          <w:szCs w:val="22"/>
          <w:u w:val="single" w:color="auto"/>
          <w:color w:val="auto"/>
        </w:rPr>
        <w:t>proxy materials</w:t>
      </w:r>
      <w:r>
        <w:rPr>
          <w:rFonts w:ascii="Times New Roman" w:cs="Times New Roman" w:eastAsia="Times New Roman" w:hAnsi="Times New Roman"/>
          <w:sz w:val="22"/>
          <w:szCs w:val="22"/>
          <w:color w:val="auto"/>
        </w:rPr>
        <w:t>”), for any annual meeting of stockholders, in addition to any persons nominated for election by the Board of Directors or any committee thereof:</w:t>
      </w:r>
    </w:p>
    <w:p>
      <w:pPr>
        <w:spacing w:after="0" w:line="127" w:lineRule="exact"/>
        <w:rPr>
          <w:rFonts w:ascii="Times New Roman" w:cs="Times New Roman" w:eastAsia="Times New Roman" w:hAnsi="Times New Roman"/>
          <w:sz w:val="22"/>
          <w:szCs w:val="22"/>
          <w:color w:val="auto"/>
        </w:rPr>
      </w:pPr>
    </w:p>
    <w:p>
      <w:pPr>
        <w:ind w:left="340" w:right="320" w:hanging="8"/>
        <w:spacing w:after="0" w:line="271" w:lineRule="auto"/>
        <w:tabs>
          <w:tab w:leader="none" w:pos="59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name of any person or persons nominated by such Nominating Stockholder for election to the Board of Directors at such annual meeting of stockholders who meets the requirements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Nominee</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340" w:right="580" w:hanging="8"/>
        <w:spacing w:after="0" w:line="271" w:lineRule="auto"/>
        <w:tabs>
          <w:tab w:leader="none" w:pos="65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about the Nominee and the Nominating Stockholder required under the rules of the Commission or other applicable law to be included in the proxy materials;</w:t>
      </w:r>
    </w:p>
    <w:p>
      <w:pPr>
        <w:sectPr>
          <w:pgSz w:w="11900" w:h="16838" w:orient="portrait"/>
          <w:cols w:equalWidth="0" w:num="1">
            <w:col w:w="11220"/>
          </w:cols>
          <w:pgMar w:left="320" w:top="1422" w:right="359" w:bottom="1440" w:gutter="0" w:footer="0" w:header="0"/>
        </w:sectPr>
      </w:pPr>
    </w:p>
    <w:bookmarkStart w:id="107" w:name="page108"/>
    <w:bookmarkEnd w:id="107"/>
    <w:p>
      <w:pPr>
        <w:ind w:left="332" w:right="140" w:hanging="8"/>
        <w:spacing w:after="0" w:line="256" w:lineRule="auto"/>
        <w:tabs>
          <w:tab w:leader="none" w:pos="71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other applicable provisions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 written statement, not to exceed 500 words, that is not contrary to any of the Commission’s proxy rules, including Rule 14a-9 under the Exchange Act (a “</w:t>
      </w:r>
      <w:r>
        <w:rPr>
          <w:rFonts w:ascii="Times New Roman" w:cs="Times New Roman" w:eastAsia="Times New Roman" w:hAnsi="Times New Roman"/>
          <w:sz w:val="22"/>
          <w:szCs w:val="22"/>
          <w:u w:val="single" w:color="auto"/>
          <w:color w:val="auto"/>
        </w:rPr>
        <w:t>Supporting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included by the Nominating Stockholder in the Proxy Access Notice intended for inclusion in the proxy materials in support of the Nominee’s election to the Board of Directors; and</w:t>
      </w:r>
    </w:p>
    <w:p>
      <w:pPr>
        <w:spacing w:after="0" w:line="122" w:lineRule="exact"/>
        <w:rPr>
          <w:rFonts w:ascii="Times New Roman" w:cs="Times New Roman" w:eastAsia="Times New Roman" w:hAnsi="Times New Roman"/>
          <w:sz w:val="22"/>
          <w:szCs w:val="22"/>
          <w:color w:val="auto"/>
        </w:rPr>
      </w:pPr>
    </w:p>
    <w:p>
      <w:pPr>
        <w:ind w:left="332" w:right="140" w:hanging="8"/>
        <w:spacing w:after="0" w:line="257" w:lineRule="auto"/>
        <w:tabs>
          <w:tab w:leader="none" w:pos="698"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information that the Corporation or the Board of Directors determines, in its discretion, to include in the proxy materials relating to the nomination of the Nominee, including, without limitation, any statement in opposition to the nomination and any of the information provided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18"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Number of Nominees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332" w:right="100" w:hanging="8"/>
        <w:spacing w:after="0" w:line="247" w:lineRule="auto"/>
        <w:tabs>
          <w:tab w:leader="none" w:pos="59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shall not be required to include in the proxy materials for an annual meeting of stockholders more Nominees than that number of directors constituting 20% of the total number of directors of the Corporation on the last day on which a Proxy Access Notice may be submitted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(rounded down to the nearest whole number, but not less than two) (the “</w:t>
      </w:r>
      <w:r>
        <w:rPr>
          <w:rFonts w:ascii="Times New Roman" w:cs="Times New Roman" w:eastAsia="Times New Roman" w:hAnsi="Times New Roman"/>
          <w:sz w:val="22"/>
          <w:szCs w:val="22"/>
          <w:u w:val="single" w:color="auto"/>
          <w:color w:val="auto"/>
        </w:rPr>
        <w:t>Maximum Number</w:t>
      </w:r>
      <w:r>
        <w:rPr>
          <w:rFonts w:ascii="Times New Roman" w:cs="Times New Roman" w:eastAsia="Times New Roman" w:hAnsi="Times New Roman"/>
          <w:sz w:val="22"/>
          <w:szCs w:val="22"/>
          <w:color w:val="auto"/>
        </w:rPr>
        <w:t xml:space="preserve">”). The Maximum Number for a particular annual meeting shall be reduced by: (A) the number of Nominees who are subsequently withdrawn or that the Board of Directors itself decides to nominate for election at such annual meeting of stockholders (including, without limitation, any person who is or will be nominated by the Board of Directors pursuant to any agreement or understanding with one or more stockholders to avoid such person being formally proposed as a Nominee), and (B) the number of incumbent directors who had been Nominees with respect to any of the preceding three annual meetings of stockholders and whose reelection at the upcoming annual meeting of stockholders is being recommended by the Board of Directors (including, without limitation, any person who was nominated by the Board of Directors pursuant to any agreement or understanding with one or more stockholders to avoid such person being formally proposed as a Nominee). In the event that one or more vacancies for any reason occurs on the Board of Directors after the deadline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but before the date of the annual meeting of stockholders, and the Board of Directors resolves to reduce the size of the Board of Directors in connection therewith, the Maximum Number shall be calculated based on the number of directors as so reduced.</w:t>
      </w:r>
    </w:p>
    <w:p>
      <w:pPr>
        <w:spacing w:after="0" w:line="131" w:lineRule="exact"/>
        <w:rPr>
          <w:rFonts w:ascii="Times New Roman" w:cs="Times New Roman" w:eastAsia="Times New Roman" w:hAnsi="Times New Roman"/>
          <w:sz w:val="22"/>
          <w:szCs w:val="22"/>
          <w:color w:val="auto"/>
        </w:rPr>
      </w:pPr>
    </w:p>
    <w:p>
      <w:pPr>
        <w:ind w:left="332" w:hanging="8"/>
        <w:spacing w:after="0" w:line="250" w:lineRule="auto"/>
        <w:tabs>
          <w:tab w:leader="none" w:pos="65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Nominating Stockholder submitting more than one Nominee for inclusion in the Corporation’s proxy materials shall rank such Nominees based on the order that the Nominating Stockholder desires such Nominees to be selected for inclusion in the Corporation’s proxy materials in the event that the total number of Nominees submitted by Nominating Stockholders exceeds the Maximum Number. In the event that the number of Nominees submitted by Nominating Stockholders exceeds the Maximum Number, the highest ranking Nominee from each Nominating Stockholder will be included in the Corporation’s proxy materials until the Maximum Number is reached, going in order from largest to smallest of the number of shares of common stock of the Corporation owned by each Nominating Stockholder as disclosed in each Nominating Stockholder’s Proxy Access Notice. If the Maximum Number is not reached after the highest ranking Nominee of each Nominating Stockholder has been selected, this process will be repeated as many times as necessary until</w:t>
      </w:r>
    </w:p>
    <w:p>
      <w:pPr>
        <w:sectPr>
          <w:pgSz w:w="11900" w:h="16838" w:orient="portrait"/>
          <w:cols w:equalWidth="0" w:num="1">
            <w:col w:w="11232"/>
          </w:cols>
          <w:pgMar w:left="328" w:top="1422" w:right="339" w:bottom="1440" w:gutter="0" w:footer="0" w:header="0"/>
        </w:sectPr>
      </w:pPr>
    </w:p>
    <w:bookmarkStart w:id="108" w:name="page109"/>
    <w:bookmarkEnd w:id="108"/>
    <w:p>
      <w:pPr>
        <w:ind w:left="340" w:right="80"/>
        <w:spacing w:after="0" w:line="262" w:lineRule="auto"/>
        <w:rPr>
          <w:sz w:val="20"/>
          <w:szCs w:val="20"/>
          <w:color w:val="auto"/>
        </w:rPr>
      </w:pPr>
      <w:r>
        <w:rPr>
          <w:rFonts w:ascii="Times New Roman" w:cs="Times New Roman" w:eastAsia="Times New Roman" w:hAnsi="Times New Roman"/>
          <w:sz w:val="21"/>
          <w:szCs w:val="21"/>
          <w:color w:val="auto"/>
        </w:rPr>
        <w:t xml:space="preserve">the Maximum Number is reached. If, after the deadline for submitting a Proxy Access Notice as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8(d)</w:t>
      </w:r>
      <w:r>
        <w:rPr>
          <w:rFonts w:ascii="Times New Roman" w:cs="Times New Roman" w:eastAsia="Times New Roman" w:hAnsi="Times New Roman"/>
          <w:sz w:val="21"/>
          <w:szCs w:val="21"/>
          <w:color w:val="auto"/>
        </w:rPr>
        <w:t xml:space="preserve">, a Nominating Stockholder ceases to satisfy the requirements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or withdraws its nomination or a Nominee ceases to satisfy the requirements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or becomes unwilling or unable to serve on the Board of Directors, whether before or after the mailing of definitive proxy materials, then the nomination shall be disregarded, and the Corporation: (A) shall not be required to include in its proxy materials the disregarded Nominee; and</w:t>
      </w:r>
    </w:p>
    <w:p>
      <w:pPr>
        <w:spacing w:after="0" w:line="2" w:lineRule="exact"/>
        <w:rPr>
          <w:sz w:val="20"/>
          <w:szCs w:val="20"/>
          <w:color w:val="auto"/>
        </w:rPr>
      </w:pPr>
    </w:p>
    <w:p>
      <w:pPr>
        <w:ind w:left="340" w:right="180" w:hanging="8"/>
        <w:spacing w:after="0" w:line="245" w:lineRule="auto"/>
        <w:tabs>
          <w:tab w:leader="none" w:pos="68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otherwise communicate to its stockholders, including without limitation by amending or supplementing its proxy materials, that the Nominee will not be included as a Nominee in the proxy materials and the election of such Nominee will not be voted on at the annual meeting of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Eligibility of Nominating Stockholder</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40" w:right="320" w:hanging="8"/>
        <w:spacing w:after="0" w:line="251" w:lineRule="auto"/>
        <w:tabs>
          <w:tab w:leader="none" w:pos="59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Eligible Stockholder</w:t>
      </w:r>
      <w:r>
        <w:rPr>
          <w:rFonts w:ascii="Times New Roman" w:cs="Times New Roman" w:eastAsia="Times New Roman" w:hAnsi="Times New Roman"/>
          <w:sz w:val="22"/>
          <w:szCs w:val="22"/>
          <w:color w:val="auto"/>
        </w:rPr>
        <w:t xml:space="preserve">” is a person who has either (A) been a record holder of the shares of common stock used to satisfy the eligibility requirements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continuously for the three-year period specified in Subsection (ii) below or (B) provides to the Secretary of the Corporation, within the time period referred to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evidence of continuous ownership of such shares for such three-year period from one or more securities intermediaries in a form that satisfies the requirements as established by the Commission for a stockholder proposal under Rule 14a-8 under the Exchange Act (or any successor rule).</w:t>
      </w:r>
    </w:p>
    <w:p>
      <w:pPr>
        <w:spacing w:after="0" w:line="127" w:lineRule="exact"/>
        <w:rPr>
          <w:rFonts w:ascii="Times New Roman" w:cs="Times New Roman" w:eastAsia="Times New Roman" w:hAnsi="Times New Roman"/>
          <w:sz w:val="22"/>
          <w:szCs w:val="22"/>
          <w:color w:val="auto"/>
        </w:rPr>
      </w:pPr>
    </w:p>
    <w:p>
      <w:pPr>
        <w:ind w:left="340" w:hanging="8"/>
        <w:spacing w:after="0" w:line="247" w:lineRule="auto"/>
        <w:tabs>
          <w:tab w:leader="none" w:pos="65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Eligible Stockholder or group of up to 20 Eligible Stockholders may submit a nomination in accordance with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only if the person or each member of the group, as applicable, has continuously owned at least the Minimum Number (as defined below) of shares of the Corporation’s outstanding common stock throughout the three-year period preceding and including the date of submission of the Proxy Access Notice, and continues to own at least the Minimum Number through the date of the annual meeting of stockholders. Two or more funds that are (i) under common management and investment control, (ii) under common management and funded primarily by a single employer or (iii) a “group of investment companies,” as such term is defined in Section 12(d)(1)(G)(ii) of the Investment Company Act of 1940, as amended, (two or more funds referred to under any of clause (i), (ii) or (iii), collectively a “</w:t>
      </w:r>
      <w:r>
        <w:rPr>
          <w:rFonts w:ascii="Times New Roman" w:cs="Times New Roman" w:eastAsia="Times New Roman" w:hAnsi="Times New Roman"/>
          <w:sz w:val="22"/>
          <w:szCs w:val="22"/>
          <w:u w:val="single" w:color="auto"/>
          <w:color w:val="auto"/>
        </w:rPr>
        <w:t>Qualifying Fund</w:t>
      </w:r>
      <w:r>
        <w:rPr>
          <w:rFonts w:ascii="Times New Roman" w:cs="Times New Roman" w:eastAsia="Times New Roman" w:hAnsi="Times New Roman"/>
          <w:sz w:val="22"/>
          <w:szCs w:val="22"/>
          <w:color w:val="auto"/>
        </w:rPr>
        <w:t xml:space="preserve">”) shall be treated as one Eligible Stockholder. For the avoidance of doubt, in the event of a nomination by a group of Eligible Stockholders, any and all requirements and obligations for an individual Eligible Stockholder that are set forth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including the minimum holding period, shall apply to each member of such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Minimum Number shall apply to the ownership of the group in the aggregate. Should any stockholder withdraw from a group of Eligible Stockholders at any time prior to the annual meeting of stockholders, the group of Eligible Stockholders shall only be deemed to own the shares held by the remaining members of the group.</w:t>
      </w:r>
    </w:p>
    <w:p>
      <w:pPr>
        <w:spacing w:after="0" w:line="135" w:lineRule="exact"/>
        <w:rPr>
          <w:rFonts w:ascii="Times New Roman" w:cs="Times New Roman" w:eastAsia="Times New Roman" w:hAnsi="Times New Roman"/>
          <w:sz w:val="22"/>
          <w:szCs w:val="22"/>
          <w:color w:val="auto"/>
        </w:rPr>
      </w:pPr>
    </w:p>
    <w:p>
      <w:pPr>
        <w:ind w:left="340" w:right="580" w:hanging="8"/>
        <w:spacing w:after="0" w:line="263" w:lineRule="auto"/>
        <w:tabs>
          <w:tab w:leader="none" w:pos="7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Minimum Number</w:t>
      </w:r>
      <w:r>
        <w:rPr>
          <w:rFonts w:ascii="Times New Roman" w:cs="Times New Roman" w:eastAsia="Times New Roman" w:hAnsi="Times New Roman"/>
          <w:sz w:val="22"/>
          <w:szCs w:val="22"/>
          <w:color w:val="auto"/>
        </w:rPr>
        <w:t>” of shares of the Corporation’s common stock means three percent (3%) of the number of outstanding shares of common stock as of the most recent date for which such amount is given in any filing by the Corporation with the Commission prior to the submission of the Proxy Access Notice.</w:t>
      </w:r>
    </w:p>
    <w:p>
      <w:pPr>
        <w:sectPr>
          <w:pgSz w:w="11900" w:h="16838" w:orient="portrait"/>
          <w:cols w:equalWidth="0" w:num="1">
            <w:col w:w="11200"/>
          </w:cols>
          <w:pgMar w:left="320" w:top="1422" w:right="379" w:bottom="1440" w:gutter="0" w:footer="0" w:header="0"/>
        </w:sectPr>
      </w:pPr>
    </w:p>
    <w:bookmarkStart w:id="109" w:name="page110"/>
    <w:bookmarkEnd w:id="109"/>
    <w:p>
      <w:pPr>
        <w:ind w:left="8" w:right="140" w:hanging="8"/>
        <w:spacing w:after="0" w:line="271" w:lineRule="auto"/>
        <w:tabs>
          <w:tab w:leader="none" w:pos="37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an Eligible Stockholder “owns” only those outstanding shares of the common stock of the Corporation as to which the Eligible Stockholder possesses both:</w:t>
      </w:r>
    </w:p>
    <w:p>
      <w:pPr>
        <w:spacing w:after="0" w:line="103" w:lineRule="exact"/>
        <w:rPr>
          <w:rFonts w:ascii="Times New Roman" w:cs="Times New Roman" w:eastAsia="Times New Roman" w:hAnsi="Times New Roman"/>
          <w:sz w:val="22"/>
          <w:szCs w:val="22"/>
          <w:color w:val="auto"/>
        </w:rPr>
      </w:pPr>
    </w:p>
    <w:p>
      <w:pPr>
        <w:ind w:left="668" w:hanging="344"/>
        <w:spacing w:after="0"/>
        <w:tabs>
          <w:tab w:leader="none" w:pos="66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voting and investment rights pertaining to the shares; and</w:t>
      </w:r>
    </w:p>
    <w:p>
      <w:pPr>
        <w:spacing w:after="0" w:line="179" w:lineRule="exact"/>
        <w:rPr>
          <w:rFonts w:ascii="Times New Roman" w:cs="Times New Roman" w:eastAsia="Times New Roman" w:hAnsi="Times New Roman"/>
          <w:sz w:val="22"/>
          <w:szCs w:val="22"/>
          <w:color w:val="auto"/>
        </w:rPr>
      </w:pPr>
    </w:p>
    <w:p>
      <w:pPr>
        <w:ind w:left="668" w:hanging="344"/>
        <w:spacing w:after="0"/>
        <w:tabs>
          <w:tab w:leader="none" w:pos="66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economic interest in (including the opportunity for profit and risk of loss on) such shares;</w:t>
      </w:r>
    </w:p>
    <w:p>
      <w:pPr>
        <w:spacing w:after="0" w:line="166" w:lineRule="exact"/>
        <w:rPr>
          <w:sz w:val="20"/>
          <w:szCs w:val="20"/>
          <w:color w:val="auto"/>
        </w:rPr>
      </w:pPr>
    </w:p>
    <w:p>
      <w:pPr>
        <w:ind w:left="328"/>
        <w:spacing w:after="0" w:line="259"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number of shares calculated in accordance with clauses (A) and (B) shall not include any shares: (1) sold by such Eligible Stockholder or any of its affiliates in any transaction that has not been settled or closed, (2) borrowed by such Eligible Stockholder or any of its affiliates for any purpose or purchased by such Eligible Stockholder or any of its affiliates pursuant to an agreement to resell, or (3) subject to any option, warrant, forward contract, swap, contract of sale, other derivative or similar agreement entered into by such Eligible Stockholder or any of its affiliates, whether any such instrument or agreement is to be settled with shares, cash or other property based on the notional amount or value of outstanding shares of the Corporation, in any such case which instrument or agreement has, or is intended to have, the purpose or effect of: (w) reducing in any manner, to any extent or at any time in the future, such Eligible Stockholder’s or any of its affiliates’ full right to vote or direct the voting of any such shares, and/or (x) hedging, offsetting, or altering to any degree,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Eligible Stockholder has the power to recall such loaned shares on no more than five business days’ notice and includes in the Proxy Access Notice an agreement that it will (y) promptly recall such loaned shares upon being notified that any of its Nominees will be included in the Corporation’s proxy materials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and (z) continue to hold such recalled shares (including the right to vote such shares) through the date of the annual meeting of stockholders. The terms “owned,” “owning” and other variations of the word “own” shall have correlative meanings. Each Nominating Stockholder shall furnish any other information that may reasonably be required by the Board of Directors to verify such stockholder’s continuous ownership of at least the Minimum Number during the three-year period referred to above.</w:t>
      </w:r>
    </w:p>
    <w:p>
      <w:pPr>
        <w:spacing w:after="0" w:line="118" w:lineRule="exact"/>
        <w:rPr>
          <w:sz w:val="20"/>
          <w:szCs w:val="20"/>
          <w:color w:val="auto"/>
        </w:rPr>
      </w:pPr>
    </w:p>
    <w:p>
      <w:pPr>
        <w:jc w:val="both"/>
        <w:ind w:left="8" w:right="80" w:hanging="8"/>
        <w:spacing w:after="0" w:line="263" w:lineRule="auto"/>
        <w:tabs>
          <w:tab w:leader="none" w:pos="31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may be in more than one group constituting a Nominating Stockholder, and if any person appears as a member of more than one group, it shall be deemed to be a member of the group that owns the greatest aggregate number of shares of the Corporation’s common</w:t>
      </w:r>
    </w:p>
    <w:p>
      <w:pPr>
        <w:sectPr>
          <w:pgSz w:w="11900" w:h="16838" w:orient="portrait"/>
          <w:cols w:equalWidth="0" w:num="1">
            <w:col w:w="10888"/>
          </w:cols>
          <w:pgMar w:left="652" w:top="1422" w:right="359" w:bottom="1440" w:gutter="0" w:footer="0" w:header="0"/>
        </w:sectPr>
      </w:pPr>
    </w:p>
    <w:bookmarkStart w:id="110" w:name="page111"/>
    <w:bookmarkEnd w:id="110"/>
    <w:p>
      <w:pPr>
        <w:ind w:left="332"/>
        <w:spacing w:after="0" w:line="271" w:lineRule="auto"/>
        <w:rPr>
          <w:sz w:val="20"/>
          <w:szCs w:val="20"/>
          <w:color w:val="auto"/>
        </w:rPr>
      </w:pPr>
      <w:r>
        <w:rPr>
          <w:rFonts w:ascii="Times New Roman" w:cs="Times New Roman" w:eastAsia="Times New Roman" w:hAnsi="Times New Roman"/>
          <w:sz w:val="22"/>
          <w:szCs w:val="22"/>
          <w:color w:val="auto"/>
        </w:rPr>
        <w:t xml:space="preserve">stock as reflected in the Proxy Access Notice, and no shares may be attributed as owned by more than one person constituting a Nominating Stockholder under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04" w:lineRule="exact"/>
        <w:rPr>
          <w:sz w:val="20"/>
          <w:szCs w:val="20"/>
          <w:color w:val="auto"/>
        </w:rPr>
      </w:pPr>
    </w:p>
    <w:p>
      <w:pPr>
        <w:jc w:val="both"/>
        <w:ind w:left="-8" w:right="120" w:firstLine="8"/>
        <w:spacing w:after="0" w:line="256" w:lineRule="auto"/>
        <w:tabs>
          <w:tab w:leader="none" w:pos="29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nominate a Nominee, the Nominating Stockholder must, no earlier than 150 calendar days and no later than 120 calendar days before the date of the Corporation’s proxy materials released to stockholders in connection with the previous year’s annual meeting of stockholders, submit to the Secretary of the Corporation at the principal executive office of the Corporation all of the following information and documents (collectively, the “</w:t>
      </w:r>
      <w:r>
        <w:rPr>
          <w:rFonts w:ascii="Times New Roman" w:cs="Times New Roman" w:eastAsia="Times New Roman" w:hAnsi="Times New Roman"/>
          <w:sz w:val="22"/>
          <w:szCs w:val="22"/>
          <w:u w:val="single" w:color="auto"/>
          <w:color w:val="auto"/>
        </w:rPr>
        <w:t>Proxy Access Notice</w:t>
      </w:r>
      <w:r>
        <w:rPr>
          <w:rFonts w:ascii="Times New Roman" w:cs="Times New Roman" w:eastAsia="Times New Roman" w:hAnsi="Times New Roman"/>
          <w:sz w:val="22"/>
          <w:szCs w:val="22"/>
          <w:color w:val="auto"/>
        </w:rPr>
        <w:t>”):</w:t>
      </w:r>
    </w:p>
    <w:p>
      <w:pPr>
        <w:spacing w:after="0" w:line="122" w:lineRule="exact"/>
        <w:rPr>
          <w:rFonts w:ascii="Times New Roman" w:cs="Times New Roman" w:eastAsia="Times New Roman" w:hAnsi="Times New Roman"/>
          <w:sz w:val="22"/>
          <w:szCs w:val="22"/>
          <w:color w:val="auto"/>
        </w:rPr>
      </w:pPr>
    </w:p>
    <w:p>
      <w:pPr>
        <w:ind w:left="332" w:right="680" w:hanging="8"/>
        <w:spacing w:after="0" w:line="271" w:lineRule="auto"/>
        <w:tabs>
          <w:tab w:leader="none" w:pos="59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14N (or any successor form) relating to the Nominee, completed and filed with the Commission by the Nominating Stockholder as applicable, in accordance with the Commission’s rules;</w:t>
      </w:r>
    </w:p>
    <w:p>
      <w:pPr>
        <w:spacing w:after="0" w:line="117" w:lineRule="exact"/>
        <w:rPr>
          <w:rFonts w:ascii="Times New Roman" w:cs="Times New Roman" w:eastAsia="Times New Roman" w:hAnsi="Times New Roman"/>
          <w:sz w:val="22"/>
          <w:szCs w:val="22"/>
          <w:color w:val="auto"/>
        </w:rPr>
      </w:pPr>
    </w:p>
    <w:p>
      <w:pPr>
        <w:ind w:left="332" w:right="540" w:hanging="8"/>
        <w:spacing w:after="0" w:line="271" w:lineRule="auto"/>
        <w:tabs>
          <w:tab w:leader="none" w:pos="65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notice of the nomination of such Nominee that includes the following additional information, agreements, representations and warranties by the Nominating Stockholder (including each group member):</w:t>
      </w:r>
    </w:p>
    <w:p>
      <w:pPr>
        <w:spacing w:after="0" w:line="103" w:lineRule="exact"/>
        <w:rPr>
          <w:rFonts w:ascii="Times New Roman" w:cs="Times New Roman" w:eastAsia="Times New Roman" w:hAnsi="Times New Roman"/>
          <w:sz w:val="22"/>
          <w:szCs w:val="22"/>
          <w:color w:val="auto"/>
        </w:rPr>
      </w:pPr>
    </w:p>
    <w:p>
      <w:pPr>
        <w:ind w:left="652" w:right="540" w:hanging="4"/>
        <w:spacing w:after="0" w:line="271" w:lineRule="auto"/>
        <w:tabs>
          <w:tab w:leader="none" w:pos="1006"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information, representations and agreements required with respect to the nomination of directors pursuant to </w:t>
      </w:r>
      <w:r>
        <w:rPr>
          <w:rFonts w:ascii="Times New Roman" w:cs="Times New Roman" w:eastAsia="Times New Roman" w:hAnsi="Times New Roman"/>
          <w:sz w:val="22"/>
          <w:szCs w:val="22"/>
          <w:u w:val="single" w:color="auto"/>
          <w:color w:val="auto"/>
        </w:rPr>
        <w:t>Sections 2(c) and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these Bylaws;</w:t>
      </w:r>
    </w:p>
    <w:p>
      <w:pPr>
        <w:spacing w:after="0" w:line="103" w:lineRule="exact"/>
        <w:rPr>
          <w:rFonts w:ascii="Times New Roman" w:cs="Times New Roman" w:eastAsia="Times New Roman" w:hAnsi="Times New Roman"/>
          <w:sz w:val="22"/>
          <w:szCs w:val="22"/>
          <w:color w:val="auto"/>
        </w:rPr>
      </w:pPr>
    </w:p>
    <w:p>
      <w:pPr>
        <w:ind w:left="652" w:right="140" w:hanging="4"/>
        <w:spacing w:after="0" w:line="271" w:lineRule="auto"/>
        <w:tabs>
          <w:tab w:leader="none" w:pos="994"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117" w:lineRule="exact"/>
        <w:rPr>
          <w:rFonts w:ascii="Times New Roman" w:cs="Times New Roman" w:eastAsia="Times New Roman" w:hAnsi="Times New Roman"/>
          <w:sz w:val="22"/>
          <w:szCs w:val="22"/>
          <w:color w:val="auto"/>
        </w:rPr>
      </w:pPr>
    </w:p>
    <w:p>
      <w:pPr>
        <w:ind w:left="652" w:right="300" w:hanging="4"/>
        <w:spacing w:after="0" w:line="271" w:lineRule="auto"/>
        <w:tabs>
          <w:tab w:leader="none" w:pos="994"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did not acquire, and is not holding, securities of the Corporation for the purpose or with the effect of influencing or changing control of the Corporation;</w:t>
      </w:r>
    </w:p>
    <w:p>
      <w:pPr>
        <w:spacing w:after="0" w:line="103" w:lineRule="exact"/>
        <w:rPr>
          <w:rFonts w:ascii="Times New Roman" w:cs="Times New Roman" w:eastAsia="Times New Roman" w:hAnsi="Times New Roman"/>
          <w:sz w:val="22"/>
          <w:szCs w:val="22"/>
          <w:color w:val="auto"/>
        </w:rPr>
      </w:pPr>
    </w:p>
    <w:p>
      <w:pPr>
        <w:ind w:left="652" w:right="80" w:hanging="4"/>
        <w:spacing w:after="0" w:line="257" w:lineRule="auto"/>
        <w:tabs>
          <w:tab w:leader="none" w:pos="1006"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Nominee’s candidacy or, if elected, Board of Directors membership, would not violate the Certificate of Incorporation, these Bylaws, or any applicable state or federal law or the rules of any stock exchange on which the Corporation’s securities are traded;</w:t>
      </w:r>
    </w:p>
    <w:p>
      <w:pPr>
        <w:spacing w:after="0" w:line="132" w:lineRule="exact"/>
        <w:rPr>
          <w:rFonts w:ascii="Times New Roman" w:cs="Times New Roman" w:eastAsia="Times New Roman" w:hAnsi="Times New Roman"/>
          <w:sz w:val="22"/>
          <w:szCs w:val="22"/>
          <w:color w:val="auto"/>
        </w:rPr>
      </w:pPr>
    </w:p>
    <w:p>
      <w:pPr>
        <w:ind w:left="972" w:hanging="324"/>
        <w:spacing w:after="0"/>
        <w:tabs>
          <w:tab w:leader="none" w:pos="972"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Nominee:</w:t>
      </w:r>
    </w:p>
    <w:p>
      <w:pPr>
        <w:spacing w:after="0" w:line="165" w:lineRule="exact"/>
        <w:rPr>
          <w:rFonts w:ascii="Times New Roman" w:cs="Times New Roman" w:eastAsia="Times New Roman" w:hAnsi="Times New Roman"/>
          <w:sz w:val="22"/>
          <w:szCs w:val="22"/>
          <w:color w:val="auto"/>
        </w:rPr>
      </w:pPr>
    </w:p>
    <w:p>
      <w:pPr>
        <w:ind w:left="972" w:right="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(1)does not have any direct or indirect material relationship with the Corporation and otherwise would qualify as an “independent director” under the rules of the primary stock exchange on which the Corporation’s securities are traded and any applicable rules of the Commission;</w:t>
      </w:r>
    </w:p>
    <w:p>
      <w:pPr>
        <w:spacing w:after="0" w:line="118" w:lineRule="exact"/>
        <w:rPr>
          <w:rFonts w:ascii="Times New Roman" w:cs="Times New Roman" w:eastAsia="Times New Roman" w:hAnsi="Times New Roman"/>
          <w:sz w:val="22"/>
          <w:szCs w:val="22"/>
          <w:color w:val="auto"/>
        </w:rPr>
      </w:pPr>
    </w:p>
    <w:p>
      <w:pPr>
        <w:ind w:left="972" w:right="420"/>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(2)would meet the audit committee independence requirements under the rules of the principal stock exchange on which the Corporation’s common stock is traded;</w:t>
      </w:r>
    </w:p>
    <w:p>
      <w:pPr>
        <w:spacing w:after="0" w:line="89" w:lineRule="exact"/>
        <w:rPr>
          <w:rFonts w:ascii="Times New Roman" w:cs="Times New Roman" w:eastAsia="Times New Roman" w:hAnsi="Times New Roman"/>
          <w:sz w:val="22"/>
          <w:szCs w:val="22"/>
          <w:color w:val="auto"/>
        </w:rPr>
      </w:pPr>
    </w:p>
    <w:p>
      <w:pPr>
        <w:ind w:left="972" w:right="68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(3)would qualify as a “non-employee director” for the purposes of Rule 16b-3 under the Exchange Act (or any successor rule);</w:t>
      </w:r>
    </w:p>
    <w:p>
      <w:pPr>
        <w:spacing w:after="0" w:line="103" w:lineRule="exact"/>
        <w:rPr>
          <w:rFonts w:ascii="Times New Roman" w:cs="Times New Roman" w:eastAsia="Times New Roman" w:hAnsi="Times New Roman"/>
          <w:sz w:val="22"/>
          <w:szCs w:val="22"/>
          <w:color w:val="auto"/>
        </w:rPr>
      </w:pPr>
    </w:p>
    <w:p>
      <w:pPr>
        <w:ind w:left="972" w:right="3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(4)would qualify as an “outside director” for the purposes of Section 162(m) of the Internal Revenue Code (or any successor provision);</w:t>
      </w:r>
    </w:p>
    <w:p>
      <w:pPr>
        <w:sectPr>
          <w:pgSz w:w="11900" w:h="16838" w:orient="portrait"/>
          <w:cols w:equalWidth="0" w:num="1">
            <w:col w:w="11212"/>
          </w:cols>
          <w:pgMar w:left="328" w:top="1422" w:right="359" w:bottom="1440" w:gutter="0" w:footer="0" w:header="0"/>
        </w:sectPr>
      </w:pPr>
    </w:p>
    <w:bookmarkStart w:id="111" w:name="page112"/>
    <w:bookmarkEnd w:id="111"/>
    <w:p>
      <w:pPr>
        <w:ind w:left="324"/>
        <w:spacing w:after="0"/>
        <w:rPr>
          <w:sz w:val="20"/>
          <w:szCs w:val="20"/>
          <w:color w:val="auto"/>
        </w:rPr>
      </w:pPr>
      <w:r>
        <w:rPr>
          <w:rFonts w:ascii="Times New Roman" w:cs="Times New Roman" w:eastAsia="Times New Roman" w:hAnsi="Times New Roman"/>
          <w:sz w:val="22"/>
          <w:szCs w:val="22"/>
          <w:color w:val="auto"/>
        </w:rPr>
        <w:t xml:space="preserve">(5)is or is not (as the case may be) a “Non-Citizen” as defined in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of these Bylaws;</w:t>
      </w:r>
    </w:p>
    <w:p>
      <w:pPr>
        <w:spacing w:after="0" w:line="166" w:lineRule="exact"/>
        <w:rPr>
          <w:sz w:val="20"/>
          <w:szCs w:val="20"/>
          <w:color w:val="auto"/>
        </w:rPr>
      </w:pPr>
    </w:p>
    <w:p>
      <w:pPr>
        <w:jc w:val="both"/>
        <w:ind w:left="324" w:right="40"/>
        <w:spacing w:after="0" w:line="263" w:lineRule="auto"/>
        <w:rPr>
          <w:sz w:val="20"/>
          <w:szCs w:val="20"/>
          <w:color w:val="auto"/>
        </w:rPr>
      </w:pPr>
      <w:r>
        <w:rPr>
          <w:rFonts w:ascii="Times New Roman" w:cs="Times New Roman" w:eastAsia="Times New Roman" w:hAnsi="Times New Roman"/>
          <w:sz w:val="22"/>
          <w:szCs w:val="22"/>
          <w:color w:val="auto"/>
        </w:rPr>
        <w:t>(6)is not and has not been, within the past three years, an officer or director of a competitor, as defined under Section 8 of the Clayton Antitrust Act of 1914, as amended, and if the Nominee has held any such position during this period, details thereof; and</w:t>
      </w:r>
    </w:p>
    <w:p>
      <w:pPr>
        <w:spacing w:after="0" w:line="113" w:lineRule="exact"/>
        <w:rPr>
          <w:sz w:val="20"/>
          <w:szCs w:val="20"/>
          <w:color w:val="auto"/>
        </w:rPr>
      </w:pPr>
    </w:p>
    <w:p>
      <w:pPr>
        <w:jc w:val="both"/>
        <w:ind w:left="324" w:right="360"/>
        <w:spacing w:after="0" w:line="252" w:lineRule="auto"/>
        <w:rPr>
          <w:sz w:val="20"/>
          <w:szCs w:val="20"/>
          <w:color w:val="auto"/>
        </w:rPr>
      </w:pPr>
      <w:r>
        <w:rPr>
          <w:rFonts w:ascii="Times New Roman" w:cs="Times New Roman" w:eastAsia="Times New Roman" w:hAnsi="Times New Roman"/>
          <w:sz w:val="22"/>
          <w:szCs w:val="22"/>
          <w:color w:val="auto"/>
        </w:rPr>
        <w:t>(7)is not and has not been subject to any event specified in Rule 506(d)(1) of Regulation D (or any successor rule) under the Securities Act of 1933, as amended, or Item 401(f) of Regulation S-K (or any successor rule) under the Exchange Act, without reference to whether the event is material to an evaluation of the ability or integrity of the Nominee;</w:t>
      </w:r>
    </w:p>
    <w:p>
      <w:pPr>
        <w:spacing w:after="0" w:line="139" w:lineRule="exact"/>
        <w:rPr>
          <w:sz w:val="20"/>
          <w:szCs w:val="20"/>
          <w:color w:val="auto"/>
        </w:rPr>
      </w:pPr>
    </w:p>
    <w:p>
      <w:pPr>
        <w:jc w:val="both"/>
        <w:ind w:left="4" w:hanging="4"/>
        <w:spacing w:after="0" w:line="257" w:lineRule="auto"/>
        <w:tabs>
          <w:tab w:leader="none" w:pos="32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representation and warranty that the Nominating Stockholder satisfies the eligibility requirements set forth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has provided evidence of ownership to the extent required by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and such evidence of ownership is true, complete and correct;</w:t>
      </w:r>
    </w:p>
    <w:p>
      <w:pPr>
        <w:spacing w:after="0" w:line="118" w:lineRule="exact"/>
        <w:rPr>
          <w:rFonts w:ascii="Times New Roman" w:cs="Times New Roman" w:eastAsia="Times New Roman" w:hAnsi="Times New Roman"/>
          <w:sz w:val="22"/>
          <w:szCs w:val="22"/>
          <w:color w:val="auto"/>
        </w:rPr>
      </w:pPr>
    </w:p>
    <w:p>
      <w:pPr>
        <w:ind w:left="4" w:right="220" w:hanging="4"/>
        <w:spacing w:after="0" w:line="253" w:lineRule="auto"/>
        <w:tabs>
          <w:tab w:leader="none" w:pos="3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 representation and warranty that the Nominating Stockholder intends to continue to satisfy the eligibility requirements described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through the date of the annual meeting of stockholders and (ii) a statement as to whether or not the Nominating Stockholder intends to continue to hold the Minimum Number of shares for at least one year following the annual meeting of stockholders, which statement may also include a description as to why such Nominating Stockholder is unable to make the foregoing statement;</w:t>
      </w:r>
    </w:p>
    <w:p>
      <w:pPr>
        <w:spacing w:after="0" w:line="124" w:lineRule="exact"/>
        <w:rPr>
          <w:rFonts w:ascii="Times New Roman" w:cs="Times New Roman" w:eastAsia="Times New Roman" w:hAnsi="Times New Roman"/>
          <w:sz w:val="22"/>
          <w:szCs w:val="22"/>
          <w:color w:val="auto"/>
        </w:rPr>
      </w:pPr>
    </w:p>
    <w:p>
      <w:pPr>
        <w:jc w:val="both"/>
        <w:ind w:left="4" w:right="60" w:hanging="4"/>
        <w:spacing w:after="0" w:line="256" w:lineRule="auto"/>
        <w:tabs>
          <w:tab w:leader="none" w:pos="3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will not engage in or support, directly or indirectly, a “solicitation” within the meaning of Rule 14a-1(l) (without reference to the exception in Section 14a- 1(l)(2)(iv)) (or any successor rules) with respect to the annual meeting of stockholders, other than a solicitation in support of the Nominee or any nominee of the Board of Directors;</w:t>
      </w:r>
    </w:p>
    <w:p>
      <w:pPr>
        <w:spacing w:after="0" w:line="122" w:lineRule="exact"/>
        <w:rPr>
          <w:rFonts w:ascii="Times New Roman" w:cs="Times New Roman" w:eastAsia="Times New Roman" w:hAnsi="Times New Roman"/>
          <w:sz w:val="22"/>
          <w:szCs w:val="22"/>
          <w:color w:val="auto"/>
        </w:rPr>
      </w:pPr>
    </w:p>
    <w:p>
      <w:pPr>
        <w:ind w:left="4" w:right="60" w:hanging="4"/>
        <w:spacing w:after="0" w:line="257" w:lineRule="auto"/>
        <w:tabs>
          <w:tab w:leader="none" w:pos="27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will not use any proxy card other than the Corporation’s proxy card in soliciting stockholders in connection with the election of a Nominee at the annual meeting of stockholders;</w:t>
      </w:r>
    </w:p>
    <w:p>
      <w:pPr>
        <w:spacing w:after="0" w:line="118" w:lineRule="exact"/>
        <w:rPr>
          <w:rFonts w:ascii="Times New Roman" w:cs="Times New Roman" w:eastAsia="Times New Roman" w:hAnsi="Times New Roman"/>
          <w:sz w:val="22"/>
          <w:szCs w:val="22"/>
          <w:color w:val="auto"/>
        </w:rPr>
      </w:pPr>
    </w:p>
    <w:p>
      <w:pPr>
        <w:ind w:left="284" w:hanging="284"/>
        <w:spacing w:after="0"/>
        <w:tabs>
          <w:tab w:leader="none" w:pos="28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desired by the Nominating Stockholder, a Supporting Statement;</w:t>
      </w:r>
    </w:p>
    <w:p>
      <w:pPr>
        <w:spacing w:after="0" w:line="179" w:lineRule="exact"/>
        <w:rPr>
          <w:rFonts w:ascii="Times New Roman" w:cs="Times New Roman" w:eastAsia="Times New Roman" w:hAnsi="Times New Roman"/>
          <w:sz w:val="22"/>
          <w:szCs w:val="22"/>
          <w:color w:val="auto"/>
        </w:rPr>
      </w:pPr>
    </w:p>
    <w:p>
      <w:pPr>
        <w:ind w:left="4" w:right="60" w:hanging="4"/>
        <w:spacing w:after="0" w:line="257" w:lineRule="auto"/>
        <w:tabs>
          <w:tab w:leader="none" w:pos="3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nomination by a group, the designation by all group members of one group member that is authorized to act on behalf of all group members with respect to matters relating to the nomination, including withdrawal of the nomination;</w:t>
      </w:r>
    </w:p>
    <w:p>
      <w:pPr>
        <w:spacing w:after="0" w:line="118" w:lineRule="exact"/>
        <w:rPr>
          <w:rFonts w:ascii="Times New Roman" w:cs="Times New Roman" w:eastAsia="Times New Roman" w:hAnsi="Times New Roman"/>
          <w:sz w:val="22"/>
          <w:szCs w:val="22"/>
          <w:color w:val="auto"/>
        </w:rPr>
      </w:pPr>
    </w:p>
    <w:p>
      <w:pPr>
        <w:ind w:left="4" w:right="460" w:hanging="4"/>
        <w:spacing w:after="0" w:line="257" w:lineRule="auto"/>
        <w:tabs>
          <w:tab w:leader="none" w:pos="33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Eligible Stockholder that is a Qualifying Fund consisting of two or more funds, documentation demonstrating that the funds are eligible to be treated as a Qualifying Fund and that each such fund comprising the Qualifying Fund otherwise meets the requirements set forth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and</w:t>
      </w:r>
    </w:p>
    <w:p>
      <w:pPr>
        <w:sectPr>
          <w:pgSz w:w="11900" w:h="16838" w:orient="portrait"/>
          <w:cols w:equalWidth="0" w:num="1">
            <w:col w:w="10544"/>
          </w:cols>
          <w:pgMar w:left="976" w:top="1422" w:right="379" w:bottom="1440" w:gutter="0" w:footer="0" w:header="0"/>
        </w:sectPr>
      </w:pPr>
    </w:p>
    <w:bookmarkStart w:id="112" w:name="page113"/>
    <w:bookmarkEnd w:id="112"/>
    <w:p>
      <w:pPr>
        <w:ind w:left="328" w:right="20" w:hanging="4"/>
        <w:spacing w:after="0" w:line="271" w:lineRule="auto"/>
        <w:tabs>
          <w:tab w:leader="none" w:pos="71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has not nominated and will not nominate for election any individual as director at the annual meeting of stockholders other than its Nominee(s).</w:t>
      </w:r>
    </w:p>
    <w:p>
      <w:pPr>
        <w:spacing w:after="0" w:line="103" w:lineRule="exact"/>
        <w:rPr>
          <w:rFonts w:ascii="Times New Roman" w:cs="Times New Roman" w:eastAsia="Times New Roman" w:hAnsi="Times New Roman"/>
          <w:sz w:val="22"/>
          <w:szCs w:val="22"/>
          <w:color w:val="auto"/>
        </w:rPr>
      </w:pPr>
    </w:p>
    <w:p>
      <w:pPr>
        <w:ind w:left="388" w:hanging="388"/>
        <w:spacing w:after="0"/>
        <w:tabs>
          <w:tab w:leader="none" w:pos="38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agreement pursuant to which the Nominating Stockholder (including each group member) agrees:</w:t>
      </w:r>
    </w:p>
    <w:p>
      <w:pPr>
        <w:spacing w:after="0" w:line="179" w:lineRule="exact"/>
        <w:rPr>
          <w:rFonts w:ascii="Times New Roman" w:cs="Times New Roman" w:eastAsia="Times New Roman" w:hAnsi="Times New Roman"/>
          <w:sz w:val="22"/>
          <w:szCs w:val="22"/>
          <w:color w:val="auto"/>
        </w:rPr>
      </w:pPr>
    </w:p>
    <w:p>
      <w:pPr>
        <w:ind w:left="668" w:hanging="344"/>
        <w:spacing w:after="0"/>
        <w:tabs>
          <w:tab w:leader="none" w:pos="66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comply with all applicable laws, rules and regulations in connection with the nomination, solicitation and election;</w:t>
      </w:r>
    </w:p>
    <w:p>
      <w:pPr>
        <w:spacing w:after="0" w:line="177" w:lineRule="exact"/>
        <w:rPr>
          <w:rFonts w:ascii="Times New Roman" w:cs="Times New Roman" w:eastAsia="Times New Roman" w:hAnsi="Times New Roman"/>
          <w:sz w:val="21"/>
          <w:szCs w:val="21"/>
          <w:color w:val="auto"/>
        </w:rPr>
      </w:pPr>
    </w:p>
    <w:p>
      <w:pPr>
        <w:ind w:left="328" w:right="40" w:hanging="4"/>
        <w:spacing w:after="0" w:line="252" w:lineRule="auto"/>
        <w:tabs>
          <w:tab w:leader="none" w:pos="67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with the Commission any solicitation or other communication with the Corporation’s stockholders relating to any Nominee or one or more of the Corporation’s directors or director nominees, regardless of whether any such filing is required under any law, rule or regulation or whether any exemption from filing is available for such materials under any law, rule or regulation;</w:t>
      </w:r>
    </w:p>
    <w:p>
      <w:pPr>
        <w:spacing w:after="0" w:line="138" w:lineRule="exact"/>
        <w:rPr>
          <w:rFonts w:ascii="Times New Roman" w:cs="Times New Roman" w:eastAsia="Times New Roman" w:hAnsi="Times New Roman"/>
          <w:sz w:val="22"/>
          <w:szCs w:val="22"/>
          <w:color w:val="auto"/>
        </w:rPr>
      </w:pPr>
    </w:p>
    <w:p>
      <w:pPr>
        <w:jc w:val="both"/>
        <w:ind w:left="328" w:hanging="4"/>
        <w:spacing w:after="0" w:line="252" w:lineRule="auto"/>
        <w:tabs>
          <w:tab w:leader="none" w:pos="67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assume all liability stemming from an action, suit or proceeding concerning any actual or alleged legal or regulatory violation arising out of any communication by the Nominating Stockholder with the Corporation, its stockholders or any other person in connection with the nomination or election of directors, including, without limitation, the Proxy Access Notice;</w:t>
      </w:r>
    </w:p>
    <w:p>
      <w:pPr>
        <w:spacing w:after="0" w:line="125" w:lineRule="exact"/>
        <w:rPr>
          <w:rFonts w:ascii="Times New Roman" w:cs="Times New Roman" w:eastAsia="Times New Roman" w:hAnsi="Times New Roman"/>
          <w:sz w:val="22"/>
          <w:szCs w:val="22"/>
          <w:color w:val="auto"/>
        </w:rPr>
      </w:pPr>
    </w:p>
    <w:p>
      <w:pPr>
        <w:ind w:left="328" w:right="20" w:hanging="4"/>
        <w:spacing w:after="0" w:line="250" w:lineRule="auto"/>
        <w:tabs>
          <w:tab w:leader="none" w:pos="68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indemnify and hold harmless (jointly and severally with all other group members, in the case of a group member) the Corporation and each of its directors, officers and employees individually against any liability, loss, damages, expenses, demands, claims or other costs (including reasonable attorneys’ fees and disbursements of counsel) incurred in connection with any threatened or pending action, suit or proceeding, whether legal, administrative or investigative, against the Corporation or any of its directors, officers or employees arising out of any nomination submitted by the Nominating Stockholder (including, without limitation, relating to any breach or alleged breach of its obligations, agreements, representations or warranties)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39" w:lineRule="exact"/>
        <w:rPr>
          <w:rFonts w:ascii="Times New Roman" w:cs="Times New Roman" w:eastAsia="Times New Roman" w:hAnsi="Times New Roman"/>
          <w:sz w:val="22"/>
          <w:szCs w:val="22"/>
          <w:color w:val="auto"/>
        </w:rPr>
      </w:pPr>
    </w:p>
    <w:p>
      <w:pPr>
        <w:ind w:left="328" w:right="20" w:hanging="4"/>
        <w:spacing w:after="0" w:line="247" w:lineRule="auto"/>
        <w:tabs>
          <w:tab w:leader="none" w:pos="65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(i) any information included in the Proxy Access Notice, or any other communication by the Nominating Stockholder (including with respect to any group member), with the Corporation, its stockholders or any other person in connection with the nomination or election of directors ceases to be true and accurate in all material respects (or due to a subsequent development omits a material fact necessary to make the statements made not misleading), or (ii) the Nominating Stockholder (including any group member) fails to continue to satisfy the eligibility requirements described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the Nominating Stockholder shall promptly (and in any event within 48 hours of discovering such misstatement, omission or failure) (x) in the case of clause (i) above, notify the Corporation and any other recipient of such communication of the misstatement or omission in such previously provided information and of the information that is required to correct the misstatement or omission, and (y) in the case of clause (ii) above, notify the Corporation why, and in what regard, the Nominating Stockholder fails to comply with the eligibility requirements described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and</w:t>
      </w:r>
    </w:p>
    <w:p>
      <w:pPr>
        <w:sectPr>
          <w:pgSz w:w="11900" w:h="16838" w:orient="portrait"/>
          <w:cols w:equalWidth="0" w:num="1">
            <w:col w:w="10808"/>
          </w:cols>
          <w:pgMar w:left="652" w:top="1422" w:right="439" w:bottom="1440" w:gutter="0" w:footer="0" w:header="0"/>
        </w:sectPr>
      </w:pPr>
    </w:p>
    <w:bookmarkStart w:id="113" w:name="page114"/>
    <w:bookmarkEnd w:id="113"/>
    <w:p>
      <w:pPr>
        <w:ind w:left="700" w:hanging="368"/>
        <w:spacing w:after="0"/>
        <w:tabs>
          <w:tab w:leader="none" w:pos="7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agreement by the Nominee:</w:t>
      </w:r>
    </w:p>
    <w:p>
      <w:pPr>
        <w:spacing w:after="0" w:line="165" w:lineRule="exact"/>
        <w:rPr>
          <w:rFonts w:ascii="Times New Roman" w:cs="Times New Roman" w:eastAsia="Times New Roman" w:hAnsi="Times New Roman"/>
          <w:sz w:val="22"/>
          <w:szCs w:val="22"/>
          <w:color w:val="auto"/>
        </w:rPr>
      </w:pPr>
    </w:p>
    <w:p>
      <w:pPr>
        <w:ind w:left="660" w:right="580" w:hanging="4"/>
        <w:spacing w:after="0" w:line="271" w:lineRule="auto"/>
        <w:tabs>
          <w:tab w:leader="none" w:pos="101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to the Corporation such other information, including a completed copy of the Corporation’s director questionnaire, as it may reasonably request;</w:t>
      </w:r>
    </w:p>
    <w:p>
      <w:pPr>
        <w:spacing w:after="0" w:line="117" w:lineRule="exact"/>
        <w:rPr>
          <w:rFonts w:ascii="Times New Roman" w:cs="Times New Roman" w:eastAsia="Times New Roman" w:hAnsi="Times New Roman"/>
          <w:sz w:val="22"/>
          <w:szCs w:val="22"/>
          <w:color w:val="auto"/>
        </w:rPr>
      </w:pPr>
    </w:p>
    <w:p>
      <w:pPr>
        <w:ind w:left="660" w:right="40" w:hanging="4"/>
        <w:spacing w:after="0" w:line="257" w:lineRule="auto"/>
        <w:tabs>
          <w:tab w:leader="none" w:pos="100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Nominee (i) agrees, if elected, to serve as a member of the Board of Directors, and (ii) has read and agrees to adhere to the Corporation’s Corporate Governance Guidelines and any other Corporation policies and guidelines applicable to directors generally; and</w:t>
      </w:r>
    </w:p>
    <w:p>
      <w:pPr>
        <w:spacing w:after="0" w:line="118" w:lineRule="exact"/>
        <w:rPr>
          <w:rFonts w:ascii="Times New Roman" w:cs="Times New Roman" w:eastAsia="Times New Roman" w:hAnsi="Times New Roman"/>
          <w:sz w:val="22"/>
          <w:szCs w:val="22"/>
          <w:color w:val="auto"/>
        </w:rPr>
      </w:pPr>
    </w:p>
    <w:p>
      <w:pPr>
        <w:ind w:left="660" w:right="40" w:hanging="4"/>
        <w:spacing w:after="0" w:line="249" w:lineRule="auto"/>
        <w:tabs>
          <w:tab w:leader="none" w:pos="100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Nominee is not and will not become a party to (1) any compensatory, payment or other financial agreement, arrangement or understanding with any person or entity in connection with service or action as a director of the Corporation that has not been disclosed to the Corporation in writing, (2) any agreement, arrangement or understanding with any person or entity as to how the Nominee would vote or act on any issue or question as a director (a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that has not been disclosed to the Corporation in writing, or (3) any Voting Commitment that could limit or interfere with the Nominee’s ability to comply, if elected as a director of the Corporation, with its fiduciary duties under applicable law or with the Corporation’s Corporate Governance Guidelines and any other Corporation policies and guidelines applicable to directors generally.</w:t>
      </w:r>
    </w:p>
    <w:p>
      <w:pPr>
        <w:spacing w:after="0" w:line="14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 xml:space="preserve">The information and documents required by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shall be: (x) provided with respect to and executed by each group member, in the case of information applicable to group members; and (y) provided with respect to the persons specified in Instruction 1 to Items 6(c) and (d) of Schedule 14N (or any successor item) if and to the extent applicable to a Nominating Stockholder or group member. The Proxy Access Notice shall be deemed submitted on the date on which all the information and documents referred to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(other than such information and documents contemplated to be provided after the date the Proxy Access Notice is provided) have been delivered to or, if sent by mail, received by the Secretary of the Corporation. For the avoidance of doubt, in no event shall any adjournment or postponement of an annual meeting of stockholders or the public announcement thereof commence a new time period for the giving of a Proxy Access Notice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ind w:left="300" w:hanging="292"/>
        <w:spacing w:after="0"/>
        <w:tabs>
          <w:tab w:leader="none" w:pos="3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 and Clarifications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340" w:right="300" w:hanging="8"/>
        <w:spacing w:after="0" w:line="248" w:lineRule="auto"/>
        <w:tabs>
          <w:tab w:leader="none" w:pos="598"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 the Corporation may omit from its proxy materials any Nominee and any information concerning such Nominee (including a Nominating Stockholder’s Supporting Statement), (y) any nomination shall be disregarded, and (z) no vote on such Nominee will occur (notwithstanding that proxies in respect of such vote may have been received by the Corporation), and the Nominating Stockholder may not, after the last day on which a Proxy Access Notice would be timely, cure in any way any defect preventing the nomination of the Nominee, if:</w:t>
      </w:r>
    </w:p>
    <w:p>
      <w:pPr>
        <w:spacing w:after="0" w:line="146" w:lineRule="exact"/>
        <w:rPr>
          <w:rFonts w:ascii="Times New Roman" w:cs="Times New Roman" w:eastAsia="Times New Roman" w:hAnsi="Times New Roman"/>
          <w:sz w:val="22"/>
          <w:szCs w:val="22"/>
          <w:color w:val="auto"/>
        </w:rPr>
      </w:pPr>
    </w:p>
    <w:p>
      <w:pPr>
        <w:ind w:left="660" w:hanging="4"/>
        <w:spacing w:after="0" w:line="271" w:lineRule="auto"/>
        <w:tabs>
          <w:tab w:leader="none" w:pos="1014"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receives a notice pursuant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that a stockholder intends to nominate a candidate for director at the annual meeting of stockholders;</w:t>
      </w:r>
    </w:p>
    <w:p>
      <w:pPr>
        <w:sectPr>
          <w:pgSz w:w="11900" w:h="16838" w:orient="portrait"/>
          <w:cols w:equalWidth="0" w:num="1">
            <w:col w:w="11160"/>
          </w:cols>
          <w:pgMar w:left="320" w:top="1422" w:right="419" w:bottom="1440" w:gutter="0" w:footer="0" w:header="0"/>
        </w:sectPr>
      </w:pPr>
    </w:p>
    <w:bookmarkStart w:id="114" w:name="page115"/>
    <w:bookmarkEnd w:id="114"/>
    <w:p>
      <w:pPr>
        <w:ind w:left="328" w:hanging="4"/>
        <w:spacing w:after="0" w:line="275" w:lineRule="auto"/>
        <w:tabs>
          <w:tab w:leader="none" w:pos="67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Nominating Stockholder or the designated lead group member, as applicable, or any qualified representative thereof, does not appear at the annual meeting of stockholders to present the nomination submitted pursuant to this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or the Nominating Stockholder withdraws its nomination prior to the annual meeting of stockholders;</w:t>
      </w:r>
    </w:p>
    <w:p>
      <w:pPr>
        <w:spacing w:after="0" w:line="114" w:lineRule="exact"/>
        <w:rPr>
          <w:rFonts w:ascii="Times New Roman" w:cs="Times New Roman" w:eastAsia="Times New Roman" w:hAnsi="Times New Roman"/>
          <w:sz w:val="21"/>
          <w:szCs w:val="21"/>
          <w:color w:val="auto"/>
        </w:rPr>
      </w:pPr>
    </w:p>
    <w:p>
      <w:pPr>
        <w:ind w:left="328" w:right="120" w:hanging="4"/>
        <w:spacing w:after="0" w:line="252" w:lineRule="auto"/>
        <w:tabs>
          <w:tab w:leader="none" w:pos="67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determines that such Nominee’s nomination or election to the Board of Directors would result in the Corporation violating or failing to be in compliance with the Certificate of Incorporation, these Bylaws or any applicable law, rule or regulation to which the Corporation is subject, including any rules or regulations of any stock exchange on which the Corporation’s securities are traded;</w:t>
      </w:r>
    </w:p>
    <w:p>
      <w:pPr>
        <w:spacing w:after="0" w:line="125" w:lineRule="exact"/>
        <w:rPr>
          <w:rFonts w:ascii="Times New Roman" w:cs="Times New Roman" w:eastAsia="Times New Roman" w:hAnsi="Times New Roman"/>
          <w:sz w:val="22"/>
          <w:szCs w:val="22"/>
          <w:color w:val="auto"/>
        </w:rPr>
      </w:pPr>
    </w:p>
    <w:p>
      <w:pPr>
        <w:ind w:left="328" w:right="140" w:hanging="4"/>
        <w:spacing w:after="0" w:line="256" w:lineRule="auto"/>
        <w:tabs>
          <w:tab w:leader="none" w:pos="68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Nominee was nominated for election to the Board of Directors pursuant to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at one of the Corporation’s two preceding annual meetings of stockholders and (i) its nomination was withdrawn, (ii) such Nominee became ineligible to serve as a Nominee or as a Director or (iii) such Nominee received a vote of less than 25% of the shares of common stock entitled to vote for such Nominee; or</w:t>
      </w:r>
    </w:p>
    <w:p>
      <w:pPr>
        <w:spacing w:after="0" w:line="122" w:lineRule="exact"/>
        <w:rPr>
          <w:sz w:val="20"/>
          <w:szCs w:val="20"/>
          <w:color w:val="auto"/>
        </w:rPr>
      </w:pPr>
    </w:p>
    <w:p>
      <w:pPr>
        <w:ind w:left="328"/>
        <w:spacing w:after="0" w:line="268" w:lineRule="auto"/>
        <w:rPr>
          <w:sz w:val="20"/>
          <w:szCs w:val="20"/>
          <w:color w:val="auto"/>
        </w:rPr>
      </w:pPr>
      <w:r>
        <w:rPr>
          <w:rFonts w:ascii="Times New Roman" w:cs="Times New Roman" w:eastAsia="Times New Roman" w:hAnsi="Times New Roman"/>
          <w:sz w:val="21"/>
          <w:szCs w:val="21"/>
          <w:color w:val="auto"/>
        </w:rPr>
        <w:t xml:space="preserve">(E)(i) the Nominating Stockholder fails to continue to satisfy the eligibility requirements described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8(c)</w:t>
      </w:r>
      <w:r>
        <w:rPr>
          <w:rFonts w:ascii="Times New Roman" w:cs="Times New Roman" w:eastAsia="Times New Roman" w:hAnsi="Times New Roman"/>
          <w:sz w:val="21"/>
          <w:szCs w:val="21"/>
          <w:color w:val="auto"/>
        </w:rPr>
        <w:t xml:space="preserve">, (ii) any of the representations and warranties made in the Proxy Access Notice cease to be true, complete and correct (or omits to state a material fact necessary to make the statements made therein not misleading), (iii) the Nominee becomes unwilling or unable to serve on the Board of Directors or (iv) the Nominating Stockholder or the Nominee materially violates or breaches any of its agreements, representations or warranties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w:t>
      </w:r>
    </w:p>
    <w:p>
      <w:pPr>
        <w:spacing w:after="0" w:line="110" w:lineRule="exact"/>
        <w:rPr>
          <w:sz w:val="20"/>
          <w:szCs w:val="20"/>
          <w:color w:val="auto"/>
        </w:rPr>
      </w:pPr>
    </w:p>
    <w:p>
      <w:pPr>
        <w:ind w:left="8" w:right="40" w:hanging="8"/>
        <w:spacing w:after="0" w:line="250" w:lineRule="auto"/>
        <w:tabs>
          <w:tab w:leader="none" w:pos="32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Corporation may omit from its proxy materials, or may supplement or correct, any information, including all or any portion of the Supporting Statement included in the Proxy Access Notice, if: (A) such information is not true and correct in all material respects or omits a material statement necessary to make the statements therein not misleading; (B) such information directly or indirectly impugns the character, integrity or, without factual foundation, personal reputation of, or directly or indirectly makes charges concerning improper, illegal or immoral conduct or associations with respect to, any person; or (C) the inclusion of such information in the proxy materials would otherwise violate the Commission’s proxy rules or any other applicable law, rule or regulation. Once submitted with a Proxy Access Notice, a Supporting Statement may not be amended, supplemented or modified by the Nominee or Nominating Stockholder.</w:t>
      </w:r>
    </w:p>
    <w:p>
      <w:pPr>
        <w:spacing w:after="0" w:line="125" w:lineRule="exact"/>
        <w:rPr>
          <w:rFonts w:ascii="Times New Roman" w:cs="Times New Roman" w:eastAsia="Times New Roman" w:hAnsi="Times New Roman"/>
          <w:sz w:val="22"/>
          <w:szCs w:val="22"/>
          <w:color w:val="auto"/>
        </w:rPr>
      </w:pPr>
    </w:p>
    <w:p>
      <w:pPr>
        <w:ind w:left="8" w:right="420" w:hanging="8"/>
        <w:spacing w:after="0" w:line="271" w:lineRule="auto"/>
        <w:tabs>
          <w:tab w:leader="none" w:pos="38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Corporation may solicit against, and include in the proxy materials its own statement relating to, any Nominee.</w:t>
      </w:r>
    </w:p>
    <w:p>
      <w:pPr>
        <w:spacing w:after="0" w:line="104" w:lineRule="exact"/>
        <w:rPr>
          <w:sz w:val="20"/>
          <w:szCs w:val="20"/>
          <w:color w:val="auto"/>
        </w:rPr>
      </w:pPr>
    </w:p>
    <w:p>
      <w:pPr>
        <w:jc w:val="both"/>
        <w:ind w:left="8" w:right="280"/>
        <w:spacing w:after="0" w:line="257" w:lineRule="auto"/>
        <w:rPr>
          <w:sz w:val="20"/>
          <w:szCs w:val="20"/>
          <w:color w:val="auto"/>
        </w:rPr>
      </w:pPr>
      <w:r>
        <w:rPr>
          <w:rFonts w:ascii="Times New Roman" w:cs="Times New Roman" w:eastAsia="Times New Roman" w:hAnsi="Times New Roman"/>
          <w:sz w:val="22"/>
          <w:szCs w:val="22"/>
          <w:color w:val="auto"/>
        </w:rPr>
        <w:t xml:space="preserve">(iv)(A) As provided in Article III, Section 2(e), Rule 14a-19 promulgated under the Exchange Act, and (B)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provides the exclusive method for a stockholder to include nominees for election to the Board of Directors in the Corporation’s proxy materials (including, without limitation, any proxy card or written ballot).</w:t>
      </w:r>
    </w:p>
    <w:p>
      <w:pPr>
        <w:sectPr>
          <w:pgSz w:w="11900" w:h="16838" w:orient="portrait"/>
          <w:cols w:equalWidth="0" w:num="1">
            <w:col w:w="10888"/>
          </w:cols>
          <w:pgMar w:left="652" w:top="1422" w:right="359" w:bottom="1440" w:gutter="0" w:footer="0" w:header="0"/>
        </w:sectPr>
      </w:pPr>
    </w:p>
    <w:bookmarkStart w:id="115" w:name="page116"/>
    <w:bookmarkEnd w:id="115"/>
    <w:p>
      <w:pPr>
        <w:ind w:left="340" w:right="40" w:hanging="8"/>
        <w:spacing w:after="0" w:line="257" w:lineRule="auto"/>
        <w:tabs>
          <w:tab w:leader="none" w:pos="64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interpretation of, and compliance with, any provision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including the representations, warranties and covenants contained herein, shall be determined by the Board of Directors or, in the discretion of the Board of Directors, one or more of its designees, in each case acting in good faith.</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Meetings of Directors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Annual Meeting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After each annual election of Directors, the newly elected Board of Directors may meet for the purpose of organization, the election of Officers, and the transaction of other business, at such place and time as shall be fixed by the newly elected Board of Directors at the annual meeting, and, if a majority of the newly elected Board of Directors be present at such place and time, no prior notice of such meeting shall be required to be given to the newly elected Board of Directors. The place and time of such meeting may also be fixed by written consent of the newly elected Board of Directors.</w:t>
      </w:r>
    </w:p>
    <w:p>
      <w:pPr>
        <w:spacing w:after="0" w:line="11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Regular Meetings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Meetings of the Board of Directors shall be held on such dates and at such times and places as may be determined by the Board of Directors from time to time. No notice need be given of any regular meeting.</w:t>
      </w:r>
    </w:p>
    <w:p>
      <w:pPr>
        <w:spacing w:after="0" w:line="9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Special Meetings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Special meetings of the Directors may be called individually by the Chairman of the Board, the Chief Executive Officer or by the Chairman upon the written request of two or more Directors. Notice thereof stating the place, date and hour of the special meeting shall be given to each Director either by mail or overnight courier not less than 48 hours before the hour provided for the start of such meeting, by telephone or electronic means not less than 24 hours before the hour provided for the start of such meeting, or on such shorter notice as the person or persons calling such meeting may deem necessary or appropriate in the circumstances.</w:t>
      </w:r>
    </w:p>
    <w:p>
      <w:pPr>
        <w:spacing w:after="0" w:line="12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Location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Meetings of the Directors, both regular and special, may be held within or without the State of Delaware at such place as is indicated in the notice thereof.</w:t>
      </w:r>
    </w:p>
    <w:p>
      <w:pPr>
        <w:spacing w:after="0" w:line="8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Quorum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Except as otherwise required by applicable law, the Certificate of Incorporation or these Bylaws, at all meetings of the Board of Directors, (i) a majority of the entire Board of Directors shall constitute a quorum for the transaction of business and (ii)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of the time and place of the adjourned meeting, until a quorum shall be present.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Organization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At each meeting of the Board of Directors, the Chairman of the Board, or, in his or her absence, the Lead Independent Director, shall act as chairman. The Secretary of the Corporation shall act as secretary at each meeting of the Board of Directors. In case the Secretary shall be absent from any meeting of the Board of Directors, the chairman of the meeting may appoint any person to act as secretary of the meeting.</w:t>
      </w:r>
    </w:p>
    <w:p>
      <w:pPr>
        <w:sectPr>
          <w:pgSz w:w="11900" w:h="16838" w:orient="portrait"/>
          <w:cols w:equalWidth="0" w:num="1">
            <w:col w:w="11200"/>
          </w:cols>
          <w:pgMar w:left="320" w:top="1422" w:right="379" w:bottom="1440" w:gutter="0" w:footer="0" w:header="0"/>
        </w:sectPr>
      </w:pPr>
    </w:p>
    <w:bookmarkStart w:id="116" w:name="page117"/>
    <w:bookmarkEnd w:id="116"/>
    <w:p>
      <w:pPr>
        <w:ind w:right="160"/>
        <w:spacing w:after="0" w:line="266"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i w:val="1"/>
          <w:iCs w:val="1"/>
          <w:u w:val="single" w:color="auto"/>
          <w:color w:val="auto"/>
        </w:rPr>
        <w:t>Actions of the Board by Written Consent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Unless otherwise provided in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or by electronic transmission, and the writing or writings or electronic transmission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u w:val="single" w:color="auto"/>
          <w:color w:val="auto"/>
        </w:rPr>
        <w:t>Meetings by Means of Conference Telephone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Unless otherwise provided in the Certificate of Incorporation or these Bylaws, members of the Board of Directors,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constitute presence in person at such meeting.</w:t>
      </w:r>
    </w:p>
    <w:p>
      <w:pPr>
        <w:spacing w:after="0" w:line="1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u w:val="single" w:color="auto"/>
          <w:color w:val="auto"/>
        </w:rPr>
        <w:t>Committees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i w:val="1"/>
          <w:iCs w:val="1"/>
          <w:u w:val="single" w:color="auto"/>
          <w:color w:val="auto"/>
        </w:rPr>
        <w:t>Creation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Board of Directors may, by resolution or resolutions passed by a majority of the Board of Directors then in office, designate one or more committees each to consist of one or more Directors of the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executive or other committee of general delegation may be designated by the Board of Directors unless the Chairman and the Chief Executive Officer are each a member thereof.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member of the Board of Directors to act at the meeting in the place of any absent or disqualified member. Each Committee, to the extent permitted by applicable law and provided in the resolution establishing the Committee shall have and may exercise such powers, duties and authority in the management of the business and affairs of the Corporation as shall be delegated to it by the Board of Directors except that no such Committee shall have power to (i) approve or adopt, or recommend to the stockholders, any action or matter (other than the election or removal of Directors) expressly required by law to be submitted to stockholders for approval, or (ii) adopt, amend or repeal any Bylaw of the Corporation.</w:t>
      </w:r>
    </w:p>
    <w:p>
      <w:pPr>
        <w:spacing w:after="0" w:line="117"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Committee Procedure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such Committee established by the Board of Directors shall meet at stated times or on notice to all members by any member of such Committee. Each such Committee shall establish its own rules of procedure. Each such Committee shall keep regular minutes of its proceedings and report the same to the Board of Directors.</w:t>
      </w:r>
    </w:p>
    <w:p>
      <w:pPr>
        <w:sectPr>
          <w:pgSz w:w="11900" w:h="16838" w:orient="portrait"/>
          <w:cols w:equalWidth="0" w:num="1">
            <w:col w:w="11200"/>
          </w:cols>
          <w:pgMar w:left="320" w:top="1418" w:right="37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1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Power to Indemnify in Actions, Suits or Proceedings other than Those by or in the Right of the Corporation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3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Power to Indemnify in Actions, Suits or Proceedings by or in the Right of the Corporation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Authorization of Indemnification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Any indemnification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as the case may be. Such determination shall be made, with respect to a person who is a Director or Officer at the time of such determination, (i) by a majority</w:t>
      </w:r>
    </w:p>
    <w:p>
      <w:pPr>
        <w:sectPr>
          <w:pgSz w:w="11900" w:h="16838" w:orient="portrait"/>
          <w:cols w:equalWidth="0" w:num="1">
            <w:col w:w="11240"/>
          </w:cols>
          <w:pgMar w:left="320" w:top="1418" w:right="339" w:bottom="1440" w:gutter="0" w:footer="0" w:header="0"/>
        </w:sectPr>
      </w:pPr>
    </w:p>
    <w:bookmarkStart w:id="118" w:name="page119"/>
    <w:bookmarkEnd w:id="118"/>
    <w:p>
      <w:pPr>
        <w:ind w:right="20"/>
        <w:spacing w:after="0" w:line="250" w:lineRule="auto"/>
        <w:rPr>
          <w:sz w:val="20"/>
          <w:szCs w:val="20"/>
          <w:color w:val="auto"/>
        </w:rPr>
      </w:pPr>
      <w:r>
        <w:rPr>
          <w:rFonts w:ascii="Times New Roman" w:cs="Times New Roman" w:eastAsia="Times New Roman" w:hAnsi="Times New Roman"/>
          <w:sz w:val="22"/>
          <w:szCs w:val="22"/>
          <w:color w:val="auto"/>
        </w:rPr>
        <w:t>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i w:val="1"/>
          <w:iCs w:val="1"/>
          <w:u w:val="single" w:color="auto"/>
          <w:color w:val="auto"/>
        </w:rPr>
        <w:t>Good Faith Defined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For purposes of any determination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officers of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not be deemed to be exclusive or to limit in any way the circumstances in which a person may be deemed to have met the applicable standard of conduct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as the case may be.</w:t>
      </w:r>
    </w:p>
    <w:p>
      <w:pPr>
        <w:spacing w:after="0" w:line="1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u w:val="single" w:color="auto"/>
          <w:color w:val="auto"/>
        </w:rPr>
        <w:t>Indemnification by a Court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Notwithstanding any contrary determination in the specific case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The basis of such indemnification by a court shall be a determination by such court that indemnification of the Director or Officer is proper in the circumstances because such person has met the applicable standard of conduct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as the case may be. Neither a contrary determination in the specific case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nor the absence of any determination thereunder shall be a defense to such application or create a presumption that the Director or Officer seeking indemnification has not met any applicable standard of conduct. Notice of any application for indemnification pursuant to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3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Expenses Payable in Advance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applicable law, expenses (including attorneys’ fees) incurred by a current or former Director or Officer of the Corporation, or a current or former Director or Officer serving at the request of the Corporation as a director, officer, employee or agent of another corporation, partnership, joint venture, trust or other</w:t>
      </w:r>
    </w:p>
    <w:p>
      <w:pPr>
        <w:sectPr>
          <w:pgSz w:w="11900" w:h="16838" w:orient="portrait"/>
          <w:cols w:equalWidth="0" w:num="1">
            <w:col w:w="11240"/>
          </w:cols>
          <w:pgMar w:left="320" w:top="1422" w:right="339" w:bottom="1440" w:gutter="0" w:footer="0" w:header="0"/>
        </w:sectPr>
      </w:pPr>
    </w:p>
    <w:bookmarkStart w:id="119" w:name="page120"/>
    <w:bookmarkEnd w:id="119"/>
    <w:p>
      <w:pPr>
        <w:ind w:right="160"/>
        <w:spacing w:after="0" w:line="268" w:lineRule="auto"/>
        <w:rPr>
          <w:sz w:val="20"/>
          <w:szCs w:val="20"/>
          <w:color w:val="auto"/>
        </w:rPr>
      </w:pPr>
      <w:r>
        <w:rPr>
          <w:rFonts w:ascii="Times New Roman" w:cs="Times New Roman" w:eastAsia="Times New Roman" w:hAnsi="Times New Roman"/>
          <w:sz w:val="21"/>
          <w:szCs w:val="21"/>
          <w:color w:val="auto"/>
        </w:rPr>
        <w:t xml:space="preserve">enterprise, in defending any civil, criminal, administrative or investigative action, suit or proceeding shall be paid by the Corporation in advance of the final disposition of such action, suit or proceeding upon receipt of an undertaking by or on behalf of such person to repay such amount if it shall ultimately be determined that such person is not entitled to be indemnified by the Corporation as authorized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Subject to applicable law, such expenses (including attorneys’ fees) incurred by other employees and agents may be so paid upon such terms and conditions, if any, as the Corporation deems appropriate.</w:t>
      </w:r>
    </w:p>
    <w:p>
      <w:pPr>
        <w:spacing w:after="0" w:line="10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u w:val="single" w:color="auto"/>
          <w:color w:val="auto"/>
        </w:rPr>
        <w:t>Nonexclusivity of Indemnification and Advancement of Expenses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indemnification and advancement of expenses provided by, or granted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be made to the fullest extent permitted by law.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not be deemed to preclude the indemnification of any person who is not specified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but whom the Corporation has the power or obligation to indemnify under the provisions of the DGCL, or otherwise, including pursuant to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u w:val="single" w:color="auto"/>
          <w:color w:val="auto"/>
        </w:rPr>
        <w:t>Insurance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Corporation shall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2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i w:val="1"/>
          <w:iCs w:val="1"/>
          <w:u w:val="single" w:color="auto"/>
          <w:color w:val="auto"/>
        </w:rPr>
        <w:t>Certain Definitions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w:t>
      </w:r>
    </w:p>
    <w:p>
      <w:pPr>
        <w:sectPr>
          <w:pgSz w:w="11900" w:h="16838" w:orient="portrait"/>
          <w:cols w:equalWidth="0" w:num="1">
            <w:col w:w="11220"/>
          </w:cols>
          <w:pgMar w:left="320" w:top="1422" w:right="359" w:bottom="1440" w:gutter="0" w:footer="0" w:header="0"/>
        </w:sectPr>
      </w:pPr>
    </w:p>
    <w:bookmarkStart w:id="120" w:name="page121"/>
    <w:bookmarkEnd w:id="120"/>
    <w:p>
      <w:pPr>
        <w:ind w:right="20"/>
        <w:spacing w:after="0" w:line="257" w:lineRule="auto"/>
        <w:rPr>
          <w:sz w:val="20"/>
          <w:szCs w:val="20"/>
          <w:color w:val="auto"/>
        </w:rPr>
      </w:pPr>
      <w:r>
        <w:rPr>
          <w:rFonts w:ascii="Times New Roman" w:cs="Times New Roman" w:eastAsia="Times New Roman" w:hAnsi="Times New Roman"/>
          <w:sz w:val="22"/>
          <w:szCs w:val="22"/>
          <w:color w:val="auto"/>
        </w:rPr>
        <w:t xml:space="preserve">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2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u w:val="single" w:color="auto"/>
          <w:color w:val="auto"/>
        </w:rPr>
        <w:t>Survival of Indemnification and Advancement of Expenses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indemnification and advancement of expenses provided by, or granted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continue as to a person who has ceased to be a Director or Officer of the Corporation and shall inure to the benefit of the heirs, executors and administrators of such a person.</w:t>
      </w:r>
    </w:p>
    <w:p>
      <w:pPr>
        <w:spacing w:after="0" w:line="11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u w:val="single" w:color="auto"/>
          <w:color w:val="auto"/>
        </w:rPr>
        <w:t>Limitation on Indemnification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anything contained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the contrary, except for proceedings to enforce rights to indemnification (which shall be governed by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the Corporation shall not be obligated to indemnify any current or former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i w:val="1"/>
          <w:iCs w:val="1"/>
          <w:u w:val="single" w:color="auto"/>
          <w:color w:val="auto"/>
        </w:rPr>
        <w:t>Indemnification of Employees and Agents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to Directors and Officers of the Corporation.</w:t>
      </w:r>
    </w:p>
    <w:p>
      <w:pPr>
        <w:spacing w:after="0" w:line="12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i w:val="1"/>
          <w:iCs w:val="1"/>
          <w:u w:val="single" w:color="auto"/>
          <w:color w:val="auto"/>
        </w:rPr>
        <w:t>Amendment or Repeal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the Corporation intends to be legally bound to each such current or former Director or Officer of the Corporation. With respect to current and former Directors and Officers of the Corporation, the rights conferred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ectPr>
          <w:pgSz w:w="11900" w:h="16838" w:orient="portrait"/>
          <w:cols w:equalWidth="0" w:num="1">
            <w:col w:w="11240"/>
          </w:cols>
          <w:pgMar w:left="320" w:top="1422"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13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General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Officers of the Corporation shall be chosen by the Board of Directors and shall be a Chairman of the Board, a Lead Independent Director, a Chief Executive Officer, a President, one or more Vice Presidents, a Secretary, a Treasurer and such other Officers as may from time to time be chosen by the Board of Directors. The Chief Executive Officer shall be empowered to appoint and remove from office, at his or her discretion, Assistant Vice Presidents and Assistant Secretaries. Any number of offices may be held by the same person, unless prohibited by applicable law, the Certificate of Incorporation or these Bylaws. The Officers of the Corporation need not be stockholders of the Corporation nor, except in the case of the Chairman of the Board and the Lead Independent Director, need such Officers be Directors of the Corporation.</w:t>
      </w:r>
    </w:p>
    <w:p>
      <w:pPr>
        <w:spacing w:after="0" w:line="14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i w:val="1"/>
          <w:iCs w:val="1"/>
          <w:u w:val="single" w:color="auto"/>
          <w:color w:val="auto"/>
        </w:rPr>
        <w:t>Election; Term; Vacancies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chosen or appointed by the Board of Directors may be removed either with or without cause at any time by the affirmative vote of a majority of the entire Board of Directors. If the office of any Officer other than an assistant Officer becomes vacant for any reason, the vacancy shall be filled by the affirmative vote of a majority of the entire Board of Directors.</w:t>
      </w:r>
    </w:p>
    <w:p>
      <w:pPr>
        <w:spacing w:after="0" w:line="11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Chairman of the Board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Chairman of the Board shall be chosen from among the Directors. The Chairman of the Board shall preside at all meetings of the stockholders and the Board of Directors at which he or she shall be present. The Chairman of the Board shall also perform such other duties and may exercise such other powers as may from time to time be assigned to such Director by these Bylaws or by the Board of Directors.</w:t>
      </w:r>
    </w:p>
    <w:p>
      <w:pPr>
        <w:spacing w:after="0" w:line="13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Lead Independent Director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One of the Independent Directors shall be designated by the Independent Directors to serve as Lead Independent Director until replaced by the Independent Directors. The Lead Independent Director will, with the Chairman of the Board of Directors, establish the agenda for regular Board meetings and serve as chairman of Board of Directors meetings in the absence of the Chairman of the Board of Directors; establish the agenda for meetings of the Independent Directors; coordinate the activities of the other Independent Directors; and perform such other duties as may be established or delegated by the Board of Directors. An “Independent Director” means a person who satisfies the requirements for independence under the applicable provisions, as then in effect, of the principal stock exchange on which the Corporation’s common stock is listed for trading and such additional requirements as may be established by the Board of Directors.</w:t>
      </w:r>
    </w:p>
    <w:p>
      <w:pPr>
        <w:spacing w:after="0" w:line="12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Vice Chairman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Board of Directors may designate one or more Vice Chairmen who shall, subject to the control of the Board of Directors, perform such duties as may be prescribed by the Board of Directors.</w:t>
      </w:r>
    </w:p>
    <w:p>
      <w:pPr>
        <w:sectPr>
          <w:pgSz w:w="11900" w:h="16838" w:orient="portrait"/>
          <w:cols w:equalWidth="0" w:num="1">
            <w:col w:w="11220"/>
          </w:cols>
          <w:pgMar w:left="320" w:top="1391" w:right="359" w:bottom="1440" w:gutter="0" w:footer="0" w:header="0"/>
        </w:sectPr>
      </w:pPr>
    </w:p>
    <w:bookmarkStart w:id="122" w:name="page123"/>
    <w:bookmarkEnd w:id="122"/>
    <w:p>
      <w:pPr>
        <w:ind w:right="100"/>
        <w:spacing w:after="0" w:line="262"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i w:val="1"/>
          <w:iCs w:val="1"/>
          <w:u w:val="single" w:color="auto"/>
          <w:color w:val="auto"/>
        </w:rPr>
        <w:t>Chief Executive Officer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Chief Executive Officer shall, subject to the control of the Board of Directors, have responsibility for the general and active management of the business of the Corporation and shall have the general powers and duties of management usually vested in the Chief Executive Officer of a corporation. The Chief Executive Officer shall see that all orders and resolutions of the Board of Directors are carried into effect and shall implement the general directives, plans and policies formulated by the Board of Directors. The Chief Executive Officer may employ and discharge employees and agents of the Corporation, except such as shall be appointed by the Board of Directors, and he or she may delegate these powers. In the absence or disability of the Chairman of the Board, the Chief Executive Officer shall preside at all meetings of the stockholders. Except where by law the signature of the President is required, the Chief Executive Officer shall exercise all the powers and discharge all the duties of the President. The Chief Executive Officer shall also perform such other duties and may exercise such other powers as may from time to time be assigned to such Officer by these Bylaws or by the Board of Directors.</w:t>
      </w:r>
    </w:p>
    <w:p>
      <w:pPr>
        <w:spacing w:after="0" w:line="118"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u w:val="single" w:color="auto"/>
          <w:color w:val="auto"/>
        </w:rPr>
        <w:t>President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President shall have such responsibilities and authority as determined by these Bylaws or by the Board of Directors of the Corporation.</w:t>
      </w:r>
    </w:p>
    <w:p>
      <w:pPr>
        <w:spacing w:after="0" w:line="9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u w:val="single" w:color="auto"/>
          <w:color w:val="auto"/>
        </w:rPr>
        <w:t>Chief Financial Officer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Chief Financial Officer shall, subject to the control of the Board of Directors, have responsibility for the financial management of the Corporation. The Chief Financial Officer shall have such powers and perform such duties as from time to time may be assigned to him or her by the Board of the Directors or by the Chief Executive Officer. The Chief Financial Officer shall keep and maintain, or cause to be kept and maintained, adequate and correct books and records of the Corporation, using appropriate accounting principles; have supervision over and be responsible for the financial affairs of the Corporation; cause to be kept at the principal executive office of the Corporation and preserved for review as required by law or regulation all financial records of the Corporation; be responsible for the establishment of adequate internal control over the transactions and books of account of the Corporation; and be responsible for rendering to the proper Officers and the Board of Directors upon request, and to the stockholders and other parties as required by law or regulation, financial statements of the Corporation.</w:t>
      </w:r>
    </w:p>
    <w:p>
      <w:pPr>
        <w:spacing w:after="0" w:line="12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22"/>
          <w:szCs w:val="22"/>
          <w:color w:val="auto"/>
        </w:rPr>
        <w:t>SECTION 9.</w:t>
      </w:r>
      <w:r>
        <w:rPr>
          <w:rFonts w:ascii="Times New Roman" w:cs="Times New Roman" w:eastAsia="Times New Roman" w:hAnsi="Times New Roman"/>
          <w:sz w:val="22"/>
          <w:szCs w:val="22"/>
          <w:i w:val="1"/>
          <w:iCs w:val="1"/>
          <w:u w:val="single" w:color="auto"/>
          <w:color w:val="auto"/>
        </w:rPr>
        <w:t>Vice President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Vice President or Vice Presidents, in the order designated by the Board of Directors, shall be vested with all the powers and required to perform all the duties of the President in his or her absence or disability and shall perform such other duties as may be prescribed by the Board of Directors.</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u w:val="single" w:color="auto"/>
          <w:color w:val="auto"/>
        </w:rPr>
        <w:t>Secretary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Secretary shall perform all the duties commonly incident to his or her office, and keep accurate minutes of all meetings of the stockholders, the Board of Directors and the Committees of the Board of Directors, recording all the proceedings of such meetings in a book or books to be kept for that purpose. He or she shall give, or cause to be given, proper notice of meetings of stockholders and the Board of Directors. If the Secretary shall be unable or shall refuse to cause to be given notice of all meetings of the stockholders and meetings of the Board of Directors, then either the Board of Directors or the Chief Executive Officer may choose another Officer to cause such notice to be given. The Secretary shall have custody of the seal of the Corporation and the Secretary shall have authority to affix the same to any instrument requiring it</w:t>
      </w:r>
    </w:p>
    <w:p>
      <w:pPr>
        <w:sectPr>
          <w:pgSz w:w="11900" w:h="16838" w:orient="portrait"/>
          <w:cols w:equalWidth="0" w:num="1">
            <w:col w:w="11200"/>
          </w:cols>
          <w:pgMar w:left="320" w:top="1418" w:right="379" w:bottom="1440" w:gutter="0" w:footer="0" w:header="0"/>
        </w:sectPr>
      </w:pPr>
    </w:p>
    <w:bookmarkStart w:id="123" w:name="page124"/>
    <w:bookmarkEnd w:id="123"/>
    <w:p>
      <w:pPr>
        <w:ind w:right="160"/>
        <w:spacing w:after="0" w:line="256" w:lineRule="auto"/>
        <w:rPr>
          <w:sz w:val="20"/>
          <w:szCs w:val="20"/>
          <w:color w:val="auto"/>
        </w:rPr>
      </w:pPr>
      <w:r>
        <w:rPr>
          <w:rFonts w:ascii="Times New Roman" w:cs="Times New Roman" w:eastAsia="Times New Roman" w:hAnsi="Times New Roman"/>
          <w:sz w:val="22"/>
          <w:szCs w:val="22"/>
          <w:color w:val="auto"/>
        </w:rPr>
        <w:t>and when so affixed, it may be attested by the signature of the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 and shall perform such other duties as the Board of Directors shall designate.</w:t>
      </w:r>
    </w:p>
    <w:p>
      <w:pPr>
        <w:spacing w:after="0" w:line="11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u w:val="single" w:color="auto"/>
          <w:color w:val="auto"/>
        </w:rPr>
        <w:t>Treasurer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Treasurer may be the Chief Financial Officer of the Corporation. The Treasurer shall have custody of the funds and securities of the Corporation and shall keep full and accurate accounts of receipts and disbursements in books belonging to the Corporation and shall deposit all monies and other valuable effects in the name and to the credit of the Corporation in such depositories as may be designated by the Board of Directors. He or she shall disburse the funds of the Corporation as may be ordered by the Board of Directors, Chief Executive Officer or Chief Financial Officer, taking proper vouchers for such disbursements, and shall render to the Chief Executive Officer or Chief Financial Officer and the Board of Directors, at its regular meetings, or whenever the Board of Directors may require it, an account of all his or her transactions as Treasurer and of the financial condition of the Corporation. Until such time as a controller may be elected by the Board of Directors, the Treasurer shall also maintain adequate records of all assets, liabilities and transactions of the Corporation and shall see that adequate audits thereof are currently and regularly made. The Treasurer shall cause to be prepared, compiled and filed such reports, statements, statistics and other data as may be required by law or prescribed by the Chief Executive Officer or the Chief Financial Officer.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 The Treasurer shall also perform such other duties and may exercise such other powers as may from time to time be assigned to such Officer by these Bylaws or by the Board of Directors, the Chief Executive Officer or the Chief Financial Officer.</w:t>
      </w:r>
    </w:p>
    <w:p>
      <w:pPr>
        <w:spacing w:after="0" w:line="133"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i w:val="1"/>
          <w:iCs w:val="1"/>
          <w:u w:val="single" w:color="auto"/>
          <w:color w:val="auto"/>
        </w:rPr>
        <w:t>Other Officers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9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i w:val="1"/>
          <w:iCs w:val="1"/>
          <w:u w:val="single" w:color="auto"/>
          <w:color w:val="auto"/>
        </w:rPr>
        <w:t>Voting Securities Owned by the Corporation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Powers of attorney, proxies, waivers of notice of meeting, consents and other instruments relating to securities owned by the Corporation may be executed in the name of and on behalf of the Corporation by the Chairman of the Board, Chief Executive Officer, President, Chief Financial Officer,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w:t>
      </w:r>
    </w:p>
    <w:p>
      <w:pPr>
        <w:sectPr>
          <w:pgSz w:w="11900" w:h="16838" w:orient="portrait"/>
          <w:cols w:equalWidth="0" w:num="1">
            <w:col w:w="11220"/>
          </w:cols>
          <w:pgMar w:left="320" w:top="1422" w:right="359" w:bottom="1440" w:gutter="0" w:footer="0" w:header="0"/>
        </w:sectPr>
      </w:pPr>
    </w:p>
    <w:bookmarkStart w:id="124" w:name="page125"/>
    <w:bookmarkEnd w:id="124"/>
    <w:p>
      <w:pPr>
        <w:ind w:right="440"/>
        <w:spacing w:after="0" w:line="271" w:lineRule="auto"/>
        <w:rPr>
          <w:sz w:val="20"/>
          <w:szCs w:val="20"/>
          <w:color w:val="auto"/>
        </w:rPr>
      </w:pPr>
      <w:r>
        <w:rPr>
          <w:rFonts w:ascii="Times New Roman" w:cs="Times New Roman" w:eastAsia="Times New Roman" w:hAnsi="Times New Roman"/>
          <w:sz w:val="22"/>
          <w:szCs w:val="22"/>
          <w:color w:val="auto"/>
        </w:rPr>
        <w:t>the Corporation might have exercised and possessed if present. The Board of Directors may, by resolution, from time to time confer like powers upon any other person or persons.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Stock</w:t>
      </w:r>
    </w:p>
    <w:p>
      <w:pPr>
        <w:spacing w:after="0" w:line="14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i w:val="1"/>
          <w:iCs w:val="1"/>
          <w:u w:val="single" w:color="auto"/>
          <w:color w:val="auto"/>
        </w:rPr>
        <w:t>Certificates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Board of Directors of the Corporation may provide by resolution or resolutions that some or all of any or all classes or series of its capital stock shall be uncertificated shares. Any such resolution shall not apply to shares represented by a certificate until such certificate is surrendered to the Corporation. To the extent certificates are issued, every holder of certificated shares of stock in the Corporation shall be entitled to have a stock certificate signed by, or in the name of, the Corporation (i) by the Chairman of the Board, the President or a Vice President and (ii) by the Treasurer or an Assistant Treasurer, or the Secretary or an Assistant Secretary of the Corporation, certifying the number of shares owned by such stockholder in the Corporation. Any or all of the signatures on a stock certificate may be a facsimile, either engraved or printed. The Board of Directors may from time to time appoint and maintain one or more transfer agents and registrars of transfers, which may be the same agency or agencies, and may require all certificates to bear the signatures of one (1) of such transfer agents and one (1) of such registrars of transfers, or as the Board of Directors may otherwise direct. The stock certificates of the Corporation, if any, shall bear the seal of the Corporation or shall bear a facsimile of such seal engraved or printed.</w:t>
      </w:r>
    </w:p>
    <w:p>
      <w:pPr>
        <w:spacing w:after="0" w:line="1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In case any Officer, transfer agent or registrar who has signed, or whose facsimile signature or signatures have been used on, any certificate or certificates of stock, shall have ceased to be an Officer, transfer agent or registrar, whether because of death, resignation or otherwise, before such certificate or certificates is issued and delivered by the Corporation, such certificate or certificates may nevertheless be issued and delivered by the Corporation with the same effect as if such person were such Officer, transfer agent or registrar at the date of issue.</w:t>
      </w:r>
    </w:p>
    <w:p>
      <w:pPr>
        <w:spacing w:after="0" w:line="12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Lost Certificates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 certificate of stock is lost, stolen or destroyed, the Board of Directors may, at its discretion, direct a new certificate or uncertificated shares to be issued by the Corporation in its stead upon the making of an affidavit of that fact by the person claiming the certificate of stock to be lost, stolen or destroyed and the giving of a satisfactory bond of indemnity, in an amount sufficient to indemnify the Corporation against any claim that may be made against the Corporation on account of the alleged loss, theft or destruction of such certificate or the issuance of such new certificate or uncertificated shares. A certificate or uncertificated shares may be issued without requiring bond when, in the judgment of the Board of Directors, it is proper to do so.</w:t>
      </w:r>
    </w:p>
    <w:p>
      <w:pPr>
        <w:spacing w:after="0" w:line="12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Transfers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Stock of the Corporation shall be transferable in the manner prescribed by applicable law and in these Bylaws. Transfers of stock shall be made on the books of the Corporation only by the person named in the stock records of the Corporation or by such person’s attorney lawfully constituted in writing and upon the surrender of any certificate therefor, properly endorsed for transfer (or by delivery of duly executed instructions with respect to uncertificated shares) and payment of all necessary transfer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surrender and endorsement or payment of taxes shall not be required in any case in which the Officers of the Corporation shall determine to waive such requirement. Every certificate</w:t>
      </w:r>
    </w:p>
    <w:p>
      <w:pPr>
        <w:sectPr>
          <w:pgSz w:w="11900" w:h="16838" w:orient="portrait"/>
          <w:cols w:equalWidth="0" w:num="1">
            <w:col w:w="11240"/>
          </w:cols>
          <w:pgMar w:left="320" w:top="1422" w:right="339" w:bottom="1440" w:gutter="0" w:footer="0" w:header="0"/>
        </w:sectPr>
      </w:pPr>
    </w:p>
    <w:bookmarkStart w:id="125" w:name="page126"/>
    <w:bookmarkEnd w:id="125"/>
    <w:p>
      <w:pPr>
        <w:ind w:right="260"/>
        <w:spacing w:after="0" w:line="256" w:lineRule="auto"/>
        <w:rPr>
          <w:sz w:val="20"/>
          <w:szCs w:val="20"/>
          <w:color w:val="auto"/>
        </w:rPr>
      </w:pPr>
      <w:r>
        <w:rPr>
          <w:rFonts w:ascii="Times New Roman" w:cs="Times New Roman" w:eastAsia="Times New Roman" w:hAnsi="Times New Roman"/>
          <w:sz w:val="22"/>
          <w:szCs w:val="22"/>
          <w:color w:val="auto"/>
        </w:rPr>
        <w:t>exchanged, returned or surrendered to the Corporation shall be marked “Cancelled,” with the date of cancellation, by the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1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Dividend Record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u w:val="single" w:color="auto"/>
          <w:color w:val="auto"/>
        </w:rPr>
        <w:t>Stockholders of Record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Notices</w:t>
      </w:r>
    </w:p>
    <w:p>
      <w:pPr>
        <w:spacing w:after="0" w:line="1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i w:val="1"/>
          <w:iCs w:val="1"/>
          <w:u w:val="single" w:color="auto"/>
          <w:color w:val="auto"/>
        </w:rPr>
        <w:t>Notices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Whenever written notice is required by law, the Certificate of Incorporation or these Bylaws, to be given to any stockholder, such notice may be given by mail, addressed to such stockholder, at such person’s address as it appears on the records of the Corporation, with postage thereon prepaid, and such notice shall be deemed to be given at the time when the same shall be deposited in the United States mail. Without limiting the manner by which notice otherwise may be given effectively to stockholders, any notice to stockholders given by the Corporation under applicable law, the Certificate of Incorporation or these Bylaws shall be effective if given by a form of electronic transmission if consented to by the stockholder to whom the notice is given. Any such consent shall be revocable by the stockholder by written notice to the Corporation. Any such consent shall be deemed to be revoked if (i) the Corporation is unable to deliver by electronic transmission two consecutive notices by the Corporation in accordance with such consent, and (ii) such inability becomes known to the Secretary of the Corporation or to the transfer agent, or other person responsible for the giving of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inadvertent failure to treat such inability as a revocation shall not invalidate any meeting or other action. Notice given by electronic transmission, as described above,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Notice to Directors or Committee</w:t>
      </w:r>
    </w:p>
    <w:p>
      <w:pPr>
        <w:sectPr>
          <w:pgSz w:w="11900" w:h="16838" w:orient="portrait"/>
          <w:cols w:equalWidth="0" w:num="1">
            <w:col w:w="11200"/>
          </w:cols>
          <w:pgMar w:left="320" w:top="1422" w:right="379" w:bottom="1440" w:gutter="0" w:footer="0" w:header="0"/>
        </w:sectPr>
      </w:pPr>
    </w:p>
    <w:bookmarkStart w:id="126" w:name="page127"/>
    <w:bookmarkEnd w:id="126"/>
    <w:p>
      <w:pPr>
        <w:ind w:right="1120"/>
        <w:spacing w:after="0" w:line="271" w:lineRule="auto"/>
        <w:rPr>
          <w:sz w:val="20"/>
          <w:szCs w:val="20"/>
          <w:color w:val="auto"/>
        </w:rPr>
      </w:pPr>
      <w:r>
        <w:rPr>
          <w:rFonts w:ascii="Times New Roman" w:cs="Times New Roman" w:eastAsia="Times New Roman" w:hAnsi="Times New Roman"/>
          <w:sz w:val="22"/>
          <w:szCs w:val="22"/>
          <w:color w:val="auto"/>
        </w:rPr>
        <w:t>members may be given personally, by mail as described above, or by telegram, telex, cable or by means of electronic transmission.</w:t>
      </w:r>
    </w:p>
    <w:p>
      <w:pPr>
        <w:spacing w:after="0" w:line="10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Waivers of Notice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138"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Fiscal Year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fiscal year of the Corporation shall begin the first day of January and end on the 31st day of December of each year.</w:t>
      </w:r>
    </w:p>
    <w:p>
      <w:pPr>
        <w:spacing w:after="0" w:line="8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u w:val="single" w:color="auto"/>
          <w:color w:val="auto"/>
        </w:rPr>
        <w:t>Dividends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hereof) and may be paid in cash, in property or in shares of the Corporation’s capital stock. Before payment of any dividend, the Directors may set apart out of any of the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 or reserves.</w:t>
      </w:r>
    </w:p>
    <w:p>
      <w:pPr>
        <w:spacing w:after="0" w:line="145"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u w:val="single" w:color="auto"/>
          <w:color w:val="auto"/>
        </w:rPr>
        <w:t>Disbursements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checks, drafts, demands or orders for the payment of money and notes of the Corporation shall be signed by the Chief Financial Officer, Treasurer or by such other Officer, Officers, person or persons as the Board of Directors may from time to time designate.</w:t>
      </w:r>
    </w:p>
    <w:p>
      <w:pPr>
        <w:spacing w:after="0" w:line="112"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i w:val="1"/>
          <w:iCs w:val="1"/>
          <w:u w:val="single" w:color="auto"/>
          <w:color w:val="auto"/>
        </w:rPr>
        <w:t>Corporate Seal</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corporate seal shall be in such form as determined from time to time by resolution of the Board of Directors. The seal may be used by causing it or a facsimile thereof to be impressed or affixed or reproduced or otherwise.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to Bylaws</w:t>
      </w:r>
    </w:p>
    <w:p>
      <w:pPr>
        <w:spacing w:after="0" w:line="15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Subject to the provisions of the Certificate of Incorporation, these Bylaws may be altered, amended or repealed, in whole or in part, or new Bylaws may be adopted by the stockholders or</w:t>
      </w:r>
    </w:p>
    <w:p>
      <w:pPr>
        <w:sectPr>
          <w:pgSz w:w="11900" w:h="16838" w:orient="portrait"/>
          <w:cols w:equalWidth="0" w:num="1">
            <w:col w:w="11240"/>
          </w:cols>
          <w:pgMar w:left="320" w:top="1422" w:right="339" w:bottom="1440" w:gutter="0" w:footer="0" w:header="0"/>
        </w:sectPr>
      </w:pPr>
    </w:p>
    <w:bookmarkStart w:id="127" w:name="page128"/>
    <w:bookmarkEnd w:id="127"/>
    <w:p>
      <w:pPr>
        <w:jc w:val="both"/>
        <w:ind w:right="220"/>
        <w:spacing w:after="0" w:line="272" w:lineRule="auto"/>
        <w:rPr>
          <w:sz w:val="20"/>
          <w:szCs w:val="20"/>
          <w:color w:val="auto"/>
        </w:rPr>
      </w:pPr>
      <w:r>
        <w:rPr>
          <w:rFonts w:ascii="Times New Roman" w:cs="Times New Roman" w:eastAsia="Times New Roman" w:hAnsi="Times New Roman"/>
          <w:sz w:val="21"/>
          <w:szCs w:val="21"/>
          <w:color w:val="auto"/>
        </w:rPr>
        <w:t xml:space="preserve">by the Board of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notice of such alteration, amendment, repeal or adoption of new Bylaws be contained in the notice of such meeting of the stockholders or the Board of Directors, as the case may be. All such amendments must be approved by a majority of the Board of Directors then in office or by the affirmative vote of the holders of at least 80% of the voting power of the outstanding shares of capital stock entitled to vote for the election of Directors.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Certificate of Incorporation to Govern</w:t>
      </w:r>
    </w:p>
    <w:p>
      <w:pPr>
        <w:spacing w:after="0" w:line="14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auto"/>
        </w:rPr>
        <w:t>Notwithstanding anything to the contrary herein, in the event any provision contained herein is inconsistent with or conflicts with a provision of the Certificate of Incorporation, such provision herein shall be superseded by the inconsistent provision in the Certificate of Incorporation, to the extent necessary to give effect to such provision in the Certificate of Incorporation.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Limitations of Ownership by Non-Citizens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u w:val="single" w:color="auto"/>
          <w:color w:val="auto"/>
        </w:rPr>
        <w:t>Equity Securities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(a) capital stock of, or other equity interests in, the Corporation, (b) securities convertible into or exchangeable for shares of capital stock, voting securities or other equity interests in the Corporation, or (c) options, warrants or other rights to acquire the securities described in clauses (a) and (b), whether fixed or contingent, matured or unmatured, contractual, legal, equitable or otherwise (collectively, “</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xml:space="preserve">”) shall be subject to limitations set forth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XIII</w:t>
      </w:r>
      <w:r>
        <w:rPr>
          <w:rFonts w:ascii="Times New Roman" w:cs="Times New Roman" w:eastAsia="Times New Roman" w:hAnsi="Times New Roman"/>
          <w:sz w:val="22"/>
          <w:szCs w:val="22"/>
          <w:color w:val="auto"/>
        </w:rPr>
        <w:t>.</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i w:val="1"/>
          <w:iCs w:val="1"/>
          <w:u w:val="single" w:color="auto"/>
          <w:color w:val="auto"/>
        </w:rPr>
        <w:t>Non-Citizen Voting and Ownership Limitations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It is the policy of the Corporation that, consistent with the requirements of Subtitle VII of Title 49 of the United States Code, as amended, or as the same may be from time to time amended (the “</w:t>
      </w:r>
      <w:r>
        <w:rPr>
          <w:rFonts w:ascii="Times New Roman" w:cs="Times New Roman" w:eastAsia="Times New Roman" w:hAnsi="Times New Roman"/>
          <w:sz w:val="21"/>
          <w:szCs w:val="21"/>
          <w:u w:val="single" w:color="auto"/>
          <w:color w:val="auto"/>
        </w:rPr>
        <w:t>Aviation Act</w:t>
      </w:r>
      <w:r>
        <w:rPr>
          <w:rFonts w:ascii="Times New Roman" w:cs="Times New Roman" w:eastAsia="Times New Roman" w:hAnsi="Times New Roman"/>
          <w:sz w:val="21"/>
          <w:szCs w:val="21"/>
          <w:color w:val="auto"/>
        </w:rPr>
        <w:t>”), that persons or entities who are not a “citizen of the United States” (as defined in Section 40102(a)(15) of the Aviation Act, in any similar legislation of the United States enacted in substitution or replacement thereof, and as interpreted by the Department of Transportation, its predecessors and successors, from time to time), including any agent, trustee or representative of such persons or entities (each, a “</w:t>
      </w:r>
      <w:r>
        <w:rPr>
          <w:rFonts w:ascii="Times New Roman" w:cs="Times New Roman" w:eastAsia="Times New Roman" w:hAnsi="Times New Roman"/>
          <w:sz w:val="21"/>
          <w:szCs w:val="21"/>
          <w:u w:val="single" w:color="auto"/>
          <w:color w:val="auto"/>
        </w:rPr>
        <w:t>Non-Citizen</w:t>
      </w:r>
      <w:r>
        <w:rPr>
          <w:rFonts w:ascii="Times New Roman" w:cs="Times New Roman" w:eastAsia="Times New Roman" w:hAnsi="Times New Roman"/>
          <w:sz w:val="21"/>
          <w:szCs w:val="21"/>
          <w:color w:val="auto"/>
        </w:rPr>
        <w:t>”), shall not be entitled to own (beneficially or of record) and/or control more than (a) 24.9% of the aggregate votes of all outstanding Equity Securities of the Corporation (the “</w:t>
      </w:r>
      <w:r>
        <w:rPr>
          <w:rFonts w:ascii="Times New Roman" w:cs="Times New Roman" w:eastAsia="Times New Roman" w:hAnsi="Times New Roman"/>
          <w:sz w:val="21"/>
          <w:szCs w:val="21"/>
          <w:u w:val="single" w:color="auto"/>
          <w:color w:val="auto"/>
        </w:rPr>
        <w:t>Voting Cap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or (b) 49.0% of the aggregate number of outstanding shares of Equity Securities of the Corporation (the “</w:t>
      </w:r>
      <w:r>
        <w:rPr>
          <w:rFonts w:ascii="Times New Roman" w:cs="Times New Roman" w:eastAsia="Times New Roman" w:hAnsi="Times New Roman"/>
          <w:sz w:val="21"/>
          <w:szCs w:val="21"/>
          <w:u w:val="single" w:color="auto"/>
          <w:color w:val="auto"/>
        </w:rPr>
        <w:t>Control Cap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in no event shall Non-Citizens who are resident of a country that is not party to an “open-skies” agreement with the United States (the “</w:t>
      </w:r>
      <w:r>
        <w:rPr>
          <w:rFonts w:ascii="Times New Roman" w:cs="Times New Roman" w:eastAsia="Times New Roman" w:hAnsi="Times New Roman"/>
          <w:sz w:val="21"/>
          <w:szCs w:val="21"/>
          <w:u w:val="single" w:color="auto"/>
          <w:color w:val="auto"/>
        </w:rPr>
        <w:t>NOS Non-Citizens</w:t>
      </w:r>
      <w:r>
        <w:rPr>
          <w:rFonts w:ascii="Times New Roman" w:cs="Times New Roman" w:eastAsia="Times New Roman" w:hAnsi="Times New Roman"/>
          <w:sz w:val="21"/>
          <w:szCs w:val="21"/>
          <w:color w:val="auto"/>
        </w:rPr>
        <w:t xml:space="preserve"> ”) be entitled to own (beneficially or of record) and/or control more than 24.9% of the aggregate number of outstanding shares of Equity Securities of the Corporation (the “</w:t>
      </w:r>
      <w:r>
        <w:rPr>
          <w:rFonts w:ascii="Times New Roman" w:cs="Times New Roman" w:eastAsia="Times New Roman" w:hAnsi="Times New Roman"/>
          <w:sz w:val="21"/>
          <w:szCs w:val="21"/>
          <w:u w:val="single" w:color="auto"/>
          <w:color w:val="auto"/>
        </w:rPr>
        <w:t>NOS Cap Amount</w:t>
      </w:r>
      <w:r>
        <w:rPr>
          <w:rFonts w:ascii="Times New Roman" w:cs="Times New Roman" w:eastAsia="Times New Roman" w:hAnsi="Times New Roman"/>
          <w:sz w:val="21"/>
          <w:szCs w:val="21"/>
          <w:color w:val="auto"/>
        </w:rPr>
        <w:t>” and, together with the Control Cap Amount, the “</w:t>
      </w:r>
      <w:r>
        <w:rPr>
          <w:rFonts w:ascii="Times New Roman" w:cs="Times New Roman" w:eastAsia="Times New Roman" w:hAnsi="Times New Roman"/>
          <w:sz w:val="21"/>
          <w:szCs w:val="21"/>
          <w:u w:val="single" w:color="auto"/>
          <w:color w:val="auto"/>
        </w:rPr>
        <w:t>Absolute Cap Amount</w:t>
      </w:r>
      <w:r>
        <w:rPr>
          <w:rFonts w:ascii="Times New Roman" w:cs="Times New Roman" w:eastAsia="Times New Roman" w:hAnsi="Times New Roman"/>
          <w:sz w:val="21"/>
          <w:szCs w:val="21"/>
          <w:color w:val="auto"/>
        </w:rPr>
        <w:t xml:space="preserve">”). If Non-Citizens nonetheless at any time own and/or control more than the Voting Cap Amount, the voting rights of the Equity Securities in excess of the Voting Cap Amount shall be automatically suspended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below. Further, if at any time a transfer or issuance (other than an issuance of Emergence Securities (as defined below)) of Equity Securities to a Non-Citizen would result in Non-Citizens owning more than the Absolute Cap Amount, such transfer or issuance shall be void and of no effect,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below.</w:t>
      </w:r>
    </w:p>
    <w:p>
      <w:pPr>
        <w:sectPr>
          <w:pgSz w:w="11900" w:h="16838" w:orient="portrait"/>
          <w:cols w:equalWidth="0" w:num="1">
            <w:col w:w="11240"/>
          </w:cols>
          <w:pgMar w:left="320" w:top="1422" w:right="339" w:bottom="1440" w:gutter="0" w:footer="0" w:header="0"/>
        </w:sectPr>
      </w:pPr>
    </w:p>
    <w:bookmarkStart w:id="128" w:name="page129"/>
    <w:bookmarkEnd w:id="128"/>
    <w:p>
      <w:pPr>
        <w:ind w:right="60"/>
        <w:spacing w:after="0" w:line="264"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u w:val="single" w:color="auto"/>
          <w:color w:val="auto"/>
        </w:rPr>
        <w:t>Foreign Stock Record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 The Corporation or any transfer agent shall maintain a separate stock record, designated the “</w:t>
      </w:r>
      <w:r>
        <w:rPr>
          <w:rFonts w:ascii="Times New Roman" w:cs="Times New Roman" w:eastAsia="Times New Roman" w:hAnsi="Times New Roman"/>
          <w:sz w:val="21"/>
          <w:szCs w:val="21"/>
          <w:u w:val="single" w:color="auto"/>
          <w:color w:val="auto"/>
        </w:rPr>
        <w:t>Foreign Stock Record</w:t>
      </w:r>
      <w:r>
        <w:rPr>
          <w:rFonts w:ascii="Times New Roman" w:cs="Times New Roman" w:eastAsia="Times New Roman" w:hAnsi="Times New Roman"/>
          <w:sz w:val="21"/>
          <w:szCs w:val="21"/>
          <w:color w:val="auto"/>
        </w:rPr>
        <w:t>,” for the registration of Equity Securities held by Non-Citizens. It is the duty of each stockholder who is a Non-Citizen to register his, her or its Equity Securities on the Foreign Stock Record. The beneficial ownership of Equity Securities by Non-Citizens shall be determined in conformity with regulations prescribed by the Board of Directors. Only Equity Securities that have been issued and are outstanding may be registered in the Foreign Stock Record. The Foreign Stock Record shall include (i) the name and nationality of each Non-Citizen owning Equity Securities, (ii) the number of Equity Securities owned by each such Non-Citizen and (iii) the date of registration of such Equity Securities in the Foreign Stock Record.</w:t>
      </w:r>
    </w:p>
    <w:p>
      <w:pPr>
        <w:spacing w:after="0" w:line="116" w:lineRule="exact"/>
        <w:rPr>
          <w:sz w:val="20"/>
          <w:szCs w:val="20"/>
          <w:color w:val="auto"/>
        </w:rPr>
      </w:pPr>
    </w:p>
    <w:p>
      <w:pPr>
        <w:ind w:firstLine="8"/>
        <w:spacing w:after="0" w:line="250" w:lineRule="auto"/>
        <w:tabs>
          <w:tab w:leader="none" w:pos="30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shall Equity Securities owned (beneficially or of record) by Non-Citizens representing more than the Voting Cap Amount be voted. In the event that Non-Citizens shall own (beneficially or of record) or have voting control over any Equity Securities, the voting rights of such persons shall be subject to automatic suspension to the extent required to ensure that the Corporation is in compliance with applicable provisions of law and regulations relating to ownership or control of a United States air carrier. Voting rights of Equity Securities owned (beneficially or of record) by Non-Citizens shall be suspended in reverse chronological order based upon the date of registration in the Foreign Stock Record (except as otherwise provided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w:t>
      </w:r>
    </w:p>
    <w:p>
      <w:pPr>
        <w:spacing w:after="0" w:line="139" w:lineRule="exact"/>
        <w:rPr>
          <w:rFonts w:ascii="Times New Roman" w:cs="Times New Roman" w:eastAsia="Times New Roman" w:hAnsi="Times New Roman"/>
          <w:sz w:val="22"/>
          <w:szCs w:val="22"/>
          <w:color w:val="auto"/>
        </w:rPr>
      </w:pPr>
    </w:p>
    <w:p>
      <w:pPr>
        <w:ind w:right="80" w:firstLine="8"/>
        <w:spacing w:after="0" w:line="247" w:lineRule="auto"/>
        <w:tabs>
          <w:tab w:leader="none" w:pos="29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transfer or issuance (other than an issuance of Emergence Securities) of Equity Securities to a Non-Citizen would result in Non-Citizens owning (beneficially or of record) more than the Absolute Cap Amount, such transfer or issuance shall be void and of no effect and shall not be recorded in the Foreign Stock Record or the stock records of the Corporation. In the event that the Corporation shall determine that the Equity Securities registered on the Foreign Stock Record or otherwise registered on the stock records of the Corporation and owned (beneficially or of record) by Non-Citizens, taken together (without duplication), exceed the Absolute Cap Amount, such number of shares shall be removed from the Foreign Stock Record and the stock records of the Corporation, as applicable, in reverse chronological order based on the date of registration in the Foreign Stock Record and the stock records of the Corporation, as applicable (except as otherwise provided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and any transfer or issuance (other than an issuance of Emergence Securities) that resulted in such event shall be deemed void and of no effect, such that the Foreign Stock Record and the stock records of the Corporation, as applicable, reflect the ownership of shares without giving effect to any transfer or issuance that caused the Corporation to exceed the Absolute Cap Amount until the aggregate number of shares registered in the Foreign Stock Record or otherwise registered to Non-Citizens is equal to the Control Cap Amount or NOS Cap Amount, as applicable.</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u w:val="single" w:color="auto"/>
          <w:color w:val="auto"/>
        </w:rPr>
        <w:t>Registration of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Registry of the ownership of Equity Securities by Non-Citizens shall be effected by written notice to, and in the form specified from time to time by, the Secretary of the Corporation. Subject to the limitations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the exceptions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the order in which such shares shall be registered on the Foreign Stock Record shall be chronological, based on the date the Corporation received notice to so register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Non-Citizen who purchases or otherwise acquires shares that are registered on the Foreign Stock Record and who registers such shares in its own name within 30</w:t>
      </w:r>
    </w:p>
    <w:p>
      <w:pPr>
        <w:sectPr>
          <w:pgSz w:w="11900" w:h="16838" w:orient="portrait"/>
          <w:cols w:equalWidth="0" w:num="1">
            <w:col w:w="11220"/>
          </w:cols>
          <w:pgMar w:left="320" w:top="1418" w:right="359" w:bottom="1440" w:gutter="0" w:footer="0" w:header="0"/>
        </w:sectPr>
      </w:pPr>
    </w:p>
    <w:bookmarkStart w:id="129" w:name="page130"/>
    <w:bookmarkEnd w:id="129"/>
    <w:p>
      <w:pPr>
        <w:ind w:right="40"/>
        <w:spacing w:after="0" w:line="271" w:lineRule="auto"/>
        <w:rPr>
          <w:sz w:val="20"/>
          <w:szCs w:val="20"/>
          <w:color w:val="auto"/>
        </w:rPr>
      </w:pPr>
      <w:r>
        <w:rPr>
          <w:rFonts w:ascii="Times New Roman" w:cs="Times New Roman" w:eastAsia="Times New Roman" w:hAnsi="Times New Roman"/>
          <w:sz w:val="22"/>
          <w:szCs w:val="22"/>
          <w:color w:val="auto"/>
        </w:rPr>
        <w:t>days of such acquisition will assume the position of the seller of such shares in the chronological order of shares registered on the Foreign Stock Record.</w:t>
      </w:r>
    </w:p>
    <w:p>
      <w:pPr>
        <w:spacing w:after="0" w:line="10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u w:val="single" w:color="auto"/>
          <w:color w:val="auto"/>
        </w:rPr>
        <w:t>Certification of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 The Corporation may by notice in writing (which may be included in the form of proxy or ballot distributed to stockholders in connection with the annual meeting or any special meeting of the stockholders of the Corporation, or otherwise) require a person that is a holder of record of shares or that the Corporation knows to have, or has reasonable cause to believe has beneficial ownership of shares to certify in such manner as the Corporation shall deem appropriate (including by way of execution of any form of proxy or ballot of such person) that, to the knowledge of such person:</w:t>
      </w:r>
    </w:p>
    <w:p>
      <w:pPr>
        <w:spacing w:after="0" w:line="109" w:lineRule="exact"/>
        <w:rPr>
          <w:sz w:val="20"/>
          <w:szCs w:val="20"/>
          <w:color w:val="auto"/>
        </w:rPr>
      </w:pPr>
    </w:p>
    <w:p>
      <w:pPr>
        <w:ind w:left="500" w:right="560" w:hanging="6"/>
        <w:spacing w:after="0" w:line="284" w:lineRule="auto"/>
        <w:tabs>
          <w:tab w:leader="none" w:pos="80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as to which such person has record ownership or beneficial ownership are owned and controlled only by citizens of the United States; or</w:t>
      </w:r>
    </w:p>
    <w:p>
      <w:pPr>
        <w:spacing w:after="0" w:line="89" w:lineRule="exact"/>
        <w:rPr>
          <w:rFonts w:ascii="Times New Roman" w:cs="Times New Roman" w:eastAsia="Times New Roman" w:hAnsi="Times New Roman"/>
          <w:sz w:val="22"/>
          <w:szCs w:val="22"/>
          <w:color w:val="auto"/>
        </w:rPr>
      </w:pPr>
    </w:p>
    <w:p>
      <w:pPr>
        <w:ind w:left="500" w:right="180" w:hanging="6"/>
        <w:spacing w:after="0" w:line="271" w:lineRule="auto"/>
        <w:tabs>
          <w:tab w:leader="none" w:pos="80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record or beneficially owned by such person that are owned and/or controlled by Non-Citizens is as set forth in such certificate.</w:t>
      </w:r>
    </w:p>
    <w:p>
      <w:pPr>
        <w:spacing w:after="0" w:line="103" w:lineRule="exact"/>
        <w:rPr>
          <w:rFonts w:ascii="Times New Roman" w:cs="Times New Roman" w:eastAsia="Times New Roman" w:hAnsi="Times New Roman"/>
          <w:sz w:val="22"/>
          <w:szCs w:val="22"/>
          <w:color w:val="auto"/>
        </w:rPr>
      </w:pPr>
    </w:p>
    <w:p>
      <w:pPr>
        <w:ind w:right="240" w:firstLine="8"/>
        <w:spacing w:after="0" w:line="295" w:lineRule="auto"/>
        <w:tabs>
          <w:tab w:leader="none" w:pos="30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shares identified in response to clause (a)(2) above, the Corporation may require such person to provide such further information as the Corporation may reasonably require in order to implement the provisions of this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w:t>
      </w:r>
    </w:p>
    <w:p>
      <w:pPr>
        <w:spacing w:after="0" w:line="81" w:lineRule="exact"/>
        <w:rPr>
          <w:rFonts w:ascii="Times New Roman" w:cs="Times New Roman" w:eastAsia="Times New Roman" w:hAnsi="Times New Roman"/>
          <w:sz w:val="21"/>
          <w:szCs w:val="21"/>
          <w:color w:val="auto"/>
        </w:rPr>
      </w:pPr>
    </w:p>
    <w:p>
      <w:pPr>
        <w:jc w:val="both"/>
        <w:ind w:firstLine="8"/>
        <w:spacing w:after="0" w:line="263" w:lineRule="auto"/>
        <w:tabs>
          <w:tab w:leader="none" w:pos="29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applying the provisions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with respect to any shares, in the event of the failure of any person to provide the certificate or other information to which the Corporation is entitled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Corporation shall presume that the shares in question are owned and/or controlled by Non-Citizens.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u w:val="single" w:color="auto"/>
          <w:color w:val="auto"/>
        </w:rPr>
        <w:t>Special Rules Applicable to Equity Securities Issued Upon Effectiveness of the Plan and Consummation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Merger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All Equity Securities that are (i) initially issued under the Debtors’ Joint Plan of Reorganization filed in connection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the Corporation’s chapter 11 cases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or pursuant to the transactions contemplated by the Merger Agreement (all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Equity Securities, including all Equity Securities issued pursuant to the conversions of any such Equity Securities,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Emergence Securities</w:t>
      </w:r>
      <w:r>
        <w:rPr>
          <w:rFonts w:ascii="Times New Roman" w:cs="Times New Roman" w:eastAsia="Times New Roman" w:hAnsi="Times New Roman"/>
          <w:sz w:val="21"/>
          <w:szCs w:val="21"/>
          <w:color w:val="auto"/>
        </w:rPr>
        <w:t>”) and (ii) registered on the Foreign Stock Record by the Non-Citizen initially receiving such Emergence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on or prior to the date that is 15 business days following the issuance of such Emergence Securities (all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Emergence Securities, the “</w:t>
      </w:r>
      <w:r>
        <w:rPr>
          <w:rFonts w:ascii="Times New Roman" w:cs="Times New Roman" w:eastAsia="Times New Roman" w:hAnsi="Times New Roman"/>
          <w:sz w:val="22"/>
          <w:szCs w:val="22"/>
          <w:u w:val="single" w:color="auto"/>
          <w:color w:val="auto"/>
        </w:rPr>
        <w:t>Registered Emergence Securities</w:t>
      </w:r>
      <w:r>
        <w:rPr>
          <w:rFonts w:ascii="Times New Roman" w:cs="Times New Roman" w:eastAsia="Times New Roman" w:hAnsi="Times New Roman"/>
          <w:sz w:val="22"/>
          <w:szCs w:val="22"/>
          <w:color w:val="auto"/>
        </w:rPr>
        <w:t>”), shall be deemed to have been registered on the Foreign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Record as of the Closing Date simultaneously with all other Registered Emergence Securities, and, for purposes of the last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sentence of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shall be deemed to have been registered on the Foreign Stock Record prior to 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Equity Securities other than Registered Emergence Securities. For the avoidance of doubt, all Equity Securities issued pursuant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of any Registered Emergence Securities shall be deemed to have been registered on the Foreign Stock Record 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Closing Date simultaneously with all other Registered Emergence Securities. Equity Securities shall only constitute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Registered Emergence Securities for so long as they (i) remain on the Foreign Stock Record and (ii) continue to be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 or of record) by the Non-Citizen initially receiving such Registered Emergence Securities under the Plan or pursuant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Merger Agreement.</w:t>
      </w:r>
    </w:p>
    <w:p>
      <w:pPr>
        <w:sectPr>
          <w:pgSz w:w="11900" w:h="16838" w:orient="portrait"/>
          <w:cols w:equalWidth="0" w:num="1">
            <w:col w:w="11240"/>
          </w:cols>
          <w:pgMar w:left="320" w:top="1422" w:right="339" w:bottom="1440" w:gutter="0" w:footer="0" w:header="0"/>
        </w:sectPr>
      </w:pPr>
    </w:p>
    <w:bookmarkStart w:id="130" w:name="page131"/>
    <w:bookmarkEnd w:id="130"/>
    <w:p>
      <w:pPr>
        <w:ind w:left="-8" w:right="120" w:firstLine="8"/>
        <w:spacing w:after="0" w:line="250" w:lineRule="auto"/>
        <w:tabs>
          <w:tab w:leader="none" w:pos="2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last sentence of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if the voting rights of all of the Registered Emergence Securities, taken together (and without duplication), exceed the Voting Cap Amount, the voting rights of the owners (whether beneficial or of record) of the Registered Emergence Securities shall be suspended, for the purpose of each vote by the stockholders of the Corporation, on a pro rata basis among all such owners (and not in reverse chronological order) so that the aggregate voting rights afforded to all of the Registered Emergence Securities, taken together (without duplication), are equal to the Voting Cap Amount, until such time as, absent such pro rata suspension, the voting rights of all of the Registered Emergence Securities, taken together (without duplication), would not exceed the Voting Cap Amount.</w:t>
      </w:r>
    </w:p>
    <w:p>
      <w:pPr>
        <w:spacing w:after="0" w:line="126" w:lineRule="exact"/>
        <w:rPr>
          <w:rFonts w:ascii="Times New Roman" w:cs="Times New Roman" w:eastAsia="Times New Roman" w:hAnsi="Times New Roman"/>
          <w:sz w:val="22"/>
          <w:szCs w:val="22"/>
          <w:color w:val="auto"/>
        </w:rPr>
      </w:pPr>
    </w:p>
    <w:p>
      <w:pPr>
        <w:ind w:left="-8" w:firstLine="8"/>
        <w:spacing w:after="0" w:line="247" w:lineRule="auto"/>
        <w:tabs>
          <w:tab w:leader="none" w:pos="28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in the event the number of Emergence Securities that are owned (beneficially or of record) by Non-Citizens exceeds the Absolute Cap Amount, the Corporation shall be permitted to compel holders of Emergence Securities that are Non-Citizens and own more than 0.1% of the number of outstanding Emergence Securities (such status to be determined 120 days after the Closing Date, each, a “</w:t>
      </w:r>
      <w:r>
        <w:rPr>
          <w:rFonts w:ascii="Times New Roman" w:cs="Times New Roman" w:eastAsia="Times New Roman" w:hAnsi="Times New Roman"/>
          <w:sz w:val="22"/>
          <w:szCs w:val="22"/>
          <w:u w:val="single" w:color="auto"/>
          <w:color w:val="auto"/>
        </w:rPr>
        <w:t>Substantial Holder</w:t>
      </w:r>
      <w:r>
        <w:rPr>
          <w:rFonts w:ascii="Times New Roman" w:cs="Times New Roman" w:eastAsia="Times New Roman" w:hAnsi="Times New Roman"/>
          <w:sz w:val="22"/>
          <w:szCs w:val="22"/>
          <w:color w:val="auto"/>
        </w:rPr>
        <w:t xml:space="preserve">”), on, subject to the proviso set forth below, a pro rata basis among all Substantial Holders (and not in reverse chronological order), to sell or otherwise transfer to persons or entities who are a “citizen of the United States” a number of Emergence Securities held by such Substantial Holders such that the aggregate number of Emergence Securities held by Non-Citizens, taken together (without duplication), is equal to or lesser than the Absolute Cap Amount, or, if any such Substantial Holder fails to promptly (and in any event within 30 days of receipt of written notice of such obligation to sell or otherwise transfer) sell or otherwise transfer such number of Emergence Securities (or a portion thereof), to cause such number of Emergence Securities of such Substantial Holder (or such portion thereof) to be sold or otherwise transferred, with the Corporation acting as agent for, and on behalf of, such Substantial Holder, with proceeds thereof, less any costs of administering such sale or transfer, delivered to such Substantial Holder promptly (and in any event within 30 days of such sale or transfer);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in the event the NOS Cap Amount is exceeded but the Control Cap Amount is not, the Corporation shall only compel Substantial Holders who are NOS Non-Citizens (“</w:t>
      </w:r>
      <w:r>
        <w:rPr>
          <w:rFonts w:ascii="Times New Roman" w:cs="Times New Roman" w:eastAsia="Times New Roman" w:hAnsi="Times New Roman"/>
          <w:sz w:val="22"/>
          <w:szCs w:val="22"/>
          <w:u w:val="single" w:color="auto"/>
          <w:color w:val="auto"/>
        </w:rPr>
        <w:t>NOS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Substantial Holders</w:t>
      </w:r>
      <w:r>
        <w:rPr>
          <w:rFonts w:ascii="Times New Roman" w:cs="Times New Roman" w:eastAsia="Times New Roman" w:hAnsi="Times New Roman"/>
          <w:sz w:val="22"/>
          <w:szCs w:val="22"/>
          <w:color w:val="auto"/>
        </w:rPr>
        <w:t xml:space="preserve">”), on a pro rata basis among all NOS Substantial Holders (and not in reverse chronological order), to sell or otherwise transfer to persons or entities who are a “citizen of the United States”, a number of Emergence Securities held by such NOS Substantial Holders such that the aggregate number of Emergence Securities held by NOS Non-Citizens, taken together (without duplication), is equal to or lesser than the NOS Cap Amount (or the Corporation shall otherwise take the actions set forth in this </w:t>
      </w:r>
      <w:r>
        <w:rPr>
          <w:rFonts w:ascii="Times New Roman" w:cs="Times New Roman" w:eastAsia="Times New Roman" w:hAnsi="Times New Roman"/>
          <w:sz w:val="22"/>
          <w:szCs w:val="22"/>
          <w:u w:val="single" w:color="auto"/>
          <w:color w:val="auto"/>
        </w:rPr>
        <w:t>Section 6(c)</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ind w:left="48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 * * * * *</w:t>
      </w:r>
    </w:p>
    <w:p>
      <w:pPr>
        <w:sectPr>
          <w:pgSz w:w="11900" w:h="16838" w:orient="portrait"/>
          <w:cols w:equalWidth="0" w:num="1">
            <w:col w:w="11212"/>
          </w:cols>
          <w:pgMar w:left="328" w:top="1422" w:right="359" w:bottom="1440" w:gutter="0" w:footer="0" w:header="0"/>
        </w:sectPr>
      </w:pPr>
    </w:p>
    <w:bookmarkStart w:id="131" w:name="page132"/>
    <w:bookmarkEnd w:id="131"/>
    <w:p>
      <w:pPr>
        <w:ind w:left="10180"/>
        <w:spacing w:after="0"/>
        <w:rPr>
          <w:sz w:val="20"/>
          <w:szCs w:val="20"/>
          <w:color w:val="auto"/>
        </w:rPr>
      </w:pPr>
      <w:r>
        <w:rPr>
          <w:rFonts w:ascii="Times New Roman" w:cs="Times New Roman" w:eastAsia="Times New Roman" w:hAnsi="Times New Roman"/>
          <w:sz w:val="21"/>
          <w:szCs w:val="2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35560</wp:posOffset>
            </wp:positionV>
            <wp:extent cx="6711950" cy="3771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11950" cy="377190"/>
                    </a:xfrm>
                    <a:prstGeom prst="rect">
                      <a:avLst/>
                    </a:prstGeom>
                    <a:noFill/>
                  </pic:spPr>
                </pic:pic>
              </a:graphicData>
            </a:graphic>
          </wp:anchor>
        </w:drawing>
      </w:r>
    </w:p>
    <w:p>
      <w:pPr>
        <w:spacing w:after="0" w:line="59" w:lineRule="exact"/>
        <w:rPr>
          <w:sz w:val="20"/>
          <w:szCs w:val="20"/>
          <w:color w:val="auto"/>
        </w:rPr>
      </w:pPr>
    </w:p>
    <w:p>
      <w:pPr>
        <w:ind w:left="380" w:right="580"/>
        <w:spacing w:after="0" w:line="275" w:lineRule="auto"/>
        <w:rPr>
          <w:sz w:val="20"/>
          <w:szCs w:val="20"/>
          <w:color w:val="auto"/>
        </w:rPr>
      </w:pPr>
      <w:r>
        <w:rPr>
          <w:rFonts w:ascii="Times New Roman" w:cs="Times New Roman" w:eastAsia="Times New Roman" w:hAnsi="Times New Roman"/>
          <w:sz w:val="22"/>
          <w:szCs w:val="22"/>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NINTH AMENDMENT TO AMENDED AND RESTATED CREDIT AND GUARANTY AGREEMENT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THIS NINTH AMENDMENT TO AMENDED AND RESTATED CREDIT AND GUARANTY AGREEMENT (this “</w:t>
      </w:r>
      <w:r>
        <w:rPr>
          <w:rFonts w:ascii="Times New Roman" w:cs="Times New Roman" w:eastAsia="Times New Roman" w:hAnsi="Times New Roman"/>
          <w:sz w:val="21"/>
          <w:szCs w:val="21"/>
          <w:i w:val="1"/>
          <w:iCs w:val="1"/>
          <w:color w:val="auto"/>
        </w:rPr>
        <w:t>Ninth Amendment</w:t>
      </w:r>
      <w:r>
        <w:rPr>
          <w:rFonts w:ascii="Times New Roman" w:cs="Times New Roman" w:eastAsia="Times New Roman" w:hAnsi="Times New Roman"/>
          <w:sz w:val="21"/>
          <w:szCs w:val="21"/>
          <w:color w:val="auto"/>
        </w:rPr>
        <w:t>”), dated as of June 4, 2024, is entered into among American Airlines, Inc., a Delaware corporation (the “</w:t>
      </w:r>
      <w:r>
        <w:rPr>
          <w:rFonts w:ascii="Times New Roman" w:cs="Times New Roman" w:eastAsia="Times New Roman" w:hAnsi="Times New Roman"/>
          <w:sz w:val="21"/>
          <w:szCs w:val="21"/>
          <w:i w:val="1"/>
          <w:iCs w:val="1"/>
          <w:color w:val="auto"/>
        </w:rPr>
        <w:t>Borrower</w:t>
      </w:r>
      <w:r>
        <w:rPr>
          <w:rFonts w:ascii="Times New Roman" w:cs="Times New Roman" w:eastAsia="Times New Roman" w:hAnsi="Times New Roman"/>
          <w:sz w:val="21"/>
          <w:szCs w:val="21"/>
          <w:color w:val="auto"/>
        </w:rPr>
        <w:t>”), American Airlines Group Inc., a Delaware corporation (the “</w:t>
      </w:r>
      <w:r>
        <w:rPr>
          <w:rFonts w:ascii="Times New Roman" w:cs="Times New Roman" w:eastAsia="Times New Roman" w:hAnsi="Times New Roman"/>
          <w:sz w:val="21"/>
          <w:szCs w:val="21"/>
          <w:i w:val="1"/>
          <w:iCs w:val="1"/>
          <w:color w:val="auto"/>
        </w:rPr>
        <w:t>Parent</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i w:val="1"/>
          <w:iCs w:val="1"/>
          <w:color w:val="auto"/>
        </w:rPr>
        <w:t>Guarantor</w:t>
      </w:r>
      <w:r>
        <w:rPr>
          <w:rFonts w:ascii="Times New Roman" w:cs="Times New Roman" w:eastAsia="Times New Roman" w:hAnsi="Times New Roman"/>
          <w:sz w:val="21"/>
          <w:szCs w:val="21"/>
          <w:color w:val="auto"/>
        </w:rPr>
        <w:t>”), the Lenders party hereto as 2024 Incremental Revolving Lenders, the parties party hereto as Issuing Lenders and Barclays Bank PLC (“</w:t>
      </w:r>
      <w:r>
        <w:rPr>
          <w:rFonts w:ascii="Times New Roman" w:cs="Times New Roman" w:eastAsia="Times New Roman" w:hAnsi="Times New Roman"/>
          <w:sz w:val="21"/>
          <w:szCs w:val="21"/>
          <w:i w:val="1"/>
          <w:iCs w:val="1"/>
          <w:color w:val="auto"/>
        </w:rPr>
        <w:t>Barclays</w:t>
      </w:r>
      <w:r>
        <w:rPr>
          <w:rFonts w:ascii="Times New Roman" w:cs="Times New Roman" w:eastAsia="Times New Roman" w:hAnsi="Times New Roman"/>
          <w:sz w:val="21"/>
          <w:szCs w:val="21"/>
          <w:color w:val="auto"/>
        </w:rPr>
        <w:t>”), as administrative agent (in such capacity, the “</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 Unless otherwise indicated, all capitalized terms used herein and not otherwise defined shall have the respective meanings provided to such terms in the Credit Agreement referred to below.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WHEREAS, the Borrower, the Guarantor, the lenders from time to time party thereto, the Administrative Agent and certain other parties thereto are parties to that certain Amended and Restated Credit and Guaranty Agreement, dated as of May 21, 2015 (as amended by that certain First Amendment to Amended and Restated Credit and Guaranty Agreement, dated as of October 26, 2015, as further amended by that certain Second Amendment to Amended and Restated Credit and Guaranty Agreement, dated as of March 14, 2017, as further amended by that certain Third Amendment to Amended and Restated Credit and Guaranty Agreement dated as of August 21, 2017, as further amended by that certain Fourth Amendment to Amended and Restated Credit and Guaranty Agreement, dated as of May 15, 2018, as further amended by that certain Fifth Amendment to Amended and Restated Credit and Guaranty Agreement dated as of December 10, 2018, as further amended by that certain Sixth Amendment to Amended and Restated Credit and Guaranty Agreement dated as of November 8, 2019, as further amended by that certain Seventh Amendment to Amended and Restated Credit and Guaranty Agreement dated as of February 15, 2023, as further amended by that certain Eighth Amendment to Amended and Restated Credit and Guaranty Agreement, dated as of March 13, 2023, and as further amended, amended and restated, supplemented or otherwise modified up to, but not including the Ninth Amendment Effective Date (as defined below),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WHEREAS, as of the date hereof immediately prior to giving effect to this Ninth Amendment, there are no Revolving Loans outstanding under the existing Revolving Commitments (such existing Revolving Commitments in effect on the date hereof immediately prior to giving effect to this Ninth Amendment, the “</w:t>
      </w:r>
      <w:r>
        <w:rPr>
          <w:rFonts w:ascii="Times New Roman" w:cs="Times New Roman" w:eastAsia="Times New Roman" w:hAnsi="Times New Roman"/>
          <w:sz w:val="22"/>
          <w:szCs w:val="22"/>
          <w:i w:val="1"/>
          <w:iCs w:val="1"/>
          <w:color w:val="auto"/>
        </w:rPr>
        <w:t>Existing Revolving Commitments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WHEREAS, pursuant to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 xml:space="preserve"> of the Credit Agreement, the Borrower may request the establishment of Incremental Revolving Commitments, subject to and on the terms and conditions provided therein;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Borrower hereby notifies the Administrative Agent:</w:t>
      </w:r>
    </w:p>
    <w:p>
      <w:pPr>
        <w:sectPr>
          <w:pgSz w:w="11900" w:h="16838" w:orient="portrait"/>
          <w:cols w:equalWidth="0" w:num="1">
            <w:col w:w="11240"/>
          </w:cols>
          <w:pgMar w:left="320" w:top="126" w:right="339" w:bottom="1440" w:gutter="0" w:footer="0" w:header="0"/>
        </w:sectPr>
      </w:pPr>
    </w:p>
    <w:bookmarkStart w:id="132" w:name="page133"/>
    <w:bookmarkEnd w:id="132"/>
    <w:p>
      <w:pPr>
        <w:spacing w:after="0" w:line="198" w:lineRule="exact"/>
        <w:rPr>
          <w:sz w:val="20"/>
          <w:szCs w:val="20"/>
          <w:color w:val="auto"/>
        </w:rPr>
      </w:pPr>
    </w:p>
    <w:p>
      <w:pPr>
        <w:jc w:val="both"/>
        <w:ind w:left="1300" w:firstLine="490"/>
        <w:spacing w:after="0" w:line="257" w:lineRule="auto"/>
        <w:tabs>
          <w:tab w:leader="none" w:pos="216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the Borrower intends to terminate the Existing Revolving Commitments and existing LC Commitments in full on the Ninth Amendment Effective Date,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the Credit Agreement (the “</w:t>
      </w:r>
      <w:r>
        <w:rPr>
          <w:rFonts w:ascii="Times New Roman" w:cs="Times New Roman" w:eastAsia="Times New Roman" w:hAnsi="Times New Roman"/>
          <w:sz w:val="22"/>
          <w:szCs w:val="22"/>
          <w:i w:val="1"/>
          <w:iCs w:val="1"/>
          <w:color w:val="auto"/>
        </w:rPr>
        <w:t>Commitment Termination</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1300" w:firstLine="490"/>
        <w:spacing w:after="0" w:line="250" w:lineRule="auto"/>
        <w:tabs>
          <w:tab w:leader="none" w:pos="209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Borrower’s request for (i) new Incremental Revolving Commitments to be established on the Ninth Amendment Effective Date in an aggregate amount of $500,000,000 (the “</w:t>
      </w:r>
      <w:r>
        <w:rPr>
          <w:rFonts w:ascii="Times New Roman" w:cs="Times New Roman" w:eastAsia="Times New Roman" w:hAnsi="Times New Roman"/>
          <w:sz w:val="22"/>
          <w:szCs w:val="22"/>
          <w:i w:val="1"/>
          <w:iCs w:val="1"/>
          <w:color w:val="auto"/>
        </w:rPr>
        <w:t>2024 Incremental 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Commitments</w:t>
      </w:r>
      <w:r>
        <w:rPr>
          <w:rFonts w:ascii="Times New Roman" w:cs="Times New Roman" w:eastAsia="Times New Roman" w:hAnsi="Times New Roman"/>
          <w:sz w:val="22"/>
          <w:szCs w:val="22"/>
          <w:color w:val="auto"/>
        </w:rPr>
        <w:t>”), to be made available by the Revolving Lenders specified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hereto as holding 2024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Incremental Revolving Commitments (such Revolving Lenders, the “</w:t>
      </w:r>
      <w:r>
        <w:rPr>
          <w:rFonts w:ascii="Times New Roman" w:cs="Times New Roman" w:eastAsia="Times New Roman" w:hAnsi="Times New Roman"/>
          <w:sz w:val="22"/>
          <w:szCs w:val="22"/>
          <w:i w:val="1"/>
          <w:iCs w:val="1"/>
          <w:color w:val="auto"/>
        </w:rPr>
        <w:t>2024 Incremental Revolving Lenders</w:t>
      </w:r>
      <w:r>
        <w:rPr>
          <w:rFonts w:ascii="Times New Roman" w:cs="Times New Roman" w:eastAsia="Times New Roman" w:hAnsi="Times New Roman"/>
          <w:sz w:val="22"/>
          <w:szCs w:val="22"/>
          <w:color w:val="auto"/>
        </w:rPr>
        <w:t xml:space="preserve">”) in the amounts specified therefor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and</w:t>
      </w:r>
    </w:p>
    <w:p>
      <w:pPr>
        <w:spacing w:after="0" w:line="194" w:lineRule="exact"/>
        <w:rPr>
          <w:rFonts w:ascii="Times New Roman" w:cs="Times New Roman" w:eastAsia="Times New Roman" w:hAnsi="Times New Roman"/>
          <w:sz w:val="22"/>
          <w:szCs w:val="22"/>
          <w:color w:val="auto"/>
        </w:rPr>
      </w:pPr>
    </w:p>
    <w:p>
      <w:pPr>
        <w:jc w:val="both"/>
        <w:ind w:left="1300" w:firstLine="490"/>
        <w:spacing w:after="0" w:line="252" w:lineRule="auto"/>
        <w:tabs>
          <w:tab w:leader="none" w:pos="20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Borrower’s request for new LC Commitments to be established on the Ninth Amendment Effective Date in an aggregate amount of $100,000,000.00, to be made available by the 2024 Incremental Revolving Lenders specified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(each, an “</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xml:space="preserve">”) as holding an LC Commitment in the amount specified therefor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WHEREAS, each 2024 Incremental Revolving Lender is willing to provide its 2024 Incremental Revolving Commitment in the amount set forth opposite its name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subject to and on the terms and conditions set forth herein and in the Credit Agreement;</w:t>
      </w:r>
    </w:p>
    <w:p>
      <w:pPr>
        <w:spacing w:after="0" w:line="167"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 xml:space="preserve">WHEREAS, each Issuing Lender is willing to provide its LC Commitment, as applicable, in the amount set forth opposite its name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hereto, subject to and on the terms and conditions set forth herein and in the Credit Agreement;</w:t>
      </w:r>
    </w:p>
    <w:p>
      <w:pPr>
        <w:spacing w:after="0" w:line="13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the Borrower wishes to (a) incur the 2024 Incremental Revolving Commitments, (b) incur the LC Commitments and (c) make certain amendments to the Credit Agreement to provide for, among other things, the incurrence of the 2024 Incremental Revolving Commitments and the LC Commitments, in each case, on the terms and subject to the conditions set forth herein; and</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ONE - Credit Agreement Amendments</w:t>
      </w:r>
      <w:r>
        <w:rPr>
          <w:rFonts w:ascii="Times New Roman" w:cs="Times New Roman" w:eastAsia="Times New Roman" w:hAnsi="Times New Roman"/>
          <w:sz w:val="22"/>
          <w:szCs w:val="22"/>
          <w:color w:val="auto"/>
        </w:rPr>
        <w:t>. Effective as of the Ninth Amendment Effective Date (as defined below):</w:t>
      </w:r>
    </w:p>
    <w:p>
      <w:pPr>
        <w:spacing w:after="0" w:line="144" w:lineRule="exact"/>
        <w:rPr>
          <w:sz w:val="20"/>
          <w:szCs w:val="20"/>
          <w:color w:val="auto"/>
        </w:rPr>
      </w:pPr>
    </w:p>
    <w:p>
      <w:pPr>
        <w:jc w:val="both"/>
        <w:ind w:firstLine="1304"/>
        <w:spacing w:after="0" w:line="250" w:lineRule="auto"/>
        <w:tabs>
          <w:tab w:leader="none" w:pos="183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Ninth Amendment Effective Date, the Borrower, the Administrative Agent, each 2024 Incremental Revolving Lender and each Issuing Lender agree that the Credit Agreement is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bolded, underlined text (indicated textually in the same manner as the following example: </w:t>
      </w:r>
      <w:r>
        <w:rPr>
          <w:rFonts w:ascii="Times New Roman" w:cs="Times New Roman" w:eastAsia="Times New Roman" w:hAnsi="Times New Roman"/>
          <w:sz w:val="22"/>
          <w:szCs w:val="22"/>
          <w:b w:val="1"/>
          <w:bCs w:val="1"/>
          <w:u w:val="single" w:color="auto"/>
          <w:color w:val="0000FF"/>
        </w:rPr>
        <w:t>underlined text</w:t>
      </w:r>
      <w:r>
        <w:rPr>
          <w:rFonts w:ascii="Times New Roman" w:cs="Times New Roman" w:eastAsia="Times New Roman" w:hAnsi="Times New Roman"/>
          <w:sz w:val="22"/>
          <w:szCs w:val="22"/>
          <w:color w:val="auto"/>
        </w:rPr>
        <w:t xml:space="preserve">) as set forth in the pages of the Credit Agreement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8" w:lineRule="exact"/>
        <w:rPr>
          <w:sz w:val="20"/>
          <w:szCs w:val="20"/>
          <w:color w:val="auto"/>
        </w:rPr>
      </w:pPr>
    </w:p>
    <w:p>
      <w:pPr>
        <w:jc w:val="both"/>
        <w:ind w:firstLine="1304"/>
        <w:spacing w:after="0" w:line="257" w:lineRule="auto"/>
        <w:tabs>
          <w:tab w:leader="none" w:pos="177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“Annex A” of the Credit Agreement is hereby amended to delete the heading "Revolving Commitments" and the text thereunder, and the heading "LC Commitments" and the text thereunder, and to replace such items with the headings and table attached hereto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8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confirms that it has received (a) at least one (1) business day written notice pursuant to the requirements of </w:t>
      </w:r>
      <w:r>
        <w:rPr>
          <w:rFonts w:ascii="Times New Roman" w:cs="Times New Roman" w:eastAsia="Times New Roman" w:hAnsi="Times New Roman"/>
          <w:sz w:val="22"/>
          <w:szCs w:val="22"/>
          <w:u w:val="single" w:color="auto"/>
          <w:color w:val="auto"/>
        </w:rPr>
        <w:t>Sections 2.11</w:t>
      </w:r>
      <w:r>
        <w:rPr>
          <w:rFonts w:ascii="Times New Roman" w:cs="Times New Roman" w:eastAsia="Times New Roman" w:hAnsi="Times New Roman"/>
          <w:sz w:val="22"/>
          <w:szCs w:val="22"/>
          <w:color w:val="auto"/>
        </w:rPr>
        <w:t xml:space="preserve"> of the Credit Agreement in connection with the Commitment Termination and (b) at least ten (10) business days written notice pursuant to the requirements of </w:t>
      </w:r>
      <w:r>
        <w:rPr>
          <w:rFonts w:ascii="Times New Roman" w:cs="Times New Roman" w:eastAsia="Times New Roman" w:hAnsi="Times New Roman"/>
          <w:sz w:val="22"/>
          <w:szCs w:val="22"/>
          <w:u w:val="single" w:color="auto"/>
          <w:color w:val="auto"/>
        </w:rPr>
        <w:t>2.27(a)(i)</w:t>
      </w:r>
      <w:r>
        <w:rPr>
          <w:rFonts w:ascii="Times New Roman" w:cs="Times New Roman" w:eastAsia="Times New Roman" w:hAnsi="Times New Roman"/>
          <w:sz w:val="22"/>
          <w:szCs w:val="22"/>
          <w:color w:val="auto"/>
        </w:rPr>
        <w:t xml:space="preserve"> of the Credit Agreement in connection with the establishment of the 2024 Incremental Revolving Commitments.</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TWO - Titles and Roles</w:t>
      </w:r>
      <w:r>
        <w:rPr>
          <w:rFonts w:ascii="Times New Roman" w:cs="Times New Roman" w:eastAsia="Times New Roman" w:hAnsi="Times New Roman"/>
          <w:sz w:val="22"/>
          <w:szCs w:val="22"/>
          <w:color w:val="auto"/>
        </w:rPr>
        <w:t>. The parties hereto agree that, as of the Ninth Amendment Effective Date (as defined below) and in connection with the Ninth Amendment: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Citibank, N.A. (“</w:t>
      </w:r>
      <w:r>
        <w:rPr>
          <w:rFonts w:ascii="Times New Roman" w:cs="Times New Roman" w:eastAsia="Times New Roman" w:hAnsi="Times New Roman"/>
          <w:sz w:val="22"/>
          <w:szCs w:val="22"/>
          <w:i w:val="1"/>
          <w:iCs w:val="1"/>
          <w:color w:val="auto"/>
        </w:rPr>
        <w:t>Citi</w:t>
      </w:r>
      <w:r>
        <w:rPr>
          <w:rFonts w:ascii="Times New Roman" w:cs="Times New Roman" w:eastAsia="Times New Roman" w:hAnsi="Times New Roman"/>
          <w:sz w:val="22"/>
          <w:szCs w:val="22"/>
          <w:color w:val="auto"/>
        </w:rPr>
        <w:t>”) shall be designated as, and perform the roles associated with, a lead arranger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bookrunner.</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THREE - Conditions to Effectiveness</w:t>
      </w:r>
      <w:r>
        <w:rPr>
          <w:rFonts w:ascii="Times New Roman" w:cs="Times New Roman" w:eastAsia="Times New Roman" w:hAnsi="Times New Roman"/>
          <w:sz w:val="22"/>
          <w:szCs w:val="22"/>
          <w:color w:val="auto"/>
        </w:rPr>
        <w:t>. The provisions of Section One of this Ninth Amendment shall become effective on the date (the “</w:t>
      </w:r>
      <w:r>
        <w:rPr>
          <w:rFonts w:ascii="Times New Roman" w:cs="Times New Roman" w:eastAsia="Times New Roman" w:hAnsi="Times New Roman"/>
          <w:sz w:val="22"/>
          <w:szCs w:val="22"/>
          <w:i w:val="1"/>
          <w:iCs w:val="1"/>
          <w:color w:val="auto"/>
        </w:rPr>
        <w:t>Ninth Amendment Effective Date</w:t>
      </w:r>
      <w:r>
        <w:rPr>
          <w:rFonts w:ascii="Times New Roman" w:cs="Times New Roman" w:eastAsia="Times New Roman" w:hAnsi="Times New Roman"/>
          <w:sz w:val="22"/>
          <w:szCs w:val="22"/>
          <w:color w:val="auto"/>
        </w:rPr>
        <w:t>”) when each of the following conditions specified below shall have been satisfied:</w:t>
      </w:r>
    </w:p>
    <w:p>
      <w:pPr>
        <w:spacing w:after="0" w:line="186" w:lineRule="exact"/>
        <w:rPr>
          <w:sz w:val="20"/>
          <w:szCs w:val="20"/>
          <w:color w:val="auto"/>
        </w:rPr>
      </w:pPr>
    </w:p>
    <w:p>
      <w:pPr>
        <w:ind w:right="20" w:firstLine="1304"/>
        <w:spacing w:after="0" w:line="271" w:lineRule="auto"/>
        <w:tabs>
          <w:tab w:leader="none" w:pos="186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 the Administrative Agent, each Issuing Lender and each 2024 Incremental Revolving Lender shall have signed a counterpart hereof (whether the same or different counterparts);</w:t>
      </w:r>
    </w:p>
    <w:p>
      <w:pPr>
        <w:spacing w:after="0" w:line="157"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8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reasonable invoiced out-of-pocket expenses incurred by the 2024 Incremental Revolving Lenders and the Administrative Agent pursuant to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of the Credit Agreement (including the reasonable and documented fees, charges and disbursements of counsel) and all accrued and unpaid fees, owing and payable under the Credit Agreement (including any fees agreed to in connection with this Ninth Amendment) shall have been paid to the extent invoiced at least two (2) Business Days prior to the Ninth Amendment Effective Date (or such shorter period as may be agreed by the Borrower);</w:t>
      </w:r>
    </w:p>
    <w:p>
      <w:pPr>
        <w:spacing w:after="0" w:line="163"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3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(or caused to be paid), for the account of each 2024 Incremental Revolving Lender, a one-time, non-refundable fee equal to the amount set forth in that certain fee letter, among the 2024 Incremental Revolving Lenders and the Borrower, dated as of the Ninth Amendment Effective Date;</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paid to the Administrative Agent (for the account of the Existing Revolving Lenders) all fees and interest accrued pursuant to </w:t>
      </w:r>
      <w:r>
        <w:rPr>
          <w:rFonts w:ascii="Times New Roman" w:cs="Times New Roman" w:eastAsia="Times New Roman" w:hAnsi="Times New Roman"/>
          <w:sz w:val="22"/>
          <w:szCs w:val="22"/>
          <w:u w:val="single" w:color="auto"/>
          <w:color w:val="auto"/>
        </w:rPr>
        <w:t>Sections 2.07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2.21</w:t>
      </w:r>
      <w:r>
        <w:rPr>
          <w:rFonts w:ascii="Times New Roman" w:cs="Times New Roman" w:eastAsia="Times New Roman" w:hAnsi="Times New Roman"/>
          <w:sz w:val="22"/>
          <w:szCs w:val="22"/>
          <w:color w:val="auto"/>
        </w:rPr>
        <w:t xml:space="preserve"> of the Credit Agreement in respect of the Existing Revolving Loans to, and including, the Ninth Amendment Effective Date, whether or not then due and payable under the terms of the Credit Agreement;</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76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an Officer’s Certificate certifying as to the Collateral Coverage Ratio and Liquidity in accordance with </w:t>
      </w:r>
      <w:r>
        <w:rPr>
          <w:rFonts w:ascii="Times New Roman" w:cs="Times New Roman" w:eastAsia="Times New Roman" w:hAnsi="Times New Roman"/>
          <w:sz w:val="22"/>
          <w:szCs w:val="22"/>
          <w:u w:val="single" w:color="auto"/>
          <w:color w:val="auto"/>
        </w:rPr>
        <w:t>Section 2.27(b)(iii)</w:t>
      </w:r>
      <w:r>
        <w:rPr>
          <w:rFonts w:ascii="Times New Roman" w:cs="Times New Roman" w:eastAsia="Times New Roman" w:hAnsi="Times New Roman"/>
          <w:sz w:val="22"/>
          <w:szCs w:val="22"/>
          <w:color w:val="auto"/>
        </w:rPr>
        <w:t xml:space="preserve"> of the Credit Agreement;</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8" w:lineRule="exact"/>
        <w:rPr>
          <w:sz w:val="20"/>
          <w:szCs w:val="20"/>
          <w:color w:val="auto"/>
        </w:rPr>
      </w:pPr>
    </w:p>
    <w:p>
      <w:pPr>
        <w:jc w:val="both"/>
        <w:ind w:left="-1120" w:firstLine="1304"/>
        <w:spacing w:after="0" w:line="257" w:lineRule="auto"/>
        <w:tabs>
          <w:tab w:leader="none" w:pos="62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customary written opinion of Latham &amp; Watkins LLP, special counsel for the Borrower and the Guarantor addressed to the Administrative Agent and the 2024 Incremental Revolving Lenders, dated the Ninth Amendment Effective Date;</w:t>
      </w:r>
    </w:p>
    <w:p>
      <w:pPr>
        <w:spacing w:after="0" w:line="186" w:lineRule="exact"/>
        <w:rPr>
          <w:rFonts w:ascii="Times New Roman" w:cs="Times New Roman" w:eastAsia="Times New Roman" w:hAnsi="Times New Roman"/>
          <w:sz w:val="22"/>
          <w:szCs w:val="22"/>
          <w:color w:val="auto"/>
        </w:rPr>
      </w:pPr>
    </w:p>
    <w:p>
      <w:pPr>
        <w:jc w:val="both"/>
        <w:ind w:left="-1120" w:firstLine="1304"/>
        <w:spacing w:after="0" w:line="247" w:lineRule="auto"/>
        <w:tabs>
          <w:tab w:leader="none" w:pos="67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the Secretary or Assistant Secretary (or similar Responsible Officer), dated the Ninth Amendment Effective Date (i) certifying as to the incumbency and specimen signature of each Responsible Officer of the Borrower and the Guarantor executing this Ninth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Ninth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0" w:lineRule="exact"/>
        <w:rPr>
          <w:rFonts w:ascii="Times New Roman" w:cs="Times New Roman" w:eastAsia="Times New Roman" w:hAnsi="Times New Roman"/>
          <w:sz w:val="22"/>
          <w:szCs w:val="22"/>
          <w:color w:val="auto"/>
        </w:rPr>
      </w:pPr>
    </w:p>
    <w:p>
      <w:pPr>
        <w:jc w:val="both"/>
        <w:ind w:left="-1120" w:firstLine="1304"/>
        <w:spacing w:after="0" w:line="259" w:lineRule="auto"/>
        <w:tabs>
          <w:tab w:leader="none" w:pos="69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w:t>
      </w:r>
      <w:r>
        <w:rPr>
          <w:rFonts w:ascii="Times New Roman" w:cs="Times New Roman" w:eastAsia="Times New Roman" w:hAnsi="Times New Roman"/>
          <w:sz w:val="21"/>
          <w:szCs w:val="21"/>
          <w:u w:val="single" w:color="auto"/>
          <w:color w:val="auto"/>
        </w:rPr>
        <w:t>Sections 3.05(b)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3.09(a)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3.19</w:t>
      </w:r>
      <w:r>
        <w:rPr>
          <w:rFonts w:ascii="Times New Roman" w:cs="Times New Roman" w:eastAsia="Times New Roman" w:hAnsi="Times New Roman"/>
          <w:sz w:val="21"/>
          <w:szCs w:val="21"/>
          <w:color w:val="auto"/>
        </w:rPr>
        <w:t xml:space="preserve"> of the Credit Agreement) as though made on the date hereof, or, in the case of any such representation and warranty that relates to a specified date, as though made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for purposes of this clause (h), the representations and warranties contained in </w:t>
      </w:r>
      <w:r>
        <w:rPr>
          <w:rFonts w:ascii="Times New Roman" w:cs="Times New Roman" w:eastAsia="Times New Roman" w:hAnsi="Times New Roman"/>
          <w:sz w:val="21"/>
          <w:szCs w:val="21"/>
          <w:u w:val="single" w:color="auto"/>
          <w:color w:val="auto"/>
        </w:rPr>
        <w:t>Sections 3.04(a)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3.05(a)</w:t>
      </w:r>
      <w:r>
        <w:rPr>
          <w:rFonts w:ascii="Times New Roman" w:cs="Times New Roman" w:eastAsia="Times New Roman" w:hAnsi="Times New Roman"/>
          <w:sz w:val="21"/>
          <w:szCs w:val="21"/>
          <w:color w:val="auto"/>
        </w:rPr>
        <w:t xml:space="preserve"> of the Credit Agreement shall be deemed to refer to the audited consolidated financial statements of Parent and its Subsidiaries for the fiscal year ended December 31, 2023, included in Parent’s Annual Report on Form 10-K for 2023 (as amended) and the unaudited consolidated financial statements of Parent and its Subsidiaries for the fiscal quarter ended March 31, 2024, Annual Report on Form 10-K for 2023 and Quarterly Reports on Form 10-Q, or Current Reports on Form 8-K that have been filed after December 31, 2023 by Parent with the SEC) shall be true and correct in all respects as of the applicable date, before and after giving effect to this Ninth Amendment and (B) as to the absence of any event occurring and continuing, or resulting from this Ninth Amendment on, the Ninth Amendment Effective Date, that constitutes a Default or Event of Default;</w:t>
      </w:r>
    </w:p>
    <w:p>
      <w:pPr>
        <w:spacing w:after="0" w:line="181" w:lineRule="exact"/>
        <w:rPr>
          <w:rFonts w:ascii="Times New Roman" w:cs="Times New Roman" w:eastAsia="Times New Roman" w:hAnsi="Times New Roman"/>
          <w:sz w:val="21"/>
          <w:szCs w:val="21"/>
          <w:color w:val="auto"/>
        </w:rPr>
      </w:pPr>
    </w:p>
    <w:p>
      <w:pPr>
        <w:ind w:left="-1120" w:firstLine="1304"/>
        <w:spacing w:after="0" w:line="284" w:lineRule="auto"/>
        <w:tabs>
          <w:tab w:leader="none" w:pos="64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to the establishment of the 2024 Incremental Revolving Commitments pursuant to this Ninth Amendment set forth in </w:t>
      </w:r>
      <w:r>
        <w:rPr>
          <w:rFonts w:ascii="Times New Roman" w:cs="Times New Roman" w:eastAsia="Times New Roman" w:hAnsi="Times New Roman"/>
          <w:sz w:val="22"/>
          <w:szCs w:val="22"/>
          <w:u w:val="single" w:color="auto"/>
          <w:color w:val="auto"/>
        </w:rPr>
        <w:t>Section 2.27(b)(i)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the Credit Agreement shall have been satisfied; and</w:t>
      </w:r>
    </w:p>
    <w:p>
      <w:pPr>
        <w:spacing w:after="0" w:line="143" w:lineRule="exact"/>
        <w:rPr>
          <w:rFonts w:ascii="Times New Roman" w:cs="Times New Roman" w:eastAsia="Times New Roman" w:hAnsi="Times New Roman"/>
          <w:sz w:val="22"/>
          <w:szCs w:val="22"/>
          <w:color w:val="auto"/>
        </w:rPr>
      </w:pPr>
    </w:p>
    <w:p>
      <w:pPr>
        <w:ind w:left="-1120" w:firstLine="1304"/>
        <w:spacing w:after="0" w:line="271" w:lineRule="auto"/>
        <w:tabs>
          <w:tab w:leader="none" w:pos="79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that (1) the Tenth Amendment to that certain Amended and Restated Credit and Guaranty Agreement dated as of April</w:t>
      </w:r>
    </w:p>
    <w:p>
      <w:pPr>
        <w:sectPr>
          <w:pgSz w:w="11900" w:h="16838" w:orient="portrait"/>
          <w:cols w:equalWidth="0" w:num="1">
            <w:col w:w="10120"/>
          </w:cols>
          <w:pgMar w:left="1440" w:top="1440" w:right="339" w:bottom="1440" w:gutter="0" w:footer="0" w:header="0"/>
        </w:sectPr>
      </w:pPr>
    </w:p>
    <w:bookmarkStart w:id="135" w:name="page136"/>
    <w:bookmarkEnd w:id="135"/>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20, 2015,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Citibank, N.A., as administrative agent, (2) the First Amendment to that certain Credit and Guaranty Agreement, dated as of December 4, 2023,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Citibank, N.A. as administrative agent and (3) the termination of the revolving commitments under that certain Credit and Guaranty Agreement, dated as of April 29, 2016,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the Borrower and Barclays Bank PLC as administrative agent, have, or will contemporaneously with the Ninth Amendment Effective Date, become effective.</w:t>
      </w:r>
    </w:p>
    <w:p>
      <w:pPr>
        <w:spacing w:after="0" w:line="17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FOUR - No Default; Representations and Warranties</w:t>
      </w:r>
      <w:r>
        <w:rPr>
          <w:rFonts w:ascii="Times New Roman" w:cs="Times New Roman" w:eastAsia="Times New Roman" w:hAnsi="Times New Roman"/>
          <w:sz w:val="21"/>
          <w:szCs w:val="21"/>
          <w:color w:val="auto"/>
        </w:rPr>
        <w:t xml:space="preserve">. In order to induce the 2024 Incremental Revolving Lenders, the Issuing Lenders, and the Administrative Agent to enter into this Ninth Amendment, the Borrower represents and warrants to the 2024 Incremental Revolving Lenders, the Issuing Lenders and the Administrative Agent that, on and as of the date hereof after giving effect to this Ninth Amendment, (i) no Default or Event of Default has occurred and is continuing or would result from giving effect to this Ninth Amendment and (ii) the representations and warranties contained in the Credit Agreement and the other Loan Documents (other than representations and warranties set forth in </w:t>
      </w:r>
      <w:r>
        <w:rPr>
          <w:rFonts w:ascii="Times New Roman" w:cs="Times New Roman" w:eastAsia="Times New Roman" w:hAnsi="Times New Roman"/>
          <w:sz w:val="21"/>
          <w:szCs w:val="21"/>
          <w:u w:val="single" w:color="auto"/>
          <w:color w:val="auto"/>
        </w:rPr>
        <w:t>Sections 3.05(b)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3.09(a)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3.19</w:t>
      </w:r>
      <w:r>
        <w:rPr>
          <w:rFonts w:ascii="Times New Roman" w:cs="Times New Roman" w:eastAsia="Times New Roman" w:hAnsi="Times New Roman"/>
          <w:sz w:val="21"/>
          <w:szCs w:val="21"/>
          <w:color w:val="auto"/>
        </w:rPr>
        <w:t xml:space="preserve">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for purposes of this Section Four, the representations and warranties contained in </w:t>
      </w:r>
      <w:r>
        <w:rPr>
          <w:rFonts w:ascii="Times New Roman" w:cs="Times New Roman" w:eastAsia="Times New Roman" w:hAnsi="Times New Roman"/>
          <w:sz w:val="21"/>
          <w:szCs w:val="21"/>
          <w:u w:val="single" w:color="auto"/>
          <w:color w:val="auto"/>
        </w:rPr>
        <w:t>Sections 3.04(a)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3.05(a)</w:t>
      </w:r>
      <w:r>
        <w:rPr>
          <w:rFonts w:ascii="Times New Roman" w:cs="Times New Roman" w:eastAsia="Times New Roman" w:hAnsi="Times New Roman"/>
          <w:sz w:val="21"/>
          <w:szCs w:val="21"/>
          <w:color w:val="auto"/>
        </w:rPr>
        <w:t xml:space="preserve"> of the Credit Agreement shall be deemed to refer to the audited consolidated financial statements of Parent and its Subsidiaries for the fiscal year ended December 31, 2023, included in Parent’s Annual Report on Form 10-K (as amended) and the unaudited consolidated financial statements of Parent and its Subsidiaries for the fiscal quarter ended March 31, 2024, Annual Report on Form 10-K for 2023 and Quarterly Reports on Form 10-Q, or Current Reports on Form 8-K that have been filed after December 31, 2023 by Parent with the SEC) shall be true and correct in all respects as of the applicable date, before and after giving effect to this Ninth Amendment.</w:t>
      </w:r>
    </w:p>
    <w:p>
      <w:pPr>
        <w:spacing w:after="0" w:line="183"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FIVE - Confirmation</w:t>
      </w:r>
      <w:r>
        <w:rPr>
          <w:rFonts w:ascii="Times New Roman" w:cs="Times New Roman" w:eastAsia="Times New Roman" w:hAnsi="Times New Roman"/>
          <w:sz w:val="22"/>
          <w:szCs w:val="22"/>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2024 Incremental Revolving Commitments (after giving effect to this Ninth Amendment) and all obligations of the Guarantor with respect to the guarantee of such obligations, and (ii) reaffirm the grant of Liens on the Collateral to secure the Obligations (including the Obligations under the Revolving Loans incurred pursuant to this Ninth Amendment) pursuant to the Collateral Documents.</w:t>
      </w:r>
    </w:p>
    <w:p>
      <w:pPr>
        <w:spacing w:after="0" w:line="194" w:lineRule="exact"/>
        <w:rPr>
          <w:sz w:val="20"/>
          <w:szCs w:val="20"/>
          <w:color w:val="auto"/>
        </w:rPr>
      </w:pPr>
    </w:p>
    <w:p>
      <w:pPr>
        <w:jc w:val="both"/>
        <w:ind w:left="80" w:firstLine="1296"/>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SIX - Reference to and Effect on the Credit Agreement</w:t>
      </w:r>
      <w:r>
        <w:rPr>
          <w:rFonts w:ascii="Times New Roman" w:cs="Times New Roman" w:eastAsia="Times New Roman" w:hAnsi="Times New Roman"/>
          <w:sz w:val="22"/>
          <w:szCs w:val="22"/>
          <w:color w:val="auto"/>
        </w:rPr>
        <w:t>. On and after the Ninth Amendment Effective Date, each reference in the Credit Agreement to “this Agreement,” “hereunder,” “hereof” or words of like import referring to the Credit Agreement, shall mean and be a reference to the Credit Agreement as amended by this Ninth Amendment. The Credit Agreement and</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8" w:lineRule="exact"/>
        <w:rPr>
          <w:sz w:val="20"/>
          <w:szCs w:val="20"/>
          <w:color w:val="auto"/>
        </w:rPr>
      </w:pPr>
    </w:p>
    <w:p>
      <w:pPr>
        <w:jc w:val="both"/>
        <w:ind w:left="80"/>
        <w:spacing w:after="0" w:line="251" w:lineRule="auto"/>
        <w:rPr>
          <w:sz w:val="20"/>
          <w:szCs w:val="20"/>
          <w:color w:val="auto"/>
        </w:rPr>
      </w:pPr>
      <w:r>
        <w:rPr>
          <w:rFonts w:ascii="Times New Roman" w:cs="Times New Roman" w:eastAsia="Times New Roman" w:hAnsi="Times New Roman"/>
          <w:sz w:val="22"/>
          <w:szCs w:val="22"/>
          <w:color w:val="auto"/>
        </w:rPr>
        <w:t>each of the other Loan Documents, as specifically amended by this Ninth Amendment, are and shall continue to be in full force and effect and are hereby in all respects ratified and confirmed. This Ninth Amendment shall be deemed to be a “Loan Document” for all purposes of the Credit Agreement (as amended hereby) and the other Loan Documents. The execution, delivery and effectiveness of this Ninth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8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SECTION SEVEN - Execution in Counterparts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3" w:lineRule="auto"/>
        <w:tabs>
          <w:tab w:leader="none" w:pos="192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Ninth Amendment may be executed in counterparts (and by different parties hereto on different counterparts), each of which shall constitute an original, but all of which when taken together shall constitute a single contract. This Ninth Amendment shall be binding upon and inure to the benefit of the parties hereto and their respective successors and assigns. Delivery of an executed counterpart of a signature page of this Ninth Amendment by facsimile or electronic (e.g., “pdf” or “tif) format shall be effective as delivery of a manually executed counterpart of this Ninth Amendment.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2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“execution,” “signed,” “signature,” and words of like import in this Ninth Amendment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both"/>
        <w:ind w:left="80" w:firstLine="1296"/>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EIGHT - Governing Law</w:t>
      </w:r>
      <w:r>
        <w:rPr>
          <w:rFonts w:ascii="Times New Roman" w:cs="Times New Roman" w:eastAsia="Times New Roman" w:hAnsi="Times New Roman"/>
          <w:sz w:val="22"/>
          <w:szCs w:val="22"/>
          <w:color w:val="auto"/>
        </w:rPr>
        <w:t>. THIS NINTH AMENDMENT AND THE RIGHTS AND OBLIGATIONS OF THE PARTIES UNDER THIS NINTH AMENDMENT (WHETHER IN CONTRACT, TORT OR OTHERWISE AND IN LAW OR EQUITY) SHALL BE GOVERNED BY, AND CONSTRUED AND INTERPRETED IN ACCORDANCE WITH, THE LAWS OF THE STATE OF NEW YORK.</w:t>
      </w:r>
    </w:p>
    <w:p>
      <w:pPr>
        <w:spacing w:after="0" w:line="176" w:lineRule="exact"/>
        <w:rPr>
          <w:sz w:val="20"/>
          <w:szCs w:val="20"/>
          <w:color w:val="auto"/>
        </w:rPr>
      </w:pPr>
    </w:p>
    <w:p>
      <w:pPr>
        <w:jc w:val="both"/>
        <w:ind w:left="80" w:firstLine="1296"/>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NINE - Miscellaneous</w:t>
      </w:r>
      <w:r>
        <w:rPr>
          <w:rFonts w:ascii="Times New Roman" w:cs="Times New Roman" w:eastAsia="Times New Roman" w:hAnsi="Times New Roman"/>
          <w:sz w:val="22"/>
          <w:szCs w:val="22"/>
          <w:color w:val="auto"/>
        </w:rPr>
        <w:t xml:space="preserve">. The provisions set forth in </w:t>
      </w:r>
      <w:r>
        <w:rPr>
          <w:rFonts w:ascii="Times New Roman" w:cs="Times New Roman" w:eastAsia="Times New Roman" w:hAnsi="Times New Roman"/>
          <w:sz w:val="22"/>
          <w:szCs w:val="22"/>
          <w:u w:val="single" w:color="auto"/>
          <w:color w:val="auto"/>
        </w:rPr>
        <w:t>Sections 10.03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10.05(b)-(d)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10.17</w:t>
      </w:r>
      <w:r>
        <w:rPr>
          <w:rFonts w:ascii="Times New Roman" w:cs="Times New Roman" w:eastAsia="Times New Roman" w:hAnsi="Times New Roman"/>
          <w:sz w:val="22"/>
          <w:szCs w:val="22"/>
          <w:color w:val="auto"/>
        </w:rPr>
        <w:t xml:space="preserve"> of the Credit Agreement are hereby incorporated mutatis mutandis herein by reference thereto as fully and to the same extent as if set forth herein.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IS LEFT BLANK INTENTIONALLY]</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Ninth Amendment to be duly executed and delivered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Meghan Montana</w:t>
      </w:r>
      <w:r>
        <w:rPr>
          <w:rFonts w:ascii="Times New Roman" w:cs="Times New Roman" w:eastAsia="Times New Roman" w:hAnsi="Times New Roman"/>
          <w:sz w:val="22"/>
          <w:szCs w:val="22"/>
          <w:color w:val="auto"/>
        </w:rPr>
        <w:t>____________________</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Meghan Montana</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Meghan Montana</w:t>
      </w:r>
      <w:r>
        <w:rPr>
          <w:rFonts w:ascii="Times New Roman" w:cs="Times New Roman" w:eastAsia="Times New Roman" w:hAnsi="Times New Roman"/>
          <w:sz w:val="22"/>
          <w:szCs w:val="22"/>
          <w:color w:val="auto"/>
        </w:rPr>
        <w:t>____________________</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Meghan Montana</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Ninth Amendment to Amended and Restated Credit and Guaranty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1734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Craig Malloy</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Ninth Amendment to Amended and Restated Credit and Guaranty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 </w:t>
      </w:r>
      <w:r>
        <w:rPr>
          <w:sz w:val="1"/>
          <w:szCs w:val="1"/>
          <w:color w:val="auto"/>
        </w:rPr>
        <w:drawing>
          <wp:inline distT="0" distB="0" distL="0" distR="0">
            <wp:extent cx="94615" cy="9398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as a [ </w:t>
      </w:r>
      <w:r>
        <w:rPr>
          <w:sz w:val="1"/>
          <w:szCs w:val="1"/>
          <w:color w:val="auto"/>
        </w:rPr>
        <w:drawing>
          <wp:inline distT="0" distB="0" distL="0" distR="0">
            <wp:extent cx="94615" cy="9398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274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Ninth Amendment to Amended and Restated Credit and Guaranty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Schedule 1</w:t>
      </w:r>
    </w:p>
    <w:p>
      <w:pPr>
        <w:spacing w:after="0" w:line="200" w:lineRule="exact"/>
        <w:rPr>
          <w:sz w:val="20"/>
          <w:szCs w:val="20"/>
          <w:color w:val="auto"/>
        </w:rPr>
      </w:pPr>
    </w:p>
    <w:p>
      <w:pPr>
        <w:spacing w:after="0" w:line="23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u w:val="single" w:color="auto"/>
          <w:color w:val="auto"/>
        </w:rPr>
        <w:t>Revolving Commitments</w:t>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20" w:type="dxa"/>
            <w:vAlign w:val="bottom"/>
            <w:tcBorders>
              <w:top w:val="single" w:sz="8" w:color="auto"/>
              <w:left w:val="single" w:sz="8" w:color="auto"/>
              <w:right w:val="single" w:sz="8" w:color="auto"/>
            </w:tcBorders>
            <w:shd w:val="clear" w:color="auto" w:fill="DBDBDB"/>
          </w:tcPr>
          <w:p>
            <w:pPr>
              <w:jc w:val="right"/>
              <w:ind w:right="192"/>
              <w:spacing w:after="0" w:line="216" w:lineRule="exact"/>
              <w:rPr>
                <w:sz w:val="20"/>
                <w:szCs w:val="20"/>
                <w:color w:val="auto"/>
              </w:rPr>
            </w:pPr>
            <w:r>
              <w:rPr>
                <w:rFonts w:ascii="Times New Roman" w:cs="Times New Roman" w:eastAsia="Times New Roman" w:hAnsi="Times New Roman"/>
                <w:sz w:val="22"/>
                <w:szCs w:val="22"/>
                <w:b w:val="1"/>
                <w:bCs w:val="1"/>
                <w:color w:val="auto"/>
              </w:rPr>
              <w:t>Name of 2024 Incremental Revolving</w:t>
            </w:r>
          </w:p>
        </w:tc>
        <w:tc>
          <w:tcPr>
            <w:tcW w:w="2500" w:type="dxa"/>
            <w:vAlign w:val="bottom"/>
            <w:tcBorders>
              <w:top w:val="single" w:sz="8" w:color="auto"/>
              <w:right w:val="single" w:sz="8" w:color="auto"/>
            </w:tcBorders>
            <w:shd w:val="clear" w:color="auto" w:fill="DBDBDB"/>
          </w:tcPr>
          <w:p>
            <w:pPr>
              <w:jc w:val="right"/>
              <w:ind w:right="352"/>
              <w:spacing w:after="0" w:line="216" w:lineRule="exact"/>
              <w:rPr>
                <w:sz w:val="20"/>
                <w:szCs w:val="20"/>
                <w:color w:val="auto"/>
              </w:rPr>
            </w:pPr>
            <w:r>
              <w:rPr>
                <w:rFonts w:ascii="Times New Roman" w:cs="Times New Roman" w:eastAsia="Times New Roman" w:hAnsi="Times New Roman"/>
                <w:sz w:val="22"/>
                <w:szCs w:val="22"/>
                <w:b w:val="1"/>
                <w:bCs w:val="1"/>
                <w:color w:val="auto"/>
              </w:rPr>
              <w:t>2024 Incremental</w:t>
            </w:r>
          </w:p>
        </w:tc>
        <w:tc>
          <w:tcPr>
            <w:tcW w:w="2140" w:type="dxa"/>
            <w:vAlign w:val="bottom"/>
            <w:tcBorders>
              <w:top w:val="single" w:sz="8" w:color="auto"/>
              <w:right w:val="single" w:sz="8" w:color="auto"/>
            </w:tcBorders>
            <w:vMerge w:val="restart"/>
            <w:shd w:val="clear" w:color="auto" w:fill="DBDBDB"/>
          </w:tcPr>
          <w:p>
            <w:pPr>
              <w:ind w:left="220"/>
              <w:spacing w:after="0"/>
              <w:rPr>
                <w:sz w:val="20"/>
                <w:szCs w:val="20"/>
                <w:color w:val="auto"/>
              </w:rPr>
            </w:pPr>
            <w:r>
              <w:rPr>
                <w:rFonts w:ascii="Times New Roman" w:cs="Times New Roman" w:eastAsia="Times New Roman" w:hAnsi="Times New Roman"/>
                <w:sz w:val="22"/>
                <w:szCs w:val="22"/>
                <w:b w:val="1"/>
                <w:bCs w:val="1"/>
                <w:color w:val="auto"/>
              </w:rPr>
              <w:t>LC Commitments</w:t>
            </w:r>
          </w:p>
        </w:tc>
        <w:tc>
          <w:tcPr>
            <w:tcW w:w="0" w:type="dxa"/>
            <w:vAlign w:val="bottom"/>
          </w:tcPr>
          <w:p>
            <w:pPr>
              <w:spacing w:after="0"/>
              <w:rPr>
                <w:sz w:val="1"/>
                <w:szCs w:val="1"/>
                <w:color w:val="auto"/>
              </w:rPr>
            </w:pPr>
          </w:p>
        </w:tc>
      </w:tr>
      <w:tr>
        <w:trPr>
          <w:trHeight w:val="174"/>
        </w:trPr>
        <w:tc>
          <w:tcPr>
            <w:tcW w:w="4020" w:type="dxa"/>
            <w:vAlign w:val="bottom"/>
            <w:tcBorders>
              <w:left w:val="single" w:sz="8" w:color="auto"/>
              <w:right w:val="single" w:sz="8" w:color="auto"/>
            </w:tcBorders>
            <w:vMerge w:val="restart"/>
            <w:shd w:val="clear" w:color="auto" w:fill="DBDBDB"/>
          </w:tcPr>
          <w:p>
            <w:pPr>
              <w:jc w:val="right"/>
              <w:ind w:right="1572"/>
              <w:spacing w:after="0"/>
              <w:rPr>
                <w:sz w:val="20"/>
                <w:szCs w:val="20"/>
                <w:color w:val="auto"/>
              </w:rPr>
            </w:pPr>
            <w:r>
              <w:rPr>
                <w:rFonts w:ascii="Times New Roman" w:cs="Times New Roman" w:eastAsia="Times New Roman" w:hAnsi="Times New Roman"/>
                <w:sz w:val="22"/>
                <w:szCs w:val="22"/>
                <w:b w:val="1"/>
                <w:bCs w:val="1"/>
                <w:color w:val="auto"/>
              </w:rPr>
              <w:t>Lender</w:t>
            </w:r>
          </w:p>
        </w:tc>
        <w:tc>
          <w:tcPr>
            <w:tcW w:w="2500" w:type="dxa"/>
            <w:vAlign w:val="bottom"/>
            <w:tcBorders>
              <w:right w:val="single" w:sz="8" w:color="auto"/>
            </w:tcBorders>
            <w:vMerge w:val="restart"/>
            <w:shd w:val="clear" w:color="auto" w:fill="DBDBDB"/>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Revolving Commitments</w:t>
            </w:r>
          </w:p>
        </w:tc>
        <w:tc>
          <w:tcPr>
            <w:tcW w:w="2140" w:type="dxa"/>
            <w:vAlign w:val="bottom"/>
            <w:tcBorders>
              <w:right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4020" w:type="dxa"/>
            <w:vAlign w:val="bottom"/>
            <w:tcBorders>
              <w:left w:val="single" w:sz="8" w:color="auto"/>
              <w:bottom w:val="single" w:sz="8" w:color="auto"/>
              <w:right w:val="single" w:sz="8" w:color="auto"/>
            </w:tcBorders>
            <w:vMerge w:val="continue"/>
            <w:shd w:val="clear" w:color="auto" w:fill="DBDBDB"/>
          </w:tcPr>
          <w:p>
            <w:pPr>
              <w:spacing w:after="0"/>
              <w:rPr>
                <w:sz w:val="9"/>
                <w:szCs w:val="9"/>
                <w:color w:val="auto"/>
              </w:rPr>
            </w:pPr>
          </w:p>
        </w:tc>
        <w:tc>
          <w:tcPr>
            <w:tcW w:w="2500" w:type="dxa"/>
            <w:vAlign w:val="bottom"/>
            <w:tcBorders>
              <w:bottom w:val="single" w:sz="8" w:color="auto"/>
              <w:right w:val="single" w:sz="8" w:color="auto"/>
            </w:tcBorders>
            <w:vMerge w:val="continue"/>
            <w:shd w:val="clear" w:color="auto" w:fill="DBDBDB"/>
          </w:tcPr>
          <w:p>
            <w:pPr>
              <w:spacing w:after="0"/>
              <w:rPr>
                <w:sz w:val="9"/>
                <w:szCs w:val="9"/>
                <w:color w:val="auto"/>
              </w:rPr>
            </w:pPr>
          </w:p>
        </w:tc>
        <w:tc>
          <w:tcPr>
            <w:tcW w:w="214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20" w:type="dxa"/>
            <w:vAlign w:val="bottom"/>
            <w:tcBorders>
              <w:left w:val="single" w:sz="8" w:color="auto"/>
              <w:bottom w:val="single" w:sz="8" w:color="auto"/>
              <w:right w:val="single" w:sz="8" w:color="auto"/>
            </w:tcBorders>
          </w:tcPr>
          <w:p>
            <w:pPr>
              <w:jc w:val="right"/>
              <w:ind w:right="3252"/>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bottom w:val="single" w:sz="8" w:color="auto"/>
              <w:right w:val="single" w:sz="8" w:color="auto"/>
            </w:tcBorders>
          </w:tcPr>
          <w:p>
            <w:pPr>
              <w:jc w:val="right"/>
              <w:ind w:right="1752"/>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98"/>
        </w:trPr>
        <w:tc>
          <w:tcPr>
            <w:tcW w:w="4020" w:type="dxa"/>
            <w:vAlign w:val="bottom"/>
            <w:tcBorders>
              <w:left w:val="single" w:sz="8" w:color="auto"/>
              <w:bottom w:val="single" w:sz="8" w:color="auto"/>
              <w:right w:val="single" w:sz="8" w:color="auto"/>
            </w:tcBorders>
            <w:shd w:val="clear" w:color="auto" w:fill="D9D9D9"/>
          </w:tcPr>
          <w:p>
            <w:pPr>
              <w:jc w:val="right"/>
              <w:ind w:right="3412"/>
              <w:spacing w:after="0"/>
              <w:rPr>
                <w:sz w:val="20"/>
                <w:szCs w:val="20"/>
                <w:color w:val="auto"/>
              </w:rPr>
            </w:pPr>
            <w:r>
              <w:rPr>
                <w:rFonts w:ascii="Times New Roman" w:cs="Times New Roman" w:eastAsia="Times New Roman" w:hAnsi="Times New Roman"/>
                <w:sz w:val="22"/>
                <w:szCs w:val="22"/>
                <w:b w:val="1"/>
                <w:bCs w:val="1"/>
                <w:color w:val="auto"/>
                <w:w w:val="95"/>
              </w:rPr>
              <w:t>Total</w:t>
            </w:r>
          </w:p>
        </w:tc>
        <w:tc>
          <w:tcPr>
            <w:tcW w:w="2500" w:type="dxa"/>
            <w:vAlign w:val="bottom"/>
            <w:tcBorders>
              <w:bottom w:val="single" w:sz="8" w:color="auto"/>
              <w:right w:val="single" w:sz="8" w:color="auto"/>
            </w:tcBorders>
            <w:shd w:val="clear" w:color="auto" w:fill="D9D9D9"/>
          </w:tcPr>
          <w:p>
            <w:pPr>
              <w:jc w:val="right"/>
              <w:ind w:right="932"/>
              <w:spacing w:after="0"/>
              <w:rPr>
                <w:sz w:val="20"/>
                <w:szCs w:val="20"/>
                <w:color w:val="auto"/>
              </w:rPr>
            </w:pPr>
            <w:r>
              <w:rPr>
                <w:rFonts w:ascii="Times New Roman" w:cs="Times New Roman" w:eastAsia="Times New Roman" w:hAnsi="Times New Roman"/>
                <w:sz w:val="22"/>
                <w:szCs w:val="22"/>
                <w:b w:val="1"/>
                <w:bCs w:val="1"/>
                <w:color w:val="auto"/>
                <w:w w:val="96"/>
              </w:rPr>
              <w:t>$500,000,000.00</w:t>
            </w:r>
          </w:p>
        </w:tc>
        <w:tc>
          <w:tcPr>
            <w:tcW w:w="21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2"/>
                <w:szCs w:val="22"/>
                <w:b w:val="1"/>
                <w:bCs w:val="1"/>
                <w:color w:val="auto"/>
              </w:rPr>
              <w:t>$100,000,000.00</w:t>
            </w:r>
          </w:p>
        </w:tc>
        <w:tc>
          <w:tcPr>
            <w:tcW w:w="0" w:type="dxa"/>
            <w:vAlign w:val="bottom"/>
          </w:tcPr>
          <w:p>
            <w:pPr>
              <w:spacing w:after="0"/>
              <w:rPr>
                <w:sz w:val="1"/>
                <w:szCs w:val="1"/>
                <w:color w:val="auto"/>
              </w:rPr>
            </w:pPr>
          </w:p>
        </w:tc>
      </w:tr>
    </w:tbl>
    <w:p>
      <w:pPr>
        <w:sectPr>
          <w:pgSz w:w="11900" w:h="16838" w:orient="portrait"/>
          <w:cols w:equalWidth="0" w:num="1">
            <w:col w:w="10580"/>
          </w:cols>
          <w:pgMar w:left="980" w:top="144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A TO </w:t>
      </w:r>
      <w:r>
        <w:rPr>
          <w:rFonts w:ascii="Times New Roman" w:cs="Times New Roman" w:eastAsia="Times New Roman" w:hAnsi="Times New Roman"/>
          <w:sz w:val="18"/>
          <w:szCs w:val="18"/>
          <w:b w:val="1"/>
          <w:bCs w:val="1"/>
          <w:color w:val="FF0000"/>
          <w:strike w:val="1"/>
        </w:rPr>
        <w:t>EIGHTH</w:t>
      </w:r>
      <w:r>
        <w:rPr>
          <w:rFonts w:ascii="Times New Roman" w:cs="Times New Roman" w:eastAsia="Times New Roman" w:hAnsi="Times New Roman"/>
          <w:sz w:val="18"/>
          <w:szCs w:val="18"/>
          <w:b w:val="1"/>
          <w:bCs w:val="1"/>
          <w:u w:val="single" w:color="auto"/>
          <w:color w:val="0000FF"/>
        </w:rPr>
        <w:t>NINTH</w:t>
      </w:r>
      <w:r>
        <w:rPr>
          <w:rFonts w:ascii="Times New Roman" w:cs="Times New Roman" w:eastAsia="Times New Roman" w:hAnsi="Times New Roman"/>
          <w:sz w:val="18"/>
          <w:szCs w:val="18"/>
          <w:b w:val="1"/>
          <w:bCs w:val="1"/>
          <w:color w:val="auto"/>
        </w:rPr>
        <w:t xml:space="preser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CREDIT AND GUARANTY AGREEMENT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May 21, 2015</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the Borrower,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Parent and a Guarantor,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SUBSIDIARIES OF PARENT FROM TIME TO TIME PARTY HERETO</w:t>
      </w:r>
    </w:p>
    <w:p>
      <w:pPr>
        <w:spacing w:after="0" w:line="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OTHER THAN THE BORROWER,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Guarantors,</w:t>
      </w:r>
    </w:p>
    <w:p>
      <w:pPr>
        <w:spacing w:after="0" w:line="19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19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BARCLAYS BANK PLC and GOLDMAN SACHS BANK USA,</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as Joint Structuring Agent,</w:t>
      </w:r>
    </w:p>
    <w:p>
      <w:pPr>
        <w:spacing w:after="0" w:line="2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BARCLAYS BANK PLC and GOLDMAN SACHS BANK USA,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Lead Arrangers and Bookrunners,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BOFA SECURITIES, INC., CITIGROUP GLOBAL MARKETS INC., CREDIT SUISSE LOAN FUNDING LLC, DEUTSCHE</w:t>
      </w:r>
    </w:p>
    <w:p>
      <w:pPr>
        <w:spacing w:after="0" w:line="41" w:lineRule="exact"/>
        <w:rPr>
          <w:sz w:val="20"/>
          <w:szCs w:val="20"/>
          <w:color w:val="auto"/>
        </w:rPr>
      </w:pPr>
    </w:p>
    <w:p>
      <w:pPr>
        <w:jc w:val="center"/>
        <w:ind w:left="340" w:right="140"/>
        <w:spacing w:after="0" w:line="247" w:lineRule="auto"/>
        <w:rPr>
          <w:sz w:val="20"/>
          <w:szCs w:val="20"/>
          <w:color w:val="auto"/>
        </w:rPr>
      </w:pPr>
      <w:r>
        <w:rPr>
          <w:rFonts w:ascii="Times New Roman" w:cs="Times New Roman" w:eastAsia="Times New Roman" w:hAnsi="Times New Roman"/>
          <w:sz w:val="22"/>
          <w:szCs w:val="22"/>
          <w:color w:val="auto"/>
        </w:rPr>
        <w:t>BANK SECURITIES INC., ICBC STANDARD BANK PLC, JPMORGAN CHASE BANK, N.A., MORGAN STANLEY SENIOR FUNDING, INC., SUMITOMO MITSUI BANKING CORPORATION, BNP PARIBAS SECURITIES CORP., CREDIT AGRICOLE CORPORATE AND INVESTMENT BANK, HSBC SECURITIES (USA) INC., MUFG BANK, LTD., STANDARD CHARTERED BANK, U.S. BANK NATIONAL ASSOCIATION, and BOKF, NA dba BANK OF TEXAS, as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360" w:right="339" w:bottom="1440" w:gutter="0" w:footer="0" w:header="0"/>
        </w:sectPr>
      </w:pPr>
    </w:p>
    <w:bookmarkStart w:id="142" w:name="page143"/>
    <w:bookmarkEnd w:id="142"/>
    <w:tbl>
      <w:tblPr>
        <w:tblLayout w:type="fixed"/>
        <w:tblInd w:w="240" w:type="dxa"/>
        <w:tblCellMar>
          <w:top w:w="0" w:type="dxa"/>
          <w:left w:w="0" w:type="dxa"/>
          <w:bottom w:w="0" w:type="dxa"/>
          <w:right w:w="0" w:type="dxa"/>
        </w:tblCellMar>
      </w:tblPr>
      <w:tr>
        <w:trPr>
          <w:trHeight w:val="286"/>
        </w:trPr>
        <w:tc>
          <w:tcPr>
            <w:tcW w:w="7800" w:type="dxa"/>
            <w:vAlign w:val="bottom"/>
          </w:tcPr>
          <w:p>
            <w:pPr>
              <w:ind w:left="42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4"/>
                <w:szCs w:val="24"/>
                <w:color w:val="auto"/>
              </w:rPr>
            </w:pPr>
          </w:p>
        </w:tc>
      </w:tr>
      <w:tr>
        <w:trPr>
          <w:trHeight w:val="447"/>
        </w:trPr>
        <w:tc>
          <w:tcPr>
            <w:tcW w:w="78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60"/>
        </w:trPr>
        <w:tc>
          <w:tcPr>
            <w:tcW w:w="780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7"/>
              </w:rPr>
              <w:t>Article I</w:t>
            </w:r>
          </w:p>
        </w:tc>
        <w:tc>
          <w:tcPr>
            <w:tcW w:w="440" w:type="dxa"/>
            <w:vAlign w:val="bottom"/>
          </w:tcPr>
          <w:p>
            <w:pPr>
              <w:spacing w:after="0"/>
              <w:rPr>
                <w:sz w:val="24"/>
                <w:szCs w:val="24"/>
                <w:color w:val="auto"/>
              </w:rPr>
            </w:pPr>
          </w:p>
        </w:tc>
      </w:tr>
      <w:tr>
        <w:trPr>
          <w:trHeight w:val="282"/>
        </w:trPr>
        <w:tc>
          <w:tcPr>
            <w:tcW w:w="780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7"/>
              </w:rPr>
              <w:t>DEFINITIONS</w:t>
            </w:r>
          </w:p>
        </w:tc>
        <w:tc>
          <w:tcPr>
            <w:tcW w:w="440" w:type="dxa"/>
            <w:vAlign w:val="bottom"/>
          </w:tcPr>
          <w:p>
            <w:pPr>
              <w:spacing w:after="0"/>
              <w:rPr>
                <w:sz w:val="24"/>
                <w:szCs w:val="24"/>
                <w:color w:val="auto"/>
              </w:rPr>
            </w:pPr>
          </w:p>
        </w:tc>
      </w:tr>
      <w:tr>
        <w:trPr>
          <w:trHeight w:val="528"/>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1.01. Defined Terms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1.02. Terms Generally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1.03. Accounting Terms; GAAP</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1.04. Effect of Restatement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528"/>
        </w:trPr>
        <w:tc>
          <w:tcPr>
            <w:tcW w:w="780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8"/>
              </w:rPr>
              <w:t>Article II</w:t>
            </w:r>
          </w:p>
        </w:tc>
        <w:tc>
          <w:tcPr>
            <w:tcW w:w="440" w:type="dxa"/>
            <w:vAlign w:val="bottom"/>
          </w:tcPr>
          <w:p>
            <w:pPr>
              <w:spacing w:after="0"/>
              <w:rPr>
                <w:sz w:val="24"/>
                <w:szCs w:val="24"/>
                <w:color w:val="auto"/>
              </w:rPr>
            </w:pPr>
          </w:p>
        </w:tc>
      </w:tr>
      <w:tr>
        <w:trPr>
          <w:trHeight w:val="282"/>
        </w:trPr>
        <w:tc>
          <w:tcPr>
            <w:tcW w:w="780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AMOUNT AND TERMS OF CREDIT</w:t>
            </w:r>
          </w:p>
        </w:tc>
        <w:tc>
          <w:tcPr>
            <w:tcW w:w="440" w:type="dxa"/>
            <w:vAlign w:val="bottom"/>
          </w:tcPr>
          <w:p>
            <w:pPr>
              <w:spacing w:after="0"/>
              <w:rPr>
                <w:sz w:val="24"/>
                <w:szCs w:val="24"/>
                <w:color w:val="auto"/>
              </w:rPr>
            </w:pPr>
          </w:p>
        </w:tc>
      </w:tr>
      <w:tr>
        <w:trPr>
          <w:trHeight w:val="528"/>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2.01. Commitments of the Lenders; Term Loans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2.02. Letters of Credit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2.03. Requests for Loans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2.04. Funding of Loans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2.05. Interest Elections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2.06. Limitation on Eurodollar Tranches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2.07. Interest on Loans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2.08. Default Interest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2.09. Benchmark Replacement Setting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2.10. Amortization of Term Loans; Repayment of Loans; Evidence of Debt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2.11. Optional Termination or Reduction of Revolving Commitments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2.12. Mandatory Prepayment of Loans; Commitment Termination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2.13. Optional Prepayment of Loans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2.14. Increased Costs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2.15. Break Funding Payments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2.16.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2.17. Payments Generally; Pro Rata Treatment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2.18. Mitigation Obligations; Replacement of Lenders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2.19. Certain Fees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2.20. Commitment Fee and Upfront Fee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2.21. Letter of Credit Fees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2.22. Nature of Fees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2.23. Right of Set-Off</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2.24. Security Interest in Letter of Credit Account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2.25. Payment of Obligations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SECTION 2.26. Defaulting Lenders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139"/>
          </w:cols>
          <w:pgMar w:left="320" w:top="1417" w:right="1440" w:bottom="1440" w:gutter="0" w:footer="0" w:header="0"/>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0139"/>
          </w:cols>
          <w:pgMar w:left="320" w:top="1417" w:right="1440" w:bottom="1440" w:gutter="0" w:footer="0" w:header="0"/>
          <w:type w:val="continuous"/>
        </w:sectPr>
      </w:pPr>
    </w:p>
    <w:bookmarkStart w:id="143" w:name="page144"/>
    <w:bookmarkEnd w:id="143"/>
    <w:p>
      <w:pPr>
        <w:spacing w:after="0" w:line="9" w:lineRule="exact"/>
        <w:rPr>
          <w:sz w:val="20"/>
          <w:szCs w:val="20"/>
          <w:color w:val="auto"/>
        </w:rPr>
      </w:pPr>
    </w:p>
    <w:tbl>
      <w:tblPr>
        <w:tblLayout w:type="fixed"/>
        <w:tblInd w:w="240" w:type="dxa"/>
        <w:tblCellMar>
          <w:top w:w="0" w:type="dxa"/>
          <w:left w:w="0" w:type="dxa"/>
          <w:bottom w:w="0" w:type="dxa"/>
          <w:right w:w="0" w:type="dxa"/>
        </w:tblCellMar>
      </w:tblP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2.27. Increase in Commitment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2.28. Extension of Term Loans; Extension of the Revolving Facility</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528"/>
        </w:trPr>
        <w:tc>
          <w:tcPr>
            <w:tcW w:w="742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7"/>
              </w:rPr>
              <w:t>Article III</w:t>
            </w:r>
          </w:p>
        </w:tc>
        <w:tc>
          <w:tcPr>
            <w:tcW w:w="820" w:type="dxa"/>
            <w:vAlign w:val="bottom"/>
          </w:tcPr>
          <w:p>
            <w:pPr>
              <w:spacing w:after="0"/>
              <w:rPr>
                <w:sz w:val="24"/>
                <w:szCs w:val="24"/>
                <w:color w:val="auto"/>
              </w:rPr>
            </w:pPr>
          </w:p>
        </w:tc>
      </w:tr>
      <w:tr>
        <w:trPr>
          <w:trHeight w:val="282"/>
        </w:trPr>
        <w:tc>
          <w:tcPr>
            <w:tcW w:w="742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6"/>
              </w:rPr>
              <w:t>REPRESENTATIONS AND WARRANTIES</w:t>
            </w:r>
          </w:p>
        </w:tc>
        <w:tc>
          <w:tcPr>
            <w:tcW w:w="820" w:type="dxa"/>
            <w:vAlign w:val="bottom"/>
          </w:tcPr>
          <w:p>
            <w:pPr>
              <w:spacing w:after="0"/>
              <w:rPr>
                <w:sz w:val="24"/>
                <w:szCs w:val="24"/>
                <w:color w:val="auto"/>
              </w:rPr>
            </w:pPr>
          </w:p>
        </w:tc>
      </w:tr>
      <w:tr>
        <w:trPr>
          <w:trHeight w:val="528"/>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3.01. Organization and Authority</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3.02. Air Carrier Status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3.03. Due Execution</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3.04. Statements Made</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3.05. Financial Statements; Material Adverse Change</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3.06. Ownership of 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3.07. Liens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3.08.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3.09. Litigation and Compliance with Laws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3.10. Slots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3.11. Routes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3.12. Margin Regulations; Investment Company Act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3.13. Holding of Collateral</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3.14. Perfected Security Interests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3.15. Payment of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3.16. No Unlawful Payments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3.17. OFAC</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3.18. Compliance with Anti-Money Laundering Laws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3.19. Solvency</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540"/>
        </w:trPr>
        <w:tc>
          <w:tcPr>
            <w:tcW w:w="7420" w:type="dxa"/>
            <w:vAlign w:val="bottom"/>
          </w:tcPr>
          <w:p>
            <w:pPr>
              <w:jc w:val="center"/>
              <w:ind w:left="712"/>
              <w:spacing w:after="0"/>
              <w:rPr>
                <w:sz w:val="20"/>
                <w:szCs w:val="20"/>
                <w:color w:val="auto"/>
              </w:rPr>
            </w:pPr>
            <w:r>
              <w:rPr>
                <w:rFonts w:ascii="Times New Roman" w:cs="Times New Roman" w:eastAsia="Times New Roman" w:hAnsi="Times New Roman"/>
                <w:sz w:val="22"/>
                <w:szCs w:val="22"/>
                <w:color w:val="auto"/>
                <w:w w:val="97"/>
              </w:rPr>
              <w:t>Article IV</w:t>
            </w:r>
          </w:p>
        </w:tc>
        <w:tc>
          <w:tcPr>
            <w:tcW w:w="820" w:type="dxa"/>
            <w:vAlign w:val="bottom"/>
          </w:tcPr>
          <w:p>
            <w:pPr>
              <w:spacing w:after="0"/>
              <w:rPr>
                <w:sz w:val="24"/>
                <w:szCs w:val="24"/>
                <w:color w:val="auto"/>
              </w:rPr>
            </w:pPr>
          </w:p>
        </w:tc>
      </w:tr>
      <w:tr>
        <w:trPr>
          <w:trHeight w:val="297"/>
        </w:trPr>
        <w:tc>
          <w:tcPr>
            <w:tcW w:w="742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8"/>
              </w:rPr>
              <w:t>CONDITIONS OF LENDING</w:t>
            </w:r>
          </w:p>
        </w:tc>
        <w:tc>
          <w:tcPr>
            <w:tcW w:w="820" w:type="dxa"/>
            <w:vAlign w:val="bottom"/>
          </w:tcPr>
          <w:p>
            <w:pPr>
              <w:spacing w:after="0"/>
              <w:rPr>
                <w:sz w:val="24"/>
                <w:szCs w:val="24"/>
                <w:color w:val="auto"/>
              </w:rPr>
            </w:pPr>
          </w:p>
        </w:tc>
      </w:tr>
      <w:tr>
        <w:trPr>
          <w:trHeight w:val="757"/>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4.01. [Reserved]</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4.02. Conditions Precedent to Each Loan and Each Letter of Credit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540"/>
        </w:trPr>
        <w:tc>
          <w:tcPr>
            <w:tcW w:w="742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9"/>
              </w:rPr>
              <w:t>Article V</w:t>
            </w:r>
          </w:p>
        </w:tc>
        <w:tc>
          <w:tcPr>
            <w:tcW w:w="820" w:type="dxa"/>
            <w:vAlign w:val="bottom"/>
          </w:tcPr>
          <w:p>
            <w:pPr>
              <w:spacing w:after="0"/>
              <w:rPr>
                <w:sz w:val="24"/>
                <w:szCs w:val="24"/>
                <w:color w:val="auto"/>
              </w:rPr>
            </w:pPr>
          </w:p>
        </w:tc>
      </w:tr>
      <w:tr>
        <w:trPr>
          <w:trHeight w:val="297"/>
        </w:trPr>
        <w:tc>
          <w:tcPr>
            <w:tcW w:w="7420" w:type="dxa"/>
            <w:vAlign w:val="bottom"/>
          </w:tcPr>
          <w:p>
            <w:pPr>
              <w:jc w:val="center"/>
              <w:ind w:left="732"/>
              <w:spacing w:after="0"/>
              <w:rPr>
                <w:sz w:val="20"/>
                <w:szCs w:val="20"/>
                <w:color w:val="auto"/>
              </w:rPr>
            </w:pPr>
            <w:r>
              <w:rPr>
                <w:rFonts w:ascii="Times New Roman" w:cs="Times New Roman" w:eastAsia="Times New Roman" w:hAnsi="Times New Roman"/>
                <w:sz w:val="22"/>
                <w:szCs w:val="22"/>
                <w:color w:val="auto"/>
                <w:w w:val="96"/>
              </w:rPr>
              <w:t>AFFIRMATIVE COVENANTS</w:t>
            </w:r>
          </w:p>
        </w:tc>
        <w:tc>
          <w:tcPr>
            <w:tcW w:w="820" w:type="dxa"/>
            <w:vAlign w:val="bottom"/>
          </w:tcPr>
          <w:p>
            <w:pPr>
              <w:spacing w:after="0"/>
              <w:rPr>
                <w:sz w:val="24"/>
                <w:szCs w:val="24"/>
                <w:color w:val="auto"/>
              </w:rPr>
            </w:pPr>
          </w:p>
        </w:tc>
      </w:tr>
      <w:tr>
        <w:trPr>
          <w:trHeight w:val="757"/>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5.01. Financial Statements, Reports, etc</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5.02.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5.03. Corporate Existence</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5.04. Compliance with Laws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5.05. Designation of Restricted and Unrestricted 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SECTION 5.06. Delivery of Appraisals</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440"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(South America) - Exhibit A to Ninth Amendment (Conformed Credit Agreement)</w:t>
      </w:r>
      <w:r>
        <w:rPr>
          <w:rFonts w:ascii="Arial" w:cs="Arial" w:eastAsia="Arial" w:hAnsi="Arial"/>
          <w:sz w:val="15"/>
          <w:szCs w:val="15"/>
          <w:b w:val="1"/>
          <w:bCs w:val="1"/>
          <w:u w:val="single" w:color="auto"/>
          <w:color w:val="0000FF"/>
        </w:rPr>
        <w:t>#4866-6658-3746v3</w:t>
      </w:r>
    </w:p>
    <w:p>
      <w:pPr>
        <w:sectPr>
          <w:pgSz w:w="11900" w:h="16838" w:orient="portrait"/>
          <w:cols w:equalWidth="0" w:num="1">
            <w:col w:w="10139"/>
          </w:cols>
          <w:pgMar w:left="320" w:top="1440" w:right="1440" w:bottom="1440" w:gutter="0" w:footer="0" w:header="0"/>
          <w:type w:val="continuous"/>
        </w:sectPr>
      </w:pPr>
    </w:p>
    <w:bookmarkStart w:id="144" w:name="page145"/>
    <w:bookmarkEnd w:id="144"/>
    <w:p>
      <w:pPr>
        <w:spacing w:after="0" w:line="9" w:lineRule="exact"/>
        <w:rPr>
          <w:sz w:val="20"/>
          <w:szCs w:val="20"/>
          <w:color w:val="auto"/>
        </w:rPr>
      </w:pPr>
    </w:p>
    <w:tbl>
      <w:tblPr>
        <w:tblLayout w:type="fixed"/>
        <w:tblInd w:w="240" w:type="dxa"/>
        <w:tblCellMar>
          <w:top w:w="0" w:type="dxa"/>
          <w:left w:w="0" w:type="dxa"/>
          <w:bottom w:w="0" w:type="dxa"/>
          <w:right w:w="0" w:type="dxa"/>
        </w:tblCellMar>
      </w:tblP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5.07. Regulatory Matters; Utilization; Reporting</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5.08. Maintenance of Ratings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16"/>
        </w:trPr>
        <w:tc>
          <w:tcPr>
            <w:tcW w:w="76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 5.09. Additional Guarantors; Additional South American Service;</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70"/>
        </w:trPr>
        <w:tc>
          <w:tcPr>
            <w:tcW w:w="762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Additional Collateral</w:t>
            </w:r>
          </w:p>
        </w:tc>
        <w:tc>
          <w:tcPr>
            <w:tcW w:w="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5.10. Access to Books and Records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0" w:type="dxa"/>
            <w:vAlign w:val="bottom"/>
          </w:tcPr>
          <w:p>
            <w:pPr>
              <w:spacing w:after="0"/>
              <w:rPr>
                <w:sz w:val="1"/>
                <w:szCs w:val="1"/>
                <w:color w:val="auto"/>
              </w:rPr>
            </w:pPr>
          </w:p>
        </w:tc>
      </w:t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5.11. Further Assurances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w:t>
            </w:r>
          </w:p>
        </w:tc>
        <w:tc>
          <w:tcPr>
            <w:tcW w:w="0" w:type="dxa"/>
            <w:vAlign w:val="bottom"/>
          </w:tcPr>
          <w:p>
            <w:pPr>
              <w:spacing w:after="0"/>
              <w:rPr>
                <w:sz w:val="1"/>
                <w:szCs w:val="1"/>
                <w:color w:val="auto"/>
              </w:rPr>
            </w:pPr>
          </w:p>
        </w:tc>
      </w:tr>
      <w:tr>
        <w:trPr>
          <w:trHeight w:val="540"/>
        </w:trPr>
        <w:tc>
          <w:tcPr>
            <w:tcW w:w="762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7"/>
              </w:rPr>
              <w:t>Article VI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7"/>
              </w:rPr>
              <w:t>NEGATIVE AND FINANCIAL COVENANTS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6.01. Restricted Payments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16"/>
        </w:trPr>
        <w:tc>
          <w:tcPr>
            <w:tcW w:w="76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 6.02. Restrictions on Ability of Restricted Subsidiaries to Pay Dividends</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147</w:t>
            </w:r>
          </w:p>
        </w:tc>
        <w:tc>
          <w:tcPr>
            <w:tcW w:w="0" w:type="dxa"/>
            <w:vAlign w:val="bottom"/>
          </w:tcPr>
          <w:p>
            <w:pPr>
              <w:spacing w:after="0"/>
              <w:rPr>
                <w:sz w:val="1"/>
                <w:szCs w:val="1"/>
                <w:color w:val="auto"/>
              </w:rPr>
            </w:pPr>
          </w:p>
        </w:tc>
      </w:tr>
      <w:tr>
        <w:trPr>
          <w:trHeight w:val="270"/>
        </w:trPr>
        <w:tc>
          <w:tcPr>
            <w:tcW w:w="762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and Make Certain Other Payments</w:t>
            </w:r>
          </w:p>
        </w:tc>
        <w:tc>
          <w:tcPr>
            <w:tcW w:w="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6.03. [Reserved]</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6.04. Disposition of Collateral</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6.05. Transactions with Affiliates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6.06. Liens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6.07. Business Activities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6.08. Liquidity</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6.09. Collateral Coverage Ratio</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6.10. Merger, Consolidation, or Sale of Assets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w:t>
            </w:r>
          </w:p>
        </w:tc>
        <w:tc>
          <w:tcPr>
            <w:tcW w:w="0" w:type="dxa"/>
            <w:vAlign w:val="bottom"/>
          </w:tcPr>
          <w:p>
            <w:pPr>
              <w:spacing w:after="0"/>
              <w:rPr>
                <w:sz w:val="1"/>
                <w:szCs w:val="1"/>
                <w:color w:val="auto"/>
              </w:rPr>
            </w:pPr>
          </w:p>
        </w:tc>
      </w:t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6.11. Sanctions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c>
          <w:tcPr>
            <w:tcW w:w="0" w:type="dxa"/>
            <w:vAlign w:val="bottom"/>
          </w:tcPr>
          <w:p>
            <w:pPr>
              <w:spacing w:after="0"/>
              <w:rPr>
                <w:sz w:val="1"/>
                <w:szCs w:val="1"/>
                <w:color w:val="auto"/>
              </w:rPr>
            </w:pPr>
          </w:p>
        </w:tc>
      </w:tr>
      <w:tr>
        <w:trPr>
          <w:trHeight w:val="540"/>
        </w:trPr>
        <w:tc>
          <w:tcPr>
            <w:tcW w:w="762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8"/>
              </w:rPr>
              <w:t>Article VII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6"/>
              </w:rPr>
              <w:t>EVENTS OF DEFAULT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7.01. Events of Default</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c>
          <w:tcPr>
            <w:tcW w:w="0" w:type="dxa"/>
            <w:vAlign w:val="bottom"/>
          </w:tcPr>
          <w:p>
            <w:pPr>
              <w:spacing w:after="0"/>
              <w:rPr>
                <w:sz w:val="1"/>
                <w:szCs w:val="1"/>
                <w:color w:val="auto"/>
              </w:rPr>
            </w:pPr>
          </w:p>
        </w:tc>
      </w:tr>
      <w:tr>
        <w:trPr>
          <w:trHeight w:val="540"/>
        </w:trPr>
        <w:tc>
          <w:tcPr>
            <w:tcW w:w="762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7"/>
              </w:rPr>
              <w:t>Article VIII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20" w:type="dxa"/>
            <w:vAlign w:val="bottom"/>
          </w:tcPr>
          <w:p>
            <w:pPr>
              <w:jc w:val="center"/>
              <w:ind w:left="512"/>
              <w:spacing w:after="0"/>
              <w:rPr>
                <w:sz w:val="20"/>
                <w:szCs w:val="20"/>
                <w:color w:val="auto"/>
              </w:rPr>
            </w:pPr>
            <w:r>
              <w:rPr>
                <w:rFonts w:ascii="Times New Roman" w:cs="Times New Roman" w:eastAsia="Times New Roman" w:hAnsi="Times New Roman"/>
                <w:sz w:val="22"/>
                <w:szCs w:val="22"/>
                <w:color w:val="auto"/>
                <w:w w:val="97"/>
              </w:rPr>
              <w:t>THE AGENTS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8.01. Administration by Agents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8.02. Rights of Agents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8.03. Liability of Agents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8.04. Reimbursement and Indemnification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8.05. Successor Agents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8.06. Independent Lenders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8.07. Advances and Payments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8.08. Sharing of Setoffs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8.09. Withholding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8.10. Appointment by Secured Parties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8.11. Delivery of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c>
          <w:tcPr>
            <w:tcW w:w="0" w:type="dxa"/>
            <w:vAlign w:val="bottom"/>
          </w:tcPr>
          <w:p>
            <w:pPr>
              <w:spacing w:after="0"/>
              <w:rPr>
                <w:sz w:val="1"/>
                <w:szCs w:val="1"/>
                <w:color w:val="auto"/>
              </w:rPr>
            </w:pPr>
          </w:p>
        </w:tc>
      </w:t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SECTION 8.12. Erroneous Payment</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139"/>
          </w:cols>
          <w:pgMar w:left="320" w:top="1440"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(South America) - Exhibit A to Ninth Amendment (Conformed Credit Agreement)</w:t>
      </w:r>
      <w:r>
        <w:rPr>
          <w:rFonts w:ascii="Arial" w:cs="Arial" w:eastAsia="Arial" w:hAnsi="Arial"/>
          <w:sz w:val="15"/>
          <w:szCs w:val="15"/>
          <w:b w:val="1"/>
          <w:bCs w:val="1"/>
          <w:u w:val="single" w:color="auto"/>
          <w:color w:val="0000FF"/>
        </w:rPr>
        <w:t>#4866-6658-3746v3</w:t>
      </w:r>
    </w:p>
    <w:p>
      <w:pPr>
        <w:sectPr>
          <w:pgSz w:w="11900" w:h="16838" w:orient="portrait"/>
          <w:cols w:equalWidth="0" w:num="1">
            <w:col w:w="10139"/>
          </w:cols>
          <w:pgMar w:left="320" w:top="1440" w:right="1440" w:bottom="1440" w:gutter="0" w:footer="0" w:header="0"/>
          <w:type w:val="continuous"/>
        </w:sectPr>
      </w:pPr>
    </w:p>
    <w:bookmarkStart w:id="145" w:name="page146"/>
    <w:bookmarkEnd w:id="145"/>
    <w:p>
      <w:pPr>
        <w:spacing w:after="0" w:line="279"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22"/>
          <w:szCs w:val="22"/>
          <w:color w:val="auto"/>
        </w:rPr>
        <w:t>Article IX</w:t>
      </w:r>
    </w:p>
    <w:p>
      <w:pPr>
        <w:spacing w:after="0" w:line="44"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22"/>
          <w:szCs w:val="22"/>
          <w:color w:val="auto"/>
        </w:rPr>
        <w:t>GUARANTY</w:t>
      </w:r>
    </w:p>
    <w:p>
      <w:pPr>
        <w:spacing w:after="0" w:line="247" w:lineRule="exact"/>
        <w:rPr>
          <w:sz w:val="20"/>
          <w:szCs w:val="20"/>
          <w:color w:val="auto"/>
        </w:rPr>
      </w:pPr>
    </w:p>
    <w:tbl>
      <w:tblPr>
        <w:tblLayout w:type="fixed"/>
        <w:tblInd w:w="240" w:type="dxa"/>
        <w:tblCellMar>
          <w:top w:w="0" w:type="dxa"/>
          <w:left w:w="0" w:type="dxa"/>
          <w:bottom w:w="0" w:type="dxa"/>
          <w:right w:w="0" w:type="dxa"/>
        </w:tblCellMar>
      </w:tblPr>
      <w:tr>
        <w:trPr>
          <w:trHeight w:val="270"/>
        </w:trPr>
        <w:tc>
          <w:tcPr>
            <w:tcW w:w="7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9.01. Guaranty</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9.02. Right of Contribution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w:t>
            </w:r>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9.03. Continuation and Reinstatement, etc</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w:t>
            </w:r>
          </w:p>
        </w:tc>
        <w:tc>
          <w:tcPr>
            <w:tcW w:w="0" w:type="dxa"/>
            <w:vAlign w:val="bottom"/>
          </w:tcPr>
          <w:p>
            <w:pPr>
              <w:spacing w:after="0"/>
              <w:rPr>
                <w:sz w:val="1"/>
                <w:szCs w:val="1"/>
                <w:color w:val="auto"/>
              </w:rPr>
            </w:pPr>
          </w:p>
        </w:tc>
      </w:tr>
      <w:tr>
        <w:trPr>
          <w:trHeight w:val="270"/>
        </w:trPr>
        <w:tc>
          <w:tcPr>
            <w:tcW w:w="7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9.04. Subrogation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w:t>
            </w:r>
          </w:p>
        </w:tc>
        <w:tc>
          <w:tcPr>
            <w:tcW w:w="0" w:type="dxa"/>
            <w:vAlign w:val="bottom"/>
          </w:tcPr>
          <w:p>
            <w:pPr>
              <w:spacing w:after="0"/>
              <w:rPr>
                <w:sz w:val="1"/>
                <w:szCs w:val="1"/>
                <w:color w:val="auto"/>
              </w:rPr>
            </w:pPr>
          </w:p>
        </w:tc>
      </w:tr>
      <w:tr>
        <w:trPr>
          <w:trHeight w:val="282"/>
        </w:trPr>
        <w:tc>
          <w:tcPr>
            <w:tcW w:w="7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9.05. Discharge of Guaranty</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w:t>
            </w:r>
          </w:p>
        </w:tc>
        <w:tc>
          <w:tcPr>
            <w:tcW w:w="0" w:type="dxa"/>
            <w:vAlign w:val="bottom"/>
          </w:tcPr>
          <w:p>
            <w:pPr>
              <w:spacing w:after="0"/>
              <w:rPr>
                <w:sz w:val="1"/>
                <w:szCs w:val="1"/>
                <w:color w:val="auto"/>
              </w:rPr>
            </w:pPr>
          </w:p>
        </w:tc>
      </w:tr>
      <w:tr>
        <w:trPr>
          <w:trHeight w:val="540"/>
        </w:trPr>
        <w:tc>
          <w:tcPr>
            <w:tcW w:w="1220" w:type="dxa"/>
            <w:vAlign w:val="bottom"/>
          </w:tcPr>
          <w:p>
            <w:pPr>
              <w:spacing w:after="0"/>
              <w:rPr>
                <w:sz w:val="24"/>
                <w:szCs w:val="24"/>
                <w:color w:val="auto"/>
              </w:rPr>
            </w:pPr>
          </w:p>
        </w:tc>
        <w:tc>
          <w:tcPr>
            <w:tcW w:w="62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Article X</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4"/>
                <w:szCs w:val="24"/>
                <w:color w:val="auto"/>
              </w:rPr>
            </w:pPr>
          </w:p>
        </w:tc>
        <w:tc>
          <w:tcPr>
            <w:tcW w:w="628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MISCELLANEOUS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Notices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172</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10.01.</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Successors and Assigns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174</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10.02.</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Confidentiality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181</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10.03.</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Expenses; Indemnity; Damage Waiver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182</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10.04.</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185</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10.05.</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No Waiver</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186</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10.06.</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Extension of Maturity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186</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10.07.</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Amendments, etc</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186</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10.08.</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Severability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190</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10.09.</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Headings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191</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10.10.</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Survival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191</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10.11.</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Execution in Counterparts; Integration; Effectiveness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191</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10.12.</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USA Patriot Act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191</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10.13.</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New Value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192</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10.14.</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WAIVER OF JURY TRIAL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192</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10.15.</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No Fiduciary Duty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192</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10.16.</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Lender Action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193</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10.17.</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Intercreditor Agreements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193</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10.18.</w:t>
            </w:r>
          </w:p>
        </w:tc>
        <w:tc>
          <w:tcPr>
            <w:tcW w:w="6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Acknowledgement and Consent to Bail-In of Affected Financial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193</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10.19.</w:t>
            </w:r>
          </w:p>
        </w:tc>
        <w:tc>
          <w:tcPr>
            <w:tcW w:w="6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Institutions</w:t>
            </w: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w:t>
            </w:r>
          </w:p>
        </w:tc>
        <w:tc>
          <w:tcPr>
            <w:tcW w:w="62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194</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10.20.</w:t>
            </w:r>
          </w:p>
        </w:tc>
        <w:tc>
          <w:tcPr>
            <w:tcW w:w="62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40" w:right="1440" w:bottom="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(South America) - Exhibit A to Ninth Amendment (Conformed Credit Agreement)</w:t>
      </w:r>
      <w:r>
        <w:rPr>
          <w:rFonts w:ascii="Arial" w:cs="Arial" w:eastAsia="Arial" w:hAnsi="Arial"/>
          <w:sz w:val="15"/>
          <w:szCs w:val="15"/>
          <w:b w:val="1"/>
          <w:bCs w:val="1"/>
          <w:u w:val="single" w:color="auto"/>
          <w:color w:val="0000FF"/>
        </w:rPr>
        <w:t>#4866-6658-3746v3</w:t>
      </w:r>
    </w:p>
    <w:p>
      <w:pPr>
        <w:sectPr>
          <w:pgSz w:w="11900" w:h="16838" w:orient="portrait"/>
          <w:cols w:equalWidth="0" w:num="1">
            <w:col w:w="10139"/>
          </w:cols>
          <w:pgMar w:left="320" w:top="1440" w:right="1440" w:bottom="0" w:gutter="0" w:footer="0" w:header="0"/>
          <w:type w:val="continuous"/>
        </w:sectPr>
      </w:pPr>
    </w:p>
    <w:bookmarkStart w:id="146" w:name="page147"/>
    <w:bookmarkEnd w:id="146"/>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color w:val="auto"/>
        </w:rPr>
        <w:t>INDEX OF APPENDICES</w:t>
      </w:r>
    </w:p>
    <w:p>
      <w:pPr>
        <w:spacing w:after="0" w:line="237"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ANNEX A –</w:t>
      </w:r>
      <w:r>
        <w:rPr>
          <w:sz w:val="20"/>
          <w:szCs w:val="20"/>
          <w:color w:val="auto"/>
        </w:rPr>
        <w:tab/>
      </w:r>
      <w:r>
        <w:rPr>
          <w:rFonts w:ascii="Times New Roman" w:cs="Times New Roman" w:eastAsia="Times New Roman" w:hAnsi="Times New Roman"/>
          <w:sz w:val="21"/>
          <w:szCs w:val="21"/>
          <w:color w:val="auto"/>
        </w:rPr>
        <w:t>Lenders and Commitments</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A-1 –</w:t>
      </w:r>
      <w:r>
        <w:rPr>
          <w:sz w:val="20"/>
          <w:szCs w:val="20"/>
          <w:color w:val="auto"/>
        </w:rPr>
        <w:tab/>
      </w:r>
      <w:r>
        <w:rPr>
          <w:rFonts w:ascii="Times New Roman" w:cs="Times New Roman" w:eastAsia="Times New Roman" w:hAnsi="Times New Roman"/>
          <w:sz w:val="21"/>
          <w:szCs w:val="21"/>
          <w:color w:val="auto"/>
        </w:rPr>
        <w:t>Form of SGR Security Agreement</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A-2 –</w:t>
      </w:r>
      <w:r>
        <w:rPr>
          <w:sz w:val="20"/>
          <w:szCs w:val="20"/>
          <w:color w:val="auto"/>
        </w:rPr>
        <w:tab/>
      </w:r>
      <w:r>
        <w:rPr>
          <w:rFonts w:ascii="Times New Roman" w:cs="Times New Roman" w:eastAsia="Times New Roman" w:hAnsi="Times New Roman"/>
          <w:sz w:val="21"/>
          <w:szCs w:val="21"/>
          <w:color w:val="auto"/>
        </w:rPr>
        <w:t>Form of UK Debenture</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B –</w:t>
      </w:r>
      <w:r>
        <w:rPr>
          <w:sz w:val="20"/>
          <w:szCs w:val="20"/>
          <w:color w:val="auto"/>
        </w:rPr>
        <w:tab/>
      </w:r>
      <w:r>
        <w:rPr>
          <w:rFonts w:ascii="Times New Roman" w:cs="Times New Roman" w:eastAsia="Times New Roman" w:hAnsi="Times New Roman"/>
          <w:sz w:val="21"/>
          <w:szCs w:val="21"/>
          <w:color w:val="auto"/>
        </w:rPr>
        <w:t>Form of Instrument of Assumption and Joinder</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C –</w:t>
      </w:r>
      <w:r>
        <w:rPr>
          <w:sz w:val="20"/>
          <w:szCs w:val="20"/>
          <w:color w:val="auto"/>
        </w:rPr>
        <w:tab/>
      </w:r>
      <w:r>
        <w:rPr>
          <w:rFonts w:ascii="Times New Roman" w:cs="Times New Roman" w:eastAsia="Times New Roman" w:hAnsi="Times New Roman"/>
          <w:sz w:val="21"/>
          <w:szCs w:val="21"/>
          <w:color w:val="auto"/>
        </w:rPr>
        <w:t>Form of Assignment and Acceptance</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D-1 –</w:t>
      </w:r>
      <w:r>
        <w:rPr>
          <w:sz w:val="20"/>
          <w:szCs w:val="20"/>
          <w:color w:val="auto"/>
        </w:rPr>
        <w:tab/>
      </w:r>
      <w:r>
        <w:rPr>
          <w:rFonts w:ascii="Times New Roman" w:cs="Times New Roman" w:eastAsia="Times New Roman" w:hAnsi="Times New Roman"/>
          <w:sz w:val="21"/>
          <w:szCs w:val="21"/>
          <w:color w:val="auto"/>
        </w:rPr>
        <w:t>Form of Loan Request</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D-2 –</w:t>
      </w:r>
      <w:r>
        <w:rPr>
          <w:sz w:val="20"/>
          <w:szCs w:val="20"/>
          <w:color w:val="auto"/>
        </w:rPr>
        <w:tab/>
      </w:r>
      <w:r>
        <w:rPr>
          <w:rFonts w:ascii="Times New Roman" w:cs="Times New Roman" w:eastAsia="Times New Roman" w:hAnsi="Times New Roman"/>
          <w:sz w:val="21"/>
          <w:szCs w:val="21"/>
          <w:color w:val="auto"/>
        </w:rPr>
        <w:t>Form of Letter of Credit Request</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E –</w:t>
      </w:r>
      <w:r>
        <w:rPr>
          <w:sz w:val="20"/>
          <w:szCs w:val="20"/>
          <w:color w:val="auto"/>
        </w:rPr>
        <w:tab/>
      </w:r>
      <w:r>
        <w:rPr>
          <w:rFonts w:ascii="Times New Roman" w:cs="Times New Roman" w:eastAsia="Times New Roman" w:hAnsi="Times New Roman"/>
          <w:sz w:val="21"/>
          <w:szCs w:val="21"/>
          <w:color w:val="auto"/>
        </w:rPr>
        <w:t>Form of Account Control Agreement</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F –</w:t>
      </w:r>
      <w:r>
        <w:rPr>
          <w:sz w:val="20"/>
          <w:szCs w:val="20"/>
          <w:color w:val="auto"/>
        </w:rPr>
        <w:tab/>
      </w:r>
      <w:r>
        <w:rPr>
          <w:rFonts w:ascii="Times New Roman" w:cs="Times New Roman" w:eastAsia="Times New Roman" w:hAnsi="Times New Roman"/>
          <w:sz w:val="21"/>
          <w:szCs w:val="21"/>
          <w:color w:val="auto"/>
        </w:rPr>
        <w:t>Form of Aircraft Security Agreement</w:t>
      </w:r>
    </w:p>
    <w:p>
      <w:pPr>
        <w:spacing w:after="0" w:line="233" w:lineRule="exact"/>
        <w:rPr>
          <w:sz w:val="20"/>
          <w:szCs w:val="20"/>
          <w:color w:val="auto"/>
        </w:rPr>
      </w:pPr>
    </w:p>
    <w:p>
      <w:pPr>
        <w:jc w:val="right"/>
        <w:ind w:right="2879"/>
        <w:spacing w:after="0"/>
        <w:tabs>
          <w:tab w:leader="none" w:pos="4620" w:val="left"/>
        </w:tabs>
        <w:rPr>
          <w:sz w:val="20"/>
          <w:szCs w:val="20"/>
          <w:color w:val="auto"/>
        </w:rPr>
      </w:pPr>
      <w:r>
        <w:rPr>
          <w:rFonts w:ascii="Times New Roman" w:cs="Times New Roman" w:eastAsia="Times New Roman" w:hAnsi="Times New Roman"/>
          <w:sz w:val="22"/>
          <w:szCs w:val="22"/>
          <w:color w:val="auto"/>
        </w:rPr>
        <w:t>EXHIBIT G –</w:t>
      </w:r>
      <w:r>
        <w:rPr>
          <w:sz w:val="20"/>
          <w:szCs w:val="20"/>
          <w:color w:val="auto"/>
        </w:rPr>
        <w:tab/>
      </w:r>
      <w:r>
        <w:rPr>
          <w:rFonts w:ascii="Times New Roman" w:cs="Times New Roman" w:eastAsia="Times New Roman" w:hAnsi="Times New Roman"/>
          <w:sz w:val="21"/>
          <w:szCs w:val="21"/>
          <w:color w:val="auto"/>
        </w:rPr>
        <w:t>Description of Security Agreement for Spare Engines</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H –</w:t>
      </w:r>
      <w:r>
        <w:rPr>
          <w:sz w:val="20"/>
          <w:szCs w:val="20"/>
          <w:color w:val="auto"/>
        </w:rPr>
        <w:tab/>
      </w:r>
      <w:r>
        <w:rPr>
          <w:rFonts w:ascii="Times New Roman" w:cs="Times New Roman" w:eastAsia="Times New Roman" w:hAnsi="Times New Roman"/>
          <w:sz w:val="21"/>
          <w:szCs w:val="21"/>
          <w:color w:val="auto"/>
        </w:rPr>
        <w:t>Form of Collateral Coverage Ratio Certificate</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EXHIBIT I –</w:t>
      </w:r>
      <w:r>
        <w:rPr>
          <w:sz w:val="20"/>
          <w:szCs w:val="20"/>
          <w:color w:val="auto"/>
        </w:rPr>
        <w:tab/>
      </w:r>
      <w:r>
        <w:rPr>
          <w:rFonts w:ascii="Times New Roman" w:cs="Times New Roman" w:eastAsia="Times New Roman" w:hAnsi="Times New Roman"/>
          <w:sz w:val="21"/>
          <w:szCs w:val="21"/>
          <w:color w:val="auto"/>
        </w:rPr>
        <w:t>Form of Intercreditor Agreement</w:t>
      </w:r>
    </w:p>
    <w:p>
      <w:pPr>
        <w:spacing w:after="0" w:line="233" w:lineRule="exact"/>
        <w:rPr>
          <w:sz w:val="20"/>
          <w:szCs w:val="20"/>
          <w:color w:val="auto"/>
        </w:rPr>
      </w:pPr>
    </w:p>
    <w:p>
      <w:pPr>
        <w:ind w:left="860"/>
        <w:spacing w:after="0"/>
        <w:tabs>
          <w:tab w:leader="none" w:pos="2600" w:val="left"/>
        </w:tabs>
        <w:rPr>
          <w:sz w:val="20"/>
          <w:szCs w:val="20"/>
          <w:color w:val="auto"/>
        </w:rPr>
      </w:pPr>
      <w:r>
        <w:rPr>
          <w:rFonts w:ascii="Times New Roman" w:cs="Times New Roman" w:eastAsia="Times New Roman" w:hAnsi="Times New Roman"/>
          <w:sz w:val="22"/>
          <w:szCs w:val="22"/>
          <w:color w:val="auto"/>
        </w:rPr>
        <w:t>SCHEDULE 3.06</w:t>
      </w:r>
      <w:r>
        <w:rPr>
          <w:sz w:val="20"/>
          <w:szCs w:val="20"/>
          <w:color w:val="auto"/>
        </w:rPr>
        <w:tab/>
      </w:r>
      <w:r>
        <w:rPr>
          <w:rFonts w:ascii="Times New Roman" w:cs="Times New Roman" w:eastAsia="Times New Roman" w:hAnsi="Times New Roman"/>
          <w:sz w:val="21"/>
          <w:szCs w:val="2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(South America) - Exhibit A to Ninth Amendment (Conformed Credit Agreement)</w:t>
      </w:r>
      <w:r>
        <w:rPr>
          <w:rFonts w:ascii="Arial" w:cs="Arial" w:eastAsia="Arial" w:hAnsi="Arial"/>
          <w:sz w:val="15"/>
          <w:szCs w:val="15"/>
          <w:b w:val="1"/>
          <w:bCs w:val="1"/>
          <w:u w:val="single" w:color="auto"/>
          <w:color w:val="0000FF"/>
        </w:rPr>
        <w:t>#4866-6658-3746v3</w:t>
      </w:r>
    </w:p>
    <w:p>
      <w:pPr>
        <w:sectPr>
          <w:pgSz w:w="11900" w:h="16838" w:orient="portrait"/>
          <w:cols w:equalWidth="0" w:num="1">
            <w:col w:w="10139"/>
          </w:cols>
          <w:pgMar w:left="320" w:top="1440" w:right="1440" w:bottom="1440" w:gutter="0" w:footer="0" w:header="0"/>
        </w:sectPr>
      </w:pPr>
    </w:p>
    <w:bookmarkStart w:id="147" w:name="page148"/>
    <w:bookmarkEnd w:id="147"/>
    <w:p>
      <w:pPr>
        <w:spacing w:after="0" w:line="200" w:lineRule="exact"/>
        <w:rPr>
          <w:sz w:val="20"/>
          <w:szCs w:val="20"/>
          <w:color w:val="auto"/>
        </w:rPr>
      </w:pPr>
    </w:p>
    <w:p>
      <w:pPr>
        <w:spacing w:after="0" w:line="32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AMENDED AND RESTATED CREDIT AND GUARANTY AGREEMENT, dated as of May 21, 2015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AMERICAN AIRLINES,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AMERICAN AIRLINES GROUP INC. (formerly known as AMR CORPORATION), a Delaware corporation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the direct and indirect Domestic Subsidiaries of Parent from time to time party hereto other than the Borrower, the Lenders (as defined below), BARCLAYS BANK PLC, as administrative agent for the Lenders (together with its permitted successors in such capacity, the “</w:t>
      </w:r>
      <w:r>
        <w:rPr>
          <w:rFonts w:ascii="Times New Roman" w:cs="Times New Roman" w:eastAsia="Times New Roman" w:hAnsi="Times New Roman"/>
          <w:sz w:val="22"/>
          <w:szCs w:val="22"/>
          <w:i w:val="1"/>
          <w:iCs w:val="1"/>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as collateral agent (in such capacity, the “</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and as an issuing lender (in such capacity, an “</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BARCLAYS BANK PLC and GOLDMAN SACHS BANK USA, as joint structuring agents, BARCLAYS BANK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PLC and GOLDMAN SACHS BANK USA, as joint lead arrangers and bookrunners (collectively, the “</w:t>
      </w:r>
      <w:r>
        <w:rPr>
          <w:rFonts w:ascii="Times New Roman" w:cs="Times New Roman" w:eastAsia="Times New Roman" w:hAnsi="Times New Roman"/>
          <w:sz w:val="22"/>
          <w:szCs w:val="22"/>
          <w:i w:val="1"/>
          <w:iCs w:val="1"/>
          <w:color w:val="auto"/>
        </w:rPr>
        <w:t>Joint Lead Arrangers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Bookrunners</w:t>
      </w:r>
      <w:r>
        <w:rPr>
          <w:rFonts w:ascii="Times New Roman" w:cs="Times New Roman" w:eastAsia="Times New Roman" w:hAnsi="Times New Roman"/>
          <w:sz w:val="22"/>
          <w:szCs w:val="22"/>
          <w:color w:val="auto"/>
        </w:rPr>
        <w:t>”), and BOFA SECURITIES, INC., CITIBANK, N.A., CREDIT SUISSE LOAN FUNDING LLC, DEUTSCHE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SECURITIES INC., ICBC STANDARD BANK PLC, JPMORGAN CHASE BANK, N.A., MORGAN STANLEY SENIOR FUNDING, INC., SUMITOMO MITSUI BANKING CORPORATION, BNP PARIBAS SECURITIES CORP., CREDIT AGRICOLE CORPORATE AND INVESTMENT BANK, HSBC SECURITIES (USA) INC., MUFG BANK, LTD., STANDARD CHARTERED BANK, U.S. BANK NATIONAL ASSOCIATION, and BOKF, NA dba BANK OF TEXAS, as joint bookrunners (collectively, the “</w:t>
      </w:r>
      <w:r>
        <w:rPr>
          <w:rFonts w:ascii="Times New Roman" w:cs="Times New Roman" w:eastAsia="Times New Roman" w:hAnsi="Times New Roman"/>
          <w:sz w:val="22"/>
          <w:szCs w:val="22"/>
          <w:i w:val="1"/>
          <w:iCs w:val="1"/>
          <w:color w:val="auto"/>
        </w:rPr>
        <w:t>Joint Bookrunners</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INTRODUCTORY STATEMENT</w:t>
      </w:r>
    </w:p>
    <w:p>
      <w:pPr>
        <w:spacing w:after="0" w:line="22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Borrower, Parent and each other Guarantor, the Administrative Agent and Collateral Agent and the lenders party thereto were parties to the Credit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Pursuant to the Seventh Amendment, the Credit Agreement was amended and restated in its entirety.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proceeds of the Loans may be used for general corporate purposes.</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w:t>
      </w:r>
    </w:p>
    <w:p>
      <w:pPr>
        <w:spacing w:after="0" w:line="179" w:lineRule="exact"/>
        <w:rPr>
          <w:sz w:val="20"/>
          <w:szCs w:val="20"/>
          <w:color w:val="auto"/>
        </w:rPr>
      </w:pPr>
    </w:p>
    <w:p>
      <w:pPr>
        <w:ind w:left="660" w:firstLine="644"/>
        <w:spacing w:after="0" w:line="284" w:lineRule="auto"/>
        <w:tabs>
          <w:tab w:leader="none" w:pos="179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guaranty from each Guarantor of the due and punctual payment and performance of the Obligations of the Borrower pursuant to Article IX; and</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1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interest with respect to the Collateral from the Borrower and each other Grantor (if any) pursuant to the Collateral Documents.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(South America) - Exhibit A to Ninth Amendment (Conformed Credit Agreement)</w:t>
      </w:r>
      <w:r>
        <w:rPr>
          <w:rFonts w:ascii="Arial" w:cs="Arial" w:eastAsia="Arial" w:hAnsi="Arial"/>
          <w:sz w:val="15"/>
          <w:szCs w:val="15"/>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b w:val="1"/>
          <w:bCs w:val="1"/>
          <w:i w:val="1"/>
          <w:iCs w:val="1"/>
          <w:color w:val="FF0000"/>
          <w:strike w:val="1"/>
        </w:rPr>
        <w:t>2023 Incremental Revolving Commitments</w:t>
      </w:r>
      <w:r>
        <w:rPr>
          <w:rFonts w:ascii="Times New Roman" w:cs="Times New Roman" w:eastAsia="Times New Roman" w:hAnsi="Times New Roman"/>
          <w:sz w:val="22"/>
          <w:szCs w:val="22"/>
          <w:b w:val="1"/>
          <w:bCs w:val="1"/>
          <w:color w:val="FF0000"/>
          <w:strike w:val="1"/>
        </w:rPr>
        <w:t>” shall mean the Revolving Commitments of the 2023 Incremental Revolving Lenders to make the Revolving Loans.</w:t>
      </w:r>
    </w:p>
    <w:p>
      <w:pPr>
        <w:spacing w:after="0" w:line="14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b w:val="1"/>
          <w:bCs w:val="1"/>
          <w:i w:val="1"/>
          <w:iCs w:val="1"/>
          <w:color w:val="FF0000"/>
          <w:strike w:val="1"/>
        </w:rPr>
        <w:t>2023 Incremental Revolving Lender</w:t>
      </w:r>
      <w:r>
        <w:rPr>
          <w:rFonts w:ascii="Times New Roman" w:cs="Times New Roman" w:eastAsia="Times New Roman" w:hAnsi="Times New Roman"/>
          <w:sz w:val="22"/>
          <w:szCs w:val="22"/>
          <w:b w:val="1"/>
          <w:bCs w:val="1"/>
          <w:color w:val="FF0000"/>
          <w:strike w:val="1"/>
        </w:rPr>
        <w:t>” shall mean each Lender having a 2023 Incremental Revolving Commitment, including any Revolving Lender with Existing Revolving Commitments that has agreed after the Eighth Amendment Effective Date to become a “2023 Incremental Revolving Lender” (which agreement shall be in form and substance reasonably satisfactory to the Borrower and the Administrative Agent).</w:t>
      </w:r>
    </w:p>
    <w:p>
      <w:pPr>
        <w:spacing w:after="0" w:line="17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2023 Secured Notes</w:t>
      </w:r>
      <w:r>
        <w:rPr>
          <w:rFonts w:ascii="Times New Roman" w:cs="Times New Roman" w:eastAsia="Times New Roman" w:hAnsi="Times New Roman"/>
          <w:sz w:val="22"/>
          <w:szCs w:val="22"/>
          <w:color w:val="auto"/>
        </w:rPr>
        <w:t>” means the 7.25% secured senior notes of the Borrower due 2028 in an original aggregate principal amount of $750,000,000.00 issued on the Seventh Amendment Effective Date pursuant to that certain Indenture, dated as of the Seventh Amendment Effective Date, among the Borrower, as issuer, the guarantors party thereto and Wilmington Trust, National Association, as trustee and collateral agent, together with all instruments and other agreements in connection therewith, in each case, as may be amended, restated, amended and restated, supplemented or otherwise modified from time to time in accordance with the terms thereof.</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2024 Incremental Revolving Commitments</w:t>
      </w:r>
      <w:r>
        <w:rPr>
          <w:rFonts w:ascii="Times New Roman" w:cs="Times New Roman" w:eastAsia="Times New Roman" w:hAnsi="Times New Roman"/>
          <w:sz w:val="22"/>
          <w:szCs w:val="22"/>
          <w:b w:val="1"/>
          <w:bCs w:val="1"/>
          <w:u w:val="single" w:color="auto"/>
          <w:color w:val="0000FF"/>
        </w:rPr>
        <w:t>” shall mean the commitment of each applicable Revolving Lender to make Revolving Loans and participate in Letters of Credit hereunder in an aggregate principal and/or face amount not to exceed the amount set forth under the heading “2024 Incremental Revolving Commitments” opposite its name in Annex A hereto or in the Assignment and Acceptance pursuant to which such Revolving Lender became a party 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2024 Incremental Revolving Lenders</w:t>
      </w:r>
      <w:r>
        <w:rPr>
          <w:rFonts w:ascii="Times New Roman" w:cs="Times New Roman" w:eastAsia="Times New Roman" w:hAnsi="Times New Roman"/>
          <w:sz w:val="22"/>
          <w:szCs w:val="22"/>
          <w:b w:val="1"/>
          <w:bCs w:val="1"/>
          <w:u w:val="single" w:color="auto"/>
          <w:color w:val="0000FF"/>
        </w:rPr>
        <w:t>” shall mean each Lender having a 2024 Incremental Revolving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Commitment.</w:t>
      </w:r>
    </w:p>
    <w:p>
      <w:pPr>
        <w:spacing w:after="0" w:line="192"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31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 shall mean all “accounts” as defined in the UCC, and all rights to payment for interest (other than with respect to debt and credit card receivables).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 Collateral</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 Control Agreements</w:t>
      </w:r>
      <w:r>
        <w:rPr>
          <w:rFonts w:ascii="Times New Roman" w:cs="Times New Roman" w:eastAsia="Times New Roman" w:hAnsi="Times New Roman"/>
          <w:sz w:val="22"/>
          <w:szCs w:val="22"/>
          <w:color w:val="auto"/>
        </w:rPr>
        <w:t>” shall mean (a) an account control agreement in the form of Exhibit E hereto with such changes as the Administrative Agent and the Borrower shall agree and (b) each other three-party security and control agreement entered into by any Grantor, the Collateral Agent and a financial institution which maintains one or more deposit accounts or securities accounts that have been pledged to the Collateral Agent as Collateral hereunder or under any other Loan Document, in each case giving the Collateral Agent exclusive control over the applicable account and in form and substance reasonably satisfactory to the Administrative Agent.</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Collateral</w:t>
      </w:r>
      <w:r>
        <w:rPr>
          <w:rFonts w:ascii="Times New Roman" w:cs="Times New Roman" w:eastAsia="Times New Roman" w:hAnsi="Times New Roman"/>
          <w:sz w:val="22"/>
          <w:szCs w:val="22"/>
          <w:color w:val="auto"/>
        </w:rPr>
        <w:t xml:space="preserve">” shall mean (a) cash or Cash Equivalents pledged to the Collateral Agent pursuant to the applicable Collateral Document, (b) Additional Route Authorities, Slots and/or Foreign Gate Leaseholds pledged to the Collateral Agent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Agent pursuant to a security agreement that is usual and customary for a pledge of assets of such types and reasonably acceptable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except to the extent a change in law or circumstance relating to any applicable category of collateral warrants a change in such security agreement, in the reasonable judgment of the Administrative Agent, (d) aircraft or spare engines pledged to a trustee as provided in Section 8.01(d) pursuant to Aircraft Security Agreement(s) or supplement(s) thereto, (e) Ground Service Equipment, Flight Simulators, Spare Parts, QEC Kits or Real Property Assets located in the United States pledged to the Collateral Agent pursuant to security agreement(s) (or mortgage(s) in the case of Real Property Assets) in a form reasonably satisfactory to the Administrative Agent and (f) any other assets acceptable to the Required Lenders that may be appraised pursuant to an Appraisal of the type set forth in clause (3) of the definition thereof pledged to the Collateral Agent pursuant to security agreement(s) or mortgage(s), as applicable, in a form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Route Authority</w:t>
      </w:r>
      <w:r>
        <w:rPr>
          <w:rFonts w:ascii="Times New Roman" w:cs="Times New Roman" w:eastAsia="Times New Roman" w:hAnsi="Times New Roman"/>
          <w:sz w:val="22"/>
          <w:szCs w:val="22"/>
          <w:color w:val="auto"/>
        </w:rPr>
        <w:t>”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w:t>
      </w:r>
    </w:p>
    <w:p>
      <w:pPr>
        <w:spacing w:after="0" w:line="16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Term SOFR</w:t>
      </w:r>
      <w:r>
        <w:rPr>
          <w:rFonts w:ascii="Times New Roman" w:cs="Times New Roman" w:eastAsia="Times New Roman" w:hAnsi="Times New Roman"/>
          <w:sz w:val="22"/>
          <w:szCs w:val="22"/>
          <w:color w:val="auto"/>
        </w:rPr>
        <w:t xml:space="preserve">” shall mean, for purposes of any calculation, the rate per annum equal to (a) Term SOFR for such calculation plus (b) </w:t>
      </w:r>
      <w:r>
        <w:rPr>
          <w:rFonts w:ascii="Times New Roman" w:cs="Times New Roman" w:eastAsia="Times New Roman" w:hAnsi="Times New Roman"/>
          <w:sz w:val="22"/>
          <w:szCs w:val="22"/>
          <w:b w:val="1"/>
          <w:bCs w:val="1"/>
          <w:u w:val="single" w:color="auto"/>
          <w:color w:val="0000FF"/>
        </w:rPr>
        <w:t>solely in the case of Seventh Amendment Extended Term Loans,</w:t>
      </w:r>
      <w:r>
        <w:rPr>
          <w:rFonts w:ascii="Times New Roman" w:cs="Times New Roman" w:eastAsia="Times New Roman" w:hAnsi="Times New Roman"/>
          <w:sz w:val="22"/>
          <w:szCs w:val="22"/>
          <w:color w:val="auto"/>
        </w:rPr>
        <w:t xml:space="preserve"> the SOFR Adjustment; provided that if Adjusted Term SOFR as so determined shall ever be less than the Floor, then Adjusted Term SOFR shall be deemed to be the Floor.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 Transaction</w:t>
      </w:r>
      <w:r>
        <w:rPr>
          <w:rFonts w:ascii="Times New Roman" w:cs="Times New Roman" w:eastAsia="Times New Roman" w:hAnsi="Times New Roman"/>
          <w:sz w:val="22"/>
          <w:szCs w:val="22"/>
          <w:color w:val="auto"/>
        </w:rPr>
        <w:t>” shall have the meaning set forth in Section 6.05(a).</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Agents</w:t>
      </w:r>
      <w:r>
        <w:rPr>
          <w:rFonts w:ascii="Times New Roman" w:cs="Times New Roman" w:eastAsia="Times New Roman" w:hAnsi="Times New Roman"/>
          <w:sz w:val="22"/>
          <w:szCs w:val="22"/>
          <w:color w:val="auto"/>
        </w:rPr>
        <w:t>” shall mean, collectively, the Administrative Agent and the Collateral Agent, and “</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shall mean either one of them.</w:t>
      </w:r>
    </w:p>
    <w:p>
      <w:pPr>
        <w:spacing w:after="0" w:line="14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Exposure</w:t>
      </w:r>
      <w:r>
        <w:rPr>
          <w:rFonts w:ascii="Times New Roman" w:cs="Times New Roman" w:eastAsia="Times New Roman" w:hAnsi="Times New Roman"/>
          <w:sz w:val="22"/>
          <w:szCs w:val="22"/>
          <w:color w:val="auto"/>
        </w:rPr>
        <w:t>”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Revolving Commitment then in effect or, if the Revolving Commitments have been terminated, the amount of such Lender’s Revolving Extensions of Credit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31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Exposure Percentage</w:t>
      </w:r>
      <w:r>
        <w:rPr>
          <w:rFonts w:ascii="Times New Roman" w:cs="Times New Roman" w:eastAsia="Times New Roman" w:hAnsi="Times New Roman"/>
          <w:sz w:val="22"/>
          <w:szCs w:val="22"/>
          <w:color w:val="auto"/>
        </w:rPr>
        <w:t>” shall mean, with respect to any Lender at any time, the ratio (expressed as a percentage) of such Lender’s Aggregate Exposure at such time to the Aggregate Exposure of all Lenders at such time.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shall mean this Amended and Restated Credit and Guaranty Agreement.</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Aircraft Related Equipment</w:t>
      </w:r>
      <w:r>
        <w:rPr>
          <w:rFonts w:ascii="Times New Roman" w:cs="Times New Roman" w:eastAsia="Times New Roman" w:hAnsi="Times New Roman"/>
          <w:sz w:val="22"/>
          <w:szCs w:val="22"/>
          <w:color w:val="auto"/>
        </w:rPr>
        <w:t>” shall mean aircraft (including engines, airframes, propellers and appliances), engines, propellers, spare parts, aircraft parts, Flight Simulators and other training devices, QEC Kits, passenger loading bridges, other flight or Ground Service Equipment.</w:t>
      </w:r>
    </w:p>
    <w:p>
      <w:pPr>
        <w:spacing w:after="0" w:line="16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Aircraft Security Agreement</w:t>
      </w:r>
      <w:r>
        <w:rPr>
          <w:rFonts w:ascii="Times New Roman" w:cs="Times New Roman" w:eastAsia="Times New Roman" w:hAnsi="Times New Roman"/>
          <w:sz w:val="22"/>
          <w:szCs w:val="22"/>
          <w:color w:val="auto"/>
        </w:rPr>
        <w:t>”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 to conform such form of aircraft security agreement to the description of terms of the security agreement applicable to spare engines in Exhibit G and (y) such other changes proposed by the Borrower and reasonably acceptable to the Administrative 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Airline/Parent Merger</w:t>
      </w:r>
      <w:r>
        <w:rPr>
          <w:rFonts w:ascii="Times New Roman" w:cs="Times New Roman" w:eastAsia="Times New Roman" w:hAnsi="Times New Roman"/>
          <w:sz w:val="22"/>
          <w:szCs w:val="22"/>
          <w:color w:val="auto"/>
        </w:rPr>
        <w:t>” shall mean the merger or consolidation, if any, of Parent with any Subsidiary of Parent.</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Airlines Merger</w:t>
      </w:r>
      <w:r>
        <w:rPr>
          <w:rFonts w:ascii="Times New Roman" w:cs="Times New Roman" w:eastAsia="Times New Roman" w:hAnsi="Times New Roman"/>
          <w:sz w:val="22"/>
          <w:szCs w:val="22"/>
          <w:color w:val="auto"/>
        </w:rPr>
        <w:t>” shall mean the merger, asset transfer, consolidation or any similar transaction involving one or more airline Subsidiaries of Parent (including, without limitation, any such transaction that results in such Subsidiaries operating under a single operating certificate).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Airport Authority</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AISI”</w:t>
      </w:r>
      <w:r>
        <w:rPr>
          <w:rFonts w:ascii="Times New Roman" w:cs="Times New Roman" w:eastAsia="Times New Roman" w:hAnsi="Times New Roman"/>
          <w:sz w:val="22"/>
          <w:szCs w:val="22"/>
          <w:color w:val="auto"/>
        </w:rPr>
        <w:t xml:space="preserve"> shall mean Aircraft Information Services, Inc.</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All-In Initial Yield</w:t>
      </w:r>
      <w:r>
        <w:rPr>
          <w:rFonts w:ascii="Times New Roman" w:cs="Times New Roman" w:eastAsia="Times New Roman" w:hAnsi="Times New Roman"/>
          <w:sz w:val="22"/>
          <w:szCs w:val="22"/>
          <w:color w:val="auto"/>
        </w:rPr>
        <w:t xml:space="preserve">” shall mean with respect to any Class, the initial yield on such Class payable or allocable to all Lenders as determined by the Administrative Agent to be equal to the sum of (x) the margin above the Term SOFR </w:t>
      </w:r>
      <w:r>
        <w:rPr>
          <w:rFonts w:ascii="Times New Roman" w:cs="Times New Roman" w:eastAsia="Times New Roman" w:hAnsi="Times New Roman"/>
          <w:sz w:val="22"/>
          <w:szCs w:val="22"/>
          <w:b w:val="1"/>
          <w:bCs w:val="1"/>
          <w:u w:val="single" w:color="auto"/>
          <w:color w:val="0000FF"/>
        </w:rPr>
        <w:t>Reference</w:t>
      </w:r>
      <w:r>
        <w:rPr>
          <w:rFonts w:ascii="Times New Roman" w:cs="Times New Roman" w:eastAsia="Times New Roman" w:hAnsi="Times New Roman"/>
          <w:sz w:val="22"/>
          <w:szCs w:val="22"/>
          <w:color w:val="auto"/>
        </w:rPr>
        <w:t xml:space="preserve"> Rate on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with such OID being equated to interest based on an assumed four-year life to maturity) and (z) with respect to any Class of Incremental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Loans that contains an interest rate “floor” with respect to the Term SOFR Reference Rate, the amount, if any, by which (1) such Term SOFR </w:t>
      </w:r>
      <w:r>
        <w:rPr>
          <w:rFonts w:ascii="Times New Roman" w:cs="Times New Roman" w:eastAsia="Times New Roman" w:hAnsi="Times New Roman"/>
          <w:sz w:val="22"/>
          <w:szCs w:val="22"/>
          <w:b w:val="1"/>
          <w:bCs w:val="1"/>
          <w:u w:val="single" w:color="auto"/>
          <w:color w:val="0000FF"/>
        </w:rPr>
        <w:t>Reference</w:t>
      </w:r>
      <w:r>
        <w:rPr>
          <w:rFonts w:ascii="Times New Roman" w:cs="Times New Roman" w:eastAsia="Times New Roman" w:hAnsi="Times New Roman"/>
          <w:sz w:val="22"/>
          <w:szCs w:val="22"/>
          <w:color w:val="auto"/>
        </w:rPr>
        <w:t xml:space="preserve"> Rate floor exceeds (2) the Term SOFR Reference Rate floor applicable to the Original Term Loans provided an increase in such floor would cause an increase in the interest rate applicable to the Original Term Loans.</w:t>
      </w:r>
    </w:p>
    <w:p>
      <w:pPr>
        <w:spacing w:after="0" w:line="18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Alternate Base Rate</w:t>
      </w:r>
      <w:r>
        <w:rPr>
          <w:rFonts w:ascii="Times New Roman" w:cs="Times New Roman" w:eastAsia="Times New Roman" w:hAnsi="Times New Roman"/>
          <w:sz w:val="22"/>
          <w:szCs w:val="22"/>
          <w:color w:val="auto"/>
        </w:rPr>
        <w:t>” shall mean, for any day, a rate per annum equal to the greatest of (a) the Prime Rate in effect on such day, (b) the sum of the Federal Funds Effective Rate in effect on such day plus 1/2 of 1% and (c) the sum of the Adjusted Term SOFR for an Interest Period of one month in effect on such day plus 1%. Any change in the Alternate Base Rate due to a change in the Prime Rate, the Federal Funds Effective Rate or the Term SOFR Reference Rate for an Interest Period of one month shall be effective from and including the effective date of such change in the Prime Rate, the Federal Funds Effective Rate or the Term SOFR Reference Rate for an Interest Period of one month, respectively. For the avoidance of doubt, if the Alternate Base Rate as determined pursuant to the foregoing definition shall be less than 1.00%, the Alternate Base Rate shall be deemed to be 1.00% for all purposes of this Agreement.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AMR/US Airways Merger</w:t>
      </w:r>
      <w:r>
        <w:rPr>
          <w:rFonts w:ascii="Times New Roman" w:cs="Times New Roman" w:eastAsia="Times New Roman" w:hAnsi="Times New Roman"/>
          <w:sz w:val="22"/>
          <w:szCs w:val="22"/>
          <w:color w:val="auto"/>
        </w:rPr>
        <w:t>” shall mean the merger contemplated by the AMR/US Airways Merger Agreement.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Merger Agreement</w:t>
      </w:r>
      <w:r>
        <w:rPr>
          <w:rFonts w:ascii="Times New Roman" w:cs="Times New Roman" w:eastAsia="Times New Roman" w:hAnsi="Times New Roman"/>
          <w:sz w:val="22"/>
          <w:szCs w:val="22"/>
          <w:color w:val="auto"/>
        </w:rPr>
        <w:t>” shall mean the Agreement and Plan of Merger, dated as of February 13, 2013, among Parent, AMR Merger Sub, Inc. and US Airways Group, Inc., as amended through December 9, 2013.</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shall have the meaning set forth in Section 3.18.</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shall mean (a) with respect to Revolving Loans, from time to time, the applicable rate set forth in the below table based upon the public corporate rating of Parent from Moody’s and S&amp;P and (b) with respect to the Seventh Amendment Extended Term Loans (i) that are Term SOFR Loans, 2.75% per annum and (ii) that are ABR Loans, 1.75% per annum.</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60" w:type="dxa"/>
            <w:vAlign w:val="bottom"/>
            <w:tcBorders>
              <w:top w:val="single" w:sz="8" w:color="auto"/>
              <w:lef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380" w:type="dxa"/>
            <w:vAlign w:val="bottom"/>
            <w:tcBorders>
              <w:top w:val="single" w:sz="8" w:color="auto"/>
              <w:bottom w:val="single" w:sz="8" w:color="auto"/>
              <w:right w:val="single" w:sz="8" w:color="auto"/>
            </w:tcBorders>
            <w:gridSpan w:val="5"/>
            <w:vMerge w:val="restart"/>
          </w:tcPr>
          <w:p>
            <w:pPr>
              <w:jc w:val="center"/>
              <w:ind w:right="1020"/>
              <w:spacing w:after="0"/>
              <w:rPr>
                <w:sz w:val="20"/>
                <w:szCs w:val="20"/>
                <w:color w:val="auto"/>
              </w:rPr>
            </w:pPr>
            <w:r>
              <w:rPr>
                <w:rFonts w:ascii="Times New Roman" w:cs="Times New Roman" w:eastAsia="Times New Roman" w:hAnsi="Times New Roman"/>
                <w:sz w:val="22"/>
                <w:szCs w:val="22"/>
                <w:b w:val="1"/>
                <w:bCs w:val="1"/>
                <w:color w:val="auto"/>
                <w:w w:val="97"/>
              </w:rPr>
              <w:t>Debt Ratings</w:t>
            </w:r>
          </w:p>
        </w:tc>
        <w:tc>
          <w:tcPr>
            <w:tcW w:w="1200" w:type="dxa"/>
            <w:vAlign w:val="bottom"/>
            <w:tcBorders>
              <w:top w:val="single" w:sz="8" w:color="auto"/>
              <w:bottom w:val="single" w:sz="8" w:color="auto"/>
            </w:tcBorders>
            <w:shd w:val="clear" w:color="auto" w:fill="A6A6A6"/>
          </w:tcPr>
          <w:p>
            <w:pPr>
              <w:spacing w:after="0"/>
              <w:rPr>
                <w:sz w:val="24"/>
                <w:szCs w:val="24"/>
                <w:color w:val="auto"/>
              </w:rPr>
            </w:pPr>
          </w:p>
        </w:tc>
        <w:tc>
          <w:tcPr>
            <w:tcW w:w="600" w:type="dxa"/>
            <w:vAlign w:val="bottom"/>
            <w:tcBorders>
              <w:top w:val="single" w:sz="8" w:color="auto"/>
              <w:bottom w:val="single" w:sz="8" w:color="auto"/>
            </w:tcBorders>
            <w:shd w:val="clear" w:color="auto" w:fill="A6A6A6"/>
          </w:tcPr>
          <w:p>
            <w:pPr>
              <w:spacing w:after="0"/>
              <w:rPr>
                <w:sz w:val="24"/>
                <w:szCs w:val="24"/>
                <w:color w:val="auto"/>
              </w:rPr>
            </w:pPr>
          </w:p>
        </w:tc>
        <w:tc>
          <w:tcPr>
            <w:tcW w:w="4100" w:type="dxa"/>
            <w:vAlign w:val="bottom"/>
            <w:tcBorders>
              <w:top w:val="single" w:sz="8" w:color="auto"/>
              <w:bottom w:val="single" w:sz="8" w:color="auto"/>
              <w:right w:val="single" w:sz="8" w:color="auto"/>
            </w:tcBorders>
            <w:gridSpan w:val="4"/>
            <w:shd w:val="clear" w:color="auto" w:fill="A6A6A6"/>
          </w:tcPr>
          <w:p>
            <w:pPr>
              <w:ind w:left="380"/>
              <w:spacing w:after="0"/>
              <w:rPr>
                <w:sz w:val="20"/>
                <w:szCs w:val="20"/>
                <w:color w:val="auto"/>
              </w:rPr>
            </w:pPr>
            <w:r>
              <w:rPr>
                <w:rFonts w:ascii="Times New Roman" w:cs="Times New Roman" w:eastAsia="Times New Roman" w:hAnsi="Times New Roman"/>
                <w:sz w:val="22"/>
                <w:szCs w:val="22"/>
                <w:b w:val="1"/>
                <w:bCs w:val="1"/>
                <w:color w:val="auto"/>
              </w:rPr>
              <w:t>Revolving Loans</w:t>
            </w:r>
          </w:p>
        </w:tc>
        <w:tc>
          <w:tcPr>
            <w:tcW w:w="0" w:type="dxa"/>
            <w:vAlign w:val="bottom"/>
          </w:tcPr>
          <w:p>
            <w:pPr>
              <w:spacing w:after="0"/>
              <w:rPr>
                <w:sz w:val="1"/>
                <w:szCs w:val="1"/>
                <w:color w:val="auto"/>
              </w:rPr>
            </w:pPr>
          </w:p>
        </w:tc>
      </w:tr>
      <w:tr>
        <w:trPr>
          <w:trHeight w:val="196"/>
        </w:trPr>
        <w:tc>
          <w:tcPr>
            <w:tcW w:w="7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right w:val="single" w:sz="8" w:color="auto"/>
            </w:tcBorders>
            <w:gridSpan w:val="5"/>
            <w:vMerge w:val="continue"/>
          </w:tcPr>
          <w:p>
            <w:pPr>
              <w:spacing w:after="0"/>
              <w:rPr>
                <w:sz w:val="17"/>
                <w:szCs w:val="17"/>
                <w:color w:val="auto"/>
              </w:rPr>
            </w:pPr>
          </w:p>
        </w:tc>
        <w:tc>
          <w:tcPr>
            <w:tcW w:w="3020" w:type="dxa"/>
            <w:vAlign w:val="bottom"/>
            <w:tcBorders>
              <w:right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7"/>
              </w:rPr>
              <w:t>Applicable Rate for Term</w:t>
            </w:r>
          </w:p>
        </w:tc>
        <w:tc>
          <w:tcPr>
            <w:tcW w:w="2880" w:type="dxa"/>
            <w:vAlign w:val="bottom"/>
            <w:tcBorders>
              <w:right w:val="single" w:sz="8" w:color="auto"/>
            </w:tcBorders>
            <w:gridSpan w:val="3"/>
          </w:tcPr>
          <w:p>
            <w:pPr>
              <w:jc w:val="center"/>
              <w:ind w:right="20"/>
              <w:spacing w:after="0" w:line="196" w:lineRule="exact"/>
              <w:rPr>
                <w:sz w:val="20"/>
                <w:szCs w:val="20"/>
                <w:color w:val="auto"/>
              </w:rPr>
            </w:pPr>
            <w:r>
              <w:rPr>
                <w:rFonts w:ascii="Times New Roman" w:cs="Times New Roman" w:eastAsia="Times New Roman" w:hAnsi="Times New Roman"/>
                <w:sz w:val="22"/>
                <w:szCs w:val="22"/>
                <w:b w:val="1"/>
                <w:bCs w:val="1"/>
                <w:color w:val="auto"/>
                <w:w w:val="98"/>
              </w:rPr>
              <w:t>Applicable Rate for Base Rate</w:t>
            </w:r>
          </w:p>
        </w:tc>
        <w:tc>
          <w:tcPr>
            <w:tcW w:w="0" w:type="dxa"/>
            <w:vAlign w:val="bottom"/>
          </w:tcPr>
          <w:p>
            <w:pPr>
              <w:spacing w:after="0"/>
              <w:rPr>
                <w:sz w:val="1"/>
                <w:szCs w:val="1"/>
                <w:color w:val="auto"/>
              </w:rPr>
            </w:pPr>
          </w:p>
        </w:tc>
      </w:tr>
      <w:tr>
        <w:trPr>
          <w:trHeight w:val="239"/>
        </w:trPr>
        <w:tc>
          <w:tcPr>
            <w:tcW w:w="7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Borders>
              <w:right w:val="single" w:sz="8" w:color="auto"/>
            </w:tcBorders>
            <w:gridSpan w:val="5"/>
          </w:tcPr>
          <w:p>
            <w:pPr>
              <w:jc w:val="center"/>
              <w:ind w:right="1020"/>
              <w:spacing w:after="0" w:line="239" w:lineRule="exact"/>
              <w:rPr>
                <w:sz w:val="20"/>
                <w:szCs w:val="20"/>
                <w:color w:val="auto"/>
              </w:rPr>
            </w:pPr>
            <w:r>
              <w:rPr>
                <w:rFonts w:ascii="Times New Roman" w:cs="Times New Roman" w:eastAsia="Times New Roman" w:hAnsi="Times New Roman"/>
                <w:sz w:val="22"/>
                <w:szCs w:val="22"/>
                <w:b w:val="1"/>
                <w:bCs w:val="1"/>
                <w:color w:val="auto"/>
                <w:w w:val="96"/>
              </w:rPr>
              <w:t>(Moody’s/</w:t>
            </w:r>
          </w:p>
        </w:tc>
        <w:tc>
          <w:tcPr>
            <w:tcW w:w="3020" w:type="dxa"/>
            <w:vAlign w:val="bottom"/>
            <w:tcBorders>
              <w:right w:val="single" w:sz="8" w:color="auto"/>
            </w:tcBorders>
            <w:gridSpan w:val="3"/>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SOFR Loans</w:t>
            </w:r>
          </w:p>
        </w:tc>
        <w:tc>
          <w:tcPr>
            <w:tcW w:w="1140" w:type="dxa"/>
            <w:vAlign w:val="bottom"/>
          </w:tcPr>
          <w:p>
            <w:pPr>
              <w:spacing w:after="0"/>
              <w:rPr>
                <w:sz w:val="20"/>
                <w:szCs w:val="20"/>
                <w:color w:val="auto"/>
              </w:rPr>
            </w:pPr>
          </w:p>
        </w:tc>
        <w:tc>
          <w:tcPr>
            <w:tcW w:w="1740" w:type="dxa"/>
            <w:vAlign w:val="bottom"/>
            <w:tcBorders>
              <w:right w:val="single" w:sz="8" w:color="auto"/>
            </w:tcBorders>
            <w:gridSpan w:val="2"/>
          </w:tcPr>
          <w:p>
            <w:pPr>
              <w:jc w:val="center"/>
              <w:ind w:right="1160"/>
              <w:spacing w:after="0" w:line="239" w:lineRule="exact"/>
              <w:rPr>
                <w:sz w:val="20"/>
                <w:szCs w:val="20"/>
                <w:color w:val="auto"/>
              </w:rPr>
            </w:pPr>
            <w:r>
              <w:rPr>
                <w:rFonts w:ascii="Times New Roman" w:cs="Times New Roman" w:eastAsia="Times New Roman" w:hAnsi="Times New Roman"/>
                <w:sz w:val="22"/>
                <w:szCs w:val="22"/>
                <w:b w:val="1"/>
                <w:bCs w:val="1"/>
                <w:color w:val="auto"/>
              </w:rPr>
              <w:t>Loans</w:t>
            </w:r>
          </w:p>
        </w:tc>
        <w:tc>
          <w:tcPr>
            <w:tcW w:w="0" w:type="dxa"/>
            <w:vAlign w:val="bottom"/>
          </w:tcPr>
          <w:p>
            <w:pPr>
              <w:spacing w:after="0"/>
              <w:rPr>
                <w:sz w:val="1"/>
                <w:szCs w:val="1"/>
                <w:color w:val="auto"/>
              </w:rPr>
            </w:pPr>
          </w:p>
        </w:tc>
      </w:tr>
      <w:tr>
        <w:trPr>
          <w:trHeight w:val="314"/>
        </w:trPr>
        <w:tc>
          <w:tcPr>
            <w:tcW w:w="1600" w:type="dxa"/>
            <w:vAlign w:val="bottom"/>
            <w:tcBorders>
              <w:left w:val="single" w:sz="8" w:color="auto"/>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22"/>
                <w:szCs w:val="22"/>
                <w:b w:val="1"/>
                <w:bCs w:val="1"/>
                <w:color w:val="auto"/>
              </w:rPr>
              <w:t>Pricing Level</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gridSpan w:val="5"/>
          </w:tcPr>
          <w:p>
            <w:pPr>
              <w:jc w:val="center"/>
              <w:ind w:right="1040"/>
              <w:spacing w:after="0"/>
              <w:rPr>
                <w:sz w:val="20"/>
                <w:szCs w:val="20"/>
                <w:color w:val="auto"/>
              </w:rPr>
            </w:pPr>
            <w:r>
              <w:rPr>
                <w:rFonts w:ascii="Times New Roman" w:cs="Times New Roman" w:eastAsia="Times New Roman" w:hAnsi="Times New Roman"/>
                <w:sz w:val="22"/>
                <w:szCs w:val="22"/>
                <w:b w:val="1"/>
                <w:bCs w:val="1"/>
                <w:color w:val="auto"/>
                <w:w w:val="97"/>
              </w:rPr>
              <w:t>S&amp;P)</w:t>
            </w:r>
          </w:p>
        </w:tc>
        <w:tc>
          <w:tcPr>
            <w:tcW w:w="1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0" w:type="dxa"/>
            <w:vAlign w:val="bottom"/>
            <w:tcBorders>
              <w:left w:val="single" w:sz="8" w:color="auto"/>
              <w:bottom w:val="single" w:sz="8" w:color="auto"/>
            </w:tcBorders>
            <w:shd w:val="clear" w:color="auto" w:fill="E6E6FA"/>
          </w:tcPr>
          <w:p>
            <w:pPr>
              <w:spacing w:after="0"/>
              <w:rPr>
                <w:sz w:val="22"/>
                <w:szCs w:val="22"/>
                <w:color w:val="auto"/>
              </w:rPr>
            </w:pPr>
          </w:p>
        </w:tc>
        <w:tc>
          <w:tcPr>
            <w:tcW w:w="840" w:type="dxa"/>
            <w:vAlign w:val="bottom"/>
            <w:tcBorders>
              <w:bottom w:val="single" w:sz="8" w:color="auto"/>
              <w:right w:val="single" w:sz="8" w:color="auto"/>
            </w:tcBorders>
            <w:gridSpan w:val="4"/>
            <w:shd w:val="clear" w:color="auto" w:fill="E6E6FA"/>
          </w:tcPr>
          <w:p>
            <w:pPr>
              <w:spacing w:after="0" w:line="210" w:lineRule="exact"/>
              <w:rPr>
                <w:sz w:val="20"/>
                <w:szCs w:val="20"/>
                <w:color w:val="auto"/>
              </w:rPr>
            </w:pPr>
            <w:r>
              <w:rPr>
                <w:rFonts w:ascii="Times New Roman" w:cs="Times New Roman" w:eastAsia="Times New Roman" w:hAnsi="Times New Roman"/>
                <w:sz w:val="22"/>
                <w:szCs w:val="22"/>
                <w:b w:val="1"/>
                <w:bCs w:val="1"/>
                <w:color w:val="0000FF"/>
              </w:rPr>
              <w:t>I</w:t>
            </w:r>
          </w:p>
        </w:tc>
        <w:tc>
          <w:tcPr>
            <w:tcW w:w="840" w:type="dxa"/>
            <w:vAlign w:val="bottom"/>
            <w:tcBorders>
              <w:bottom w:val="single" w:sz="8" w:color="auto"/>
            </w:tcBorders>
            <w:shd w:val="clear" w:color="auto" w:fill="E6E6FA"/>
          </w:tcPr>
          <w:p>
            <w:pPr>
              <w:spacing w:after="0"/>
              <w:rPr>
                <w:sz w:val="22"/>
                <w:szCs w:val="22"/>
                <w:color w:val="auto"/>
              </w:rPr>
            </w:pPr>
          </w:p>
        </w:tc>
        <w:tc>
          <w:tcPr>
            <w:tcW w:w="2560" w:type="dxa"/>
            <w:vAlign w:val="bottom"/>
            <w:tcBorders>
              <w:bottom w:val="single" w:sz="8" w:color="auto"/>
              <w:right w:val="single" w:sz="8" w:color="auto"/>
            </w:tcBorders>
            <w:gridSpan w:val="6"/>
            <w:shd w:val="clear" w:color="auto" w:fill="E6E6FA"/>
          </w:tcPr>
          <w:p>
            <w:pPr>
              <w:jc w:val="center"/>
              <w:ind w:right="860"/>
              <w:spacing w:after="0" w:line="210" w:lineRule="exact"/>
              <w:rPr>
                <w:sz w:val="20"/>
                <w:szCs w:val="20"/>
                <w:color w:val="auto"/>
              </w:rPr>
            </w:pPr>
            <w:r>
              <w:rPr>
                <w:rFonts w:ascii="Times New Roman" w:cs="Times New Roman" w:eastAsia="Times New Roman" w:hAnsi="Times New Roman"/>
                <w:sz w:val="22"/>
                <w:szCs w:val="22"/>
                <w:b w:val="1"/>
                <w:bCs w:val="1"/>
                <w:color w:val="0000FF"/>
                <w:w w:val="98"/>
              </w:rPr>
              <w:t>Ba3/BB- or higher</w:t>
            </w:r>
          </w:p>
        </w:tc>
        <w:tc>
          <w:tcPr>
            <w:tcW w:w="1800" w:type="dxa"/>
            <w:vAlign w:val="bottom"/>
            <w:tcBorders>
              <w:bottom w:val="single" w:sz="8" w:color="auto"/>
            </w:tcBorders>
            <w:gridSpan w:val="2"/>
            <w:shd w:val="clear" w:color="auto" w:fill="E6E6FA"/>
          </w:tcPr>
          <w:p>
            <w:pPr>
              <w:jc w:val="center"/>
              <w:ind w:left="1092"/>
              <w:spacing w:after="0" w:line="210" w:lineRule="exact"/>
              <w:rPr>
                <w:sz w:val="20"/>
                <w:szCs w:val="20"/>
                <w:color w:val="auto"/>
              </w:rPr>
            </w:pPr>
            <w:r>
              <w:rPr>
                <w:rFonts w:ascii="Times New Roman" w:cs="Times New Roman" w:eastAsia="Times New Roman" w:hAnsi="Times New Roman"/>
                <w:sz w:val="22"/>
                <w:szCs w:val="22"/>
                <w:b w:val="1"/>
                <w:bCs w:val="1"/>
                <w:color w:val="0000FF"/>
                <w:w w:val="99"/>
              </w:rPr>
              <w:t>3.00%</w:t>
            </w:r>
          </w:p>
        </w:tc>
        <w:tc>
          <w:tcPr>
            <w:tcW w:w="1220" w:type="dxa"/>
            <w:vAlign w:val="bottom"/>
            <w:tcBorders>
              <w:bottom w:val="single" w:sz="8" w:color="auto"/>
              <w:right w:val="single" w:sz="8" w:color="auto"/>
            </w:tcBorders>
            <w:shd w:val="clear" w:color="auto" w:fill="E6E6FA"/>
          </w:tcPr>
          <w:p>
            <w:pPr>
              <w:spacing w:after="0"/>
              <w:rPr>
                <w:sz w:val="22"/>
                <w:szCs w:val="22"/>
                <w:color w:val="auto"/>
              </w:rPr>
            </w:pPr>
          </w:p>
        </w:tc>
        <w:tc>
          <w:tcPr>
            <w:tcW w:w="1720" w:type="dxa"/>
            <w:vAlign w:val="bottom"/>
            <w:tcBorders>
              <w:bottom w:val="single" w:sz="8" w:color="auto"/>
            </w:tcBorders>
            <w:gridSpan w:val="2"/>
            <w:shd w:val="clear" w:color="auto" w:fill="E6E6FA"/>
          </w:tcPr>
          <w:p>
            <w:pPr>
              <w:jc w:val="center"/>
              <w:ind w:left="1032"/>
              <w:spacing w:after="0" w:line="210" w:lineRule="exact"/>
              <w:rPr>
                <w:sz w:val="20"/>
                <w:szCs w:val="20"/>
                <w:color w:val="auto"/>
              </w:rPr>
            </w:pPr>
            <w:r>
              <w:rPr>
                <w:rFonts w:ascii="Times New Roman" w:cs="Times New Roman" w:eastAsia="Times New Roman" w:hAnsi="Times New Roman"/>
                <w:sz w:val="22"/>
                <w:szCs w:val="22"/>
                <w:b w:val="1"/>
                <w:bCs w:val="1"/>
                <w:color w:val="0000FF"/>
                <w:w w:val="95"/>
              </w:rPr>
              <w:t>2.00%</w:t>
            </w:r>
          </w:p>
        </w:tc>
        <w:tc>
          <w:tcPr>
            <w:tcW w:w="1160" w:type="dxa"/>
            <w:vAlign w:val="bottom"/>
            <w:tcBorders>
              <w:bottom w:val="single" w:sz="8" w:color="auto"/>
              <w:right w:val="single" w:sz="8" w:color="auto"/>
            </w:tcBorders>
            <w:shd w:val="clear" w:color="auto" w:fill="E6E6FA"/>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0" w:type="dxa"/>
            <w:vAlign w:val="bottom"/>
            <w:tcBorders>
              <w:left w:val="single" w:sz="8" w:color="auto"/>
            </w:tcBorders>
          </w:tcPr>
          <w:p>
            <w:pPr>
              <w:ind w:left="680"/>
              <w:spacing w:after="0" w:line="237" w:lineRule="exact"/>
              <w:rPr>
                <w:sz w:val="20"/>
                <w:szCs w:val="20"/>
                <w:color w:val="auto"/>
              </w:rPr>
            </w:pPr>
            <w:r>
              <w:rPr>
                <w:rFonts w:ascii="Times New Roman" w:cs="Times New Roman" w:eastAsia="Times New Roman" w:hAnsi="Times New Roman"/>
                <w:sz w:val="21"/>
                <w:szCs w:val="21"/>
                <w:b w:val="1"/>
                <w:bCs w:val="1"/>
                <w:color w:val="FF0000"/>
                <w:strike w:val="1"/>
                <w:w w:val="72"/>
              </w:rPr>
              <w:t>I</w:t>
            </w:r>
          </w:p>
        </w:tc>
        <w:tc>
          <w:tcPr>
            <w:tcW w:w="84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II</w:t>
            </w:r>
          </w:p>
        </w:tc>
        <w:tc>
          <w:tcPr>
            <w:tcW w:w="840" w:type="dxa"/>
            <w:vAlign w:val="bottom"/>
          </w:tcPr>
          <w:p>
            <w:pPr>
              <w:spacing w:after="0"/>
              <w:rPr>
                <w:sz w:val="20"/>
                <w:szCs w:val="20"/>
                <w:color w:val="auto"/>
              </w:rPr>
            </w:pPr>
          </w:p>
        </w:tc>
        <w:tc>
          <w:tcPr>
            <w:tcW w:w="740" w:type="dxa"/>
            <w:vAlign w:val="bottom"/>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B1/B+</w:t>
            </w:r>
          </w:p>
        </w:tc>
        <w:tc>
          <w:tcPr>
            <w:tcW w:w="9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b w:val="1"/>
                <w:bCs w:val="1"/>
                <w:color w:val="FF0000"/>
                <w:strike w:val="1"/>
              </w:rPr>
              <w:t>or higher</w:t>
            </w:r>
          </w:p>
        </w:tc>
        <w:tc>
          <w:tcPr>
            <w:tcW w:w="860" w:type="dxa"/>
            <w:vAlign w:val="bottom"/>
            <w:tcBorders>
              <w:right w:val="single" w:sz="8" w:color="auto"/>
            </w:tcBorders>
          </w:tcPr>
          <w:p>
            <w:pPr>
              <w:spacing w:after="0"/>
              <w:rPr>
                <w:sz w:val="20"/>
                <w:szCs w:val="20"/>
                <w:color w:val="auto"/>
              </w:rPr>
            </w:pPr>
          </w:p>
        </w:tc>
        <w:tc>
          <w:tcPr>
            <w:tcW w:w="1800" w:type="dxa"/>
            <w:vAlign w:val="bottom"/>
            <w:gridSpan w:val="2"/>
          </w:tcPr>
          <w:p>
            <w:pPr>
              <w:jc w:val="center"/>
              <w:ind w:left="1092"/>
              <w:spacing w:after="0" w:line="237" w:lineRule="exact"/>
              <w:rPr>
                <w:sz w:val="20"/>
                <w:szCs w:val="20"/>
                <w:color w:val="auto"/>
              </w:rPr>
            </w:pPr>
            <w:r>
              <w:rPr>
                <w:rFonts w:ascii="Times New Roman" w:cs="Times New Roman" w:eastAsia="Times New Roman" w:hAnsi="Times New Roman"/>
                <w:sz w:val="22"/>
                <w:szCs w:val="22"/>
                <w:color w:val="auto"/>
                <w:w w:val="98"/>
              </w:rPr>
              <w:t>3.25%</w:t>
            </w:r>
          </w:p>
        </w:tc>
        <w:tc>
          <w:tcPr>
            <w:tcW w:w="1220" w:type="dxa"/>
            <w:vAlign w:val="bottom"/>
            <w:tcBorders>
              <w:right w:val="single" w:sz="8" w:color="auto"/>
            </w:tcBorders>
          </w:tcPr>
          <w:p>
            <w:pPr>
              <w:spacing w:after="0"/>
              <w:rPr>
                <w:sz w:val="20"/>
                <w:szCs w:val="20"/>
                <w:color w:val="auto"/>
              </w:rPr>
            </w:pPr>
          </w:p>
        </w:tc>
        <w:tc>
          <w:tcPr>
            <w:tcW w:w="1720" w:type="dxa"/>
            <w:vAlign w:val="bottom"/>
            <w:gridSpan w:val="2"/>
          </w:tcPr>
          <w:p>
            <w:pPr>
              <w:jc w:val="center"/>
              <w:ind w:left="1052"/>
              <w:spacing w:after="0" w:line="237" w:lineRule="exact"/>
              <w:rPr>
                <w:sz w:val="20"/>
                <w:szCs w:val="20"/>
                <w:color w:val="auto"/>
              </w:rPr>
            </w:pPr>
            <w:r>
              <w:rPr>
                <w:rFonts w:ascii="Times New Roman" w:cs="Times New Roman" w:eastAsia="Times New Roman" w:hAnsi="Times New Roman"/>
                <w:sz w:val="22"/>
                <w:szCs w:val="22"/>
                <w:color w:val="auto"/>
                <w:w w:val="98"/>
              </w:rPr>
              <w:t>2.25%</w:t>
            </w: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60" w:type="dxa"/>
            <w:vAlign w:val="bottom"/>
            <w:tcBorders>
              <w:left w:val="single" w:sz="8" w:color="auto"/>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760" w:type="dxa"/>
            <w:vAlign w:val="bottom"/>
            <w:tcBorders>
              <w:left w:val="single" w:sz="8" w:color="auto"/>
            </w:tcBorders>
          </w:tcPr>
          <w:p>
            <w:pPr>
              <w:ind w:left="600"/>
              <w:spacing w:after="0" w:line="237" w:lineRule="exact"/>
              <w:rPr>
                <w:sz w:val="20"/>
                <w:szCs w:val="20"/>
                <w:color w:val="auto"/>
              </w:rPr>
            </w:pPr>
            <w:r>
              <w:rPr>
                <w:rFonts w:ascii="Times New Roman" w:cs="Times New Roman" w:eastAsia="Times New Roman" w:hAnsi="Times New Roman"/>
                <w:sz w:val="22"/>
                <w:szCs w:val="22"/>
                <w:b w:val="1"/>
                <w:bCs w:val="1"/>
                <w:color w:val="FF0000"/>
                <w:strike w:val="1"/>
                <w:w w:val="81"/>
              </w:rPr>
              <w:t>II</w:t>
            </w:r>
          </w:p>
        </w:tc>
        <w:tc>
          <w:tcPr>
            <w:tcW w:w="84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III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Borders>
              <w:right w:val="single" w:sz="8" w:color="auto"/>
            </w:tcBorders>
            <w:gridSpan w:val="5"/>
          </w:tcPr>
          <w:p>
            <w:pPr>
              <w:jc w:val="center"/>
              <w:ind w:right="1020"/>
              <w:spacing w:after="0" w:line="237" w:lineRule="exact"/>
              <w:rPr>
                <w:sz w:val="20"/>
                <w:szCs w:val="20"/>
                <w:color w:val="auto"/>
              </w:rPr>
            </w:pPr>
            <w:r>
              <w:rPr>
                <w:rFonts w:ascii="Times New Roman" w:cs="Times New Roman" w:eastAsia="Times New Roman" w:hAnsi="Times New Roman"/>
                <w:sz w:val="22"/>
                <w:szCs w:val="22"/>
                <w:color w:val="auto"/>
                <w:w w:val="97"/>
              </w:rPr>
              <w:t xml:space="preserve">B2/B </w:t>
            </w:r>
            <w:r>
              <w:rPr>
                <w:rFonts w:ascii="Times New Roman" w:cs="Times New Roman" w:eastAsia="Times New Roman" w:hAnsi="Times New Roman"/>
                <w:sz w:val="22"/>
                <w:szCs w:val="22"/>
                <w:b w:val="1"/>
                <w:bCs w:val="1"/>
                <w:color w:val="0000FF"/>
                <w:w w:val="97"/>
              </w:rPr>
              <w:t>or lower</w:t>
            </w:r>
          </w:p>
        </w:tc>
        <w:tc>
          <w:tcPr>
            <w:tcW w:w="1800" w:type="dxa"/>
            <w:vAlign w:val="bottom"/>
            <w:gridSpan w:val="2"/>
          </w:tcPr>
          <w:p>
            <w:pPr>
              <w:jc w:val="center"/>
              <w:ind w:left="1092"/>
              <w:spacing w:after="0" w:line="237" w:lineRule="exact"/>
              <w:rPr>
                <w:sz w:val="20"/>
                <w:szCs w:val="20"/>
                <w:color w:val="auto"/>
              </w:rPr>
            </w:pPr>
            <w:r>
              <w:rPr>
                <w:rFonts w:ascii="Times New Roman" w:cs="Times New Roman" w:eastAsia="Times New Roman" w:hAnsi="Times New Roman"/>
                <w:sz w:val="22"/>
                <w:szCs w:val="22"/>
                <w:color w:val="auto"/>
                <w:w w:val="98"/>
              </w:rPr>
              <w:t>3.50%</w:t>
            </w:r>
          </w:p>
        </w:tc>
        <w:tc>
          <w:tcPr>
            <w:tcW w:w="1220" w:type="dxa"/>
            <w:vAlign w:val="bottom"/>
            <w:tcBorders>
              <w:right w:val="single" w:sz="8" w:color="auto"/>
            </w:tcBorders>
          </w:tcPr>
          <w:p>
            <w:pPr>
              <w:spacing w:after="0"/>
              <w:rPr>
                <w:sz w:val="20"/>
                <w:szCs w:val="20"/>
                <w:color w:val="auto"/>
              </w:rPr>
            </w:pPr>
          </w:p>
        </w:tc>
        <w:tc>
          <w:tcPr>
            <w:tcW w:w="1720" w:type="dxa"/>
            <w:vAlign w:val="bottom"/>
            <w:gridSpan w:val="2"/>
          </w:tcPr>
          <w:p>
            <w:pPr>
              <w:jc w:val="center"/>
              <w:ind w:left="1052"/>
              <w:spacing w:after="0" w:line="237" w:lineRule="exact"/>
              <w:rPr>
                <w:sz w:val="20"/>
                <w:szCs w:val="20"/>
                <w:color w:val="auto"/>
              </w:rPr>
            </w:pPr>
            <w:r>
              <w:rPr>
                <w:rFonts w:ascii="Times New Roman" w:cs="Times New Roman" w:eastAsia="Times New Roman" w:hAnsi="Times New Roman"/>
                <w:sz w:val="22"/>
                <w:szCs w:val="22"/>
                <w:color w:val="auto"/>
                <w:w w:val="98"/>
              </w:rPr>
              <w:t>2.50%</w:t>
            </w: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60" w:type="dxa"/>
            <w:vAlign w:val="bottom"/>
            <w:tcBorders>
              <w:left w:val="single" w:sz="8" w:color="auto"/>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bottom w:val="single" w:sz="8" w:color="auto"/>
            </w:tcBorders>
            <w:gridSpan w:val="3"/>
            <w:shd w:val="clear" w:color="auto" w:fill="FFDEAD"/>
          </w:tcPr>
          <w:p>
            <w:pPr>
              <w:ind w:left="680"/>
              <w:spacing w:after="0"/>
              <w:rPr>
                <w:sz w:val="20"/>
                <w:szCs w:val="20"/>
                <w:color w:val="auto"/>
              </w:rPr>
            </w:pPr>
            <w:r>
              <w:rPr>
                <w:rFonts w:ascii="Times New Roman" w:cs="Times New Roman" w:eastAsia="Times New Roman" w:hAnsi="Times New Roman"/>
                <w:sz w:val="22"/>
                <w:szCs w:val="22"/>
                <w:b w:val="1"/>
                <w:bCs w:val="1"/>
                <w:color w:val="FF0000"/>
                <w:strike w:val="1"/>
                <w:w w:val="93"/>
              </w:rPr>
              <w:t>III</w:t>
            </w:r>
          </w:p>
        </w:tc>
        <w:tc>
          <w:tcPr>
            <w:tcW w:w="660" w:type="dxa"/>
            <w:vAlign w:val="bottom"/>
            <w:tcBorders>
              <w:bottom w:val="single" w:sz="8" w:color="auto"/>
              <w:right w:val="single" w:sz="8" w:color="auto"/>
            </w:tcBorders>
            <w:gridSpan w:val="2"/>
            <w:shd w:val="clear" w:color="auto" w:fill="FFDEAD"/>
          </w:tcPr>
          <w:p>
            <w:pPr>
              <w:spacing w:after="0"/>
              <w:rPr>
                <w:sz w:val="22"/>
                <w:szCs w:val="22"/>
                <w:color w:val="auto"/>
              </w:rPr>
            </w:pPr>
          </w:p>
        </w:tc>
        <w:tc>
          <w:tcPr>
            <w:tcW w:w="840" w:type="dxa"/>
            <w:vAlign w:val="bottom"/>
            <w:tcBorders>
              <w:bottom w:val="single" w:sz="8" w:color="auto"/>
            </w:tcBorders>
            <w:shd w:val="clear" w:color="auto" w:fill="FFDEAD"/>
          </w:tcPr>
          <w:p>
            <w:pPr>
              <w:spacing w:after="0"/>
              <w:rPr>
                <w:sz w:val="22"/>
                <w:szCs w:val="22"/>
                <w:color w:val="auto"/>
              </w:rPr>
            </w:pPr>
          </w:p>
        </w:tc>
        <w:tc>
          <w:tcPr>
            <w:tcW w:w="180" w:type="dxa"/>
            <w:vAlign w:val="bottom"/>
            <w:tcBorders>
              <w:bottom w:val="single" w:sz="8" w:color="auto"/>
            </w:tcBorders>
            <w:shd w:val="clear" w:color="auto" w:fill="FFDEAD"/>
          </w:tcPr>
          <w:p>
            <w:pPr>
              <w:spacing w:after="0"/>
              <w:rPr>
                <w:sz w:val="22"/>
                <w:szCs w:val="22"/>
                <w:color w:val="auto"/>
              </w:rPr>
            </w:pPr>
          </w:p>
        </w:tc>
        <w:tc>
          <w:tcPr>
            <w:tcW w:w="1520" w:type="dxa"/>
            <w:vAlign w:val="bottom"/>
            <w:tcBorders>
              <w:bottom w:val="single" w:sz="8" w:color="auto"/>
            </w:tcBorders>
            <w:gridSpan w:val="4"/>
            <w:shd w:val="clear" w:color="auto" w:fill="FFDEAD"/>
          </w:tcPr>
          <w:p>
            <w:pPr>
              <w:jc w:val="center"/>
              <w:ind w:right="160"/>
              <w:spacing w:after="0"/>
              <w:rPr>
                <w:sz w:val="20"/>
                <w:szCs w:val="20"/>
                <w:color w:val="auto"/>
              </w:rPr>
            </w:pPr>
            <w:r>
              <w:rPr>
                <w:rFonts w:ascii="Times New Roman" w:cs="Times New Roman" w:eastAsia="Times New Roman" w:hAnsi="Times New Roman"/>
                <w:sz w:val="22"/>
                <w:szCs w:val="22"/>
                <w:b w:val="1"/>
                <w:bCs w:val="1"/>
                <w:color w:val="FF0000"/>
                <w:strike w:val="1"/>
                <w:w w:val="98"/>
              </w:rPr>
              <w:t>B3/B- or lower</w:t>
            </w:r>
          </w:p>
        </w:tc>
        <w:tc>
          <w:tcPr>
            <w:tcW w:w="860" w:type="dxa"/>
            <w:vAlign w:val="bottom"/>
            <w:tcBorders>
              <w:bottom w:val="single" w:sz="8" w:color="auto"/>
              <w:right w:val="single" w:sz="8" w:color="auto"/>
            </w:tcBorders>
            <w:shd w:val="clear" w:color="auto" w:fill="FFDEAD"/>
          </w:tcPr>
          <w:p>
            <w:pPr>
              <w:spacing w:after="0"/>
              <w:rPr>
                <w:sz w:val="22"/>
                <w:szCs w:val="22"/>
                <w:color w:val="auto"/>
              </w:rPr>
            </w:pPr>
          </w:p>
        </w:tc>
        <w:tc>
          <w:tcPr>
            <w:tcW w:w="1200" w:type="dxa"/>
            <w:vAlign w:val="bottom"/>
            <w:tcBorders>
              <w:bottom w:val="single" w:sz="8" w:color="auto"/>
            </w:tcBorders>
            <w:shd w:val="clear" w:color="auto" w:fill="FFDEAD"/>
          </w:tcPr>
          <w:p>
            <w:pPr>
              <w:spacing w:after="0"/>
              <w:rPr>
                <w:sz w:val="22"/>
                <w:szCs w:val="22"/>
                <w:color w:val="auto"/>
              </w:rPr>
            </w:pPr>
          </w:p>
        </w:tc>
        <w:tc>
          <w:tcPr>
            <w:tcW w:w="600" w:type="dxa"/>
            <w:vAlign w:val="bottom"/>
            <w:tcBorders>
              <w:bottom w:val="single" w:sz="8" w:color="auto"/>
            </w:tcBorders>
            <w:shd w:val="clear" w:color="auto" w:fill="FFDEAD"/>
          </w:tcPr>
          <w:p>
            <w:pPr>
              <w:jc w:val="center"/>
              <w:spacing w:after="0"/>
              <w:rPr>
                <w:sz w:val="20"/>
                <w:szCs w:val="20"/>
                <w:color w:val="auto"/>
              </w:rPr>
            </w:pPr>
            <w:r>
              <w:rPr>
                <w:rFonts w:ascii="Times New Roman" w:cs="Times New Roman" w:eastAsia="Times New Roman" w:hAnsi="Times New Roman"/>
                <w:sz w:val="22"/>
                <w:szCs w:val="22"/>
                <w:b w:val="1"/>
                <w:bCs w:val="1"/>
                <w:color w:val="FF0000"/>
                <w:strike w:val="1"/>
                <w:w w:val="99"/>
              </w:rPr>
              <w:t>3.75%</w:t>
            </w:r>
          </w:p>
        </w:tc>
        <w:tc>
          <w:tcPr>
            <w:tcW w:w="1220" w:type="dxa"/>
            <w:vAlign w:val="bottom"/>
            <w:tcBorders>
              <w:bottom w:val="single" w:sz="8" w:color="auto"/>
              <w:right w:val="single" w:sz="8" w:color="auto"/>
            </w:tcBorders>
            <w:shd w:val="clear" w:color="auto" w:fill="FFDEAD"/>
          </w:tcPr>
          <w:p>
            <w:pPr>
              <w:spacing w:after="0"/>
              <w:rPr>
                <w:sz w:val="22"/>
                <w:szCs w:val="22"/>
                <w:color w:val="auto"/>
              </w:rPr>
            </w:pPr>
          </w:p>
        </w:tc>
        <w:tc>
          <w:tcPr>
            <w:tcW w:w="1140" w:type="dxa"/>
            <w:vAlign w:val="bottom"/>
            <w:tcBorders>
              <w:bottom w:val="single" w:sz="8" w:color="auto"/>
            </w:tcBorders>
            <w:shd w:val="clear" w:color="auto" w:fill="FFDEAD"/>
          </w:tcPr>
          <w:p>
            <w:pPr>
              <w:spacing w:after="0"/>
              <w:rPr>
                <w:sz w:val="22"/>
                <w:szCs w:val="22"/>
                <w:color w:val="auto"/>
              </w:rPr>
            </w:pPr>
          </w:p>
        </w:tc>
        <w:tc>
          <w:tcPr>
            <w:tcW w:w="580" w:type="dxa"/>
            <w:vAlign w:val="bottom"/>
            <w:tcBorders>
              <w:bottom w:val="single" w:sz="8" w:color="auto"/>
            </w:tcBorders>
            <w:shd w:val="clear" w:color="auto" w:fill="FFDEAD"/>
          </w:tcPr>
          <w:p>
            <w:pPr>
              <w:jc w:val="center"/>
              <w:spacing w:after="0"/>
              <w:rPr>
                <w:sz w:val="20"/>
                <w:szCs w:val="20"/>
                <w:color w:val="auto"/>
              </w:rPr>
            </w:pPr>
            <w:r>
              <w:rPr>
                <w:rFonts w:ascii="Times New Roman" w:cs="Times New Roman" w:eastAsia="Times New Roman" w:hAnsi="Times New Roman"/>
                <w:sz w:val="22"/>
                <w:szCs w:val="22"/>
                <w:b w:val="1"/>
                <w:bCs w:val="1"/>
                <w:color w:val="FF0000"/>
                <w:strike w:val="1"/>
                <w:w w:val="95"/>
              </w:rPr>
              <w:t>2.75%</w:t>
            </w:r>
          </w:p>
        </w:tc>
        <w:tc>
          <w:tcPr>
            <w:tcW w:w="1160" w:type="dxa"/>
            <w:vAlign w:val="bottom"/>
            <w:tcBorders>
              <w:bottom w:val="single" w:sz="8" w:color="auto"/>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32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For the purposes of the foregoing, if there is only one credit rating with respect to Parent,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shall be determined with reference to the applicable row in the “Pricing Level” column above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(each such pricing level, a “</w:t>
      </w:r>
      <w:r>
        <w:rPr>
          <w:rFonts w:ascii="Times New Roman" w:cs="Times New Roman" w:eastAsia="Times New Roman" w:hAnsi="Times New Roman"/>
          <w:sz w:val="22"/>
          <w:szCs w:val="22"/>
          <w:u w:val="single" w:color="auto"/>
          <w:color w:val="000000"/>
        </w:rPr>
        <w:t>Level</w:t>
      </w:r>
      <w:r>
        <w:rPr>
          <w:rFonts w:ascii="Times New Roman" w:cs="Times New Roman" w:eastAsia="Times New Roman" w:hAnsi="Times New Roman"/>
          <w:sz w:val="22"/>
          <w:szCs w:val="22"/>
          <w:color w:val="000000"/>
        </w:rPr>
        <w:t>”) of such credit rating. In the event the credit ratings (each a “</w:t>
      </w:r>
      <w:r>
        <w:rPr>
          <w:rFonts w:ascii="Times New Roman" w:cs="Times New Roman" w:eastAsia="Times New Roman" w:hAnsi="Times New Roman"/>
          <w:sz w:val="22"/>
          <w:szCs w:val="22"/>
          <w:u w:val="single" w:color="auto"/>
          <w:color w:val="000000"/>
        </w:rPr>
        <w:t>Relevant Rating</w:t>
      </w:r>
      <w:r>
        <w:rPr>
          <w:rFonts w:ascii="Times New Roman" w:cs="Times New Roman" w:eastAsia="Times New Roman" w:hAnsi="Times New Roman"/>
          <w:sz w:val="22"/>
          <w:szCs w:val="22"/>
          <w:color w:val="000000"/>
        </w:rPr>
        <w:t>” and, together, “</w:t>
      </w:r>
      <w:r>
        <w:rPr>
          <w:rFonts w:ascii="Times New Roman" w:cs="Times New Roman" w:eastAsia="Times New Roman" w:hAnsi="Times New Roman"/>
          <w:sz w:val="22"/>
          <w:szCs w:val="22"/>
          <w:u w:val="single" w:color="auto"/>
          <w:color w:val="000000"/>
        </w:rPr>
        <w:t>Relevant Ratings</w:t>
      </w:r>
      <w:r>
        <w:rPr>
          <w:rFonts w:ascii="Times New Roman" w:cs="Times New Roman" w:eastAsia="Times New Roman" w:hAnsi="Times New Roman"/>
          <w:sz w:val="22"/>
          <w:szCs w:val="22"/>
          <w:color w:val="000000"/>
        </w:rPr>
        <w:t xml:space="preserve">”) are different,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color w:val="000000"/>
        </w:rPr>
        <w:t xml:space="preserve"> shall be determined by (a) the higher of such Relevant Ratings,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the lower of such Relevant Ratings shall be no greater than one Level below the higher of such Relevant Ratings or (b) in the event the lower of such Relevant Ratings is greater than one Level below the higher of such Relevant Ratings,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color w:val="000000"/>
        </w:rPr>
        <w:t xml:space="preserve"> shall be determined based on the Relevant Rating which is one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or Moody’s shall have in effect a credit rating,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color w:val="000000"/>
        </w:rPr>
        <w:t xml:space="preserve"> shall be based on Level III. Each change in the Applicable Margin </w:t>
      </w:r>
      <w:r>
        <w:rPr>
          <w:rFonts w:ascii="Times New Roman" w:cs="Times New Roman" w:eastAsia="Times New Roman" w:hAnsi="Times New Roman"/>
          <w:sz w:val="22"/>
          <w:szCs w:val="22"/>
          <w:b w:val="1"/>
          <w:bCs w:val="1"/>
          <w:u w:val="single" w:color="auto"/>
          <w:color w:val="0000FF"/>
        </w:rPr>
        <w:t>with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respect to Revolving Loans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shall apply during the period commencing on the effective date of the applicable change in ratings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and ending on the date immediately preceding the effective date of the next such change in ratings. Upon the occurrence and during the continuance of an Event of Default,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color w:val="000000"/>
        </w:rPr>
        <w:t xml:space="preserve"> shall be based on Level III.</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Appraisal</w:t>
      </w:r>
      <w:r>
        <w:rPr>
          <w:rFonts w:ascii="Times New Roman" w:cs="Times New Roman" w:eastAsia="Times New Roman" w:hAnsi="Times New Roman"/>
          <w:sz w:val="22"/>
          <w:szCs w:val="22"/>
          <w:color w:val="auto"/>
        </w:rPr>
        <w:t>” shall mean (i) the Initial Appraisal and (ii) any other appraisal, dated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w:t>
      </w:r>
    </w:p>
    <w:p>
      <w:pPr>
        <w:spacing w:after="0" w:line="183" w:lineRule="exact"/>
        <w:rPr>
          <w:sz w:val="20"/>
          <w:szCs w:val="20"/>
          <w:color w:val="auto"/>
        </w:rPr>
      </w:pPr>
    </w:p>
    <w:p>
      <w:pPr>
        <w:ind w:left="660" w:firstLine="644"/>
        <w:spacing w:after="0" w:line="295" w:lineRule="auto"/>
        <w:tabs>
          <w:tab w:leader="none" w:pos="183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Route Authorities, Slots and/or Foreign Gate Leaseholds pledged pursuant to the SGR Security Agreement or a security agreement substantially similar thereto (A) shall have methodology, assumptions and form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322"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consistent in all material respects with the Initial Appraisal (including the utilization of a “Discount Rate” of 11.5% and a perpetuity growth rate of 1.5%, and, if, with respect to all of the Scheduled Services between the United States and a particular country, the Appraised Value of the related Route Authorities, Slots and Foreign Gate Leaseholds is a negative number, such Appraised Value shall be deemed to be zero);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Appraisals prepared from time to time are not prepared by the same firm of appraisers as the Initial Appraisal, such Appraisals may with the consent of the Administrative Agent (such consent not to be unreasonably withheld) have methodology, assumptions and form of presentation that differ from the Initial Appraisal if such differences are deemed appropriate by such appraiser and consistent with such appraiser’s customary practice as in effect on the date hereof and (B) to the extent such Appraisal is based on historical data provided by the Borrower, shall generally be based on such data that is current as of a date no earlier than the date that is six months prior to the date of the delivery of such Appraisal;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-1022985</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3" w:lineRule="exact"/>
        <w:rPr>
          <w:sz w:val="20"/>
          <w:szCs w:val="20"/>
          <w:color w:val="auto"/>
        </w:rPr>
      </w:pPr>
    </w:p>
    <w:p>
      <w:pPr>
        <w:jc w:val="both"/>
        <w:ind w:left="660" w:firstLine="644"/>
        <w:spacing w:after="0" w:line="257" w:lineRule="auto"/>
        <w:tabs>
          <w:tab w:leader="none" w:pos="18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w:t>
      </w:r>
    </w:p>
    <w:p>
      <w:pPr>
        <w:spacing w:after="0" w:line="172"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87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Route Authorities, FAA Slots, Foreign Slots and Gate Leaseholds not described in clause (1) above, any Spare Parts and any other type of property shall be based upon a methodology and assumptions deemed appropriate by the applicable appraisal firm.</w:t>
      </w:r>
    </w:p>
    <w:p>
      <w:pPr>
        <w:spacing w:after="0" w:line="16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Appraised Value</w:t>
      </w:r>
      <w:r>
        <w:rPr>
          <w:rFonts w:ascii="Times New Roman" w:cs="Times New Roman" w:eastAsia="Times New Roman" w:hAnsi="Times New Roman"/>
          <w:sz w:val="21"/>
          <w:szCs w:val="21"/>
          <w:color w:val="auto"/>
        </w:rPr>
        <w:t xml:space="preserve">”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Collateral consisting of property described in clause (z), (A) if no Appraisal relating to such Collateral has been delivered to the Administrative Agent prior to such date, the Appraised Value of such Collateral shall be deemed to be zero and</w:t>
      </w:r>
    </w:p>
    <w:p>
      <w:pPr>
        <w:spacing w:after="0" w:line="3" w:lineRule="exact"/>
        <w:rPr>
          <w:sz w:val="20"/>
          <w:szCs w:val="20"/>
          <w:color w:val="auto"/>
        </w:rPr>
      </w:pPr>
    </w:p>
    <w:p>
      <w:pPr>
        <w:jc w:val="both"/>
        <w:ind w:firstLine="8"/>
        <w:spacing w:after="0" w:line="247" w:lineRule="auto"/>
        <w:tabs>
          <w:tab w:leader="none" w:pos="34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Appraisal relating to such Collateral has been delivered to the Administrative Agent prior to such date, but no Appraisal relating to such Collateral has been delivered to the Administrative Agent by the last day of the most recent period during which such Appraisal is required to be delivered pursuant to Section 5.06(1) (such last day, the “</w:t>
      </w:r>
      <w:r>
        <w:rPr>
          <w:rFonts w:ascii="Times New Roman" w:cs="Times New Roman" w:eastAsia="Times New Roman" w:hAnsi="Times New Roman"/>
          <w:sz w:val="22"/>
          <w:szCs w:val="22"/>
          <w:i w:val="1"/>
          <w:iCs w:val="1"/>
          <w:color w:val="auto"/>
        </w:rPr>
        <w:t>Required Appraisal Date</w:t>
      </w:r>
      <w:r>
        <w:rPr>
          <w:rFonts w:ascii="Times New Roman" w:cs="Times New Roman" w:eastAsia="Times New Roman" w:hAnsi="Times New Roman"/>
          <w:sz w:val="22"/>
          <w:szCs w:val="22"/>
          <w:color w:val="auto"/>
        </w:rPr>
        <w:t>”), then the Appraised Value of such Collateral shall be deemed to be zero for the period from such Required Appraisal Date to the date an Appraisal relating to such Collateral is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shall have the meaning set forth in Section 10.02(b).</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ARB Indebtedness</w:t>
      </w:r>
      <w:r>
        <w:rPr>
          <w:rFonts w:ascii="Times New Roman" w:cs="Times New Roman" w:eastAsia="Times New Roman" w:hAnsi="Times New Roman"/>
          <w:sz w:val="22"/>
          <w:szCs w:val="22"/>
          <w:color w:val="auto"/>
        </w:rPr>
        <w:t>”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Ascend</w:t>
      </w:r>
      <w:r>
        <w:rPr>
          <w:rFonts w:ascii="Times New Roman" w:cs="Times New Roman" w:eastAsia="Times New Roman" w:hAnsi="Times New Roman"/>
          <w:sz w:val="22"/>
          <w:szCs w:val="22"/>
          <w:color w:val="auto"/>
        </w:rPr>
        <w:t>” shall mean Ascend Worldwide Limited.</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shall mean an assignment and acceptance entered into by a Lender and an assignee (with the consent of any party whose consent is required by Section 10.02), and accepted by the Administrative Agent, substantially in the form of Exhibit C.</w:t>
      </w:r>
    </w:p>
    <w:p>
      <w:pPr>
        <w:spacing w:after="0" w:line="16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2.09(d).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AVITAS</w:t>
      </w:r>
      <w:r>
        <w:rPr>
          <w:rFonts w:ascii="Times New Roman" w:cs="Times New Roman" w:eastAsia="Times New Roman" w:hAnsi="Times New Roman"/>
          <w:sz w:val="22"/>
          <w:szCs w:val="22"/>
          <w:color w:val="auto"/>
        </w:rPr>
        <w:t>” shall mean AVITAS, Inc.</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means the exercise of any Write-Down and Conversion Powers by the applicable Resolution Authority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respect of any liability of an Affected Financial Institution</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w:t>
      </w:r>
      <w:r>
        <w:rPr>
          <w:rFonts w:ascii="Times New Roman" w:cs="Times New Roman" w:eastAsia="Times New Roman" w:hAnsi="Times New Roman"/>
          <w:sz w:val="22"/>
          <w:szCs w:val="22"/>
          <w:color w:val="auto"/>
        </w:rPr>
        <w:t>n”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Banking Product Obligations</w:t>
      </w:r>
      <w:r>
        <w:rPr>
          <w:rFonts w:ascii="Times New Roman" w:cs="Times New Roman" w:eastAsia="Times New Roman" w:hAnsi="Times New Roman"/>
          <w:sz w:val="22"/>
          <w:szCs w:val="22"/>
          <w:color w:val="auto"/>
        </w:rPr>
        <w:t>” 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18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Code</w:t>
      </w:r>
      <w:r>
        <w:rPr>
          <w:rFonts w:ascii="Times New Roman" w:cs="Times New Roman" w:eastAsia="Times New Roman" w:hAnsi="Times New Roman"/>
          <w:sz w:val="22"/>
          <w:szCs w:val="22"/>
          <w:color w:val="auto"/>
        </w:rPr>
        <w:t>” shall mean The Bankruptcy Reform Act of 1978, as heretofore and hereafter amended, and codified as 11 U.S.C. Section 101 et seq.</w:t>
      </w:r>
    </w:p>
    <w:p>
      <w:pPr>
        <w:spacing w:after="0" w:line="13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Event</w:t>
      </w:r>
      <w:r>
        <w:rPr>
          <w:rFonts w:ascii="Times New Roman" w:cs="Times New Roman" w:eastAsia="Times New Roman" w:hAnsi="Times New Roman"/>
          <w:sz w:val="22"/>
          <w:szCs w:val="22"/>
          <w:color w:val="auto"/>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Law</w:t>
      </w:r>
      <w:r>
        <w:rPr>
          <w:rFonts w:ascii="Times New Roman" w:cs="Times New Roman" w:eastAsia="Times New Roman" w:hAnsi="Times New Roman"/>
          <w:sz w:val="22"/>
          <w:szCs w:val="22"/>
          <w:color w:val="auto"/>
        </w:rPr>
        <w:t>” shall mean the Bankruptcy Code or any similar federal or state law for the relief of debtors.</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2.09(a).</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8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53" w:lineRule="exact"/>
        <w:rPr>
          <w:sz w:val="20"/>
          <w:szCs w:val="20"/>
          <w:color w:val="auto"/>
        </w:rPr>
      </w:pPr>
    </w:p>
    <w:p>
      <w:pPr>
        <w:jc w:val="both"/>
        <w:ind w:left="720" w:hanging="356"/>
        <w:spacing w:after="0" w:line="256" w:lineRule="auto"/>
        <w:tabs>
          <w:tab w:leader="none" w:pos="8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jc w:val="both"/>
        <w:ind w:left="720" w:hanging="356"/>
        <w:spacing w:after="0" w:line="251" w:lineRule="auto"/>
        <w:tabs>
          <w:tab w:leader="none" w:pos="85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p>
    <w:p>
      <w:pPr>
        <w:spacing w:after="0" w:line="318" w:lineRule="exact"/>
        <w:rPr>
          <w:sz w:val="20"/>
          <w:szCs w:val="20"/>
          <w:color w:val="auto"/>
        </w:rPr>
      </w:pPr>
    </w:p>
    <w:p>
      <w:pPr>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3" w:lineRule="exact"/>
        <w:rPr>
          <w:sz w:val="20"/>
          <w:szCs w:val="20"/>
          <w:color w:val="auto"/>
        </w:rPr>
      </w:pPr>
    </w:p>
    <w:p>
      <w:pPr>
        <w:jc w:val="both"/>
        <w:ind w:left="680" w:hanging="348"/>
        <w:spacing w:after="0" w:line="253" w:lineRule="auto"/>
        <w:tabs>
          <w:tab w:leader="none" w:pos="92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2"/>
          <w:szCs w:val="22"/>
          <w:color w:val="auto"/>
        </w:rPr>
      </w:pPr>
    </w:p>
    <w:p>
      <w:pPr>
        <w:jc w:val="both"/>
        <w:ind w:left="680" w:hanging="348"/>
        <w:spacing w:after="0" w:line="250" w:lineRule="auto"/>
        <w:tabs>
          <w:tab w:leader="none" w:pos="8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9" w:lineRule="exact"/>
        <w:rPr>
          <w:rFonts w:ascii="Times New Roman" w:cs="Times New Roman" w:eastAsia="Times New Roman" w:hAnsi="Times New Roman"/>
          <w:sz w:val="22"/>
          <w:szCs w:val="22"/>
          <w:color w:val="auto"/>
        </w:rPr>
      </w:pPr>
    </w:p>
    <w:p>
      <w:pPr>
        <w:jc w:val="both"/>
        <w:ind w:left="680" w:right="20" w:hanging="348"/>
        <w:spacing w:after="0" w:line="257" w:lineRule="auto"/>
        <w:tabs>
          <w:tab w:leader="none" w:pos="83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2.09 and (b) ending at the time that a Benchmark Replacement has replaced the then-current Benchmark for all purposes hereunder and under any Loan Document in accordance with Section 2.09.</w:t>
      </w:r>
    </w:p>
    <w:p>
      <w:pPr>
        <w:spacing w:after="0" w:line="17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Beneficial Owner</w:t>
      </w:r>
      <w:r>
        <w:rPr>
          <w:rFonts w:ascii="Times New Roman" w:cs="Times New Roman" w:eastAsia="Times New Roman" w:hAnsi="Times New Roman"/>
          <w:sz w:val="21"/>
          <w:szCs w:val="21"/>
          <w:color w:val="auto"/>
        </w:rPr>
        <w:t>” shall have the meaning assigned to such term in Rule 13d-3 and Rule 13d-5 under the Exchange Act, except that in calculating the beneficial ownership of any particular “person” (as that term is used in Section 13(d)</w:t>
      </w:r>
    </w:p>
    <w:p>
      <w:pPr>
        <w:spacing w:after="0" w:line="2" w:lineRule="exact"/>
        <w:rPr>
          <w:sz w:val="20"/>
          <w:szCs w:val="20"/>
          <w:color w:val="auto"/>
        </w:rPr>
      </w:pPr>
    </w:p>
    <w:p>
      <w:pPr>
        <w:jc w:val="both"/>
        <w:ind w:right="20" w:firstLine="8"/>
        <w:spacing w:after="0" w:line="252" w:lineRule="auto"/>
        <w:tabs>
          <w:tab w:leader="none" w:pos="31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BK</w:t>
      </w:r>
      <w:r>
        <w:rPr>
          <w:rFonts w:ascii="Times New Roman" w:cs="Times New Roman" w:eastAsia="Times New Roman" w:hAnsi="Times New Roman"/>
          <w:sz w:val="22"/>
          <w:szCs w:val="22"/>
          <w:color w:val="auto"/>
        </w:rPr>
        <w:t>” shall mean BK Associates,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shall mean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 of Directors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660" w:firstLine="644"/>
        <w:spacing w:after="0" w:line="284" w:lineRule="auto"/>
        <w:tabs>
          <w:tab w:leader="none" w:pos="192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corporation, the board of directors of the corporation or any committee thereof duly authorized to act on behalf of such board;</w:t>
      </w:r>
    </w:p>
    <w:p>
      <w:pPr>
        <w:spacing w:after="0" w:line="143"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partnership, the board of directors or other governing body of the general partner of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w:t>
      </w:r>
    </w:p>
    <w:p>
      <w:pPr>
        <w:spacing w:after="0" w:line="195" w:lineRule="exact"/>
        <w:rPr>
          <w:rFonts w:ascii="Times New Roman" w:cs="Times New Roman" w:eastAsia="Times New Roman" w:hAnsi="Times New Roman"/>
          <w:sz w:val="22"/>
          <w:szCs w:val="22"/>
          <w:color w:val="auto"/>
        </w:rPr>
      </w:pPr>
    </w:p>
    <w:p>
      <w:pPr>
        <w:ind w:left="660" w:firstLine="644"/>
        <w:spacing w:after="0" w:line="271" w:lineRule="auto"/>
        <w:tabs>
          <w:tab w:leader="none" w:pos="180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limited liability company, the managing member or members, manager or managers or any controlling committee of managing members or managers thereof; and</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Person, the board or committee of such Person serving a similar function.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Release</w:t>
      </w:r>
      <w:r>
        <w:rPr>
          <w:rFonts w:ascii="Times New Roman" w:cs="Times New Roman" w:eastAsia="Times New Roman" w:hAnsi="Times New Roman"/>
          <w:sz w:val="22"/>
          <w:szCs w:val="22"/>
          <w:color w:val="auto"/>
        </w:rPr>
        <w:t>” shall mean the release of any Collateral from the Lien of the applicable Collateral Document at the direction of the Borrower pursuant to Section 6.09(c).</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shall mean the incurrence, conversion or continuation of Loans of a single Type made from all the Revolving Lenders or the Term Lenders, as the case may be, on a single date and having, in the case of Term SOFR Loans, a single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 Date</w:t>
      </w:r>
      <w:r>
        <w:rPr>
          <w:rFonts w:ascii="Times New Roman" w:cs="Times New Roman" w:eastAsia="Times New Roman" w:hAnsi="Times New Roman"/>
          <w:sz w:val="22"/>
          <w:szCs w:val="22"/>
          <w:color w:val="auto"/>
        </w:rPr>
        <w:t>” shall mean any U.S. Government Securities Business Day specified in a notice pursuant to Sections 2.03 and 2.04 as a date on which the Borrower requests the Lenders to make Loans hereunder or an Issuing Lender to issue Letters of Credit hereunder.</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shall mean any day other than a Saturday, Sunday or other day on which commercial banks in New York City are required or authorized to remain closed (and, for a Letter of Credit, other than a day on which the Issuing Lender issuing such Letter of Credit is closed).</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Lease Obligation</w:t>
      </w:r>
      <w:r>
        <w:rPr>
          <w:rFonts w:ascii="Times New Roman" w:cs="Times New Roman" w:eastAsia="Times New Roman" w:hAnsi="Times New Roman"/>
          <w:sz w:val="22"/>
          <w:szCs w:val="22"/>
          <w:color w:val="auto"/>
        </w:rPr>
        <w:t>” shall mean, at the time any determination is to be made, the amount of the liability in respect of a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6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Markets Offering</w:t>
      </w:r>
      <w:r>
        <w:rPr>
          <w:rFonts w:ascii="Times New Roman" w:cs="Times New Roman" w:eastAsia="Times New Roman" w:hAnsi="Times New Roman"/>
          <w:sz w:val="21"/>
          <w:szCs w:val="21"/>
          <w:color w:val="auto"/>
        </w:rPr>
        <w:t>” shall mean any offering of “securities” (as defined under the Securities Act and, including, for the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780" w:hanging="476"/>
        <w:spacing w:after="0"/>
        <w:tabs>
          <w:tab w:leader="none" w:pos="17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corporation, corporate stock;</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5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association or business entity, any and all shares, interests, participations, rights or other equivalents (however designated) of corporate stock;</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partnership or limited liability company, partnership interests (whether general or limited) or membership interests;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7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interest or participation that confers on a Person the right to receive a share of the profits and losses of, or distributions of assets of, the issuing Person,</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but excluding from all of the foregoing clauses (1) through (4) any debt securities convertible into Capital Stock, whether or not such debt securities include any right of participation with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p>
    <w:p>
      <w:pPr>
        <w:spacing w:after="0" w:line="318"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Cash Collateralize</w:t>
      </w:r>
      <w:r>
        <w:rPr>
          <w:rFonts w:ascii="Times New Roman" w:cs="Times New Roman" w:eastAsia="Times New Roman" w:hAnsi="Times New Roman"/>
          <w:sz w:val="22"/>
          <w:szCs w:val="22"/>
          <w:color w:val="auto"/>
        </w:rPr>
        <w:t>” shall have the meaning set forth in Section 2.02(j). The terms “</w:t>
      </w:r>
      <w:r>
        <w:rPr>
          <w:rFonts w:ascii="Times New Roman" w:cs="Times New Roman" w:eastAsia="Times New Roman" w:hAnsi="Times New Roman"/>
          <w:sz w:val="22"/>
          <w:szCs w:val="22"/>
          <w:i w:val="1"/>
          <w:iCs w:val="1"/>
          <w:color w:val="auto"/>
        </w:rPr>
        <w:t>Cash Collateralized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Cash Collateralizes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Cash Collateralizing</w:t>
      </w:r>
      <w:r>
        <w:rPr>
          <w:rFonts w:ascii="Times New Roman" w:cs="Times New Roman" w:eastAsia="Times New Roman" w:hAnsi="Times New Roman"/>
          <w:sz w:val="22"/>
          <w:szCs w:val="22"/>
          <w:color w:val="auto"/>
        </w:rPr>
        <w:t>” shall have correlative meanings.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Equivalents</w:t>
      </w:r>
      <w:r>
        <w:rPr>
          <w:rFonts w:ascii="Times New Roman" w:cs="Times New Roman" w:eastAsia="Times New Roman" w:hAnsi="Times New Roman"/>
          <w:sz w:val="22"/>
          <w:szCs w:val="22"/>
          <w:color w:val="auto"/>
        </w:rPr>
        <w:t>” shall mean, as of the date acquired, purchased or made, as applicable:</w:t>
      </w:r>
    </w:p>
    <w:p>
      <w:pPr>
        <w:spacing w:after="0" w:line="237" w:lineRule="exact"/>
        <w:rPr>
          <w:sz w:val="20"/>
          <w:szCs w:val="20"/>
          <w:color w:val="auto"/>
        </w:rPr>
      </w:pPr>
    </w:p>
    <w:p>
      <w:pPr>
        <w:jc w:val="both"/>
        <w:ind w:left="660" w:firstLine="644"/>
        <w:spacing w:after="0" w:line="252" w:lineRule="auto"/>
        <w:tabs>
          <w:tab w:leader="none" w:pos="180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7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issued by any state of the United States or any political subdivision of any such state or any instrumentality thereof, in each case maturing within three years after such date and having a rating of at least A- (or the equivalent thereof) from S&amp;P or A3 (or the equivalent thereof) from Moody’s;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1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the security has a maturity or weighted average life of three years or less from such date;</w:t>
      </w:r>
    </w:p>
    <w:p>
      <w:pPr>
        <w:spacing w:after="0" w:line="176" w:lineRule="exact"/>
        <w:rPr>
          <w:rFonts w:ascii="Times New Roman" w:cs="Times New Roman" w:eastAsia="Times New Roman" w:hAnsi="Times New Roman"/>
          <w:sz w:val="21"/>
          <w:szCs w:val="21"/>
          <w:color w:val="auto"/>
        </w:rPr>
      </w:pPr>
    </w:p>
    <w:p>
      <w:pPr>
        <w:ind w:left="660" w:firstLine="644"/>
        <w:spacing w:after="0" w:line="271" w:lineRule="auto"/>
        <w:tabs>
          <w:tab w:leader="none" w:pos="178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no more than one year after such date and having, on such date, a rating of at least A-2 from S&amp;P or at least P-2 from Moody’s;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7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counterparties whose long term debt is rated not less than A-by S&amp;P and A3 by Moody’s and with a term of not more than six months from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6" w:lineRule="auto"/>
        <w:tabs>
          <w:tab w:leader="none" w:pos="181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any money market mutual fund that, as of such date, (a) complies with the criteria set forth in SEC Rule 2a-7 under the Investment Company Act of 1940, as amended and (b) is rated AAA (or the equivalent thereof) by S&amp;P and Aaa (or the equivalent thereof) by Moody’s;</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8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auction rate preferred securities that, as of such date, have the highest rating obtainable from either S&amp;P or Moody’s and with a maximum reset date at least every 30 days;</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pursuant to the Borrower’s or any of its Restricted Subsidiaries’ cash equivalents/short term investment guidelines;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0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available for withdrawal on demand with commercial banks organized in the United States having capital and surplus in excess of $100,000,000;</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9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178" w:lineRule="exact"/>
        <w:rPr>
          <w:rFonts w:ascii="Times New Roman" w:cs="Times New Roman" w:eastAsia="Times New Roman" w:hAnsi="Times New Roman"/>
          <w:sz w:val="22"/>
          <w:szCs w:val="22"/>
          <w:color w:val="auto"/>
        </w:rPr>
      </w:pPr>
    </w:p>
    <w:p>
      <w:pPr>
        <w:ind w:left="660" w:firstLine="644"/>
        <w:spacing w:after="0" w:line="284" w:lineRule="auto"/>
        <w:tabs>
          <w:tab w:leader="none" w:pos="191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securities or pools of securities that are classified under GAAP as cash equivalents or short-term investments on a balance sheet as of such date.</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Certificate Delivery Date</w:t>
      </w:r>
      <w:r>
        <w:rPr>
          <w:rFonts w:ascii="Times New Roman" w:cs="Times New Roman" w:eastAsia="Times New Roman" w:hAnsi="Times New Roman"/>
          <w:sz w:val="22"/>
          <w:szCs w:val="22"/>
          <w:color w:val="auto"/>
        </w:rPr>
        <w:t>” shall have the meaning set forth in Section 6.09(a).</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Law</w:t>
      </w:r>
      <w:r>
        <w:rPr>
          <w:rFonts w:ascii="Times New Roman" w:cs="Times New Roman" w:eastAsia="Times New Roman" w:hAnsi="Times New Roman"/>
          <w:sz w:val="22"/>
          <w:szCs w:val="22"/>
          <w:color w:val="auto"/>
        </w:rPr>
        <w:t>”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Issuing Lender (or, for purposes of Section 2.14(b), by any lending office of such Lender or Issuing Lender through which Loans and/or Letters of Credit are issued or maintained or by such Lender’s or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Lender’s holding company, if any) with any request, guideline or directive (whether or not having the force of law) of any Governmental Authority made or issued after the date of this Agreement.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shall mean the occurrence of any of the following:</w:t>
      </w:r>
    </w:p>
    <w:p>
      <w:pPr>
        <w:spacing w:after="0" w:line="237" w:lineRule="exact"/>
        <w:rPr>
          <w:sz w:val="20"/>
          <w:szCs w:val="20"/>
          <w:color w:val="auto"/>
        </w:rPr>
      </w:pPr>
    </w:p>
    <w:p>
      <w:pPr>
        <w:jc w:val="both"/>
        <w:ind w:left="660" w:firstLine="644"/>
        <w:spacing w:after="0" w:line="252" w:lineRule="auto"/>
        <w:tabs>
          <w:tab w:leader="none" w:pos="17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77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Times New Roman" w:cs="Times New Roman" w:eastAsia="Times New Roman" w:hAnsi="Times New Roman"/>
          <w:sz w:val="21"/>
          <w:szCs w:val="21"/>
          <w:i w:val="1"/>
          <w:iCs w:val="1"/>
          <w:color w:val="auto"/>
        </w:rPr>
        <w:t>Permitted Person</w:t>
      </w:r>
      <w:r>
        <w:rPr>
          <w:rFonts w:ascii="Times New Roman" w:cs="Times New Roman" w:eastAsia="Times New Roman" w:hAnsi="Times New Roman"/>
          <w:sz w:val="21"/>
          <w:szCs w:val="21"/>
          <w:color w:val="auto"/>
        </w:rPr>
        <w:t>”)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8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For the avoidance of doubt, the AMR/US Airways Merger, any Airline/Parent Merger and any Airlines Merger will not be a Change of Control under this Agreement.</w:t>
      </w:r>
    </w:p>
    <w:p>
      <w:pPr>
        <w:spacing w:after="0" w:line="15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w:t>
      </w:r>
      <w:r>
        <w:rPr>
          <w:rFonts w:ascii="Times New Roman" w:cs="Times New Roman" w:eastAsia="Times New Roman" w:hAnsi="Times New Roman"/>
          <w:sz w:val="22"/>
          <w:szCs w:val="22"/>
          <w:color w:val="auto"/>
        </w:rPr>
        <w:t>,” when used in reference to any Loan or Borrowing, shall refer to whether such Loan, or the Loans comprising such Borrowing, are Revolving Loans, Seventh Amendment Extended Term Loans or Incremental Term Loans that are not Seventh Amendment Extended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00" w:lineRule="exact"/>
        <w:rPr>
          <w:sz w:val="20"/>
          <w:szCs w:val="20"/>
          <w:color w:val="auto"/>
        </w:rPr>
      </w:pPr>
    </w:p>
    <w:p>
      <w:pPr>
        <w:spacing w:after="0" w:line="3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Loans separate from which they were converted. Notwithstanding anything to the contrary, any Loans or Revolving Commitments having the exact same terms and conditions shall be deemed a part of the same Class.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shall mean June 27, 2013.</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Co-Branded Card Agreement(s)</w:t>
      </w:r>
      <w:r>
        <w:rPr>
          <w:rFonts w:ascii="Times New Roman" w:cs="Times New Roman" w:eastAsia="Times New Roman" w:hAnsi="Times New Roman"/>
          <w:sz w:val="22"/>
          <w:szCs w:val="22"/>
          <w:color w:val="auto"/>
        </w:rPr>
        <w:t>” shall mean that certain America West Co-Branded Card Agreement, dated as of January 25, 2005, between US Airways (as successor in interest to America West Airlines, Inc.) and Barclays Bank Delaware (as successor in interest to Juniper Bank), as amended, restated, supplemented or otherwise modified from time to time, including pursuant to that certain Assignment and First Amendment to the America West Co-Branded Card Agreement, dated as of August 8, 2005, among US Airways, America West Airlines, Inc. and Barclays Bank Delaware (as successor in interest to Juniper Bank) and any other similar agreements entered into by Parent or any of its Subsidiaries from time to time.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shall mean the Internal Revenue Code of 1986, as amended from time to time.</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22"/>
          <w:szCs w:val="22"/>
          <w:color w:val="auto"/>
        </w:rPr>
        <w:t>” shall mean (i) the assets and properties of the Grantors upon which Liens have been granted to the Collateral Agent to secure the Obligations including, without limitation, any 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w:t>
      </w:r>
    </w:p>
    <w:p>
      <w:pPr>
        <w:spacing w:after="0" w:line="17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shall have the meaning set forth in the preamble to this Agreement (and, as specified in Section 1.02(b), shall include any successor).</w:t>
      </w:r>
    </w:p>
    <w:p>
      <w:pPr>
        <w:spacing w:after="0" w:line="14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 shall mean, as of any date of determination, the ratio of (i) the Appraised Value of the Collateral with respect to such date of determination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Times New Roman" w:cs="Times New Roman" w:eastAsia="Times New Roman" w:hAnsi="Times New Roman"/>
          <w:sz w:val="22"/>
          <w:szCs w:val="22"/>
          <w:i w:val="1"/>
          <w:iCs w:val="1"/>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1"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 Certificate</w:t>
      </w:r>
      <w:r>
        <w:rPr>
          <w:rFonts w:ascii="Times New Roman" w:cs="Times New Roman" w:eastAsia="Times New Roman" w:hAnsi="Times New Roman"/>
          <w:sz w:val="22"/>
          <w:szCs w:val="22"/>
          <w:color w:val="auto"/>
        </w:rPr>
        <w:t>” shall mean an Officer’s Certificate calculating the Collateral Coverage Ratio substantially in the form of Exhibit H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p>
    <w:p>
      <w:pPr>
        <w:spacing w:after="0" w:line="31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 Failure</w:t>
      </w:r>
      <w:r>
        <w:rPr>
          <w:rFonts w:ascii="Times New Roman" w:cs="Times New Roman" w:eastAsia="Times New Roman" w:hAnsi="Times New Roman"/>
          <w:sz w:val="22"/>
          <w:szCs w:val="22"/>
          <w:color w:val="auto"/>
        </w:rPr>
        <w:t>” shall mean, as of any date of determination, the failure of the Collateral Coverage Ratio as of such date to be at least equal to 1.6 to 1.0.</w:t>
      </w:r>
    </w:p>
    <w:p>
      <w:pPr>
        <w:spacing w:after="0" w:line="14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Documents</w:t>
      </w:r>
      <w:r>
        <w:rPr>
          <w:rFonts w:ascii="Times New Roman" w:cs="Times New Roman" w:eastAsia="Times New Roman" w:hAnsi="Times New Roman"/>
          <w:sz w:val="22"/>
          <w:szCs w:val="22"/>
          <w:color w:val="auto"/>
        </w:rPr>
        <w:t>” shall mean, collectively, the SGR Security Agreement, any UK Debenture, the Account Control Agreement(s), any Intercreditor Agreement (on and after the execution thereof), any Other Intercreditor Agreement (on and after the execution thereof) and other agreements, instruments or documents that create or purport to create a Lien in favor of the Collateral Agent for the benefit of the Secured Parties, in each case so long as such agreement, instrument or document shall not have been terminated in accordance with its terms.</w:t>
      </w:r>
    </w:p>
    <w:p>
      <w:pPr>
        <w:spacing w:after="0" w:line="17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Proceeds Account</w:t>
      </w:r>
      <w:r>
        <w:rPr>
          <w:rFonts w:ascii="Times New Roman" w:cs="Times New Roman" w:eastAsia="Times New Roman" w:hAnsi="Times New Roman"/>
          <w:sz w:val="22"/>
          <w:szCs w:val="22"/>
          <w:color w:val="auto"/>
        </w:rPr>
        <w:t>” shall mean a segregated account or accounts held by or under the control of the Collateral Agent into which the Net Proceeds of any Recovery Event or Disposition of Collateral may be deposited in accordance with the provisions of this Agreement.</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shall mean, as to any Lender, the sum of the Revolving Commitment, if any, and the Term Loan Commitment, if any, of such Lender, it being understood that the “</w:t>
      </w:r>
      <w:r>
        <w:rPr>
          <w:rFonts w:ascii="Times New Roman" w:cs="Times New Roman" w:eastAsia="Times New Roman" w:hAnsi="Times New Roman"/>
          <w:sz w:val="22"/>
          <w:szCs w:val="22"/>
          <w:i w:val="1"/>
          <w:iCs w:val="1"/>
          <w:color w:val="auto"/>
        </w:rPr>
        <w:t>Term Loan Commitment</w:t>
      </w:r>
      <w:r>
        <w:rPr>
          <w:rFonts w:ascii="Times New Roman" w:cs="Times New Roman" w:eastAsia="Times New Roman" w:hAnsi="Times New Roman"/>
          <w:sz w:val="22"/>
          <w:szCs w:val="22"/>
          <w:color w:val="auto"/>
        </w:rPr>
        <w:t>” of a Lender shall remain in effect until the Term Loans have been funded in full in accordance with this Agreement.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shall have the meaning given to such term in Section 2.20(a).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shall mean 0.750% per annum.</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shall mean the Commodity Exchange Act (7 U.S.C. §1 et seq.), as amended from time to time, and any successor statute.</w:t>
      </w:r>
    </w:p>
    <w:p>
      <w:pPr>
        <w:spacing w:after="0" w:line="149"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Commuter Slot</w:t>
      </w:r>
      <w:r>
        <w:rPr>
          <w:rFonts w:ascii="Times New Roman" w:cs="Times New Roman" w:eastAsia="Times New Roman" w:hAnsi="Times New Roman"/>
          <w:sz w:val="22"/>
          <w:szCs w:val="22"/>
          <w:color w:val="auto"/>
        </w:rPr>
        <w:t>” shall mean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w:t>
      </w:r>
    </w:p>
    <w:p>
      <w:pPr>
        <w:spacing w:after="0" w:line="16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continuation notices, the applicability and length of lookback periods, the applicability of Section 2.14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each case, in consultation with the Borrower, in such other manner of administration as the Administrative Agent, in consultation with the Borrower, decides is reasonably necessary in connection with the administration of this Agreement and the other Loan Documents).</w:t>
      </w:r>
    </w:p>
    <w:p>
      <w:pPr>
        <w:spacing w:after="0" w:line="19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EBITDAR</w:t>
      </w:r>
      <w:r>
        <w:rPr>
          <w:rFonts w:ascii="Times New Roman" w:cs="Times New Roman" w:eastAsia="Times New Roman" w:hAnsi="Times New Roman"/>
          <w:sz w:val="22"/>
          <w:szCs w:val="22"/>
          <w:color w:val="auto"/>
        </w:rPr>
        <w:t>” shall mean, with respect to any specified Person for any period, the Consolidated Net Income of such Person for such period plus, without duplication:</w:t>
      </w:r>
    </w:p>
    <w:p>
      <w:pPr>
        <w:spacing w:after="0" w:line="153" w:lineRule="exact"/>
        <w:rPr>
          <w:sz w:val="20"/>
          <w:szCs w:val="20"/>
          <w:color w:val="auto"/>
        </w:rPr>
      </w:pPr>
    </w:p>
    <w:p>
      <w:pPr>
        <w:jc w:val="both"/>
        <w:ind w:left="660" w:firstLine="644"/>
        <w:spacing w:after="0" w:line="257" w:lineRule="auto"/>
        <w:tabs>
          <w:tab w:leader="none" w:pos="181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any extraordinary loss plus any net loss realized by such Person or any of its Restricted Subsidiaries in connection with any Disposition of assets, to the extent such losses were deducted in computing such Consolidated Net Income; plus</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83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for taxes based on income or profits of such Person and its Restricted Subsidiaries, to the extent that such provision for taxes was deducted in computing such Consolidated Net Income; plus</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79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Charges of such Person and its Restricted Subsidiaries, to the extent that such Fixed Charges were deducted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7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currency translation losses (including losses related to currency remeasurements of Indebtedness) of such Person and its Restricted Subsidiaries for such period, to the extent that such losses were deducted in computing such Consolidated Net Income; plus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00" w:lineRule="exact"/>
        <w:rPr>
          <w:sz w:val="20"/>
          <w:szCs w:val="20"/>
          <w:color w:val="auto"/>
        </w:rPr>
      </w:pPr>
    </w:p>
    <w:p>
      <w:pPr>
        <w:spacing w:after="0" w:line="322" w:lineRule="exact"/>
        <w:rPr>
          <w:sz w:val="20"/>
          <w:szCs w:val="20"/>
          <w:color w:val="auto"/>
        </w:rPr>
      </w:pPr>
    </w:p>
    <w:p>
      <w:pPr>
        <w:ind w:left="660" w:firstLine="644"/>
        <w:spacing w:after="0" w:line="271" w:lineRule="auto"/>
        <w:tabs>
          <w:tab w:leader="none" w:pos="190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amortization of debt discount to the extent that such amortization was deducted in computing such Consolidated Net Income; plus</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0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deductions for grants to any employee of Parent or its Restricted Subsidiaries of any Equity Interests during such period to the extent deducted in computing such Consolidated Net Income; plus</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w:t>
      </w:r>
    </w:p>
    <w:p>
      <w:pPr>
        <w:spacing w:after="0" w:line="192"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86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206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from business interruption insurance for such period, to the extent not already included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plus</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5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items, other than the accrual of revenue in the Ordinary Course of Business, to the extent such amount increased such Consolidated Net Income; minus</w:t>
      </w:r>
    </w:p>
    <w:p>
      <w:pPr>
        <w:spacing w:after="0" w:line="17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income tax credits and (B) interest income included in computing such Consolidated Net</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determined on a consolidated basis in accordance with GAAP.</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Income</w:t>
      </w:r>
      <w:r>
        <w:rPr>
          <w:rFonts w:ascii="Times New Roman" w:cs="Times New Roman" w:eastAsia="Times New Roman" w:hAnsi="Times New Roman"/>
          <w:sz w:val="22"/>
          <w:szCs w:val="22"/>
          <w:color w:val="auto"/>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9" w:lineRule="auto"/>
        <w:tabs>
          <w:tab w:leader="none" w:pos="1875"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AMR/US Airways Merger and Parent’s reorganization plan);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(including the notes), Permitted Investments, acquisitions, dispositions, recapitalizations or incurrences or repayments of Indebtedness permitted hereunder, including a refinancing thereof (in each case whether or not successful) (including but not limited to any one or more of the AMR/US Airways Merger, any Airlines Merger and any Airline/Parent Merger) and</w:t>
      </w:r>
    </w:p>
    <w:p>
      <w:pPr>
        <w:spacing w:after="0" w:line="5" w:lineRule="exact"/>
        <w:rPr>
          <w:rFonts w:ascii="Times New Roman" w:cs="Times New Roman" w:eastAsia="Times New Roman" w:hAnsi="Times New Roman"/>
          <w:sz w:val="21"/>
          <w:szCs w:val="21"/>
          <w:color w:val="auto"/>
        </w:rPr>
      </w:pPr>
    </w:p>
    <w:p>
      <w:pPr>
        <w:jc w:val="both"/>
        <w:ind w:left="660" w:hanging="4"/>
        <w:spacing w:after="0" w:line="245" w:lineRule="auto"/>
        <w:tabs>
          <w:tab w:leader="none" w:pos="96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801"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53" w:lineRule="auto"/>
        <w:tabs>
          <w:tab w:leader="none" w:pos="1808"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on such Person will be excluded;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4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of non-cash gains and losses of such Person resulting from Hedging Obligations, including attributable to movement in the mark-to-market valuation of Hedging Obligations pursuant to Financial Accounting Standards Board Statement No. 133 will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0" w:lineRule="exact"/>
        <w:rPr>
          <w:sz w:val="20"/>
          <w:szCs w:val="20"/>
          <w:color w:val="auto"/>
        </w:rPr>
      </w:pPr>
    </w:p>
    <w:p>
      <w:pPr>
        <w:spacing w:after="0" w:line="322" w:lineRule="exact"/>
        <w:rPr>
          <w:sz w:val="20"/>
          <w:szCs w:val="20"/>
          <w:color w:val="auto"/>
        </w:rPr>
      </w:pPr>
    </w:p>
    <w:p>
      <w:pPr>
        <w:ind w:left="660" w:firstLine="644"/>
        <w:spacing w:after="0" w:line="271" w:lineRule="auto"/>
        <w:tabs>
          <w:tab w:leader="none" w:pos="185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expense recorded from grants by such Person of stock appreciation or similar rights, stock options or other rights to officers, directors or employees, will be excluded;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7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 Property, Plant and Equipment and 805—Business Combinations (excluding any such non-cash item to the extent that it represents an accrual of or reserve for cash expenditures in any future period except to the extent such item is subsequently reversed), will be excluded;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16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Tangible Assets</w:t>
      </w:r>
      <w:r>
        <w:rPr>
          <w:rFonts w:ascii="Times New Roman" w:cs="Times New Roman" w:eastAsia="Times New Roman" w:hAnsi="Times New Roman"/>
          <w:sz w:val="22"/>
          <w:szCs w:val="22"/>
          <w:color w:val="auto"/>
        </w:rPr>
        <w:t>”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Assets</w:t>
      </w:r>
      <w:r>
        <w:rPr>
          <w:rFonts w:ascii="Times New Roman" w:cs="Times New Roman" w:eastAsia="Times New Roman" w:hAnsi="Times New Roman"/>
          <w:sz w:val="22"/>
          <w:szCs w:val="22"/>
          <w:color w:val="auto"/>
        </w:rPr>
        <w:t>” shall mean, as of any date of determination, the sum of the amounts that would appear on a consolidated balance sheet of Parent and its consolidated Restricted Subsidiaries as the total assets of Parent and its Restricted Subsidiaries in accordance with GAAP.</w:t>
      </w:r>
    </w:p>
    <w:p>
      <w:pPr>
        <w:spacing w:after="0" w:line="16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Convertible Indebtedness</w:t>
      </w:r>
      <w:r>
        <w:rPr>
          <w:rFonts w:ascii="Times New Roman" w:cs="Times New Roman" w:eastAsia="Times New Roman" w:hAnsi="Times New Roman"/>
          <w:sz w:val="22"/>
          <w:szCs w:val="22"/>
          <w:color w:val="auto"/>
        </w:rPr>
        <w:t>” shall mean Indebtedness of Parent or a Restricted Subsidiary of Parent permitted to be incurred under the terms of this Agreement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parent company of the issuer and/or cash (in an amount determined by reference to the price of such common stock).</w:t>
      </w:r>
    </w:p>
    <w:p>
      <w:pPr>
        <w:spacing w:after="0" w:line="21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Core Collateral</w:t>
      </w:r>
      <w:r>
        <w:rPr>
          <w:rFonts w:ascii="Times New Roman" w:cs="Times New Roman" w:eastAsia="Times New Roman" w:hAnsi="Times New Roman"/>
          <w:sz w:val="22"/>
          <w:szCs w:val="22"/>
          <w:color w:val="auto"/>
        </w:rPr>
        <w:t>” shall mean (1)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w:t>
      </w:r>
    </w:p>
    <w:p>
      <w:pPr>
        <w:spacing w:after="0" w:line="19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Notwithstanding the foregoing, with respect to any Route Authorities and all related Foreign Slots and Foreign Gate Leaseholds constituting all or any portion of Core Collateral, if any change in applicable law, rule, regulation or treaty or any change in interpretation thereof, in each case, arising following the Closing Date (a “Collateral Change in Law”), would result in any Route Authority (or portion thereof) becoming part of or replaced by any route authority that constitutes collateral for Indebtedness pursuant to any grant of security made by such Grantor prior to the Closing Date and prior to such Collateral Change in Law (a “Collateral Conflict”), then Core Collateral shall be deemed to exclude such Route Authority (or portion thereof) and all related Foreign Slots and Foreign Gate Leaseholds so long as after giving pro forma effect to such exclusion (and giving effect to the inclusion of any Additional Collateral and the prepayment or redemption of any Pari Passu Lien Debt), no Collateral Coverage Ratio Failure shall have occurred.</w:t>
      </w:r>
    </w:p>
    <w:p>
      <w:pPr>
        <w:spacing w:after="0" w:line="18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Core Collateral Failure</w:t>
      </w:r>
      <w:r>
        <w:rPr>
          <w:rFonts w:ascii="Times New Roman" w:cs="Times New Roman" w:eastAsia="Times New Roman" w:hAnsi="Times New Roman"/>
          <w:sz w:val="22"/>
          <w:szCs w:val="22"/>
          <w:color w:val="auto"/>
        </w:rPr>
        <w:t>” shall mean, as of any date of determination, the failure of the Collateral to include the Core Collateral as of such date.</w:t>
      </w:r>
    </w:p>
    <w:p>
      <w:pPr>
        <w:spacing w:after="0" w:line="16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Credit Facilities</w:t>
      </w:r>
      <w:r>
        <w:rPr>
          <w:rFonts w:ascii="Times New Roman" w:cs="Times New Roman" w:eastAsia="Times New Roman" w:hAnsi="Times New Roman"/>
          <w:sz w:val="22"/>
          <w:szCs w:val="22"/>
          <w:color w:val="auto"/>
        </w:rPr>
        <w:t>”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DCA</w:t>
      </w:r>
      <w:r>
        <w:rPr>
          <w:rFonts w:ascii="Times New Roman" w:cs="Times New Roman" w:eastAsia="Times New Roman" w:hAnsi="Times New Roman"/>
          <w:sz w:val="22"/>
          <w:szCs w:val="22"/>
          <w:color w:val="auto"/>
        </w:rPr>
        <w:t>” shall mean Ronald Reagan Washington National Airport, Washington D.C.</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shall mean any event that, unless cured or waived, is, or with the passage of time or the giving of notice or both would be, an Event of Default.</w:t>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Defaulting Lender</w:t>
      </w:r>
      <w:r>
        <w:rPr>
          <w:rFonts w:ascii="Times New Roman" w:cs="Times New Roman" w:eastAsia="Times New Roman" w:hAnsi="Times New Roman"/>
          <w:sz w:val="21"/>
          <w:szCs w:val="21"/>
          <w:color w:val="auto"/>
        </w:rPr>
        <w:t xml:space="preserve">” shall mean, at any time, subject to Section 2.26(i), (a) any Lender (including any Agent in its capacity as Lender) that has failed, within two (2) Business Days from the date required to be funded or paid by it hereunder, to fund or pay (x) any portion of the Revolving 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 (i) under this Agreement (unless such notification or public statement relates to such Lender’s obligation to fund a Borrowing hereunder and states that such position is based on such Lender’s determination that a condition to funding (which condition,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Borrowers or (d) any Agent or any Lender that has become, or has had its Parent Company become, the subject of a Bankruptcy Event or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2.26(i)) upon notification of such determination by the Administrative Agent to the Borrower and the Lenders.</w:t>
      </w:r>
    </w:p>
    <w:p>
      <w:pPr>
        <w:spacing w:after="0" w:line="21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Banking Product Agreement</w:t>
      </w:r>
      <w:r>
        <w:rPr>
          <w:rFonts w:ascii="Times New Roman" w:cs="Times New Roman" w:eastAsia="Times New Roman" w:hAnsi="Times New Roman"/>
          <w:sz w:val="21"/>
          <w:szCs w:val="21"/>
          <w:color w:val="auto"/>
        </w:rPr>
        <w:t xml:space="preserve">” shall mean any agreement evidencing Designated Banking Product Obligations entered into by Parent or the Borrower and any Person that, at the time such Person entered into such agreement, was a Revolving Lender or a banking Affiliate of a Revolving Lender, in each case designated by the relevant Lender and Parent or the Borrower, by written notice to the Administrative Agent, as a “Designated Banking Product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any Revolving Lender is a Defaulting Lender, such Revolving Lender shall not have any rights hereunder with respect to any Designated Banking Product Agreement entered into while such Revolving Lender was a Defaulting Lender.</w:t>
      </w:r>
    </w:p>
    <w:p>
      <w:pPr>
        <w:spacing w:after="0" w:line="16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Banking Product Obligations</w:t>
      </w:r>
      <w:r>
        <w:rPr>
          <w:rFonts w:ascii="Times New Roman" w:cs="Times New Roman" w:eastAsia="Times New Roman" w:hAnsi="Times New Roman"/>
          <w:sz w:val="22"/>
          <w:szCs w:val="22"/>
          <w:color w:val="auto"/>
        </w:rPr>
        <w:t xml:space="preserve">” shall mean any Banking Product Obligations, in each case as designated by any Revolving Lender (or a banking Affiliate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Revolving Lender (or such banking Affiliate) that its security interest in the Collateral securing such Designated Banking Product Obligations shall be subject to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w:t>
      </w:r>
    </w:p>
    <w:p>
      <w:pPr>
        <w:spacing w:after="0" w:line="18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Hedging Agreement</w:t>
      </w:r>
      <w:r>
        <w:rPr>
          <w:rFonts w:ascii="Times New Roman" w:cs="Times New Roman" w:eastAsia="Times New Roman" w:hAnsi="Times New Roman"/>
          <w:sz w:val="21"/>
          <w:szCs w:val="21"/>
          <w:color w:val="auto"/>
        </w:rPr>
        <w:t xml:space="preserve">” shall mean any Hedging Agreement entered into by Parent or the Borrower and any Person that, at the time such Person entered into such Hedging Agreement, was a Revolving Lender or an Affiliate of a Revolving Lender, as designated by the relevant Lender (or Affiliate of a Lender) and Parent or the Borrower, by written notice to the Administrative Agent, as a “Designated Hedging Agreement,” which notice shall include a copy of an agreement providing for (i) a methodology agreed to by Parent or the Borrower, such Revolving Lender or Affiliate of a Revolving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Revolving Lender or Affiliate of a Revolving Lender that its security interest in the Collateral securing such Designated Hedging Obligations shall be subject to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giving effect to such designation, the aggregate agreed-upon maximum amount of all “Designated Hedging Obligations” included as Obligations, together with the aggregate agreed-upon maximum amount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00" w:lineRule="exact"/>
        <w:rPr>
          <w:sz w:val="20"/>
          <w:szCs w:val="20"/>
          <w:color w:val="auto"/>
        </w:rPr>
      </w:pPr>
    </w:p>
    <w:p>
      <w:pPr>
        <w:spacing w:after="0" w:line="3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“Designated Banking Product Obligations” included as Obligations, shall not exceed $100,000,000 in the aggregate;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so long as any Revolving Lender is a Defaulting Lender, such Revolving Lender shall not have any rights hereunder with respect to any Designated Hedging Agreement entered into while such Revolving Lender was a Defaulting Lender.</w:t>
      </w:r>
    </w:p>
    <w:p>
      <w:pPr>
        <w:spacing w:after="0" w:line="165"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Hedging Obligations</w:t>
      </w:r>
      <w:r>
        <w:rPr>
          <w:rFonts w:ascii="Times New Roman" w:cs="Times New Roman" w:eastAsia="Times New Roman" w:hAnsi="Times New Roman"/>
          <w:sz w:val="21"/>
          <w:szCs w:val="21"/>
          <w:color w:val="auto"/>
        </w:rPr>
        <w:t>”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Disposition</w:t>
      </w:r>
      <w:r>
        <w:rPr>
          <w:rFonts w:ascii="Times New Roman" w:cs="Times New Roman" w:eastAsia="Times New Roman" w:hAnsi="Times New Roman"/>
          <w:sz w:val="22"/>
          <w:szCs w:val="22"/>
          <w:color w:val="auto"/>
        </w:rPr>
        <w:t>” shall mean, with respect to any property, any sale, lease, sale and leaseback, conveyance, transfer or other disposition thereof; provided, that none of the circumstances described in the last sentence of Section 6.04 shall constitute a “Disposition”. The terms “Dispose” and “Disposed of” shall have correlative meanings.</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Institution</w:t>
      </w:r>
      <w:r>
        <w:rPr>
          <w:rFonts w:ascii="Times New Roman" w:cs="Times New Roman" w:eastAsia="Times New Roman" w:hAnsi="Times New Roman"/>
          <w:sz w:val="22"/>
          <w:szCs w:val="22"/>
          <w:color w:val="auto"/>
        </w:rPr>
        <w:t>” shall mean (a) any Person identified in writing to the Joint Lead Arrangers and Bookrunners on or prior to the Seventh Amendment Effective Date and (b) any Person that is or becomes a competitor of the Borrower and is designated by the Borrower as such in a writing provided to the Administrative Agent after the Prior Restatement Effective Date.</w:t>
      </w:r>
    </w:p>
    <w:p>
      <w:pPr>
        <w:spacing w:after="0" w:line="16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Stock</w:t>
      </w:r>
      <w:r>
        <w:rPr>
          <w:rFonts w:ascii="Times New Roman" w:cs="Times New Roman" w:eastAsia="Times New Roman" w:hAnsi="Times New Roman"/>
          <w:sz w:val="22"/>
          <w:szCs w:val="22"/>
          <w:color w:val="auto"/>
        </w:rPr>
        <w:t>”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shall mean lawful money of the United States.</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Subsidiary</w:t>
      </w:r>
      <w:r>
        <w:rPr>
          <w:rFonts w:ascii="Times New Roman" w:cs="Times New Roman" w:eastAsia="Times New Roman" w:hAnsi="Times New Roman"/>
          <w:sz w:val="22"/>
          <w:szCs w:val="22"/>
          <w:color w:val="auto"/>
        </w:rPr>
        <w:t>”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DOT</w:t>
      </w:r>
      <w:r>
        <w:rPr>
          <w:rFonts w:ascii="Times New Roman" w:cs="Times New Roman" w:eastAsia="Times New Roman" w:hAnsi="Times New Roman"/>
          <w:sz w:val="22"/>
          <w:szCs w:val="22"/>
          <w:color w:val="auto"/>
        </w:rPr>
        <w:t>” shall mean the United States Department of Transportation and any successor thereto.</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Dutch Auction</w:t>
      </w:r>
      <w:r>
        <w:rPr>
          <w:rFonts w:ascii="Times New Roman" w:cs="Times New Roman" w:eastAsia="Times New Roman" w:hAnsi="Times New Roman"/>
          <w:sz w:val="22"/>
          <w:szCs w:val="22"/>
          <w:color w:val="auto"/>
        </w:rPr>
        <w:t>” shall mean an auction of Term Loans conducted pursuant to Section 10.02(g) to allow the Borrower to purchase Term Loans at a discount to par value and on a non-pro rata basis, in each case in accordance with the applicable Dutch Auction Procedures.</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Dutch Auction Procedures</w:t>
      </w:r>
      <w:r>
        <w:rPr>
          <w:rFonts w:ascii="Times New Roman" w:cs="Times New Roman" w:eastAsia="Times New Roman" w:hAnsi="Times New Roman"/>
          <w:sz w:val="22"/>
          <w:szCs w:val="22"/>
          <w:color w:val="auto"/>
        </w:rPr>
        <w:t>” shall mean, with respect to a purchase of Term Loans by the Borrower pursuant to Section 10.02(g), Dutch auction procedures to be reasonably agreed upon by the Borrower and the Administrative Agent in connection with any such purchase.</w:t>
      </w:r>
    </w:p>
    <w:p>
      <w:pPr>
        <w:spacing w:after="0" w:line="16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0"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Eighth Amendment</w:t>
      </w:r>
      <w:r>
        <w:rPr>
          <w:rFonts w:ascii="Times New Roman" w:cs="Times New Roman" w:eastAsia="Times New Roman" w:hAnsi="Times New Roman"/>
          <w:sz w:val="21"/>
          <w:szCs w:val="21"/>
          <w:color w:val="auto"/>
        </w:rPr>
        <w:t>” means the Eighth Amendment to this Credit Agreement, dated as of March 13, 2023, among the Parent, the Borrower, Barclays Bank PLC, as administrative agent and as an issuing lender, and the Lenders party thereto.</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Eighth Amendment Effective Date</w:t>
      </w:r>
      <w:r>
        <w:rPr>
          <w:rFonts w:ascii="Times New Roman" w:cs="Times New Roman" w:eastAsia="Times New Roman" w:hAnsi="Times New Roman"/>
          <w:sz w:val="22"/>
          <w:szCs w:val="22"/>
          <w:color w:val="auto"/>
        </w:rPr>
        <w:t>” shall have the meaning provided in the Eighth Amendment.</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Eligible Assignee</w:t>
      </w:r>
      <w:r>
        <w:rPr>
          <w:rFonts w:ascii="Times New Roman" w:cs="Times New Roman" w:eastAsia="Times New Roman" w:hAnsi="Times New Roman"/>
          <w:sz w:val="21"/>
          <w:szCs w:val="21"/>
          <w:color w:val="auto"/>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assignment of Revolving Commitments, such Affiliate has total assets in excess of $200,000,000, (d) an Approved Fund of any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financial institution has total assets in excess of $200,000,000, and</w:t>
      </w:r>
    </w:p>
    <w:p>
      <w:pPr>
        <w:jc w:val="both"/>
        <w:ind w:firstLine="8"/>
        <w:spacing w:after="0" w:line="246" w:lineRule="auto"/>
        <w:tabs>
          <w:tab w:leader="none" w:pos="35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has occurred and is continuing, no Disqualified Institution shall constitute an Eligible Assignee unless otherwise consented to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as provided in clause (f) above, neither Parent nor any Subsidiary of Parent shall constitute an Eligible Assignee.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Engagement Letter</w:t>
      </w:r>
      <w:r>
        <w:rPr>
          <w:rFonts w:ascii="Times New Roman" w:cs="Times New Roman" w:eastAsia="Times New Roman" w:hAnsi="Times New Roman"/>
          <w:sz w:val="22"/>
          <w:szCs w:val="22"/>
          <w:color w:val="auto"/>
        </w:rPr>
        <w:t>” shall have the meaning set forth in Section 2.19.</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Laws</w:t>
      </w:r>
      <w:r>
        <w:rPr>
          <w:rFonts w:ascii="Times New Roman" w:cs="Times New Roman" w:eastAsia="Times New Roman" w:hAnsi="Times New Roman"/>
          <w:sz w:val="22"/>
          <w:szCs w:val="22"/>
          <w:color w:val="auto"/>
        </w:rPr>
        <w:t>”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0" w:lineRule="exact"/>
        <w:rPr>
          <w:sz w:val="20"/>
          <w:szCs w:val="20"/>
          <w:color w:val="auto"/>
        </w:rPr>
      </w:pPr>
    </w:p>
    <w:p>
      <w:pPr>
        <w:spacing w:after="0" w:line="318"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shall mean any liability (including any liability for damages, natural resource damage, costs of environmental investigation, remediation or monitoring or costs, fines or penalties) resulting from or based upon</w:t>
      </w:r>
    </w:p>
    <w:p>
      <w:pPr>
        <w:spacing w:after="0" w:line="1" w:lineRule="exact"/>
        <w:rPr>
          <w:sz w:val="20"/>
          <w:szCs w:val="20"/>
          <w:color w:val="auto"/>
        </w:rPr>
      </w:pPr>
    </w:p>
    <w:p>
      <w:pPr>
        <w:jc w:val="both"/>
        <w:ind w:firstLine="8"/>
        <w:spacing w:after="0" w:line="249" w:lineRule="auto"/>
        <w:tabs>
          <w:tab w:leader="none" w:pos="32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w:t>
      </w:r>
    </w:p>
    <w:p>
      <w:pPr>
        <w:spacing w:after="0" w:line="17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shall mean Capital Stock and all warrants, options or other rights to acquire Capital Stock (but excluding any debt security that is convertible into, or exchangeable for, Capital Stock).</w:t>
      </w:r>
    </w:p>
    <w:p>
      <w:pPr>
        <w:spacing w:after="0" w:line="16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shall mean the Employee Retirement Income Security Act of 1974, as amended from time to time, and the regulations promulgated thereunder.</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Affiliate</w:t>
      </w:r>
      <w:r>
        <w:rPr>
          <w:rFonts w:ascii="Times New Roman" w:cs="Times New Roman" w:eastAsia="Times New Roman" w:hAnsi="Times New Roman"/>
          <w:sz w:val="22"/>
          <w:szCs w:val="22"/>
          <w:color w:val="auto"/>
        </w:rPr>
        <w:t>”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w:t>
      </w:r>
    </w:p>
    <w:p>
      <w:pPr>
        <w:spacing w:after="0" w:line="16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Escrow Accounts</w:t>
      </w:r>
      <w:r>
        <w:rPr>
          <w:rFonts w:ascii="Times New Roman" w:cs="Times New Roman" w:eastAsia="Times New Roman" w:hAnsi="Times New Roman"/>
          <w:sz w:val="21"/>
          <w:szCs w:val="21"/>
          <w:color w:val="auto"/>
        </w:rPr>
        <w:t>”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w:t>
      </w:r>
    </w:p>
    <w:p>
      <w:pPr>
        <w:spacing w:after="0" w:line="4" w:lineRule="exact"/>
        <w:rPr>
          <w:sz w:val="20"/>
          <w:szCs w:val="20"/>
          <w:color w:val="auto"/>
        </w:rPr>
      </w:pPr>
    </w:p>
    <w:p>
      <w:pPr>
        <w:jc w:val="both"/>
        <w:ind w:firstLine="8"/>
        <w:spacing w:after="0" w:line="252" w:lineRule="auto"/>
        <w:tabs>
          <w:tab w:leader="none" w:pos="27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p>
    <w:p>
      <w:pPr>
        <w:spacing w:after="0" w:line="318"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shall have the meaning set forth in Section 7.01.</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Cash Flow</w:t>
      </w:r>
      <w:r>
        <w:rPr>
          <w:rFonts w:ascii="Times New Roman" w:cs="Times New Roman" w:eastAsia="Times New Roman" w:hAnsi="Times New Roman"/>
          <w:sz w:val="22"/>
          <w:szCs w:val="22"/>
          <w:color w:val="auto"/>
        </w:rPr>
        <w:t>”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Contributions</w:t>
      </w:r>
      <w:r>
        <w:rPr>
          <w:rFonts w:ascii="Times New Roman" w:cs="Times New Roman" w:eastAsia="Times New Roman" w:hAnsi="Times New Roman"/>
          <w:sz w:val="22"/>
          <w:szCs w:val="22"/>
          <w:color w:val="auto"/>
        </w:rPr>
        <w:t>” shall mean net cash proceeds received by Parent after the Closing Date from:</w:t>
      </w:r>
    </w:p>
    <w:p>
      <w:pPr>
        <w:spacing w:after="0" w:line="237" w:lineRule="exact"/>
        <w:rPr>
          <w:sz w:val="20"/>
          <w:szCs w:val="20"/>
          <w:color w:val="auto"/>
        </w:rPr>
      </w:pPr>
    </w:p>
    <w:p>
      <w:pPr>
        <w:ind w:left="1780" w:hanging="476"/>
        <w:spacing w:after="0"/>
        <w:tabs>
          <w:tab w:leader="none" w:pos="17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to its common equity capital (other than from any Subsidiary); or</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7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(other than to a Subsidiary or to any management equity plan or stock option plan or any other management or employee benefit plan or agreement of Parent or any Subsidiary) of Qualifying Equity Interests,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Information</w:t>
      </w:r>
      <w:r>
        <w:rPr>
          <w:rFonts w:ascii="Times New Roman" w:cs="Times New Roman" w:eastAsia="Times New Roman" w:hAnsi="Times New Roman"/>
          <w:sz w:val="22"/>
          <w:szCs w:val="22"/>
          <w:color w:val="auto"/>
        </w:rPr>
        <w:t>” shall have the meaning set forth in Section 10.02(g).</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Subsidiary</w:t>
      </w:r>
      <w:r>
        <w:rPr>
          <w:rFonts w:ascii="Times New Roman" w:cs="Times New Roman" w:eastAsia="Times New Roman" w:hAnsi="Times New Roman"/>
          <w:sz w:val="22"/>
          <w:szCs w:val="22"/>
          <w:color w:val="auto"/>
        </w:rPr>
        <w:t>” shall mean each Subsidiary of Parent (1) that is a captive insurance company, (2) that is formed or exists for purposes relating to the investment in one or more tranches of Indebtedness of any other Subsidiary, other tranches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p>
    <w:p>
      <w:pPr>
        <w:spacing w:after="0" w:line="3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(9) AWHQ LLC or (10) US Airways Company Store LLC.</w:t>
      </w:r>
    </w:p>
    <w:p>
      <w:pPr>
        <w:spacing w:after="0" w:line="18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Swap Obligation</w:t>
      </w:r>
      <w:r>
        <w:rPr>
          <w:rFonts w:ascii="Times New Roman" w:cs="Times New Roman" w:eastAsia="Times New Roman" w:hAnsi="Times New Roman"/>
          <w:sz w:val="21"/>
          <w:szCs w:val="21"/>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Taxes</w:t>
      </w:r>
      <w:r>
        <w:rPr>
          <w:rFonts w:ascii="Times New Roman" w:cs="Times New Roman" w:eastAsia="Times New Roman" w:hAnsi="Times New Roman"/>
          <w:sz w:val="22"/>
          <w:szCs w:val="22"/>
          <w:color w:val="auto"/>
        </w:rPr>
        <w:t>”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w:t>
      </w:r>
    </w:p>
    <w:p>
      <w:pPr>
        <w:spacing w:after="0" w:line="1" w:lineRule="exact"/>
        <w:rPr>
          <w:sz w:val="20"/>
          <w:szCs w:val="20"/>
          <w:color w:val="auto"/>
        </w:rPr>
      </w:pPr>
    </w:p>
    <w:p>
      <w:pPr>
        <w:jc w:val="both"/>
        <w:ind w:firstLine="8"/>
        <w:spacing w:after="0" w:line="258" w:lineRule="auto"/>
        <w:tabs>
          <w:tab w:leader="none" w:pos="26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imposed by the United States or any political subdivision thereof or by the jurisdiction under the laws of which such recipient is organized or in which its principal office is located or, in the case of any Lender, in which its applicable lending office is located or (ii) 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Indebtedness</w:t>
      </w:r>
      <w:r>
        <w:rPr>
          <w:rFonts w:ascii="Times New Roman" w:cs="Times New Roman" w:eastAsia="Times New Roman" w:hAnsi="Times New Roman"/>
          <w:sz w:val="22"/>
          <w:szCs w:val="22"/>
          <w:color w:val="auto"/>
        </w:rPr>
        <w:t>” shall mean all Indebtedness of Parent and its Subsidiaries in existence on the Closing Date, until such amounts are repaid.</w:t>
      </w:r>
    </w:p>
    <w:p>
      <w:pPr>
        <w:spacing w:after="0" w:line="14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b w:val="1"/>
          <w:bCs w:val="1"/>
          <w:i w:val="1"/>
          <w:iCs w:val="1"/>
          <w:color w:val="FF0000"/>
          <w:strike w:val="1"/>
        </w:rPr>
        <w:t>Existing Revolving Commitment</w:t>
      </w:r>
      <w:r>
        <w:rPr>
          <w:rFonts w:ascii="Times New Roman" w:cs="Times New Roman" w:eastAsia="Times New Roman" w:hAnsi="Times New Roman"/>
          <w:sz w:val="22"/>
          <w:szCs w:val="22"/>
          <w:b w:val="1"/>
          <w:bCs w:val="1"/>
          <w:color w:val="FF0000"/>
          <w:strike w:val="1"/>
        </w:rPr>
        <w:t xml:space="preserve">” means, with respect to any Lender, its Revolving Commitments in an aggregate amount set forth under “Existing Revolving Commitment” opposite its name in </w:t>
      </w:r>
      <w:r>
        <w:rPr>
          <w:rFonts w:ascii="Times New Roman" w:cs="Times New Roman" w:eastAsia="Times New Roman" w:hAnsi="Times New Roman"/>
          <w:sz w:val="22"/>
          <w:szCs w:val="22"/>
          <w:b w:val="1"/>
          <w:bCs w:val="1"/>
          <w:u w:val="single" w:color="auto"/>
          <w:color w:val="FF0000"/>
          <w:strike w:val="1"/>
        </w:rPr>
        <w:t>Annex A</w:t>
      </w:r>
      <w:r>
        <w:rPr>
          <w:rFonts w:ascii="Times New Roman" w:cs="Times New Roman" w:eastAsia="Times New Roman" w:hAnsi="Times New Roman"/>
          <w:sz w:val="22"/>
          <w:szCs w:val="22"/>
          <w:b w:val="1"/>
          <w:bCs w:val="1"/>
          <w:color w:val="FF0000"/>
          <w:strike w:val="1"/>
        </w:rPr>
        <w: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Revolving Commitment</w:t>
      </w:r>
      <w:r>
        <w:rPr>
          <w:rFonts w:ascii="Times New Roman" w:cs="Times New Roman" w:eastAsia="Times New Roman" w:hAnsi="Times New Roman"/>
          <w:sz w:val="22"/>
          <w:szCs w:val="22"/>
          <w:color w:val="auto"/>
        </w:rPr>
        <w:t>” shall have the meaning set forth in Section 2.28(b)(ii).</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Term Loan</w:t>
      </w:r>
      <w:r>
        <w:rPr>
          <w:rFonts w:ascii="Times New Roman" w:cs="Times New Roman" w:eastAsia="Times New Roman" w:hAnsi="Times New Roman"/>
          <w:sz w:val="22"/>
          <w:szCs w:val="22"/>
          <w:color w:val="auto"/>
        </w:rPr>
        <w:t>” shall have the meaning set forth in Section 2.28(a)(ii).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w:t>
      </w:r>
      <w:r>
        <w:rPr>
          <w:rFonts w:ascii="Times New Roman" w:cs="Times New Roman" w:eastAsia="Times New Roman" w:hAnsi="Times New Roman"/>
          <w:sz w:val="22"/>
          <w:szCs w:val="22"/>
          <w:color w:val="auto"/>
        </w:rPr>
        <w:t>” shall mean a Term Loan Extension or a Revolver Extension, as the case may be.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Amendment</w:t>
      </w:r>
      <w:r>
        <w:rPr>
          <w:rFonts w:ascii="Times New Roman" w:cs="Times New Roman" w:eastAsia="Times New Roman" w:hAnsi="Times New Roman"/>
          <w:sz w:val="22"/>
          <w:szCs w:val="22"/>
          <w:color w:val="auto"/>
        </w:rPr>
        <w:t>” shall have the meaning set forth in Section 2.28(d).</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 Credit</w:t>
      </w:r>
      <w:r>
        <w:rPr>
          <w:rFonts w:ascii="Times New Roman" w:cs="Times New Roman" w:eastAsia="Times New Roman" w:hAnsi="Times New Roman"/>
          <w:sz w:val="22"/>
          <w:szCs w:val="22"/>
          <w:color w:val="auto"/>
        </w:rPr>
        <w:t>” shall mean, as to any Lender, the making of a Loan, or the issuance of, or participation in, a Letter of Credit by such Lender.</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Offer</w:t>
      </w:r>
      <w:r>
        <w:rPr>
          <w:rFonts w:ascii="Times New Roman" w:cs="Times New Roman" w:eastAsia="Times New Roman" w:hAnsi="Times New Roman"/>
          <w:sz w:val="22"/>
          <w:szCs w:val="22"/>
          <w:color w:val="auto"/>
        </w:rPr>
        <w:t>” shall mean a Term Loan Extension Offer or a Revolver Extension Offer, as the case may be.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w:t>
      </w:r>
      <w:r>
        <w:rPr>
          <w:rFonts w:ascii="Times New Roman" w:cs="Times New Roman" w:eastAsia="Times New Roman" w:hAnsi="Times New Roman"/>
          <w:sz w:val="22"/>
          <w:szCs w:val="22"/>
          <w:color w:val="auto"/>
        </w:rPr>
        <w:t>” shall mean the Federal Aviation Administration of the United States and any successor thereto.</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 Route Slot</w:t>
      </w:r>
      <w:r>
        <w:rPr>
          <w:rFonts w:ascii="Times New Roman" w:cs="Times New Roman" w:eastAsia="Times New Roman" w:hAnsi="Times New Roman"/>
          <w:sz w:val="22"/>
          <w:szCs w:val="22"/>
          <w:color w:val="auto"/>
        </w:rPr>
        <w:t>”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32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excluding any FAA Slot that was obtained by any Person from another air carrier pursuant to an agreement (including but not limited to a loan agreement, lease agreement or a slot release agreement) and is held by such Person on a temporary basis.</w:t>
      </w:r>
    </w:p>
    <w:p>
      <w:pPr>
        <w:spacing w:after="0" w:line="15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 Slot</w:t>
      </w:r>
      <w:r>
        <w:rPr>
          <w:rFonts w:ascii="Times New Roman" w:cs="Times New Roman" w:eastAsia="Times New Roman" w:hAnsi="Times New Roman"/>
          <w:sz w:val="22"/>
          <w:szCs w:val="22"/>
          <w:color w:val="auto"/>
        </w:rPr>
        <w:t>”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 shall mean each of the Revolving Facility and the Term Loan Facility.</w:t>
      </w:r>
    </w:p>
    <w:p>
      <w:pPr>
        <w:spacing w:after="0" w:line="23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Fair Market Value</w:t>
      </w:r>
      <w:r>
        <w:rPr>
          <w:rFonts w:ascii="Times New Roman" w:cs="Times New Roman" w:eastAsia="Times New Roman" w:hAnsi="Times New Roman"/>
          <w:sz w:val="22"/>
          <w:szCs w:val="22"/>
          <w:color w:val="auto"/>
        </w:rPr>
        <w:t xml:space="preserve">”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FASB</w:t>
      </w:r>
      <w:r>
        <w:rPr>
          <w:rFonts w:ascii="Times New Roman" w:cs="Times New Roman" w:eastAsia="Times New Roman" w:hAnsi="Times New Roman"/>
          <w:sz w:val="22"/>
          <w:szCs w:val="22"/>
          <w:color w:val="auto"/>
        </w:rPr>
        <w:t>” shall mean the Financial Accounting Standards Board.</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w:t>
      </w:r>
    </w:p>
    <w:p>
      <w:pPr>
        <w:spacing w:after="0" w:line="17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Funds Effective Rate</w:t>
      </w:r>
      <w:r>
        <w:rPr>
          <w:rFonts w:ascii="Times New Roman" w:cs="Times New Roman" w:eastAsia="Times New Roman" w:hAnsi="Times New Roman"/>
          <w:sz w:val="22"/>
          <w:szCs w:val="22"/>
          <w:color w:val="auto"/>
        </w:rPr>
        <w:t xml:space="preserve">”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Federal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Rate shall be less than zero, such rate shall be deemed to be zero for purposes of this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shall have the meaning set forth in Section 2.19.</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Fees</w:t>
      </w:r>
      <w:r>
        <w:rPr>
          <w:rFonts w:ascii="Times New Roman" w:cs="Times New Roman" w:eastAsia="Times New Roman" w:hAnsi="Times New Roman"/>
          <w:sz w:val="22"/>
          <w:szCs w:val="22"/>
          <w:color w:val="auto"/>
        </w:rPr>
        <w:t>” shall collectively mean the Commitment Fees, the Letter of Credit Fees and other fees referred to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2.19.</w:t>
      </w:r>
    </w:p>
    <w:p>
      <w:pPr>
        <w:spacing w:after="0" w:line="19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w:t>
      </w:r>
      <w:r>
        <w:rPr>
          <w:rFonts w:ascii="Times New Roman" w:cs="Times New Roman" w:eastAsia="Times New Roman" w:hAnsi="Times New Roman"/>
          <w:sz w:val="22"/>
          <w:szCs w:val="22"/>
          <w:color w:val="auto"/>
        </w:rPr>
        <w:t>” means the Fifth Amendment to the Prior Credit Agreement, dated as of December 10, 2018 among the Borrower, Deutsche Bank AG New York Branch, as administrative agent and as an issuing lender and the Lenders party thereto.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Effective Date</w:t>
      </w:r>
      <w:r>
        <w:rPr>
          <w:rFonts w:ascii="Times New Roman" w:cs="Times New Roman" w:eastAsia="Times New Roman" w:hAnsi="Times New Roman"/>
          <w:sz w:val="22"/>
          <w:szCs w:val="22"/>
          <w:color w:val="auto"/>
        </w:rPr>
        <w:t>” shall have the meaning provided in the Fifth Amendment.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Extended Revolving Commitments</w:t>
      </w:r>
      <w:r>
        <w:rPr>
          <w:rFonts w:ascii="Times New Roman" w:cs="Times New Roman" w:eastAsia="Times New Roman" w:hAnsi="Times New Roman"/>
          <w:sz w:val="22"/>
          <w:szCs w:val="22"/>
          <w:color w:val="auto"/>
        </w:rPr>
        <w:t>” means the Revolving Commitments of each Fifth Amendment Extending Revolving Lender.</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Extending Revolving Lender</w:t>
      </w:r>
      <w:r>
        <w:rPr>
          <w:rFonts w:ascii="Times New Roman" w:cs="Times New Roman" w:eastAsia="Times New Roman" w:hAnsi="Times New Roman"/>
          <w:sz w:val="22"/>
          <w:szCs w:val="22"/>
          <w:color w:val="auto"/>
        </w:rPr>
        <w:t>” shall mean each Revolving Lender (including the Fifth Amendment New Revolving Lenders) that has provided a signature page on or prior to December 10, 2018 voting in favor of accepting the Fifth Amendment Extension Offer and extending the Revolving Facility Maturity Date as set forth in the Fifth Amendment.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Extension Offer</w:t>
      </w:r>
      <w:r>
        <w:rPr>
          <w:rFonts w:ascii="Times New Roman" w:cs="Times New Roman" w:eastAsia="Times New Roman" w:hAnsi="Times New Roman"/>
          <w:sz w:val="22"/>
          <w:szCs w:val="22"/>
          <w:color w:val="auto"/>
        </w:rPr>
        <w:t>” means the Extension Offer made pursuant to the Fifth Amendment.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New Revolving Lenders</w:t>
      </w:r>
      <w:r>
        <w:rPr>
          <w:rFonts w:ascii="Times New Roman" w:cs="Times New Roman" w:eastAsia="Times New Roman" w:hAnsi="Times New Roman"/>
          <w:sz w:val="22"/>
          <w:szCs w:val="22"/>
          <w:color w:val="auto"/>
        </w:rPr>
        <w:t>” shall mean each New Revolving Lender (as defined in the Fifth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w:t>
      </w:r>
    </w:p>
    <w:p>
      <w:pPr>
        <w:spacing w:after="0" w:line="192"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Non-Extended Revolving Commitments</w:t>
      </w:r>
      <w:r>
        <w:rPr>
          <w:rFonts w:ascii="Times New Roman" w:cs="Times New Roman" w:eastAsia="Times New Roman" w:hAnsi="Times New Roman"/>
          <w:sz w:val="22"/>
          <w:szCs w:val="22"/>
          <w:color w:val="auto"/>
        </w:rPr>
        <w:t>” means the Revolving Commitments of each Fifth Amendment Non-Extending Revolving Lender.</w:t>
      </w:r>
    </w:p>
    <w:p>
      <w:pPr>
        <w:spacing w:after="0" w:line="13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Non-Extending Revolving Lender</w:t>
      </w:r>
      <w:r>
        <w:rPr>
          <w:rFonts w:ascii="Times New Roman" w:cs="Times New Roman" w:eastAsia="Times New Roman" w:hAnsi="Times New Roman"/>
          <w:sz w:val="22"/>
          <w:szCs w:val="22"/>
          <w:color w:val="auto"/>
        </w:rPr>
        <w:t>” shall mean, Texas Capital Bank, N.A., and any successor or permitted assign of a Fifth Amendment Non-Extending Revolving Lender.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First Amendment</w:t>
      </w:r>
      <w:r>
        <w:rPr>
          <w:rFonts w:ascii="Times New Roman" w:cs="Times New Roman" w:eastAsia="Times New Roman" w:hAnsi="Times New Roman"/>
          <w:sz w:val="21"/>
          <w:szCs w:val="21"/>
          <w:color w:val="auto"/>
        </w:rPr>
        <w:t>” shall mean the First Amendment to the Prior Credit Agreement, dated as of October 26,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Fixed Charges</w:t>
      </w:r>
      <w:r>
        <w:rPr>
          <w:rFonts w:ascii="Times New Roman" w:cs="Times New Roman" w:eastAsia="Times New Roman" w:hAnsi="Times New Roman"/>
          <w:sz w:val="21"/>
          <w:szCs w:val="21"/>
          <w:color w:val="auto"/>
        </w:rPr>
        <w:t>” shall mean, with respect to any specified Person for any period, the sum, without duplication, of:</w:t>
      </w:r>
    </w:p>
    <w:p>
      <w:pPr>
        <w:spacing w:after="0" w:line="235" w:lineRule="exact"/>
        <w:rPr>
          <w:sz w:val="20"/>
          <w:szCs w:val="20"/>
          <w:color w:val="auto"/>
        </w:rPr>
      </w:pPr>
    </w:p>
    <w:p>
      <w:pPr>
        <w:jc w:val="both"/>
        <w:ind w:left="660" w:firstLine="644"/>
        <w:spacing w:after="0" w:line="263" w:lineRule="auto"/>
        <w:tabs>
          <w:tab w:leader="none" w:pos="182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component of leases that are capitalized in accordance with GAAP of such Person and its Restricted Subsidiaries for such period to the extent that such interest component is related to lease payments payable in cash; plus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0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3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7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aircraft rent expense of such Person and its Restricted Subsidiaries for such period to the extent that such aircraft rent expense is payable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as determined on a consolidated basis in accordance with GAAP.</w:t>
      </w:r>
    </w:p>
    <w:p>
      <w:pPr>
        <w:spacing w:after="0" w:line="21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Flight Simulators</w:t>
      </w:r>
      <w:r>
        <w:rPr>
          <w:rFonts w:ascii="Times New Roman" w:cs="Times New Roman" w:eastAsia="Times New Roman" w:hAnsi="Times New Roman"/>
          <w:sz w:val="22"/>
          <w:szCs w:val="22"/>
          <w:color w:val="auto"/>
        </w:rPr>
        <w:t>” shall mean the flight simulators and flight training devices owned by Parent or any of its Restricted Subsidiaries.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Floor</w:t>
      </w:r>
      <w:r>
        <w:rPr>
          <w:rFonts w:ascii="Times New Roman" w:cs="Times New Roman" w:eastAsia="Times New Roman" w:hAnsi="Times New Roman"/>
          <w:sz w:val="22"/>
          <w:szCs w:val="22"/>
          <w:color w:val="auto"/>
        </w:rPr>
        <w:t xml:space="preserve">” means, with respect to Term SOFR Loans, a rate of interest equal to 0.00% </w:t>
      </w:r>
      <w:r>
        <w:rPr>
          <w:rFonts w:ascii="Times New Roman" w:cs="Times New Roman" w:eastAsia="Times New Roman" w:hAnsi="Times New Roman"/>
          <w:sz w:val="22"/>
          <w:szCs w:val="22"/>
          <w:b w:val="1"/>
          <w:bCs w:val="1"/>
          <w:color w:val="0000FF"/>
        </w:rPr>
        <w:t>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-11430</wp:posOffset>
            </wp:positionV>
            <wp:extent cx="712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Flyer Miles Obligations</w:t>
      </w:r>
      <w:r>
        <w:rPr>
          <w:rFonts w:ascii="Times New Roman" w:cs="Times New Roman" w:eastAsia="Times New Roman" w:hAnsi="Times New Roman"/>
          <w:sz w:val="22"/>
          <w:szCs w:val="22"/>
          <w:color w:val="auto"/>
        </w:rPr>
        <w:t>” shall mean, at any date of determination, all payment and performance obligations of the Borrower under any card marketing agreement with respect to credit cards co branded by the Borrower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Aviation Authority</w:t>
      </w:r>
      <w:r>
        <w:rPr>
          <w:rFonts w:ascii="Times New Roman" w:cs="Times New Roman" w:eastAsia="Times New Roman" w:hAnsi="Times New Roman"/>
          <w:sz w:val="22"/>
          <w:szCs w:val="22"/>
          <w:color w:val="auto"/>
        </w:rPr>
        <w:t>” shall have the meaning set forth in the SGR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Gate Leasehold</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Foreign Lender</w:t>
      </w:r>
      <w:r>
        <w:rPr>
          <w:rFonts w:ascii="Times New Roman" w:cs="Times New Roman" w:eastAsia="Times New Roman" w:hAnsi="Times New Roman"/>
          <w:sz w:val="21"/>
          <w:szCs w:val="21"/>
          <w:color w:val="auto"/>
        </w:rPr>
        <w:t>” shall mean any Lender that is not a “United States person” as defined in Section 7701(a)(30)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Code.</w:t>
      </w:r>
    </w:p>
    <w:p>
      <w:pPr>
        <w:spacing w:after="0" w:line="20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Route Slot</w:t>
      </w:r>
      <w:r>
        <w:rPr>
          <w:rFonts w:ascii="Times New Roman" w:cs="Times New Roman" w:eastAsia="Times New Roman" w:hAnsi="Times New Roman"/>
          <w:sz w:val="22"/>
          <w:szCs w:val="22"/>
          <w:color w:val="auto"/>
        </w:rPr>
        <w:t>”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w:t>
      </w:r>
    </w:p>
    <w:p>
      <w:pPr>
        <w:spacing w:after="0" w:line="175"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Slot</w:t>
      </w:r>
      <w:r>
        <w:rPr>
          <w:rFonts w:ascii="Times New Roman" w:cs="Times New Roman" w:eastAsia="Times New Roman" w:hAnsi="Times New Roman"/>
          <w:sz w:val="22"/>
          <w:szCs w:val="22"/>
          <w:color w:val="auto"/>
        </w:rPr>
        <w:t>” shall mean, at any time of determination, in the case of airports outside the United States, the right and operational authority to conduct one landing or take-off operation at a specific time or during a specific time period at such airport.</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w:t>
      </w:r>
      <w:r>
        <w:rPr>
          <w:rFonts w:ascii="Times New Roman" w:cs="Times New Roman" w:eastAsia="Times New Roman" w:hAnsi="Times New Roman"/>
          <w:sz w:val="22"/>
          <w:szCs w:val="22"/>
          <w:color w:val="auto"/>
        </w:rPr>
        <w:t>” shall mean any direct or indirect Subsidiary of Parent that was not formed under the laws of the United States or any state of the United States or the District of Columbia.</w:t>
      </w:r>
    </w:p>
    <w:p>
      <w:pPr>
        <w:spacing w:after="0" w:line="16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w:t>
      </w:r>
    </w:p>
    <w:p>
      <w:pPr>
        <w:spacing w:after="0" w:line="18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Gate Leasehold</w:t>
      </w:r>
      <w:r>
        <w:rPr>
          <w:rFonts w:ascii="Times New Roman" w:cs="Times New Roman" w:eastAsia="Times New Roman" w:hAnsi="Times New Roman"/>
          <w:sz w:val="22"/>
          <w:szCs w:val="22"/>
          <w:color w:val="auto"/>
        </w:rPr>
        <w:t>” shall mean all of the right, title, interest, privilege and authority of any Person to use or occupy space in an airport terminal in connection with the provision of air carrier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Governmental Authority</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Grantor</w:t>
      </w:r>
      <w:r>
        <w:rPr>
          <w:rFonts w:ascii="Times New Roman" w:cs="Times New Roman" w:eastAsia="Times New Roman" w:hAnsi="Times New Roman"/>
          <w:sz w:val="22"/>
          <w:szCs w:val="22"/>
          <w:color w:val="auto"/>
        </w:rPr>
        <w:t>” shall mean the Borrower and any Guarantor that shall at any time pledge Collateral under a Collateral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w:t>
      </w:r>
    </w:p>
    <w:p>
      <w:pPr>
        <w:spacing w:after="0" w:line="20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Ground Service Equipment</w:t>
      </w:r>
      <w:r>
        <w:rPr>
          <w:rFonts w:ascii="Times New Roman" w:cs="Times New Roman" w:eastAsia="Times New Roman" w:hAnsi="Times New Roman"/>
          <w:sz w:val="22"/>
          <w:szCs w:val="22"/>
          <w:color w:val="auto"/>
        </w:rPr>
        <w:t>” shall mean the ground service equipment, de-icers, ground support equipment, aircraft cleaning devices, materials handling equipment, passenger walkways and other similar equipment owned by Parent or any of its Restricted Subsidiaries.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shall mean a guarantee (other than (a) by endorsement of negotiable instruments for collection or</w:t>
      </w:r>
    </w:p>
    <w:p>
      <w:pPr>
        <w:spacing w:after="0" w:line="32" w:lineRule="exact"/>
        <w:rPr>
          <w:sz w:val="20"/>
          <w:szCs w:val="20"/>
          <w:color w:val="auto"/>
        </w:rPr>
      </w:pPr>
    </w:p>
    <w:p>
      <w:pPr>
        <w:jc w:val="both"/>
        <w:ind w:firstLine="8"/>
        <w:spacing w:after="0" w:line="249" w:lineRule="auto"/>
        <w:tabs>
          <w:tab w:leader="none" w:pos="34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Guaranteed Obligations</w:t>
      </w:r>
      <w:r>
        <w:rPr>
          <w:rFonts w:ascii="Times New Roman" w:cs="Times New Roman" w:eastAsia="Times New Roman" w:hAnsi="Times New Roman"/>
          <w:sz w:val="22"/>
          <w:szCs w:val="22"/>
          <w:color w:val="auto"/>
        </w:rPr>
        <w:t>” shall have the meaning set forth in Section 9.01(a).</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 shall mean, collectively, Parent and each Domestic Subsidiary of Parent that becomes a party to the Guaranty pursuant to Section 5.09. As of the Eighth Amendment Effective Date, Parent is the only Guarantor.</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22"/>
          <w:szCs w:val="22"/>
          <w:color w:val="auto"/>
        </w:rPr>
        <w:t>” shall mean the guaranty set forth in Article IX.</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 Obligations</w:t>
      </w:r>
      <w:r>
        <w:rPr>
          <w:rFonts w:ascii="Times New Roman" w:cs="Times New Roman" w:eastAsia="Times New Roman" w:hAnsi="Times New Roman"/>
          <w:sz w:val="22"/>
          <w:szCs w:val="22"/>
          <w:color w:val="auto"/>
        </w:rPr>
        <w:t>” shall have the meaning set forth in Section 9.01(a).</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Agreement</w:t>
      </w:r>
      <w:r>
        <w:rPr>
          <w:rFonts w:ascii="Times New Roman" w:cs="Times New Roman" w:eastAsia="Times New Roman" w:hAnsi="Times New Roman"/>
          <w:sz w:val="22"/>
          <w:szCs w:val="22"/>
          <w:color w:val="auto"/>
        </w:rPr>
        <w:t>” shall mean any agreement evidencing Hedging Obligations.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Hedging Obligations</w:t>
      </w:r>
      <w:r>
        <w:rPr>
          <w:rFonts w:ascii="Times New Roman" w:cs="Times New Roman" w:eastAsia="Times New Roman" w:hAnsi="Times New Roman"/>
          <w:sz w:val="21"/>
          <w:szCs w:val="21"/>
          <w:color w:val="auto"/>
        </w:rPr>
        <w:t>” shall mean, with respect to any Person, all obligations and liabilities of such Person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p>
    <w:p>
      <w:pPr>
        <w:spacing w:after="0" w:line="322" w:lineRule="exact"/>
        <w:rPr>
          <w:sz w:val="20"/>
          <w:szCs w:val="20"/>
          <w:color w:val="auto"/>
        </w:rPr>
      </w:pPr>
    </w:p>
    <w:p>
      <w:pPr>
        <w:ind w:left="660" w:firstLine="644"/>
        <w:spacing w:after="0" w:line="271" w:lineRule="auto"/>
        <w:tabs>
          <w:tab w:leader="none" w:pos="187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and interest rate collar agreements;</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 and</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For the avoidance of doubt, any Permitted Convertible Indebtedness Call Transaction will not constitute Hedging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IATA</w:t>
      </w:r>
      <w:r>
        <w:rPr>
          <w:rFonts w:ascii="Times New Roman" w:cs="Times New Roman" w:eastAsia="Times New Roman" w:hAnsi="Times New Roman"/>
          <w:sz w:val="22"/>
          <w:szCs w:val="22"/>
          <w:color w:val="auto"/>
        </w:rPr>
        <w:t>” shall mean the International Air Transport Association and any successor thereto.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ICF</w:t>
      </w:r>
      <w:r>
        <w:rPr>
          <w:rFonts w:ascii="Times New Roman" w:cs="Times New Roman" w:eastAsia="Times New Roman" w:hAnsi="Times New Roman"/>
          <w:sz w:val="22"/>
          <w:szCs w:val="22"/>
          <w:color w:val="auto"/>
        </w:rPr>
        <w:t>” shall mean ICF International, formerly known as ICF SH&amp;E, Inc.</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Immaterial Subsidiaries</w:t>
      </w:r>
      <w:r>
        <w:rPr>
          <w:rFonts w:ascii="Times New Roman" w:cs="Times New Roman" w:eastAsia="Times New Roman" w:hAnsi="Times New Roman"/>
          <w:sz w:val="22"/>
          <w:szCs w:val="22"/>
          <w:color w:val="auto"/>
        </w:rPr>
        <w:t xml:space="preserve">”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 Effective Date</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 Joinder</w:t>
      </w:r>
      <w:r>
        <w:rPr>
          <w:rFonts w:ascii="Times New Roman" w:cs="Times New Roman" w:eastAsia="Times New Roman" w:hAnsi="Times New Roman"/>
          <w:sz w:val="22"/>
          <w:szCs w:val="22"/>
          <w:color w:val="auto"/>
        </w:rPr>
        <w:t>” shall have the meaning set forth in Section 2.27(c).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Commitments</w:t>
      </w:r>
      <w:r>
        <w:rPr>
          <w:rFonts w:ascii="Times New Roman" w:cs="Times New Roman" w:eastAsia="Times New Roman" w:hAnsi="Times New Roman"/>
          <w:sz w:val="22"/>
          <w:szCs w:val="22"/>
          <w:color w:val="auto"/>
        </w:rPr>
        <w:t>” shall have the meaning set forth in Section 2.27(a).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shall have the meaning set forth in Section 2.27(a).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 Commitment</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shall have the meaning set forth in Section 2.27(c)(i).</w:t>
      </w:r>
    </w:p>
    <w:p>
      <w:pPr>
        <w:spacing w:after="0" w:line="220"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shall mean, with respect to any specified Person, any indebtedness of such Person (excluding air traffic liability, accrued expenses and trade payables), whether or not contingent:</w:t>
      </w:r>
    </w:p>
    <w:p>
      <w:pPr>
        <w:spacing w:after="0" w:line="141" w:lineRule="exact"/>
        <w:rPr>
          <w:sz w:val="20"/>
          <w:szCs w:val="20"/>
          <w:color w:val="auto"/>
        </w:rPr>
      </w:pPr>
    </w:p>
    <w:p>
      <w:pPr>
        <w:ind w:left="1780" w:hanging="476"/>
        <w:spacing w:after="0"/>
        <w:tabs>
          <w:tab w:leader="none" w:pos="17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borrowed money;</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9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evidenced by bonds, notes, debentures or similar instruments or letters of credit (or reimbursement agreements in respect thereof);</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banker’s acceptances;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Capital Lease Obligations;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the balance deferred and unpaid of the purchase price of any property or services due more than six months after such property is acquired or such services are completed, and excluding in any event trade payables arising in the Ordinary Course of Business; or</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any Hedging Obligations,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the avoidance of doubt, (a) Banking Product Obligations, (b) obligations under leases (other than leases determined to be Capital Lease Obligations under GAAP as in effect on the date of this Agreement),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0" w:lineRule="exact"/>
        <w:rPr>
          <w:sz w:val="20"/>
          <w:szCs w:val="20"/>
          <w:color w:val="auto"/>
        </w:rPr>
      </w:pPr>
    </w:p>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and (j) obligations under flyer miles participation agreements do not constitute Indebtedness, whether or not such obligations would appear as a liability upon a balance sheet of a specified Person.</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shall mean Taxes, other than Excluded Taxes, imposed on or with respect to any payments made by the Borrower or any Guarantor under this Agreement or any other Loan Document.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shall have the meaning set forth in Section 10.04(b).</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Appraisal</w:t>
      </w:r>
      <w:r>
        <w:rPr>
          <w:rFonts w:ascii="Times New Roman" w:cs="Times New Roman" w:eastAsia="Times New Roman" w:hAnsi="Times New Roman"/>
          <w:sz w:val="22"/>
          <w:szCs w:val="22"/>
          <w:color w:val="auto"/>
        </w:rPr>
        <w:t>” shall mean the report of MBA dated November 21, 2014, as delivered to the Administrative Agent by the Borrower pursuant to Section 4.01(e).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Installment</w:t>
      </w:r>
      <w:r>
        <w:rPr>
          <w:rFonts w:ascii="Times New Roman" w:cs="Times New Roman" w:eastAsia="Times New Roman" w:hAnsi="Times New Roman"/>
          <w:sz w:val="22"/>
          <w:szCs w:val="22"/>
          <w:color w:val="auto"/>
        </w:rPr>
        <w:t>” shall have the meaning set forth in Section 2.10(b).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Intercreditor Agreement</w:t>
      </w:r>
      <w:r>
        <w:rPr>
          <w:rFonts w:ascii="Times New Roman" w:cs="Times New Roman" w:eastAsia="Times New Roman" w:hAnsi="Times New Roman"/>
          <w:sz w:val="22"/>
          <w:szCs w:val="22"/>
          <w:color w:val="auto"/>
        </w:rPr>
        <w:t xml:space="preserve">” shall mean an intercreditor agreement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Election Request</w:t>
      </w:r>
      <w:r>
        <w:rPr>
          <w:rFonts w:ascii="Times New Roman" w:cs="Times New Roman" w:eastAsia="Times New Roman" w:hAnsi="Times New Roman"/>
          <w:sz w:val="22"/>
          <w:szCs w:val="22"/>
          <w:color w:val="auto"/>
        </w:rPr>
        <w:t>” shall mean a request by the Borrower to convert or continue a Borrowing in accordance with Section 2.05.</w:t>
      </w:r>
    </w:p>
    <w:p>
      <w:pPr>
        <w:spacing w:after="0" w:line="16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Payment Date</w:t>
      </w:r>
      <w:r>
        <w:rPr>
          <w:rFonts w:ascii="Times New Roman" w:cs="Times New Roman" w:eastAsia="Times New Roman" w:hAnsi="Times New Roman"/>
          <w:sz w:val="22"/>
          <w:szCs w:val="22"/>
          <w:color w:val="auto"/>
        </w:rPr>
        <w:t>” shall mean (a) as to any Term SOFR Loan having an Interest Period of one or three months, the last day of such Interest Period, (b) as to any Term SOFR Loan having an Interest Period of more than three months, each day that is three months, or a whole multiple thereof, after the first day of such Interest Period and the last day of such Interest Period and (c) with respect to ABR Loans, the last Business Day of each March, June, September and December.</w:t>
      </w:r>
    </w:p>
    <w:p>
      <w:pPr>
        <w:spacing w:after="0" w:line="17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Period</w:t>
      </w:r>
      <w:r>
        <w:rPr>
          <w:rFonts w:ascii="Times New Roman" w:cs="Times New Roman" w:eastAsia="Times New Roman" w:hAnsi="Times New Roman"/>
          <w:sz w:val="22"/>
          <w:szCs w:val="22"/>
          <w:color w:val="auto"/>
        </w:rPr>
        <w:t xml:space="preserve">” shall mean, as to any Borrowing of Term SOFR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as the Borrower may elect in the related Loan Request or Interest Election Request delivered pursuant to Section 2.03 or 2.05;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(ii) no Interest Period shall end later than the applicable Termination Date and (iii) no tenor that has been removed from this definition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2.09(d) shall be available for specification in such Loan Request or Interest Election Request.</w:t>
      </w:r>
    </w:p>
    <w:p>
      <w:pPr>
        <w:spacing w:after="0" w:line="21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Investments</w:t>
      </w:r>
      <w:r>
        <w:rPr>
          <w:rFonts w:ascii="Times New Roman" w:cs="Times New Roman" w:eastAsia="Times New Roman" w:hAnsi="Times New Roman"/>
          <w:sz w:val="22"/>
          <w:szCs w:val="22"/>
          <w:color w:val="auto"/>
        </w:rPr>
        <w:t>”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w:t>
      </w:r>
    </w:p>
    <w:p>
      <w:pPr>
        <w:spacing w:after="0" w:line="20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shall mean (i) the Administrative Agent (or any of its Affiliates reasonably acceptable to the Borrower), in its capacity as an issuer of Letters of Credit hereunder, and its respective successors in such capacity as provided in Section 2.02(i)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 Lender, in which case the term “Issuing Lender” shall include any such Affiliate with respect to Letters of Credit issued by such Affiliate.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JFK</w:t>
      </w:r>
      <w:r>
        <w:rPr>
          <w:rFonts w:ascii="Times New Roman" w:cs="Times New Roman" w:eastAsia="Times New Roman" w:hAnsi="Times New Roman"/>
          <w:sz w:val="22"/>
          <w:szCs w:val="22"/>
          <w:color w:val="auto"/>
        </w:rPr>
        <w:t>” shall mean John F. Kennedy International Airport,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Joint Bookrunners</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Joint Lead Arrangers and Bookrunners</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Joint Structuring Agents</w:t>
      </w:r>
      <w:r>
        <w:rPr>
          <w:rFonts w:ascii="Times New Roman" w:cs="Times New Roman" w:eastAsia="Times New Roman" w:hAnsi="Times New Roman"/>
          <w:sz w:val="22"/>
          <w:szCs w:val="22"/>
          <w:color w:val="auto"/>
        </w:rPr>
        <w:t>” shall have the meaning set forth in the preamble to this Agreement.</w:t>
      </w:r>
    </w:p>
    <w:p>
      <w:pPr>
        <w:spacing w:after="0" w:line="23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Junior Secured Debt</w:t>
      </w:r>
      <w:r>
        <w:rPr>
          <w:rFonts w:ascii="Times New Roman" w:cs="Times New Roman" w:eastAsia="Times New Roman" w:hAnsi="Times New Roman"/>
          <w:sz w:val="22"/>
          <w:szCs w:val="22"/>
          <w:color w:val="auto"/>
        </w:rPr>
        <w:t>” shall mean Indebtedness permitted to be secured by a Lien on Collateral under Section 6.06 or any Flyer Miles Obligations.</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Latest Maturity Date</w:t>
      </w:r>
      <w:r>
        <w:rPr>
          <w:rFonts w:ascii="Times New Roman" w:cs="Times New Roman" w:eastAsia="Times New Roman" w:hAnsi="Times New Roman"/>
          <w:sz w:val="22"/>
          <w:szCs w:val="22"/>
          <w:color w:val="auto"/>
        </w:rPr>
        <w:t>” shall mean, at any date of determination, the latest maturity or expiration date applicable to any Loan or Commitment hereunder at such time, including the latest maturity date of any Term Loan.</w:t>
      </w:r>
    </w:p>
    <w:p>
      <w:pPr>
        <w:spacing w:after="0" w:line="14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xml:space="preserve">” shall mean the commitment of each Issuing Lender to issue Letters of Credit in face amount not to exceed the amount set forth under the heading “LC Commitment” opposite its name in Annex A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aggregate amount of the LC Commitments as of the </w:t>
      </w:r>
      <w:r>
        <w:rPr>
          <w:rFonts w:ascii="Times New Roman" w:cs="Times New Roman" w:eastAsia="Times New Roman" w:hAnsi="Times New Roman"/>
          <w:sz w:val="22"/>
          <w:szCs w:val="22"/>
          <w:b w:val="1"/>
          <w:bCs w:val="1"/>
          <w:color w:val="FF0000"/>
          <w:strike w:val="1"/>
        </w:rPr>
        <w:t>First</w:t>
      </w:r>
      <w:r>
        <w:rPr>
          <w:rFonts w:ascii="Times New Roman" w:cs="Times New Roman" w:eastAsia="Times New Roman" w:hAnsi="Times New Roman"/>
          <w:sz w:val="22"/>
          <w:szCs w:val="22"/>
          <w:b w:val="1"/>
          <w:bCs w:val="1"/>
          <w:u w:val="single" w:color="auto"/>
          <w:color w:val="0000FF"/>
        </w:rPr>
        <w:t>Ninth</w:t>
      </w:r>
      <w:r>
        <w:rPr>
          <w:rFonts w:ascii="Times New Roman" w:cs="Times New Roman" w:eastAsia="Times New Roman" w:hAnsi="Times New Roman"/>
          <w:sz w:val="22"/>
          <w:szCs w:val="22"/>
          <w:color w:val="auto"/>
        </w:rPr>
        <w:t xml:space="preserve"> Amendment Effective Date </w:t>
      </w:r>
      <w:r>
        <w:rPr>
          <w:rFonts w:ascii="Times New Roman" w:cs="Times New Roman" w:eastAsia="Times New Roman" w:hAnsi="Times New Roman"/>
          <w:sz w:val="22"/>
          <w:szCs w:val="22"/>
          <w:b w:val="1"/>
          <w:bCs w:val="1"/>
          <w:color w:val="FF0000"/>
          <w:strike w:val="1"/>
        </w:rPr>
        <w:t>(as defined in the 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Amendment)</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shall not exceed $</w:t>
      </w:r>
      <w:r>
        <w:rPr>
          <w:rFonts w:ascii="Times New Roman" w:cs="Times New Roman" w:eastAsia="Times New Roman" w:hAnsi="Times New Roman"/>
          <w:sz w:val="22"/>
          <w:szCs w:val="22"/>
          <w:b w:val="1"/>
          <w:bCs w:val="1"/>
          <w:color w:val="FF0000"/>
          <w:strike w:val="1"/>
        </w:rPr>
        <w:t>150,000,000</w:t>
      </w:r>
      <w:r>
        <w:rPr>
          <w:rFonts w:ascii="Times New Roman" w:cs="Times New Roman" w:eastAsia="Times New Roman" w:hAnsi="Times New Roman"/>
          <w:sz w:val="22"/>
          <w:szCs w:val="22"/>
          <w:b w:val="1"/>
          <w:bCs w:val="1"/>
          <w:u w:val="single" w:color="auto"/>
          <w:color w:val="0000FF"/>
        </w:rPr>
        <w:t>100,000,000</w:t>
      </w:r>
      <w:r>
        <w:rPr>
          <w:rFonts w:ascii="Times New Roman" w:cs="Times New Roman" w:eastAsia="Times New Roman" w:hAnsi="Times New Roman"/>
          <w:sz w:val="22"/>
          <w:szCs w:val="22"/>
          <w:color w:val="000000"/>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Disbursement</w:t>
      </w:r>
      <w:r>
        <w:rPr>
          <w:rFonts w:ascii="Times New Roman" w:cs="Times New Roman" w:eastAsia="Times New Roman" w:hAnsi="Times New Roman"/>
          <w:sz w:val="22"/>
          <w:szCs w:val="22"/>
          <w:color w:val="auto"/>
        </w:rPr>
        <w:t>” shall mean a payment made by an Issuing Lender pursuant to a Letter of Credit issued by it.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Exposure</w:t>
      </w:r>
      <w:r>
        <w:rPr>
          <w:rFonts w:ascii="Times New Roman" w:cs="Times New Roman" w:eastAsia="Times New Roman" w:hAnsi="Times New Roman"/>
          <w:sz w:val="22"/>
          <w:szCs w:val="22"/>
          <w:color w:val="auto"/>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Leased Collateral</w:t>
      </w:r>
      <w:r>
        <w:rPr>
          <w:rFonts w:ascii="Times New Roman" w:cs="Times New Roman" w:eastAsia="Times New Roman" w:hAnsi="Times New Roman"/>
          <w:sz w:val="22"/>
          <w:szCs w:val="22"/>
          <w:color w:val="auto"/>
        </w:rPr>
        <w:t>” shall have the meaning set forth in the definition of “Permitted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Leased Slots</w:t>
      </w:r>
      <w:r>
        <w:rPr>
          <w:rFonts w:ascii="Times New Roman" w:cs="Times New Roman" w:eastAsia="Times New Roman" w:hAnsi="Times New Roman"/>
          <w:sz w:val="22"/>
          <w:szCs w:val="22"/>
          <w:color w:val="auto"/>
        </w:rPr>
        <w:t>” shall have the meaning set forth in the definition of “Permitted Disposition.”</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shall mean each of the several banks and other financial institutions or entities from time to time party hereto as a lender.</w:t>
      </w:r>
    </w:p>
    <w:p>
      <w:pPr>
        <w:spacing w:after="0" w:line="16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 of Credit</w:t>
      </w:r>
      <w:r>
        <w:rPr>
          <w:rFonts w:ascii="Times New Roman" w:cs="Times New Roman" w:eastAsia="Times New Roman" w:hAnsi="Times New Roman"/>
          <w:sz w:val="21"/>
          <w:szCs w:val="21"/>
          <w:color w:val="auto"/>
        </w:rPr>
        <w:t xml:space="preserve">” shall mean any irrevocable letter of credit issued pursuant to Section 2.02, which letter of credit shall be (i) a standby letter of credit, (ii) issued for general corporate purposes of Parent or any Subsidiary of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any case the account party of a Letter of Credit must be the Borrower, (iii) denominated in Dollars and (iv) otherwise in such form as may be reasonably approved from time to time by the Administrative Agent and the applicable Issuing Lender.</w:t>
      </w:r>
    </w:p>
    <w:p>
      <w:pPr>
        <w:spacing w:after="0" w:line="15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Account</w:t>
      </w:r>
      <w:r>
        <w:rPr>
          <w:rFonts w:ascii="Times New Roman" w:cs="Times New Roman" w:eastAsia="Times New Roman" w:hAnsi="Times New Roman"/>
          <w:sz w:val="22"/>
          <w:szCs w:val="22"/>
          <w:color w:val="auto"/>
        </w:rPr>
        <w:t>” shall mean the account established by the Borrower after the Seventh Amendment Effective Date under the sole and exclusive control of the Collateral Agent maintained at the office of the Collateral Agent at 745 Seventh Avenue New York, New York 10019, which shall be used solely for the purposes set forth herein.</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Fees</w:t>
      </w:r>
      <w:r>
        <w:rPr>
          <w:rFonts w:ascii="Times New Roman" w:cs="Times New Roman" w:eastAsia="Times New Roman" w:hAnsi="Times New Roman"/>
          <w:sz w:val="22"/>
          <w:szCs w:val="22"/>
          <w:color w:val="auto"/>
        </w:rPr>
        <w:t>” shall mean the fees payable in respect of Letters of Credit pursuant to Section 2.21.</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Request</w:t>
      </w:r>
      <w:r>
        <w:rPr>
          <w:rFonts w:ascii="Times New Roman" w:cs="Times New Roman" w:eastAsia="Times New Roman" w:hAnsi="Times New Roman"/>
          <w:sz w:val="22"/>
          <w:szCs w:val="22"/>
          <w:color w:val="auto"/>
        </w:rPr>
        <w:t>” shall mean a request by the Borrower, executed by a Responsible Officer of the Borrower, for the issuance of a Letter of Credit (or the amendment, renewal or extension of an outstanding Letter of Credit) in accordance with Section 2.02 in substantially the form of Exhibit D-2 or such other form as reasonably acceptable to the applicable Issuing Lender.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LGA</w:t>
      </w:r>
      <w:r>
        <w:rPr>
          <w:rFonts w:ascii="Times New Roman" w:cs="Times New Roman" w:eastAsia="Times New Roman" w:hAnsi="Times New Roman"/>
          <w:sz w:val="22"/>
          <w:szCs w:val="22"/>
          <w:color w:val="auto"/>
        </w:rPr>
        <w:t>” shall mean LaGuardia Airport,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LHR</w:t>
      </w:r>
      <w:r>
        <w:rPr>
          <w:rFonts w:ascii="Times New Roman" w:cs="Times New Roman" w:eastAsia="Times New Roman" w:hAnsi="Times New Roman"/>
          <w:sz w:val="22"/>
          <w:szCs w:val="22"/>
          <w:color w:val="auto"/>
        </w:rPr>
        <w:t>” shall mean Heathrow Airport, England.</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w:t>
      </w:r>
      <w:r>
        <w:rPr>
          <w:rFonts w:ascii="Times New Roman" w:cs="Times New Roman" w:eastAsia="Times New Roman" w:hAnsi="Times New Roman"/>
          <w:sz w:val="22"/>
          <w:szCs w:val="22"/>
          <w:i w:val="1"/>
          <w:iCs w:val="1"/>
          <w:color w:val="auto"/>
        </w:rPr>
        <w:t>Permitted Disposition</w:t>
      </w:r>
      <w:r>
        <w:rPr>
          <w:rFonts w:ascii="Times New Roman" w:cs="Times New Roman" w:eastAsia="Times New Roman" w:hAnsi="Times New Roman"/>
          <w:sz w:val="22"/>
          <w:szCs w:val="22"/>
          <w:color w:val="auto"/>
        </w:rPr>
        <w:t>”),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Liquidity</w:t>
      </w:r>
      <w:r>
        <w:rPr>
          <w:rFonts w:ascii="Times New Roman" w:cs="Times New Roman" w:eastAsia="Times New Roman" w:hAnsi="Times New Roman"/>
          <w:sz w:val="22"/>
          <w:szCs w:val="22"/>
          <w:color w:val="auto"/>
        </w:rPr>
        <w:t>” shall mean the sum of (i) all unrestricted cash and Cash Equivalents of Parent and its Restricted Subsidiaries, (ii) cash and Cash Equivalents of Parent and its Restricted Subsidiaries restricted in favor of the Facilities, (iii)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p>
    <w:p>
      <w:pPr>
        <w:spacing w:after="0" w:line="3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17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shall mean this Agreement, the Collateral Documents, any Intercreditor Agreement, any Other Intercreditor Agreement, the Fee Letter and any other instrument or agreement (which is designated as a Loan Document therein) executed and delivered by the Borrower or a Guarantor to the Administrative Agent, the Collateral Agent, any Issuing Lender or any Lender, in each case, as the same may be amended, restated, modified, supplemented, extended or amended and restated from time to time in accordance with the terms hereof.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shall mean the Borrower and the Guarantors.</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Request</w:t>
      </w:r>
      <w:r>
        <w:rPr>
          <w:rFonts w:ascii="Times New Roman" w:cs="Times New Roman" w:eastAsia="Times New Roman" w:hAnsi="Times New Roman"/>
          <w:sz w:val="22"/>
          <w:szCs w:val="22"/>
          <w:color w:val="auto"/>
        </w:rPr>
        <w:t>” shall mean a request by the Borrower, executed by a Responsible Officer of the Borrower, for a Loan in accordance with Section 2.03 in substantially the form of Exhibit D-1.</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shall mean, collectively, the Revolving Loans and the Term Loans.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shall have the meaning set forth in Section 3.12(a).</w:t>
      </w:r>
    </w:p>
    <w:p>
      <w:pPr>
        <w:spacing w:after="0" w:line="22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Marketing and Service Agreements</w:t>
      </w:r>
      <w:r>
        <w:rPr>
          <w:rFonts w:ascii="Times New Roman" w:cs="Times New Roman" w:eastAsia="Times New Roman" w:hAnsi="Times New Roman"/>
          <w:sz w:val="21"/>
          <w:szCs w:val="21"/>
          <w:color w:val="auto"/>
        </w:rPr>
        <w:t>” shall mean those certain business, marketing and service agreements among a Loan Party and/or any of its Subsidiaries and any of Mesa Airlines, Inc., Chautauqua Airlines, Inc., Trans States Airlines, Inc., United Air Lines, Inc., Republic Airline, Inc., SkyWest Airlines and Air Wisconsin Airlines Corporation and such other parties or agreements from time to time that include, but are not limited to, code-sharing, pro-rate, capacity purchase, service, frequent flyer, ground handling and marketing agreements that are entered into in the Ordinary Course of Business.</w:t>
      </w:r>
    </w:p>
    <w:p>
      <w:pPr>
        <w:spacing w:after="0" w:line="15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Change</w:t>
      </w:r>
      <w:r>
        <w:rPr>
          <w:rFonts w:ascii="Times New Roman" w:cs="Times New Roman" w:eastAsia="Times New Roman" w:hAnsi="Times New Roman"/>
          <w:sz w:val="22"/>
          <w:szCs w:val="22"/>
          <w:color w:val="auto"/>
        </w:rPr>
        <w:t>” shall mean any event, change, condition, occurrence, development or circumstance that, either individually or in the aggregate, has had or could reasonably be expected to have a Material Adverse Effect.</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Effect</w:t>
      </w:r>
      <w:r>
        <w:rPr>
          <w:rFonts w:ascii="Times New Roman" w:cs="Times New Roman" w:eastAsia="Times New Roman" w:hAnsi="Times New Roman"/>
          <w:sz w:val="22"/>
          <w:szCs w:val="22"/>
          <w:color w:val="auto"/>
        </w:rPr>
        <w:t>”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any action taken or not taken within two years from the Closing Date in connection with or in furtherance of the AMR/US Airways Merger and/or any related Airlines Merger shall be deemed not to constitute a Material Adverse Effect.</w:t>
      </w:r>
    </w:p>
    <w:p>
      <w:pPr>
        <w:spacing w:after="0" w:line="18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Indebtedness</w:t>
      </w:r>
      <w:r>
        <w:rPr>
          <w:rFonts w:ascii="Times New Roman" w:cs="Times New Roman" w:eastAsia="Times New Roman" w:hAnsi="Times New Roman"/>
          <w:sz w:val="22"/>
          <w:szCs w:val="22"/>
          <w:color w:val="auto"/>
        </w:rPr>
        <w:t>” shall mean Indebtedness of the Borrower and/or Guarantors (other than the Loans and obligations relating to Letters of Credit) outstanding under the same agreement in a principal amount exceeding $150,000,000.</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MBA</w:t>
      </w:r>
      <w:r>
        <w:rPr>
          <w:rFonts w:ascii="Times New Roman" w:cs="Times New Roman" w:eastAsia="Times New Roman" w:hAnsi="Times New Roman"/>
          <w:sz w:val="22"/>
          <w:szCs w:val="22"/>
          <w:color w:val="auto"/>
        </w:rPr>
        <w:t>” shall mean Morten Beyer &amp; Agnew.</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shall have the meaning set forth in Section 2.28(c).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shall mean Moody’s Investors Service, Inc.</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Proceeds</w:t>
      </w:r>
      <w:r>
        <w:rPr>
          <w:rFonts w:ascii="Times New Roman" w:cs="Times New Roman" w:eastAsia="Times New Roman" w:hAnsi="Times New Roman"/>
          <w:sz w:val="22"/>
          <w:szCs w:val="22"/>
          <w:color w:val="auto"/>
        </w:rPr>
        <w:t>”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Proceeds Amount</w:t>
      </w:r>
      <w:r>
        <w:rPr>
          <w:rFonts w:ascii="Times New Roman" w:cs="Times New Roman" w:eastAsia="Times New Roman" w:hAnsi="Times New Roman"/>
          <w:sz w:val="22"/>
          <w:szCs w:val="22"/>
          <w:color w:val="auto"/>
        </w:rPr>
        <w:t>” shall have the meaning set forth in Section 2.12(a).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shall have the meaning set forth in Section 2.27(a).</w:t>
      </w:r>
    </w:p>
    <w:p>
      <w:pPr>
        <w:spacing w:after="0" w:line="21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Ninth Amendment</w:t>
      </w:r>
      <w:r>
        <w:rPr>
          <w:rFonts w:ascii="Times New Roman" w:cs="Times New Roman" w:eastAsia="Times New Roman" w:hAnsi="Times New Roman"/>
          <w:sz w:val="22"/>
          <w:szCs w:val="22"/>
          <w:b w:val="1"/>
          <w:bCs w:val="1"/>
          <w:u w:val="single" w:color="auto"/>
          <w:color w:val="0000FF"/>
        </w:rPr>
        <w:t>” means the Ninth Amendment to Amended and Restated Credit and Guaranty Agreement, dated as of June 4, 2024, among the Parent, the Borrower, Barclays Bank PLC, as administrative agent, and the Lenders and Issuing Banks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0" w:lineRule="exact"/>
        <w:rPr>
          <w:sz w:val="20"/>
          <w:szCs w:val="20"/>
          <w:color w:val="auto"/>
        </w:rPr>
      </w:pPr>
    </w:p>
    <w:p>
      <w:pPr>
        <w:spacing w:after="0" w:line="3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Ninth Amendment Effective Date</w:t>
      </w:r>
      <w:r>
        <w:rPr>
          <w:rFonts w:ascii="Times New Roman" w:cs="Times New Roman" w:eastAsia="Times New Roman" w:hAnsi="Times New Roman"/>
          <w:sz w:val="22"/>
          <w:szCs w:val="22"/>
          <w:b w:val="1"/>
          <w:bCs w:val="1"/>
          <w:u w:val="single" w:color="auto"/>
          <w:color w:val="0000FF"/>
        </w:rPr>
        <w:t>” shall have the meaning provided in the Ninth Amendment.</w:t>
      </w:r>
    </w:p>
    <w:p>
      <w:pPr>
        <w:spacing w:after="0" w:line="2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shall mean, at any time, a Lender that is not a Defaulting Lender.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Non-Extended Term Loans</w:t>
      </w:r>
      <w:r>
        <w:rPr>
          <w:rFonts w:ascii="Times New Roman" w:cs="Times New Roman" w:eastAsia="Times New Roman" w:hAnsi="Times New Roman"/>
          <w:sz w:val="22"/>
          <w:szCs w:val="22"/>
          <w:color w:val="auto"/>
        </w:rPr>
        <w:t>” shall have the meaning set forth in the Seventh Amendment.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Non-Extending Lender</w:t>
      </w:r>
      <w:r>
        <w:rPr>
          <w:rFonts w:ascii="Times New Roman" w:cs="Times New Roman" w:eastAsia="Times New Roman" w:hAnsi="Times New Roman"/>
          <w:sz w:val="22"/>
          <w:szCs w:val="22"/>
          <w:color w:val="auto"/>
        </w:rPr>
        <w:t>” shall have the meaning set forth in Section 10.08(g).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Non-Lender Secured Party</w:t>
      </w:r>
      <w:r>
        <w:rPr>
          <w:rFonts w:ascii="Times New Roman" w:cs="Times New Roman" w:eastAsia="Times New Roman" w:hAnsi="Times New Roman"/>
          <w:sz w:val="22"/>
          <w:szCs w:val="22"/>
          <w:color w:val="auto"/>
        </w:rPr>
        <w:t>” shall have the meaning provided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Debt</w:t>
      </w:r>
      <w:r>
        <w:rPr>
          <w:rFonts w:ascii="Times New Roman" w:cs="Times New Roman" w:eastAsia="Times New Roman" w:hAnsi="Times New Roman"/>
          <w:sz w:val="22"/>
          <w:szCs w:val="22"/>
          <w:color w:val="auto"/>
        </w:rPr>
        <w:t>” shall mean Indebtedness:</w:t>
      </w:r>
    </w:p>
    <w:p>
      <w:pPr>
        <w:spacing w:after="0" w:line="224" w:lineRule="exact"/>
        <w:rPr>
          <w:sz w:val="20"/>
          <w:szCs w:val="20"/>
          <w:color w:val="auto"/>
        </w:rPr>
      </w:pPr>
    </w:p>
    <w:p>
      <w:pPr>
        <w:jc w:val="both"/>
        <w:ind w:left="660" w:firstLine="644"/>
        <w:spacing w:after="0" w:line="263" w:lineRule="auto"/>
        <w:tabs>
          <w:tab w:leader="none" w:pos="187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neither Parent nor any of its Restricted Subsidiaries (A) provides credit support of any kind (including any undertaking, agreement or instrument that would constitute Indebtedness) or (B) is directly or indirectly liable as a guarantor or otherwise; and</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0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holders of such Indebtedness do not otherwise have recourse to the stock or assets of Parent or any of its Restricted Subsidiaries (other than the Equity Interests of an Unrestricted Subsidiary).</w:t>
      </w:r>
    </w:p>
    <w:p>
      <w:pPr>
        <w:spacing w:after="0" w:line="15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Financing Subsidiary</w:t>
      </w:r>
      <w:r>
        <w:rPr>
          <w:rFonts w:ascii="Times New Roman" w:cs="Times New Roman" w:eastAsia="Times New Roman" w:hAnsi="Times New Roman"/>
          <w:sz w:val="22"/>
          <w:szCs w:val="22"/>
          <w:color w:val="auto"/>
        </w:rPr>
        <w:t>” shall mean any Unrestricted Subsidiary that (a) has no Indebtedness other than Non-Recourse Debt and (b) engages in no activities other than those relating to the financing of specified assets and other activities incidental thereto.</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 appointed pursuant to Section 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 (ii) in the case of Designated Banking Product Obligations, any obligee with respect to such Designated Banking Product Obligations who was a Revolving Lender or a banking Affiliate of any Revolving Lender at the time the related Designated Banking Product Agreement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in no event shall the Obligations include Excluded Swap Obligations.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shall have the meaning set forth in Section 3.17.</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shall have the meaning set forth in the definition of “All-In Initial Yield.”</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Operating Lease</w:t>
      </w:r>
      <w:r>
        <w:rPr>
          <w:rFonts w:ascii="Times New Roman" w:cs="Times New Roman" w:eastAsia="Times New Roman" w:hAnsi="Times New Roman"/>
          <w:sz w:val="22"/>
          <w:szCs w:val="22"/>
          <w:color w:val="auto"/>
        </w:rPr>
        <w:t>” shall mean, as applied to any Person, any lease (including, without limitation, leases that may be terminated by the lessee at any time) of any property (whether real, personal or mixed) under which such Person is lessee, that is not a lease representing Capital Lease Obligations.</w:t>
      </w:r>
    </w:p>
    <w:p>
      <w:pPr>
        <w:spacing w:after="0" w:line="16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Ordinary Course of Business</w:t>
      </w:r>
      <w:r>
        <w:rPr>
          <w:rFonts w:ascii="Times New Roman" w:cs="Times New Roman" w:eastAsia="Times New Roman" w:hAnsi="Times New Roman"/>
          <w:sz w:val="22"/>
          <w:szCs w:val="22"/>
          <w:color w:val="auto"/>
        </w:rPr>
        <w:t>” shall mean with respect to Parent or any of its Subsidiaries, (a) in the ordinary course of business of, or in furtherance of an objective that is in the ordinary course of business of, Parent and its Subsidiaries,</w:t>
      </w:r>
    </w:p>
    <w:p>
      <w:pPr>
        <w:spacing w:after="0" w:line="1" w:lineRule="exact"/>
        <w:rPr>
          <w:sz w:val="20"/>
          <w:szCs w:val="20"/>
          <w:color w:val="auto"/>
        </w:rPr>
      </w:pPr>
    </w:p>
    <w:p>
      <w:pPr>
        <w:ind w:firstLine="8"/>
        <w:spacing w:after="0" w:line="259" w:lineRule="auto"/>
        <w:tabs>
          <w:tab w:leader="none" w:pos="31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and usual in the commercial airline industry in the United States or (c) consistent with the past or current practice of one or more commercial air carriers in the United States.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Term Loans</w:t>
      </w:r>
      <w:r>
        <w:rPr>
          <w:rFonts w:ascii="Times New Roman" w:cs="Times New Roman" w:eastAsia="Times New Roman" w:hAnsi="Times New Roman"/>
          <w:sz w:val="22"/>
          <w:szCs w:val="22"/>
          <w:color w:val="auto"/>
        </w:rPr>
        <w:t>” shall have the meaning set forth in Section 2.27(c)(iv).</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Intercreditor Agreement</w:t>
      </w:r>
      <w:r>
        <w:rPr>
          <w:rFonts w:ascii="Times New Roman" w:cs="Times New Roman" w:eastAsia="Times New Roman" w:hAnsi="Times New Roman"/>
          <w:sz w:val="22"/>
          <w:szCs w:val="22"/>
          <w:color w:val="auto"/>
        </w:rPr>
        <w:t>” shall mean an intercreditor agreement in form and substance reasonably satisfactory to the Borrower and the Administrative Agent.</w:t>
      </w:r>
    </w:p>
    <w:p>
      <w:pPr>
        <w:spacing w:after="0" w:line="16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Taxes</w:t>
      </w:r>
      <w:r>
        <w:rPr>
          <w:rFonts w:ascii="Times New Roman" w:cs="Times New Roman" w:eastAsia="Times New Roman" w:hAnsi="Times New Roman"/>
          <w:sz w:val="22"/>
          <w:szCs w:val="22"/>
          <w:color w:val="auto"/>
        </w:rPr>
        <w:t>”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Outstanding Letters of Credit</w:t>
      </w:r>
      <w:r>
        <w:rPr>
          <w:rFonts w:ascii="Times New Roman" w:cs="Times New Roman" w:eastAsia="Times New Roman" w:hAnsi="Times New Roman"/>
          <w:sz w:val="22"/>
          <w:szCs w:val="22"/>
          <w:color w:val="auto"/>
        </w:rPr>
        <w:t>” shall have the meaning set forth in Section 2.02(j).</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PAC</w:t>
      </w:r>
      <w:r>
        <w:rPr>
          <w:rFonts w:ascii="Times New Roman" w:cs="Times New Roman" w:eastAsia="Times New Roman" w:hAnsi="Times New Roman"/>
          <w:sz w:val="22"/>
          <w:szCs w:val="22"/>
          <w:color w:val="auto"/>
        </w:rPr>
        <w:t>” shall mean Panum Aviation Consulting.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shall have the meaning set forth in the preamble to this Agreement.</w:t>
      </w:r>
    </w:p>
    <w:p>
      <w:pPr>
        <w:spacing w:after="0" w:line="233"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Company</w:t>
      </w:r>
      <w:r>
        <w:rPr>
          <w:rFonts w:ascii="Times New Roman" w:cs="Times New Roman" w:eastAsia="Times New Roman" w:hAnsi="Times New Roman"/>
          <w:sz w:val="22"/>
          <w:szCs w:val="22"/>
          <w:color w:val="auto"/>
        </w:rPr>
        <w:t>” shall mean, with respect to a Revolving Lender, the bank holding company (as defined in Regulation Y issued by the Board), if any, of such Revolving Lender, and/or any Person owning, beneficially or of record, directly or indirectly, a majority of the shares of such Revolving Lender.</w:t>
      </w:r>
    </w:p>
    <w:p>
      <w:pPr>
        <w:spacing w:after="0" w:line="16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Pari Passu Loan Obligations</w:t>
      </w:r>
      <w:r>
        <w:rPr>
          <w:rFonts w:ascii="Times New Roman" w:cs="Times New Roman" w:eastAsia="Times New Roman" w:hAnsi="Times New Roman"/>
          <w:sz w:val="21"/>
          <w:szCs w:val="21"/>
          <w:color w:val="auto"/>
        </w:rPr>
        <w:t xml:space="preserve">” shall mean Indebtedness of the Borrower or any Guarantor in the form of loans or otherwise not constituting Pari Passu Notes and incurred at least eighteen (18) months after the Seventh Amendment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$2,200,000,000; (ii) such Indebtedness is secured only by the Collateral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the Term Loan Facility and Revolving Facility pursuant to the Collateral Documents; (iii) such Indebtedness shall benefit only from substantially the same guarantees as the guarantees of the Term Loan Facility and Revolving Facility provided hereunder;</w:t>
      </w:r>
    </w:p>
    <w:p>
      <w:pPr>
        <w:spacing w:after="0" w:line="3" w:lineRule="exact"/>
        <w:rPr>
          <w:sz w:val="20"/>
          <w:szCs w:val="20"/>
          <w:color w:val="auto"/>
        </w:rPr>
      </w:pPr>
    </w:p>
    <w:p>
      <w:pPr>
        <w:jc w:val="both"/>
        <w:ind w:firstLine="8"/>
        <w:spacing w:after="0" w:line="248" w:lineRule="auto"/>
        <w:tabs>
          <w:tab w:leader="none" w:pos="40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matures no earlier than the Term Loan Maturity Date, (v) such Indebtedness shall have a Weighted Average Life to Maturity that is not shorter than the Weighted Average Life to Maturity of the Seventh Amendment Extended Term Loans and (vi) such Indebtedness constitutes “Priority Lien Debt” as defined under, and in accordance with the terms of, the Collateral Documents.</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Notes</w:t>
      </w:r>
      <w:r>
        <w:rPr>
          <w:rFonts w:ascii="Times New Roman" w:cs="Times New Roman" w:eastAsia="Times New Roman" w:hAnsi="Times New Roman"/>
          <w:sz w:val="22"/>
          <w:szCs w:val="22"/>
          <w:color w:val="auto"/>
        </w:rPr>
        <w:t xml:space="preserve">” shall mean Indebtedness of the Borrower or any Guarantor in the form of senior secured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$2,200,000,000; (ii) such Indebtedness is secured only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Term Loan Facility and Revolving Facility pursuant to the Collateral Documents; (iii) such Indebtedness shall benefit only from substantially the same guarantees as the guarantees of the Term Loan Facility and Revolving Facility provided hereunder; (iv) such Indebtedness matures no earlier than the Term Loan Maturity Date, (v) such Indebtedness shall have a Weighted Average Life to Maturity that is not shorter than the Weighted Average Life to Maturity of the Seventh Amendment Extended Term Loans and (vi)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constitutes “Priority Lien Debt” as defined under, and in accordance with the terms of, the Collateral Documents.</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Senior Secured Debt</w:t>
      </w:r>
      <w:r>
        <w:rPr>
          <w:rFonts w:ascii="Times New Roman" w:cs="Times New Roman" w:eastAsia="Times New Roman" w:hAnsi="Times New Roman"/>
          <w:sz w:val="22"/>
          <w:szCs w:val="22"/>
          <w:color w:val="auto"/>
        </w:rPr>
        <w:t>” shall mean (i) any Pari Passu Notes (and any Guarantee thereof by the Borrower or Parent), (ii) Pari Passu Loan Obligations and (ii) any Permitted Refinancing Indebtedness in exchange for, or the net proceeds of which are used to renew, refund, refinance, replace, extend, defease or discharge any such Indebtedness specified in clause (i) or (ii).</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shall have the meaning set forth in Section 10.02(d)(i).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shall have the meaning set forth in Section 10.02(d)(i).</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shall mean the USA Patriot Act, Title III of Pub. L. 107-56, signed into law on October 26, 2001 and any subsequent legislation that amends or supplements such Act or any subsequent legislation that supersedes such Act.</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w:t>
      </w:r>
      <w:r>
        <w:rPr>
          <w:rFonts w:ascii="Times New Roman" w:cs="Times New Roman" w:eastAsia="Times New Roman" w:hAnsi="Times New Roman"/>
          <w:sz w:val="22"/>
          <w:szCs w:val="22"/>
          <w:color w:val="auto"/>
        </w:rPr>
        <w:t>” shall have the meaning set forth in Section 8.12(a).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Notice</w:t>
      </w:r>
      <w:r>
        <w:rPr>
          <w:rFonts w:ascii="Times New Roman" w:cs="Times New Roman" w:eastAsia="Times New Roman" w:hAnsi="Times New Roman"/>
          <w:sz w:val="22"/>
          <w:szCs w:val="22"/>
          <w:color w:val="auto"/>
        </w:rPr>
        <w:t>” shall have the meaning set forth in Section 8.12(b)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shall have the meaning set forth in Section 8.12(a).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Payroll Accounts</w:t>
      </w:r>
      <w:r>
        <w:rPr>
          <w:rFonts w:ascii="Times New Roman" w:cs="Times New Roman" w:eastAsia="Times New Roman" w:hAnsi="Times New Roman"/>
          <w:sz w:val="22"/>
          <w:szCs w:val="22"/>
          <w:color w:val="auto"/>
        </w:rPr>
        <w:t>” shall mean depository accounts used only for payroll.</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shall have the meaning specified in the definition of “Term SOFR.”</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Bond Hedge Transaction</w:t>
      </w:r>
      <w:r>
        <w:rPr>
          <w:rFonts w:ascii="Times New Roman" w:cs="Times New Roman" w:eastAsia="Times New Roman" w:hAnsi="Times New Roman"/>
          <w:sz w:val="22"/>
          <w:szCs w:val="22"/>
          <w:color w:val="auto"/>
        </w:rPr>
        <w:t xml:space="preserve">” shall mean any call or capped call option (or substantively equivalent derivative transaction) on Parent’s common stock purchased by the issuer of any Convertible Indebtedness in connection with the issuance of any such Convertible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Business</w:t>
      </w:r>
      <w:r>
        <w:rPr>
          <w:rFonts w:ascii="Times New Roman" w:cs="Times New Roman" w:eastAsia="Times New Roman" w:hAnsi="Times New Roman"/>
          <w:sz w:val="22"/>
          <w:szCs w:val="22"/>
          <w:color w:val="auto"/>
        </w:rPr>
        <w:t>” shall mean any business that is similar, or reasonably related, ancillary, supportive or complementary to, or any reasonable extension of the businesses in which Parent and its Restricted Subsidiaries are engaged on the date of this Agreement.</w:t>
      </w:r>
    </w:p>
    <w:p>
      <w:pPr>
        <w:spacing w:after="0" w:line="166"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Convertible Indebtedness Call Transaction</w:t>
      </w:r>
      <w:r>
        <w:rPr>
          <w:rFonts w:ascii="Times New Roman" w:cs="Times New Roman" w:eastAsia="Times New Roman" w:hAnsi="Times New Roman"/>
          <w:sz w:val="22"/>
          <w:szCs w:val="22"/>
          <w:color w:val="auto"/>
        </w:rPr>
        <w:t>” shall mean any Permitted Bond Hedge Transaction and any Permitted Warrant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Disposition</w:t>
      </w:r>
      <w:r>
        <w:rPr>
          <w:rFonts w:ascii="Times New Roman" w:cs="Times New Roman" w:eastAsia="Times New Roman" w:hAnsi="Times New Roman"/>
          <w:sz w:val="22"/>
          <w:szCs w:val="22"/>
          <w:color w:val="auto"/>
        </w:rPr>
        <w:t>” shall mean, with respect to Dispositions of Collateral, any of the following:</w:t>
      </w:r>
    </w:p>
    <w:p>
      <w:pPr>
        <w:spacing w:after="0" w:line="224" w:lineRule="exact"/>
        <w:rPr>
          <w:sz w:val="20"/>
          <w:szCs w:val="20"/>
          <w:color w:val="auto"/>
        </w:rPr>
      </w:pPr>
    </w:p>
    <w:p>
      <w:pPr>
        <w:ind w:left="660" w:firstLine="644"/>
        <w:spacing w:after="0" w:line="271" w:lineRule="auto"/>
        <w:tabs>
          <w:tab w:leader="none" w:pos="18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single transaction or series of related transactions that involves the Disposition of assets having a Fair Market Value of less than $50,000,000 during any six-month period;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3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between or among any of Parent and any of its Restricted Subsidiaries that are Grantors (including any Person that shall become a Grantor simultaneous with such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Collateral Agent, concurrently with, or promptly after, such Disposition, the Collateral Agent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4.01(f)(i)), and (y) in the case of any other Collateral, as to the creation and perfection of the Lien of such security agreement or mortgage, as applicable, in form and substance reasonably satisfactory to the Collateral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this clause (2) shall not permit any Disposition of the Letter of Credit Account or any amounts on deposit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following such Disposition, such Collateral is subject to a Lien with the priority and perfection required by the applicable Collateral Document immediately prior to such Disposition (and otherwise subject only to Permitted Liens) in favor of the Collateral Agent or trustee (as applicable) for the benefit of the Secured Parties;</w:t>
      </w:r>
    </w:p>
    <w:p>
      <w:pPr>
        <w:spacing w:after="0" w:line="19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not prohibited by Section 6.06;</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 of cash or Cash Equivalents in exchange for other cash or Cash Equivalents constituting Collateral and having reasonably equivalent value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(4) shall not permit any Disposition of the Letter of Credit Account or any amounts on deposit therein;</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abandonment or Disposition of assets no longer useful or used in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abandonment or Disposition is (A) in the Ordinary Course of Business and (B) with respect to assets that are not material to the business of Parent and its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47" w:lineRule="auto"/>
        <w:tabs>
          <w:tab w:leader="none" w:pos="192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w:t>
      </w:r>
      <w:r>
        <w:rPr>
          <w:rFonts w:ascii="Times New Roman" w:cs="Times New Roman" w:eastAsia="Times New Roman" w:hAnsi="Times New Roman"/>
          <w:sz w:val="22"/>
          <w:szCs w:val="22"/>
          <w:i w:val="1"/>
          <w:iCs w:val="1"/>
          <w:color w:val="auto"/>
        </w:rPr>
        <w:t>Leased Collateral</w:t>
      </w:r>
      <w:r>
        <w:rPr>
          <w:rFonts w:ascii="Times New Roman" w:cs="Times New Roman" w:eastAsia="Times New Roman" w:hAnsi="Times New Roman"/>
          <w:sz w:val="22"/>
          <w:szCs w:val="22"/>
          <w:color w:val="auto"/>
        </w:rPr>
        <w:t>”), (A) such transaction has a term of one year or less, or in the case of Leased Collateral comprised of Pledged Slots (“</w:t>
      </w:r>
      <w:r>
        <w:rPr>
          <w:rFonts w:ascii="Times New Roman" w:cs="Times New Roman" w:eastAsia="Times New Roman" w:hAnsi="Times New Roman"/>
          <w:sz w:val="22"/>
          <w:szCs w:val="22"/>
          <w:i w:val="1"/>
          <w:iCs w:val="1"/>
          <w:color w:val="auto"/>
        </w:rPr>
        <w:t>Leased Slots</w:t>
      </w:r>
      <w:r>
        <w:rPr>
          <w:rFonts w:ascii="Times New Roman" w:cs="Times New Roman" w:eastAsia="Times New Roman" w:hAnsi="Times New Roman"/>
          <w:sz w:val="22"/>
          <w:szCs w:val="22"/>
          <w:color w:val="auto"/>
        </w:rPr>
        <w:t xml:space="preserve">”), does not extend beyond three comparable IATA traffic seasons or (B) if the term of such transaction 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Agent’s Liens on such Collateral are not materially adversely affected by such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certification in this clause (ii) shall not be required with respect to any Leased Collateral comprised of Slots or Foreign Gate Leaseholds and (iii) no Event of Default exists at the time of such transaction;</w:t>
      </w:r>
    </w:p>
    <w:p>
      <w:pPr>
        <w:spacing w:after="0" w:line="19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7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00" w:lineRule="exact"/>
        <w:rPr>
          <w:sz w:val="20"/>
          <w:szCs w:val="20"/>
          <w:color w:val="auto"/>
        </w:rPr>
      </w:pPr>
    </w:p>
    <w:p>
      <w:pPr>
        <w:spacing w:after="0" w:line="322"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w:t>
      </w:r>
    </w:p>
    <w:p>
      <w:pPr>
        <w:spacing w:after="0" w:line="195" w:lineRule="exact"/>
        <w:rPr>
          <w:sz w:val="20"/>
          <w:szCs w:val="20"/>
          <w:color w:val="auto"/>
        </w:rPr>
      </w:pPr>
    </w:p>
    <w:p>
      <w:pPr>
        <w:jc w:val="both"/>
        <w:ind w:left="660" w:firstLine="644"/>
        <w:spacing w:after="0" w:line="257" w:lineRule="auto"/>
        <w:tabs>
          <w:tab w:leader="none" w:pos="182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property resulting from an event of loss with respect to any aircraft, airframe, engine or spare engine if the Grantor is replacing such aircraft, airframe, engine or spare engine in accordance with the terms of the applicable Aircraft Security Agreement;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Collateral permitted by any of the Collateral Documents (to the extent such permission is not made by cross-reference to, or incorporation by reference of, a Disposition of Collateral permitted under Section 6.04(ii)).</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Investments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780" w:hanging="476"/>
        <w:spacing w:after="0"/>
        <w:tabs>
          <w:tab w:leader="none" w:pos="17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Parent or in a Restricted Subsidiary of Parent;</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cash, Cash Equivalents and any foreign equivalents;</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by Parent or any Restricted Subsidiary of Parent in a Person, if as a result of such</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w:t>
      </w:r>
    </w:p>
    <w:p>
      <w:pPr>
        <w:spacing w:after="0" w:line="20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becomes a Restricted Subsidiary of Parent; or</w:t>
      </w:r>
    </w:p>
    <w:p>
      <w:pPr>
        <w:spacing w:after="0" w:line="219" w:lineRule="exact"/>
        <w:rPr>
          <w:rFonts w:ascii="Times New Roman" w:cs="Times New Roman" w:eastAsia="Times New Roman" w:hAnsi="Times New Roman"/>
          <w:sz w:val="22"/>
          <w:szCs w:val="22"/>
          <w:color w:val="auto"/>
        </w:rPr>
      </w:pPr>
    </w:p>
    <w:p>
      <w:pPr>
        <w:jc w:val="both"/>
        <w:ind w:left="2600" w:hanging="648"/>
        <w:spacing w:after="0" w:line="257" w:lineRule="auto"/>
        <w:tabs>
          <w:tab w:leader="none" w:pos="2558"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made as a result of the receipt of non-cash consideration from a Disposition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p>
    <w:p>
      <w:pPr>
        <w:spacing w:after="0" w:line="322" w:lineRule="exact"/>
        <w:rPr>
          <w:sz w:val="20"/>
          <w:szCs w:val="20"/>
          <w:color w:val="auto"/>
        </w:rPr>
      </w:pPr>
    </w:p>
    <w:p>
      <w:pPr>
        <w:ind w:left="1780" w:hanging="476"/>
        <w:spacing w:after="0"/>
        <w:tabs>
          <w:tab w:leader="none" w:pos="178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of assets or Capital Stock in exchange for the issuance of Qualifying Equity Interests;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9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3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represented by Hedging Obligations or made in connection therewith (including any cash collateral or other collateral that does not constitute Collateral provided to or by Parent or any of its Restricted Subsidiaries in connection with any Hedging Obligation);</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officers, directors or employees made in the Ordinary Course of Business of Parent or any Restricted Subsidiary of Parent in an aggregate principal amount not to exceed $30,000,000 at any one time outstanding;</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prepayment or purchase of any Loans in accordance with the terms and conditions of this Agreement;</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Indebtedness;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7" w:lineRule="auto"/>
        <w:tabs>
          <w:tab w:leader="none" w:pos="1944"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Investment may be increased</w:t>
      </w:r>
    </w:p>
    <w:p>
      <w:pPr>
        <w:spacing w:after="0" w:line="1" w:lineRule="exact"/>
        <w:rPr>
          <w:rFonts w:ascii="Times New Roman" w:cs="Times New Roman" w:eastAsia="Times New Roman" w:hAnsi="Times New Roman"/>
          <w:sz w:val="21"/>
          <w:szCs w:val="21"/>
          <w:color w:val="auto"/>
        </w:rPr>
      </w:pPr>
    </w:p>
    <w:p>
      <w:pPr>
        <w:ind w:left="660" w:hanging="4"/>
        <w:spacing w:after="0" w:line="248" w:lineRule="auto"/>
        <w:tabs>
          <w:tab w:leader="none" w:pos="102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the terms of such Investment as in existence on the Closing Date or (B) as otherwise permitted under this Agreement;</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200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72" w:lineRule="auto"/>
        <w:tabs>
          <w:tab w:leader="none" w:pos="2005"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w:t>
      </w:r>
    </w:p>
    <w:p>
      <w:pPr>
        <w:spacing w:after="0" w:line="160" w:lineRule="exact"/>
        <w:rPr>
          <w:rFonts w:ascii="Times New Roman" w:cs="Times New Roman" w:eastAsia="Times New Roman" w:hAnsi="Times New Roman"/>
          <w:sz w:val="21"/>
          <w:szCs w:val="21"/>
          <w:color w:val="auto"/>
        </w:rPr>
      </w:pPr>
    </w:p>
    <w:p>
      <w:pPr>
        <w:ind w:left="660" w:firstLine="644"/>
        <w:spacing w:after="0" w:line="271" w:lineRule="auto"/>
        <w:tabs>
          <w:tab w:leader="none" w:pos="19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Receivables arising in the Ordinary Course of Business, and Investment in Receivables and related assets including pursuant to a Receivables Repurchase Obligation;</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outsourcing initiatives in the Ordinary Course of Business;</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Bond Hedge Transactions which constitute Investments;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0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w:t>
      </w:r>
    </w:p>
    <w:p>
      <w:pPr>
        <w:spacing w:after="0" w:line="180" w:lineRule="exact"/>
        <w:rPr>
          <w:rFonts w:ascii="Times New Roman" w:cs="Times New Roman" w:eastAsia="Times New Roman" w:hAnsi="Times New Roman"/>
          <w:sz w:val="22"/>
          <w:szCs w:val="22"/>
          <w:color w:val="auto"/>
        </w:rPr>
      </w:pPr>
    </w:p>
    <w:p>
      <w:pPr>
        <w:ind w:left="660" w:firstLine="644"/>
        <w:spacing w:after="0" w:line="284"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reimbursable extensions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Investment made pursuant to this clause (18) shall not be permitted if unreimbursed within 90 days of any such extension of credit;</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4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financing any pre-delivery, progress or other similar payments relating to the acquisition of Aircraft Related Equipment;</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Non-Recourse Financing Subsidiaries (other than Receivables Subsidiaries in connection with Qualified Receivables Transactions), in an aggregate amount outstanding at any time not to exceed $300,000,000;</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3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09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travel or airline related businesses made in connection with Marketing and Service Agreements, alliance agreements, distribution agreements, agreements relating to flight training, agreements relating to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00" w:lineRule="exact"/>
        <w:rPr>
          <w:sz w:val="20"/>
          <w:szCs w:val="20"/>
          <w:color w:val="auto"/>
        </w:rPr>
      </w:pPr>
    </w:p>
    <w:p>
      <w:pPr>
        <w:spacing w:after="0" w:line="32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arrangements, agreements relating to spare parts management systems and other similar agreements which Investments under this clause (22) (excluding Investments existing on the Closing Date) shall not exceed $300,000,000 at any time outstanding;</w:t>
      </w:r>
    </w:p>
    <w:p>
      <w:pPr>
        <w:spacing w:after="0" w:line="186" w:lineRule="exact"/>
        <w:rPr>
          <w:sz w:val="20"/>
          <w:szCs w:val="20"/>
          <w:color w:val="auto"/>
        </w:rPr>
      </w:pPr>
    </w:p>
    <w:p>
      <w:pPr>
        <w:ind w:left="660" w:firstLine="644"/>
        <w:spacing w:after="0" w:line="271" w:lineRule="auto"/>
        <w:tabs>
          <w:tab w:leader="none" w:pos="193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payroll advances and advances for business and travel expenses in the Ordinary Course of Business;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9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by way of any endorsement of negotiable instruments received in the Ordinary Course of Business and presented to any bank for collection or deposit;</w:t>
      </w:r>
    </w:p>
    <w:p>
      <w:pPr>
        <w:spacing w:after="0" w:line="157"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89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stock, obligations or securities received in settlement of amounts owing to Parent or any Restricted Subsidiary in the Ordinary Course of Business or in a distribution received in respect of an Investment permitted hereunder;</w:t>
      </w:r>
    </w:p>
    <w:p>
      <w:pPr>
        <w:spacing w:after="0" w:line="167" w:lineRule="exact"/>
        <w:rPr>
          <w:rFonts w:ascii="Times New Roman" w:cs="Times New Roman" w:eastAsia="Times New Roman" w:hAnsi="Times New Roman"/>
          <w:sz w:val="22"/>
          <w:szCs w:val="22"/>
          <w:color w:val="auto"/>
        </w:rPr>
      </w:pPr>
    </w:p>
    <w:p>
      <w:pPr>
        <w:ind w:left="2080" w:hanging="776"/>
        <w:spacing w:after="0"/>
        <w:tabs>
          <w:tab w:leader="none" w:pos="20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Unrestricted Subsidiaries not to exceed $30,000,000 in any fiscal year in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0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90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advances and loans to Affiliates of Parent or any of its Restricted Subsidiaries, in an aggregate amount outstanding at any time not to exceed $300,000,000;</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9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Excluded Subsidiaries consistent with past practice and not to exceed $30,000,000 per fiscal year in the aggregate;</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3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spacing w:after="0" w:line="194"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1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has occurred and is continuing, any Investment by Parent and/or any Restricted Subsidiary of Parent;</w:t>
      </w:r>
    </w:p>
    <w:p>
      <w:pPr>
        <w:spacing w:after="0" w:line="157"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2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guarantees of Indebtedness of any Person to the extent that such Indebtedness is incurred by such Person in connection with activities related to the business of Parent or any Restricted Subsidiary of Parent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p>
    <w:p>
      <w:pPr>
        <w:spacing w:after="0" w:line="322"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Parent has determined that the incurrence of such Indebtedness is beneficial to the business of Parent or any of its Restricted Subsidiaries, in an aggregate amount outstanding at any time not to exceed $300,000,000; and</w:t>
      </w:r>
    </w:p>
    <w:p>
      <w:pPr>
        <w:spacing w:after="0" w:line="158" w:lineRule="exact"/>
        <w:rPr>
          <w:sz w:val="20"/>
          <w:szCs w:val="20"/>
          <w:color w:val="auto"/>
        </w:rPr>
      </w:pPr>
    </w:p>
    <w:p>
      <w:pPr>
        <w:ind w:left="660" w:firstLine="644"/>
        <w:spacing w:after="0" w:line="284" w:lineRule="auto"/>
        <w:tabs>
          <w:tab w:leader="none" w:pos="198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by each of Parent and its Restricted Subsidiaries of the Capital Stock of each of its wholly-owned Subsidiaries.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780" w:hanging="476"/>
        <w:spacing w:after="0"/>
        <w:tabs>
          <w:tab w:leader="none" w:pos="178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held by the Collateral Agent or trustee (as applicable) securing Obligations;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1815"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(A) the 2023 Secured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Indebtedness secured thereby is subject to an Intercreditor Agreement or Other Intercreditor Agreement, and (B) Junior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w:t>
      </w:r>
    </w:p>
    <w:p>
      <w:pPr>
        <w:spacing w:after="0" w:line="1" w:lineRule="exact"/>
        <w:rPr>
          <w:rFonts w:ascii="Times New Roman" w:cs="Times New Roman" w:eastAsia="Times New Roman" w:hAnsi="Times New Roman"/>
          <w:sz w:val="22"/>
          <w:szCs w:val="22"/>
          <w:color w:val="auto"/>
        </w:rPr>
      </w:pPr>
    </w:p>
    <w:p>
      <w:pPr>
        <w:ind w:left="660" w:hanging="4"/>
        <w:spacing w:after="0" w:line="259" w:lineRule="auto"/>
        <w:tabs>
          <w:tab w:leader="none" w:pos="102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rank junior to the Liens in favor of the Collateral Agent securing the Obligations and (y) be subject to any Intercreditor Agreement or any Other Intercreditor Agreement;</w:t>
      </w:r>
    </w:p>
    <w:p>
      <w:pPr>
        <w:spacing w:after="0" w:line="17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7"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assessments or governmental charges or claims that are not yet delinquent or that are being contested in good faith by appropriate proceedings promptly instituted and diligently pursued;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reserve or other appropriate provision as is required in conformity with GAAP has been made therefor;</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78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including carriers’, vendors’, materialmen’s, warehousemen’s, landlord’s, mechanics’, repairmen’s, employees’ or other like Liens, in each case, incurred in the Ordinary Course of Business;</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38"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connection with judgments, attachments or awards which do not constitute an Event of Default hereunder;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for the benefit of (or to secure) the Obligations or any Guaranty Obligations;</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8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Receivables and related assets of the type specified in the definition of “Qualified Receivables Transaction,” incurred in connection with a Qualified Receivables Transaction;</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00" w:lineRule="exact"/>
        <w:rPr>
          <w:sz w:val="20"/>
          <w:szCs w:val="20"/>
          <w:color w:val="auto"/>
        </w:rPr>
      </w:pPr>
    </w:p>
    <w:p>
      <w:pPr>
        <w:spacing w:after="0" w:line="322"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rights of set-off in favor of the depository bank or securities intermediary in respect of the Letter of Credit Account or the Collateral Proceeds Account;</w:t>
      </w:r>
    </w:p>
    <w:p>
      <w:pPr>
        <w:spacing w:after="0" w:line="158" w:lineRule="exact"/>
        <w:rPr>
          <w:sz w:val="20"/>
          <w:szCs w:val="20"/>
          <w:color w:val="auto"/>
        </w:rPr>
      </w:pPr>
    </w:p>
    <w:p>
      <w:pPr>
        <w:jc w:val="both"/>
        <w:ind w:left="660" w:firstLine="644"/>
        <w:spacing w:after="0" w:line="253" w:lineRule="auto"/>
        <w:tabs>
          <w:tab w:leader="none" w:pos="182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Agent pursuant to the Collateral Documents or (B) otherwise expressly permitted by the Collateral Documents;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4" w:lineRule="auto"/>
        <w:tabs>
          <w:tab w:leader="none" w:pos="2208"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w:t>
      </w:r>
    </w:p>
    <w:p>
      <w:pPr>
        <w:jc w:val="both"/>
        <w:ind w:left="660" w:hanging="4"/>
        <w:spacing w:after="0" w:line="245" w:lineRule="auto"/>
        <w:tabs>
          <w:tab w:leader="none" w:pos="101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materially detract from the value of the property to which they attach or materially impair the use thereof to Parent and its Subsidiaries, taken as a whole and (C) do not materially adversely affect the marketability of the applicable property;</w:t>
      </w:r>
    </w:p>
    <w:p>
      <w:pPr>
        <w:spacing w:after="0" w:line="200" w:lineRule="exact"/>
        <w:rPr>
          <w:rFonts w:ascii="Times New Roman" w:cs="Times New Roman" w:eastAsia="Times New Roman" w:hAnsi="Times New Roman"/>
          <w:sz w:val="22"/>
          <w:szCs w:val="22"/>
          <w:color w:val="auto"/>
        </w:rPr>
      </w:pPr>
    </w:p>
    <w:p>
      <w:pPr>
        <w:ind w:left="660" w:firstLine="644"/>
        <w:spacing w:after="0" w:line="271" w:lineRule="auto"/>
        <w:tabs>
          <w:tab w:leader="none" w:pos="2011"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salvage or similar rights of insurers, in each case as it relates to any aircraft, airframe, engine or any Additional Collateral, if any;</w:t>
      </w:r>
    </w:p>
    <w:p>
      <w:pPr>
        <w:spacing w:after="0" w:line="157" w:lineRule="exact"/>
        <w:rPr>
          <w:rFonts w:ascii="Times New Roman" w:cs="Times New Roman" w:eastAsia="Times New Roman" w:hAnsi="Times New Roman"/>
          <w:sz w:val="22"/>
          <w:szCs w:val="22"/>
          <w:color w:val="auto"/>
        </w:rPr>
      </w:pPr>
    </w:p>
    <w:p>
      <w:pPr>
        <w:ind w:left="660" w:firstLine="644"/>
        <w:spacing w:after="0" w:line="295" w:lineRule="auto"/>
        <w:tabs>
          <w:tab w:leader="none" w:pos="1884"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as it relates to any aircraft, Liens on appliances, parts, components, instruments, appurtenances, furnishings and other equipment installed on such aircraft and separately financed by a Grantor, to secure such financing;</w:t>
      </w:r>
    </w:p>
    <w:p>
      <w:pPr>
        <w:spacing w:after="0" w:line="135" w:lineRule="exact"/>
        <w:rPr>
          <w:rFonts w:ascii="Times New Roman" w:cs="Times New Roman" w:eastAsia="Times New Roman" w:hAnsi="Times New Roman"/>
          <w:sz w:val="21"/>
          <w:szCs w:val="21"/>
          <w:color w:val="auto"/>
        </w:rPr>
      </w:pPr>
    </w:p>
    <w:p>
      <w:pPr>
        <w:ind w:left="660" w:firstLine="644"/>
        <w:spacing w:after="0" w:line="284" w:lineRule="auto"/>
        <w:tabs>
          <w:tab w:leader="none" w:pos="1959"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the Ordinary Course of Business of Parent or any Restricted Subsidiary of Parent with respect to obligations that do not exceed in the aggregate $30,000,000 at any one time outstanding;</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08"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directly resulting from (x) any Disposition permitted under Section 6.04 or (y) any sale of such Collateral in compliance with Section 6.04;</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3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Restriction that applies to the transfer or assignment (other than the pledge, grant or creation of a security interest or mortgage) of any asset, right or property constituting Collateral;</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98"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engines (including spare engines) or parts (including spare parts), Liens relating to any pooling, exchange, interchange, borrowing or maintenance servicing agreement or arrangement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7" w:lineRule="auto"/>
        <w:tabs>
          <w:tab w:leader="none" w:pos="194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spare parts, purchase money security interest Liens held by a vendor for goods purchased from such vendor, in each case arising in the Ordinary Course of Business and for which the Borrower or the applicable Grantor pays such vendor within 60 days of such purchase;</w:t>
      </w:r>
    </w:p>
    <w:p>
      <w:pPr>
        <w:spacing w:after="0" w:line="186"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permitted by any of the Collateral Documents;</w:t>
      </w:r>
    </w:p>
    <w:p>
      <w:pPr>
        <w:spacing w:after="0" w:line="215"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0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Pari Passu Senior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(x)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Liens in favor of the Collateral Agent securing the Obligations and (y) be subject to any Intercreditor Agreement or any Other Intercreditor Agreement;</w:t>
      </w:r>
    </w:p>
    <w:p>
      <w:pPr>
        <w:spacing w:after="0" w:line="170" w:lineRule="exact"/>
        <w:rPr>
          <w:rFonts w:ascii="Times New Roman" w:cs="Times New Roman" w:eastAsia="Times New Roman" w:hAnsi="Times New Roman"/>
          <w:sz w:val="22"/>
          <w:szCs w:val="22"/>
          <w:color w:val="auto"/>
        </w:rPr>
      </w:pPr>
    </w:p>
    <w:p>
      <w:pPr>
        <w:ind w:left="660" w:firstLine="644"/>
        <w:spacing w:after="0" w:line="284" w:lineRule="auto"/>
        <w:tabs>
          <w:tab w:leader="none" w:pos="192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w:t>
      </w:r>
    </w:p>
    <w:p>
      <w:pPr>
        <w:spacing w:after="0" w:line="143"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leased real property, any interest or title of the lessor thereof;</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2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creditors of any Person to whom Parent’s or any of its Restricted Subsidiaries’ assets constituting Collateral of the type described in clause (c), (d) or (e) of the definition of “Additional Collateral” are consigned for sale in the Ordinary Course of Business, so long as such Liens of such creditors are subject and subordinate to the Liens of the Collateral Agent on such Collateral;</w:t>
      </w:r>
    </w:p>
    <w:p>
      <w:pPr>
        <w:spacing w:after="0" w:line="192" w:lineRule="exact"/>
        <w:rPr>
          <w:rFonts w:ascii="Times New Roman" w:cs="Times New Roman" w:eastAsia="Times New Roman" w:hAnsi="Times New Roman"/>
          <w:sz w:val="22"/>
          <w:szCs w:val="22"/>
          <w:color w:val="auto"/>
        </w:rPr>
      </w:pPr>
    </w:p>
    <w:p>
      <w:pPr>
        <w:ind w:left="660" w:firstLine="644"/>
        <w:spacing w:after="0" w:line="271" w:lineRule="auto"/>
        <w:tabs>
          <w:tab w:leader="none" w:pos="196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and similar financing statements relating to Operating Leases not otherwise prohibited under any Loan Document;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10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Ground Service Equipment constituting Collateral solely to the extent attributable to the possession or use of such Ground Service Equipment constituting Collateral by any Subsidiary of Parent, so long as such Liens are subject and subordinate to the Lien of the Collateral Agent on such Collateral.</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Person</w:t>
      </w:r>
      <w:r>
        <w:rPr>
          <w:rFonts w:ascii="Times New Roman" w:cs="Times New Roman" w:eastAsia="Times New Roman" w:hAnsi="Times New Roman"/>
          <w:sz w:val="22"/>
          <w:szCs w:val="22"/>
          <w:color w:val="auto"/>
        </w:rPr>
        <w:t>” shall have the meaning set forth in the definition of “</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Refinancing Indebtedness</w:t>
      </w:r>
      <w:r>
        <w:rPr>
          <w:rFonts w:ascii="Times New Roman" w:cs="Times New Roman" w:eastAsia="Times New Roman" w:hAnsi="Times New Roman"/>
          <w:sz w:val="22"/>
          <w:szCs w:val="22"/>
          <w:color w:val="auto"/>
        </w:rPr>
        <w:t xml:space="preserve">”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48" w:lineRule="auto"/>
        <w:tabs>
          <w:tab w:leader="none" w:pos="181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Times New Roman" w:cs="Times New Roman" w:eastAsia="Times New Roman" w:hAnsi="Times New Roman"/>
          <w:sz w:val="22"/>
          <w:szCs w:val="22"/>
          <w:i w:val="1"/>
          <w:iCs w:val="1"/>
          <w:color w:val="auto"/>
        </w:rPr>
        <w:t>preceding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Permitted Refinancing Indebtedness that is refinancing secured Indebtedness and is secured by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5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Warrant Transaction</w:t>
      </w:r>
      <w:r>
        <w:rPr>
          <w:rFonts w:ascii="Times New Roman" w:cs="Times New Roman" w:eastAsia="Times New Roman" w:hAnsi="Times New Roman"/>
          <w:sz w:val="22"/>
          <w:szCs w:val="22"/>
          <w:color w:val="auto"/>
        </w:rPr>
        <w:t>” shall mean any call option, warrant or right to purchase (or substantively equivalent derivative transaction) on Parent’s common stock sold by Parent substantially concurrently with any purchase of a related Permitted Bond Hedge Transaction.</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shall mean any “employee benefit plan” (other than a “multiemployer plan” as defined in Section 4001(a)</w:t>
      </w:r>
    </w:p>
    <w:p>
      <w:pPr>
        <w:spacing w:after="0" w:line="45" w:lineRule="exact"/>
        <w:rPr>
          <w:sz w:val="20"/>
          <w:szCs w:val="20"/>
          <w:color w:val="auto"/>
        </w:rPr>
      </w:pPr>
    </w:p>
    <w:p>
      <w:pPr>
        <w:ind w:firstLine="8"/>
        <w:spacing w:after="0" w:line="259" w:lineRule="auto"/>
        <w:tabs>
          <w:tab w:leader="none" w:pos="30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ERISA), that is maintained or is contributed to by the Borrower or any ERISA Affiliate and that is a pension plan subject to the provisions of Title IV of ERISA, Sections 412 or 430 of the Code or Section 302 of ERISA.</w:t>
      </w:r>
    </w:p>
    <w:p>
      <w:pPr>
        <w:spacing w:after="0" w:line="16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Pledged Foreign Gate Leaseholds</w:t>
      </w:r>
      <w:r>
        <w:rPr>
          <w:rFonts w:ascii="Times New Roman" w:cs="Times New Roman" w:eastAsia="Times New Roman" w:hAnsi="Times New Roman"/>
          <w:sz w:val="22"/>
          <w:szCs w:val="22"/>
          <w:color w:val="auto"/>
        </w:rPr>
        <w:t>” shall mean, as of any date, the Foreign Gate Leaseholds included in the Collateral as of such date.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Pledged Route Authorities</w:t>
      </w:r>
      <w:r>
        <w:rPr>
          <w:rFonts w:ascii="Times New Roman" w:cs="Times New Roman" w:eastAsia="Times New Roman" w:hAnsi="Times New Roman"/>
          <w:sz w:val="21"/>
          <w:szCs w:val="21"/>
          <w:color w:val="auto"/>
        </w:rPr>
        <w:t>” shall mean, as of any date, the Route Authorities included in the Collateral as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Pledged Slots</w:t>
      </w:r>
      <w:r>
        <w:rPr>
          <w:rFonts w:ascii="Times New Roman" w:cs="Times New Roman" w:eastAsia="Times New Roman" w:hAnsi="Times New Roman"/>
          <w:sz w:val="22"/>
          <w:szCs w:val="22"/>
          <w:color w:val="auto"/>
        </w:rPr>
        <w:t>” shall mean, as of any date, the Slots included in the Collateral as of such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Prior Credit Agreement</w:t>
      </w:r>
      <w:r>
        <w:rPr>
          <w:rFonts w:ascii="Times New Roman" w:cs="Times New Roman" w:eastAsia="Times New Roman" w:hAnsi="Times New Roman"/>
          <w:sz w:val="22"/>
          <w:szCs w:val="22"/>
          <w:color w:val="auto"/>
        </w:rPr>
        <w:t>” means the Credit Agreement as in effect prior to the Seventh Amendment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Prior Joint Lead Arrangers and Bookrunners</w:t>
      </w:r>
      <w:r>
        <w:rPr>
          <w:rFonts w:ascii="Times New Roman" w:cs="Times New Roman" w:eastAsia="Times New Roman" w:hAnsi="Times New Roman"/>
          <w:sz w:val="22"/>
          <w:szCs w:val="22"/>
          <w:color w:val="auto"/>
        </w:rPr>
        <w:t>” shall have the meaning set forth in the Prior Credit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Prior Restatement Effective Date</w:t>
      </w:r>
      <w:r>
        <w:rPr>
          <w:rFonts w:ascii="Times New Roman" w:cs="Times New Roman" w:eastAsia="Times New Roman" w:hAnsi="Times New Roman"/>
          <w:sz w:val="22"/>
          <w:szCs w:val="22"/>
          <w:color w:val="auto"/>
        </w:rPr>
        <w:t>” shall mean May 21, 2015.</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Prime Rate</w:t>
      </w:r>
      <w:r>
        <w:rPr>
          <w:rFonts w:ascii="Times New Roman" w:cs="Times New Roman" w:eastAsia="Times New Roman" w:hAnsi="Times New Roman"/>
          <w:sz w:val="22"/>
          <w:szCs w:val="22"/>
          <w:color w:val="auto"/>
        </w:rPr>
        <w:t>” shall mean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debtors); each change in the Prime Rate shall be effective from and including the date such change is publicly announced as being effective.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QEC Kits</w:t>
      </w:r>
      <w:r>
        <w:rPr>
          <w:rFonts w:ascii="Times New Roman" w:cs="Times New Roman" w:eastAsia="Times New Roman" w:hAnsi="Times New Roman"/>
          <w:sz w:val="22"/>
          <w:szCs w:val="22"/>
          <w:color w:val="auto"/>
        </w:rPr>
        <w:t>” shall mean the quick engine change kits owned by Parent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Receivables Transaction</w:t>
      </w:r>
      <w:r>
        <w:rPr>
          <w:rFonts w:ascii="Times New Roman" w:cs="Times New Roman" w:eastAsia="Times New Roman" w:hAnsi="Times New Roman"/>
          <w:sz w:val="22"/>
          <w:szCs w:val="22"/>
          <w:color w:val="auto"/>
        </w:rPr>
        <w:t>”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w:t>
      </w:r>
    </w:p>
    <w:p>
      <w:pPr>
        <w:spacing w:after="0" w:line="18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Replacement Assets</w:t>
      </w:r>
      <w:r>
        <w:rPr>
          <w:rFonts w:ascii="Times New Roman" w:cs="Times New Roman" w:eastAsia="Times New Roman" w:hAnsi="Times New Roman"/>
          <w:sz w:val="22"/>
          <w:szCs w:val="22"/>
          <w:color w:val="auto"/>
        </w:rPr>
        <w:t>” shall mean Additional Collateral of the types described in clauses (b), (c), (d) and (e) of the definition of “Additional Collateral.”</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Collateral</w:t>
      </w:r>
      <w:r>
        <w:rPr>
          <w:rFonts w:ascii="Times New Roman" w:cs="Times New Roman" w:eastAsia="Times New Roman" w:hAnsi="Times New Roman"/>
          <w:sz w:val="22"/>
          <w:szCs w:val="22"/>
          <w:color w:val="auto"/>
        </w:rPr>
        <w:t>” shall mean Collateral other than Foreign Gate Leaseholds.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Equity Interests</w:t>
      </w:r>
      <w:r>
        <w:rPr>
          <w:rFonts w:ascii="Times New Roman" w:cs="Times New Roman" w:eastAsia="Times New Roman" w:hAnsi="Times New Roman"/>
          <w:sz w:val="22"/>
          <w:szCs w:val="22"/>
          <w:color w:val="auto"/>
        </w:rPr>
        <w:t>” shall mean Equity Interests of Parent other than Disqualified Stock.</w:t>
      </w:r>
    </w:p>
    <w:p>
      <w:pPr>
        <w:spacing w:after="0" w:line="22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Real Property Assets</w:t>
      </w:r>
      <w:r>
        <w:rPr>
          <w:rFonts w:ascii="Times New Roman" w:cs="Times New Roman" w:eastAsia="Times New Roman" w:hAnsi="Times New Roman"/>
          <w:sz w:val="22"/>
          <w:szCs w:val="22"/>
          <w:color w:val="auto"/>
        </w:rPr>
        <w:t>”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w:t>
      </w:r>
    </w:p>
    <w:p>
      <w:pPr>
        <w:spacing w:after="0" w:line="16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w:t>
      </w:r>
      <w:r>
        <w:rPr>
          <w:rFonts w:ascii="Times New Roman" w:cs="Times New Roman" w:eastAsia="Times New Roman" w:hAnsi="Times New Roman"/>
          <w:sz w:val="22"/>
          <w:szCs w:val="22"/>
          <w:color w:val="auto"/>
        </w:rPr>
        <w:t>” shall mean Accounts, and shall also include ticket receivables, sales of frequent flyer miles and other present and future revenues and receivables that may be the subject of a Qualified Receivables Transaction or another financing transaction.</w:t>
      </w:r>
    </w:p>
    <w:p>
      <w:pPr>
        <w:spacing w:after="0" w:line="16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 Repurchase Obligation</w:t>
      </w:r>
      <w:r>
        <w:rPr>
          <w:rFonts w:ascii="Times New Roman" w:cs="Times New Roman" w:eastAsia="Times New Roman" w:hAnsi="Times New Roman"/>
          <w:sz w:val="22"/>
          <w:szCs w:val="22"/>
          <w:color w:val="auto"/>
        </w:rPr>
        <w:t>”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 Subsidiary</w:t>
      </w:r>
      <w:r>
        <w:rPr>
          <w:rFonts w:ascii="Times New Roman" w:cs="Times New Roman" w:eastAsia="Times New Roman" w:hAnsi="Times New Roman"/>
          <w:sz w:val="22"/>
          <w:szCs w:val="22"/>
          <w:color w:val="auto"/>
        </w:rPr>
        <w:t>” shall mean (x) a Subsidiary of Parent which engages in no activities other than in connection with the financing or securitization of Receivables and which is designated by the Board of Directors of the Borrower or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0" w:lineRule="exact"/>
        <w:rPr>
          <w:sz w:val="20"/>
          <w:szCs w:val="20"/>
          <w:color w:val="auto"/>
        </w:rPr>
      </w:pPr>
    </w:p>
    <w:p>
      <w:pPr>
        <w:spacing w:after="0" w:line="3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Times New Roman" w:cs="Times New Roman" w:eastAsia="Times New Roman" w:hAnsi="Times New Roman"/>
          <w:sz w:val="22"/>
          <w:szCs w:val="22"/>
          <w:i w:val="1"/>
          <w:iCs w:val="1"/>
          <w:color w:val="auto"/>
        </w:rPr>
        <w:t>incidental pledge</w:t>
      </w:r>
      <w:r>
        <w:rPr>
          <w:rFonts w:ascii="Times New Roman" w:cs="Times New Roman" w:eastAsia="Times New Roman" w:hAnsi="Times New Roman"/>
          <w:sz w:val="22"/>
          <w:szCs w:val="22"/>
          <w:color w:val="auto"/>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w:t>
      </w:r>
      <w:r>
        <w:rPr>
          <w:rFonts w:ascii="Times New Roman" w:cs="Times New Roman" w:eastAsia="Times New Roman" w:hAnsi="Times New Roman"/>
          <w:sz w:val="22"/>
          <w:szCs w:val="22"/>
          <w:i w:val="1"/>
          <w:iCs w:val="1"/>
          <w:color w:val="auto"/>
        </w:rPr>
        <w:t>Qualified Receivables Transaction</w:t>
      </w:r>
      <w:r>
        <w:rPr>
          <w:rFonts w:ascii="Times New Roman" w:cs="Times New Roman" w:eastAsia="Times New Roman" w:hAnsi="Times New Roman"/>
          <w:sz w:val="22"/>
          <w:szCs w:val="22"/>
          <w:color w:val="auto"/>
        </w:rPr>
        <w:t>”),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Recovery Event</w:t>
      </w:r>
      <w:r>
        <w:rPr>
          <w:rFonts w:ascii="Times New Roman" w:cs="Times New Roman" w:eastAsia="Times New Roman" w:hAnsi="Times New Roman"/>
          <w:sz w:val="22"/>
          <w:szCs w:val="22"/>
          <w:color w:val="auto"/>
        </w:rPr>
        <w:t>”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Agent or trustee (as applicable), if applicable).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Revolving Loans</w:t>
      </w:r>
      <w:r>
        <w:rPr>
          <w:rFonts w:ascii="Times New Roman" w:cs="Times New Roman" w:eastAsia="Times New Roman" w:hAnsi="Times New Roman"/>
          <w:sz w:val="22"/>
          <w:szCs w:val="22"/>
          <w:color w:val="auto"/>
        </w:rPr>
        <w:t>” shall have the meaning set forth in Section 10.08(e).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Term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Regional Airline</w:t>
      </w:r>
      <w:r>
        <w:rPr>
          <w:rFonts w:ascii="Times New Roman" w:cs="Times New Roman" w:eastAsia="Times New Roman" w:hAnsi="Times New Roman"/>
          <w:sz w:val="22"/>
          <w:szCs w:val="22"/>
          <w:color w:val="auto"/>
        </w:rPr>
        <w:t>” shall mean Envoy Aviation Group Inc., Piedmont Airlines, Inc. and PSA Airlines, Inc. and their respective Subsidiaries.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shall have the meaning set forth in Section 10.02(b)(iv).</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shall mean, with respect to any specified Person, such Person’s Affiliates and the respective directors, officers, partners, members, employees, agents and advisors of such Person and such Person’s Affiliates.</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shall have the meaning specified in Section 101(22) of the Comprehensive Environmental Response Compensation and Liability Act.</w:t>
      </w:r>
    </w:p>
    <w:p>
      <w:pPr>
        <w:spacing w:after="0" w:line="16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Rating</w:t>
      </w:r>
      <w:r>
        <w:rPr>
          <w:rFonts w:ascii="Times New Roman" w:cs="Times New Roman" w:eastAsia="Times New Roman" w:hAnsi="Times New Roman"/>
          <w:sz w:val="22"/>
          <w:szCs w:val="22"/>
          <w:color w:val="auto"/>
        </w:rPr>
        <w:t>” shall have the meaning specified in the definition of “Applicable Margin”.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Replaceable Lender</w:t>
      </w:r>
      <w:r>
        <w:rPr>
          <w:rFonts w:ascii="Times New Roman" w:cs="Times New Roman" w:eastAsia="Times New Roman" w:hAnsi="Times New Roman"/>
          <w:sz w:val="22"/>
          <w:szCs w:val="22"/>
          <w:color w:val="auto"/>
        </w:rPr>
        <w:t>” shall have the meaning set forth in Section 10.02(j).</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Loans</w:t>
      </w:r>
      <w:r>
        <w:rPr>
          <w:rFonts w:ascii="Times New Roman" w:cs="Times New Roman" w:eastAsia="Times New Roman" w:hAnsi="Times New Roman"/>
          <w:sz w:val="22"/>
          <w:szCs w:val="22"/>
          <w:color w:val="auto"/>
        </w:rPr>
        <w:t>” shall have the meaning set forth in Section 10.08(e).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Term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Repricing Event</w:t>
      </w:r>
      <w:r>
        <w:rPr>
          <w:rFonts w:ascii="Times New Roman" w:cs="Times New Roman" w:eastAsia="Times New Roman" w:hAnsi="Times New Roman"/>
          <w:sz w:val="22"/>
          <w:szCs w:val="22"/>
          <w:color w:val="auto"/>
        </w:rPr>
        <w:t>” shall mean (a) any prepayment, repayment, refinancing, substitution or replacement of all or a portion of the Seventh Amendment Extended Term Loans with the proceeds of, or any conversion of Seventh Amendment Extended Term Loans into, any new or replacement Class of, or new facility of, syndicated term loans by the Borrower in the principal amount of the Seventh Amendment Extended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holders of such term loans in their capacities as lenders or holders of such term loans), less than the “effective yield” applicable to the Seventh Amendment Extended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Seventh Amendment Extended Term Loans or any tranche thereof which reduces the “effective yield” applicable to such Seventh Amendment Extended Term Loans (as determined on the same basis as provided in clause (a)), in each case only if the primary purpose of such prepayment, repayment, substitution, replacement or amendment was to reduce the “effective yield” applicable to such Seventh Amendment Extended Term Loans.</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Class Lenders</w:t>
      </w:r>
      <w:r>
        <w:rPr>
          <w:rFonts w:ascii="Times New Roman" w:cs="Times New Roman" w:eastAsia="Times New Roman" w:hAnsi="Times New Roman"/>
          <w:sz w:val="22"/>
          <w:szCs w:val="22"/>
          <w:color w:val="auto"/>
        </w:rPr>
        <w:t>” shall mean (i) with respect to any Class of Term Loans, the Term Lenders having more than 50% of all outstanding Term Loans of such Class and (ii) with respect to the Revolving Loans of a Class, the Required Revolving Lenders of such Class. The outstanding Term Loans and Term Loan Commitments of any Defaulting Lender should be disregarded for purposes of any determination with respect to a Class of Term Loans.</w:t>
      </w:r>
    </w:p>
    <w:p>
      <w:pPr>
        <w:spacing w:after="0" w:line="17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Lenders</w:t>
      </w:r>
      <w:r>
        <w:rPr>
          <w:rFonts w:ascii="Times New Roman" w:cs="Times New Roman" w:eastAsia="Times New Roman" w:hAnsi="Times New Roman"/>
          <w:sz w:val="22"/>
          <w:szCs w:val="22"/>
          <w:color w:val="auto"/>
        </w:rPr>
        <w:t>” shall mean, at any time, Lenders holding more than 50% of (a) until the Closing Date, the Commitments then in effect and (b) thereafter, the sum of (i) the aggregate principal amount of all Term Loans outstanding and</w:t>
      </w:r>
    </w:p>
    <w:p>
      <w:pPr>
        <w:spacing w:after="0" w:line="1" w:lineRule="exact"/>
        <w:rPr>
          <w:sz w:val="20"/>
          <w:szCs w:val="20"/>
          <w:color w:val="auto"/>
        </w:rPr>
      </w:pPr>
    </w:p>
    <w:p>
      <w:pPr>
        <w:jc w:val="both"/>
        <w:ind w:firstLine="8"/>
        <w:spacing w:after="0" w:line="251" w:lineRule="auto"/>
        <w:tabs>
          <w:tab w:leader="none" w:pos="37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Revolving Lenders</w:t>
      </w:r>
      <w:r>
        <w:rPr>
          <w:rFonts w:ascii="Times New Roman" w:cs="Times New Roman" w:eastAsia="Times New Roman" w:hAnsi="Times New Roman"/>
          <w:sz w:val="22"/>
          <w:szCs w:val="22"/>
          <w:color w:val="auto"/>
        </w:rPr>
        <w:t>” shall mean, at any time, Lenders holding more than 50% of the Total Revolving Commitments then in effect or, if the Revolving Commitments have been terminated, the Total Revolving Extensions of Credit then outstanding. The Revolving Extensions of Credit and Revolving Commitments of any Defaulting Lender shall be disregarded in determining the “Required Revolving Lenders” at any time.</w:t>
      </w:r>
    </w:p>
    <w:p>
      <w:pPr>
        <w:spacing w:after="0" w:line="16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Term Lenders</w:t>
      </w:r>
      <w:r>
        <w:rPr>
          <w:rFonts w:ascii="Times New Roman" w:cs="Times New Roman" w:eastAsia="Times New Roman" w:hAnsi="Times New Roman"/>
          <w:sz w:val="22"/>
          <w:szCs w:val="22"/>
          <w:color w:val="auto"/>
        </w:rPr>
        <w:t>”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w:t>
      </w:r>
    </w:p>
    <w:p>
      <w:pPr>
        <w:spacing w:after="0" w:line="16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Investment</w:t>
      </w:r>
      <w:r>
        <w:rPr>
          <w:rFonts w:ascii="Times New Roman" w:cs="Times New Roman" w:eastAsia="Times New Roman" w:hAnsi="Times New Roman"/>
          <w:sz w:val="22"/>
          <w:szCs w:val="22"/>
          <w:color w:val="auto"/>
        </w:rPr>
        <w:t>” shall mean an Investment other than a Permitted Investment.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 shall have the meaning set forth in Section 6.01(a)(iv).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Subsidiary</w:t>
      </w:r>
      <w:r>
        <w:rPr>
          <w:rFonts w:ascii="Times New Roman" w:cs="Times New Roman" w:eastAsia="Times New Roman" w:hAnsi="Times New Roman"/>
          <w:sz w:val="22"/>
          <w:szCs w:val="22"/>
          <w:color w:val="auto"/>
        </w:rPr>
        <w:t>” of a Person shall mean any Subsidiary of the referent Person that is not an Unrestricted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Availability Date</w:t>
      </w:r>
      <w:r>
        <w:rPr>
          <w:rFonts w:ascii="Times New Roman" w:cs="Times New Roman" w:eastAsia="Times New Roman" w:hAnsi="Times New Roman"/>
          <w:sz w:val="22"/>
          <w:szCs w:val="22"/>
          <w:color w:val="auto"/>
        </w:rPr>
        <w:t>” shall mean December 9, 2013.</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w:t>
      </w:r>
      <w:r>
        <w:rPr>
          <w:rFonts w:ascii="Times New Roman" w:cs="Times New Roman" w:eastAsia="Times New Roman" w:hAnsi="Times New Roman"/>
          <w:sz w:val="22"/>
          <w:szCs w:val="22"/>
          <w:color w:val="auto"/>
        </w:rPr>
        <w:t>” shall have the meaning set forth in Section 2.28(b).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 Offer</w:t>
      </w:r>
      <w:r>
        <w:rPr>
          <w:rFonts w:ascii="Times New Roman" w:cs="Times New Roman" w:eastAsia="Times New Roman" w:hAnsi="Times New Roman"/>
          <w:sz w:val="22"/>
          <w:szCs w:val="22"/>
          <w:color w:val="auto"/>
        </w:rPr>
        <w:t>” shall have the meaning set forth in Section 2.28(b).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 Offer Date</w:t>
      </w:r>
      <w:r>
        <w:rPr>
          <w:rFonts w:ascii="Times New Roman" w:cs="Times New Roman" w:eastAsia="Times New Roman" w:hAnsi="Times New Roman"/>
          <w:sz w:val="22"/>
          <w:szCs w:val="22"/>
          <w:color w:val="auto"/>
        </w:rPr>
        <w:t>” shall have the meaning set forth in Section 2.28(b)(i).</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Availability Period</w:t>
      </w:r>
      <w:r>
        <w:rPr>
          <w:rFonts w:ascii="Times New Roman" w:cs="Times New Roman" w:eastAsia="Times New Roman" w:hAnsi="Times New Roman"/>
          <w:sz w:val="22"/>
          <w:szCs w:val="22"/>
          <w:color w:val="auto"/>
        </w:rPr>
        <w:t>” shall mean the period from and including the Revolver Availability Date to but excluding the Revolving Facility Termination Date with respect to the applicable Revolving Commitments.</w:t>
      </w:r>
    </w:p>
    <w:p>
      <w:pPr>
        <w:spacing w:after="0" w:line="14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w:t>
      </w:r>
      <w:r>
        <w:rPr>
          <w:rFonts w:ascii="Times New Roman" w:cs="Times New Roman" w:eastAsia="Times New Roman" w:hAnsi="Times New Roman"/>
          <w:sz w:val="22"/>
          <w:szCs w:val="22"/>
          <w:color w:val="auto"/>
        </w:rPr>
        <w:t>” shall mean the commitment of each Revolving Lender to make Revolving Loans and participate in Letters of Credit hereunder in an aggregate principal and/or face amount not to exceed the amount set forth under the heading “</w:t>
      </w:r>
      <w:r>
        <w:rPr>
          <w:rFonts w:ascii="Times New Roman" w:cs="Times New Roman" w:eastAsia="Times New Roman" w:hAnsi="Times New Roman"/>
          <w:sz w:val="22"/>
          <w:szCs w:val="22"/>
          <w:b w:val="1"/>
          <w:bCs w:val="1"/>
          <w:color w:val="FF0000"/>
          <w:strike w:val="1"/>
        </w:rPr>
        <w:t>Existing Revolving Commitment” and/or “2023</w:t>
      </w:r>
      <w:r>
        <w:rPr>
          <w:rFonts w:ascii="Times New Roman" w:cs="Times New Roman" w:eastAsia="Times New Roman" w:hAnsi="Times New Roman"/>
          <w:sz w:val="22"/>
          <w:szCs w:val="22"/>
          <w:b w:val="1"/>
          <w:bCs w:val="1"/>
          <w:u w:val="single" w:color="auto"/>
          <w:color w:val="0000FF"/>
        </w:rPr>
        <w:t>2024</w:t>
      </w:r>
      <w:r>
        <w:rPr>
          <w:rFonts w:ascii="Times New Roman" w:cs="Times New Roman" w:eastAsia="Times New Roman" w:hAnsi="Times New Roman"/>
          <w:sz w:val="22"/>
          <w:szCs w:val="22"/>
          <w:color w:val="auto"/>
        </w:rPr>
        <w:t xml:space="preserve"> Incremental Revolving </w:t>
      </w:r>
      <w:r>
        <w:rPr>
          <w:rFonts w:ascii="Times New Roman" w:cs="Times New Roman" w:eastAsia="Times New Roman" w:hAnsi="Times New Roman"/>
          <w:sz w:val="22"/>
          <w:szCs w:val="22"/>
          <w:b w:val="1"/>
          <w:bCs w:val="1"/>
          <w:color w:val="FF0000"/>
          <w:strike w:val="1"/>
        </w:rPr>
        <w:t>Commitment”,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applicable,</w:t>
      </w:r>
      <w:r>
        <w:rPr>
          <w:rFonts w:ascii="Times New Roman" w:cs="Times New Roman" w:eastAsia="Times New Roman" w:hAnsi="Times New Roman"/>
          <w:sz w:val="22"/>
          <w:szCs w:val="22"/>
          <w:b w:val="1"/>
          <w:bCs w:val="1"/>
          <w:u w:val="single" w:color="auto"/>
          <w:color w:val="0000FF"/>
        </w:rPr>
        <w:t>Commitments”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opposite its name in</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u w:val="single" w:color="auto"/>
          <w:color w:val="000000"/>
        </w:rPr>
        <w:t>Annex A</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hereto or in the Assignment and Acceptance pursuant to which such</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Revolving Lender became a party hereto, as the same may be changed from time to time pursuant to the terms hereof</w:t>
      </w: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FF0000"/>
          <w:strike w:val="1"/>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FF0000"/>
          <w:strike w:val="1"/>
        </w:rPr>
        <w:t>that 2023 Incremental Revolving Commitments and the Existing Revolving Commitments shall be treated as the same Class for purposes of Sections 2.01 and 2.17(e) of this Agreement to but excluding October 11, 2024</w:t>
      </w:r>
      <w:r>
        <w:rPr>
          <w:rFonts w:ascii="Times New Roman" w:cs="Times New Roman" w:eastAsia="Times New Roman" w:hAnsi="Times New Roman"/>
          <w:sz w:val="22"/>
          <w:szCs w:val="22"/>
          <w:color w:val="000000"/>
          <w:strike w:val="1"/>
        </w:rPr>
        <w:t>. The aggregate</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color w:val="000000"/>
          <w:strike w:val="1"/>
        </w:rPr>
        <w:t xml:space="preserve">principal amount of the </w:t>
      </w:r>
      <w:r>
        <w:rPr>
          <w:rFonts w:ascii="Times New Roman" w:cs="Times New Roman" w:eastAsia="Times New Roman" w:hAnsi="Times New Roman"/>
          <w:sz w:val="22"/>
          <w:szCs w:val="22"/>
          <w:b w:val="1"/>
          <w:bCs w:val="1"/>
          <w:color w:val="FF0000"/>
          <w:strike w:val="1"/>
        </w:rPr>
        <w:t>Total Revolving Commitments (other than 2023 Incremental Revolving Commitments) is</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b w:val="1"/>
          <w:bCs w:val="1"/>
          <w:color w:val="FF0000"/>
          <w:strike w:val="1"/>
        </w:rPr>
        <w:t xml:space="preserve">$172,620,800, and the aggregate principal amount of 2023 Incremental </w:t>
      </w:r>
      <w:r>
        <w:rPr>
          <w:rFonts w:ascii="Times New Roman" w:cs="Times New Roman" w:eastAsia="Times New Roman" w:hAnsi="Times New Roman"/>
          <w:sz w:val="22"/>
          <w:szCs w:val="22"/>
          <w:color w:val="000000"/>
          <w:strike w:val="1"/>
        </w:rPr>
        <w:t>Revolving Commitments as of the</w:t>
      </w:r>
      <w:r>
        <w:rPr>
          <w:rFonts w:ascii="Times New Roman" w:cs="Times New Roman" w:eastAsia="Times New Roman" w:hAnsi="Times New Roman"/>
          <w:sz w:val="22"/>
          <w:szCs w:val="22"/>
          <w:b w:val="1"/>
          <w:bCs w:val="1"/>
          <w:color w:val="FF0000"/>
          <w:strike w:val="1"/>
        </w:rPr>
        <w:t xml:space="preserve"> Eighth</w:t>
      </w:r>
      <w:r>
        <w:rPr>
          <w:rFonts w:ascii="Times New Roman" w:cs="Times New Roman" w:eastAsia="Times New Roman" w:hAnsi="Times New Roman"/>
          <w:sz w:val="22"/>
          <w:szCs w:val="22"/>
          <w:b w:val="1"/>
          <w:bCs w:val="1"/>
          <w:u w:val="single" w:color="auto"/>
          <w:color w:val="0000FF"/>
          <w:strike w:val="1"/>
        </w:rPr>
        <w:t>Ninth</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color w:val="000000"/>
          <w:strike w:val="1"/>
        </w:rPr>
        <w:t>Amendment Effective Date is $</w:t>
      </w:r>
      <w:r>
        <w:rPr>
          <w:rFonts w:ascii="Times New Roman" w:cs="Times New Roman" w:eastAsia="Times New Roman" w:hAnsi="Times New Roman"/>
          <w:sz w:val="22"/>
          <w:szCs w:val="22"/>
          <w:b w:val="1"/>
          <w:bCs w:val="1"/>
          <w:color w:val="FF0000"/>
          <w:strike w:val="1"/>
        </w:rPr>
        <w:t>562,979,200</w:t>
      </w:r>
      <w:r>
        <w:rPr>
          <w:rFonts w:ascii="Times New Roman" w:cs="Times New Roman" w:eastAsia="Times New Roman" w:hAnsi="Times New Roman"/>
          <w:sz w:val="22"/>
          <w:szCs w:val="22"/>
          <w:b w:val="1"/>
          <w:bCs w:val="1"/>
          <w:u w:val="single" w:color="auto"/>
          <w:color w:val="0000FF"/>
          <w:strike w:val="1"/>
        </w:rPr>
        <w:t>500,000,000</w:t>
      </w:r>
      <w:r>
        <w:rPr>
          <w:rFonts w:ascii="Times New Roman" w:cs="Times New Roman" w:eastAsia="Times New Roman" w:hAnsi="Times New Roman"/>
          <w:sz w:val="22"/>
          <w:szCs w:val="22"/>
          <w:color w:val="00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 Percentage</w:t>
      </w:r>
      <w:r>
        <w:rPr>
          <w:rFonts w:ascii="Times New Roman" w:cs="Times New Roman" w:eastAsia="Times New Roman" w:hAnsi="Times New Roman"/>
          <w:sz w:val="22"/>
          <w:szCs w:val="22"/>
          <w:color w:val="auto"/>
        </w:rPr>
        <w:t>”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Extension of Credit</w:t>
      </w:r>
      <w:r>
        <w:rPr>
          <w:rFonts w:ascii="Times New Roman" w:cs="Times New Roman" w:eastAsia="Times New Roman" w:hAnsi="Times New Roman"/>
          <w:sz w:val="22"/>
          <w:szCs w:val="22"/>
          <w:color w:val="auto"/>
        </w:rPr>
        <w:t>” shall mean, as to any Revolving Lender at any time, an amount equal to the sum of (a) the aggregate principal amount of all Revolving Loans held by such Lender then outstanding and (b) such Lender’s Revolving Commitment Percentage of the LC Exposure then outstanding.</w:t>
      </w:r>
    </w:p>
    <w:p>
      <w:pPr>
        <w:spacing w:after="0" w:line="16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w:t>
      </w:r>
      <w:r>
        <w:rPr>
          <w:rFonts w:ascii="Times New Roman" w:cs="Times New Roman" w:eastAsia="Times New Roman" w:hAnsi="Times New Roman"/>
          <w:sz w:val="22"/>
          <w:szCs w:val="22"/>
          <w:color w:val="auto"/>
        </w:rPr>
        <w:t>” shall mean the Revolving Commitments and the Revolving Loans made and Letters of Credit issued thereunder.</w:t>
      </w:r>
    </w:p>
    <w:p>
      <w:pPr>
        <w:spacing w:after="0" w:line="13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shall mean</w:t>
      </w: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color w:val="auto"/>
        </w:rPr>
        <w:t xml:space="preserve"> (a) with respect to </w:t>
      </w:r>
      <w:r>
        <w:rPr>
          <w:rFonts w:ascii="Times New Roman" w:cs="Times New Roman" w:eastAsia="Times New Roman" w:hAnsi="Times New Roman"/>
          <w:sz w:val="22"/>
          <w:szCs w:val="22"/>
          <w:b w:val="1"/>
          <w:bCs w:val="1"/>
          <w:color w:val="FF0000"/>
          <w:strike w:val="1"/>
        </w:rPr>
        <w:t>Revolving Commitments other than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2023</w:t>
      </w:r>
      <w:r>
        <w:rPr>
          <w:rFonts w:ascii="Times New Roman" w:cs="Times New Roman" w:eastAsia="Times New Roman" w:hAnsi="Times New Roman"/>
          <w:sz w:val="22"/>
          <w:szCs w:val="22"/>
          <w:b w:val="1"/>
          <w:bCs w:val="1"/>
          <w:u w:val="single" w:color="auto"/>
          <w:color w:val="0000FF"/>
        </w:rPr>
        <w:t>2024</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Incremental Revolving Commitments,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October 11</w:t>
      </w:r>
      <w:r>
        <w:rPr>
          <w:rFonts w:ascii="Times New Roman" w:cs="Times New Roman" w:eastAsia="Times New Roman" w:hAnsi="Times New Roman"/>
          <w:sz w:val="22"/>
          <w:szCs w:val="22"/>
          <w:b w:val="1"/>
          <w:bCs w:val="1"/>
          <w:u w:val="single" w:color="auto"/>
          <w:color w:val="0000FF"/>
        </w:rPr>
        <w:t>June 4</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2024</w:t>
      </w:r>
      <w:r>
        <w:rPr>
          <w:rFonts w:ascii="Times New Roman" w:cs="Times New Roman" w:eastAsia="Times New Roman" w:hAnsi="Times New Roman"/>
          <w:sz w:val="22"/>
          <w:szCs w:val="22"/>
          <w:b w:val="1"/>
          <w:bCs w:val="1"/>
          <w:u w:val="single" w:color="auto"/>
          <w:color w:val="0000FF"/>
        </w:rPr>
        <w:t>2029</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u w:val="single" w:color="auto"/>
          <w:color w:val="0000FF"/>
        </w:rPr>
        <w:t>and</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(b) with respect to</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2023 Incremental</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Revolving Commitments, October 13, 2026, and (c) with respect to</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Extended Revolving Commitments extended after the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Eighth</w:t>
      </w:r>
      <w:r>
        <w:rPr>
          <w:rFonts w:ascii="Times New Roman" w:cs="Times New Roman" w:eastAsia="Times New Roman" w:hAnsi="Times New Roman"/>
          <w:sz w:val="22"/>
          <w:szCs w:val="22"/>
          <w:b w:val="1"/>
          <w:bCs w:val="1"/>
          <w:u w:val="single" w:color="auto"/>
          <w:color w:val="0000FF"/>
        </w:rPr>
        <w:t>Ninth</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Amendment Effective Date, the final maturity date therefor as specified in the applicable Extension Offer accepted</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by the respective Revolving Lender or Revolving Lenders.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Termination Date</w:t>
      </w:r>
      <w:r>
        <w:rPr>
          <w:rFonts w:ascii="Times New Roman" w:cs="Times New Roman" w:eastAsia="Times New Roman" w:hAnsi="Times New Roman"/>
          <w:sz w:val="22"/>
          <w:szCs w:val="22"/>
          <w:color w:val="auto"/>
        </w:rPr>
        <w:t>” shall mean the earlier to occur of (a) the Revolving Facility Maturity Date with respect to the applicable Revolving Commitments, (b) the acceleration of the Revolving Loans (if any) and the termination of the Commitments in accordance with the terms hereof and (c) the termination of the applicable Revolving Commitments as a whole pursuant to Section 2.11.</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Lender</w:t>
      </w:r>
      <w:r>
        <w:rPr>
          <w:rFonts w:ascii="Times New Roman" w:cs="Times New Roman" w:eastAsia="Times New Roman" w:hAnsi="Times New Roman"/>
          <w:sz w:val="22"/>
          <w:szCs w:val="22"/>
          <w:color w:val="auto"/>
        </w:rPr>
        <w:t xml:space="preserve">” shall mean each Lender having a Revolving Commitment. For the avoidance of doubt, each </w:t>
      </w:r>
      <w:r>
        <w:rPr>
          <w:rFonts w:ascii="Times New Roman" w:cs="Times New Roman" w:eastAsia="Times New Roman" w:hAnsi="Times New Roman"/>
          <w:sz w:val="22"/>
          <w:szCs w:val="22"/>
          <w:b w:val="1"/>
          <w:bCs w:val="1"/>
          <w:color w:val="FF0000"/>
          <w:strike w:val="1"/>
        </w:rPr>
        <w:t>2023</w:t>
      </w:r>
      <w:r>
        <w:rPr>
          <w:rFonts w:ascii="Times New Roman" w:cs="Times New Roman" w:eastAsia="Times New Roman" w:hAnsi="Times New Roman"/>
          <w:sz w:val="22"/>
          <w:szCs w:val="22"/>
          <w:b w:val="1"/>
          <w:bCs w:val="1"/>
          <w:u w:val="single" w:color="auto"/>
          <w:color w:val="0000FF"/>
        </w:rPr>
        <w:t>2024</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Incremental Revolving Lender shall constitute a “Lender”</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u w:val="single" w:color="auto"/>
          <w:color w:val="0000FF"/>
        </w:rPr>
        <w:t>and a “Revolving Lender”</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hereunder and, after the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Eighth</w:t>
      </w:r>
      <w:r>
        <w:rPr>
          <w:rFonts w:ascii="Times New Roman" w:cs="Times New Roman" w:eastAsia="Times New Roman" w:hAnsi="Times New Roman"/>
          <w:sz w:val="22"/>
          <w:szCs w:val="22"/>
          <w:b w:val="1"/>
          <w:bCs w:val="1"/>
          <w:u w:val="single" w:color="auto"/>
          <w:color w:val="0000FF"/>
        </w:rPr>
        <w:t>Ninth</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Amendment Effective Date, the Administrative Agent shall update and/or modify the Register to reflect the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 xml:space="preserve">transactions contemplated by the </w:t>
      </w:r>
      <w:r>
        <w:rPr>
          <w:rFonts w:ascii="Times New Roman" w:cs="Times New Roman" w:eastAsia="Times New Roman" w:hAnsi="Times New Roman"/>
          <w:sz w:val="22"/>
          <w:szCs w:val="22"/>
          <w:b w:val="1"/>
          <w:bCs w:val="1"/>
          <w:color w:val="FF0000"/>
          <w:strike w:val="1"/>
        </w:rPr>
        <w:t>Eighth</w:t>
      </w:r>
      <w:r>
        <w:rPr>
          <w:rFonts w:ascii="Times New Roman" w:cs="Times New Roman" w:eastAsia="Times New Roman" w:hAnsi="Times New Roman"/>
          <w:sz w:val="22"/>
          <w:szCs w:val="22"/>
          <w:b w:val="1"/>
          <w:bCs w:val="1"/>
          <w:u w:val="single" w:color="auto"/>
          <w:color w:val="0000FF"/>
        </w:rPr>
        <w:t>Ninth</w:t>
      </w:r>
      <w:r>
        <w:rPr>
          <w:rFonts w:ascii="Times New Roman" w:cs="Times New Roman" w:eastAsia="Times New Roman" w:hAnsi="Times New Roman"/>
          <w:sz w:val="22"/>
          <w:szCs w:val="22"/>
          <w:color w:val="000000"/>
        </w:rPr>
        <w:t xml:space="preserve"> Amendment.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shall have the meaning set forth in Section 2.01(a).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Route Authorities</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shall mean Standard &amp; Poor’s, a division of The McGraw-Hill Companies,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Sage</w:t>
      </w:r>
      <w:r>
        <w:rPr>
          <w:rFonts w:ascii="Times New Roman" w:cs="Times New Roman" w:eastAsia="Times New Roman" w:hAnsi="Times New Roman"/>
          <w:sz w:val="22"/>
          <w:szCs w:val="22"/>
          <w:color w:val="auto"/>
        </w:rPr>
        <w:t>” shall mean Sage Popovich,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0" w:lineRule="exact"/>
        <w:rPr>
          <w:sz w:val="20"/>
          <w:szCs w:val="20"/>
          <w:color w:val="auto"/>
        </w:rPr>
      </w:pPr>
    </w:p>
    <w:p>
      <w:pPr>
        <w:spacing w:after="0" w:line="31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 of a Grantor</w:t>
      </w:r>
      <w:r>
        <w:rPr>
          <w:rFonts w:ascii="Times New Roman" w:cs="Times New Roman" w:eastAsia="Times New Roman" w:hAnsi="Times New Roman"/>
          <w:sz w:val="22"/>
          <w:szCs w:val="22"/>
          <w:color w:val="auto"/>
        </w:rPr>
        <w:t>”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Scheduled Services</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shall mean the United States Securities and Exchange Commission.</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Secured Parties</w:t>
      </w:r>
      <w:r>
        <w:rPr>
          <w:rFonts w:ascii="Times New Roman" w:cs="Times New Roman" w:eastAsia="Times New Roman" w:hAnsi="Times New Roman"/>
          <w:sz w:val="22"/>
          <w:szCs w:val="22"/>
          <w:color w:val="auto"/>
        </w:rPr>
        <w:t>” shall mean each Agent, any trustee appointed pursuant to Section 8.01(d) with respect to an Aircraft Security Agreement, the Issuing Lenders, the Lenders and all other holders of Obligations.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SGR Security Agreement</w:t>
      </w:r>
      <w:r>
        <w:rPr>
          <w:rFonts w:ascii="Times New Roman" w:cs="Times New Roman" w:eastAsia="Times New Roman" w:hAnsi="Times New Roman"/>
          <w:sz w:val="22"/>
          <w:szCs w:val="22"/>
          <w:color w:val="auto"/>
        </w:rPr>
        <w:t>” shall mean the Second Amended and Restated Security Agreement (Slots, Foreign Gate Leaseholds and Route Authorities), dated the Seventh Amendment Effective Date, by and among the Borrower, as grantor, the other grantors thereto from time to time and the Collateral Agent, or any subsequent security agreement executed and delivered to the Administrative Agent substantially in the form of Exhibit A-1 hereto.</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Seventh Amendment</w:t>
      </w:r>
      <w:r>
        <w:rPr>
          <w:rFonts w:ascii="Times New Roman" w:cs="Times New Roman" w:eastAsia="Times New Roman" w:hAnsi="Times New Roman"/>
          <w:sz w:val="22"/>
          <w:szCs w:val="22"/>
          <w:color w:val="auto"/>
        </w:rPr>
        <w:t>” means the Seventh Amendment to Amended and Restated Guaranty Credit Agreement, dated as of February 15, 2023, by and among the Borrower, the Guarantor, Barclays Bank PLC, as administrative agent, Deutsche Bank AG New York Branch, as prior administrative agent, and the Lenders party thereto.</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Seventh Amendment Effective Date</w:t>
      </w:r>
      <w:r>
        <w:rPr>
          <w:rFonts w:ascii="Times New Roman" w:cs="Times New Roman" w:eastAsia="Times New Roman" w:hAnsi="Times New Roman"/>
          <w:sz w:val="22"/>
          <w:szCs w:val="22"/>
          <w:color w:val="auto"/>
        </w:rPr>
        <w:t>” shall have the meaning provided in the Seventh Amendment.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i w:val="1"/>
          <w:iCs w:val="1"/>
          <w:color w:val="auto"/>
        </w:rPr>
        <w:t>“Seventh Amendment Extended Term Lender</w:t>
      </w:r>
      <w:r>
        <w:rPr>
          <w:rFonts w:ascii="Times New Roman" w:cs="Times New Roman" w:eastAsia="Times New Roman" w:hAnsi="Times New Roman"/>
          <w:sz w:val="22"/>
          <w:szCs w:val="22"/>
          <w:color w:val="auto"/>
        </w:rPr>
        <w:t>” shall mean each Term Lender that has provided a signature page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prior to February 15, 2023 voting in favor of accepting the Seventh Amendment Extension Offer and extending the Term Loan Maturity Date as set forth in the Seventh Amendment.</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Seventh Amendment Extended Term Loan Commitments</w:t>
      </w:r>
      <w:r>
        <w:rPr>
          <w:rFonts w:ascii="Times New Roman" w:cs="Times New Roman" w:eastAsia="Times New Roman" w:hAnsi="Times New Roman"/>
          <w:sz w:val="22"/>
          <w:szCs w:val="22"/>
          <w:color w:val="auto"/>
        </w:rPr>
        <w:t>” means the Term Loan Commitments of each Seventh Amendment Extended Term Lender.</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Seventh Amendment Extended Term Loans</w:t>
      </w:r>
      <w:r>
        <w:rPr>
          <w:rFonts w:ascii="Times New Roman" w:cs="Times New Roman" w:eastAsia="Times New Roman" w:hAnsi="Times New Roman"/>
          <w:sz w:val="22"/>
          <w:szCs w:val="22"/>
          <w:color w:val="auto"/>
        </w:rPr>
        <w:t>” means the Extended Term Loans of the Seventh Amendment Extended Term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Seventh Amendment Extension Offer</w:t>
      </w:r>
      <w:r>
        <w:rPr>
          <w:rFonts w:ascii="Times New Roman" w:cs="Times New Roman" w:eastAsia="Times New Roman" w:hAnsi="Times New Roman"/>
          <w:sz w:val="22"/>
          <w:szCs w:val="22"/>
          <w:color w:val="auto"/>
        </w:rPr>
        <w:t>” means the Term Loan Extension Offer made pursuant to the Seventh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w:t>
      </w:r>
    </w:p>
    <w:p>
      <w:pPr>
        <w:spacing w:after="0" w:line="19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Seventh Amendment Term Loan Commitment Schedule</w:t>
      </w:r>
      <w:r>
        <w:rPr>
          <w:rFonts w:ascii="Times New Roman" w:cs="Times New Roman" w:eastAsia="Times New Roman" w:hAnsi="Times New Roman"/>
          <w:sz w:val="22"/>
          <w:szCs w:val="22"/>
          <w:color w:val="auto"/>
        </w:rPr>
        <w:t>” shall mean the schedule of Seventh Amendment Extended Term Loan Commitments of each Seventh Amendment Extended Term Lender provided to the Borrower on or around the Seventh Amendment Effective Date by the Administrative Agent pursuant to the Seventh Amendment.</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Significant Subsidiary</w:t>
      </w:r>
      <w:r>
        <w:rPr>
          <w:rFonts w:ascii="Times New Roman" w:cs="Times New Roman" w:eastAsia="Times New Roman" w:hAnsi="Times New Roman"/>
          <w:sz w:val="22"/>
          <w:szCs w:val="22"/>
          <w:color w:val="auto"/>
        </w:rPr>
        <w:t>” shall mean any Restricted Subsidiary of Parent that would be a “significant subsidiary” as defined in Article 1, Rule 1-02 of Regulation S-X, promulgated pursuant to the Securities Act, as such Regulation is in effect on the date of this Agreement.</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w:t>
      </w:r>
      <w:r>
        <w:rPr>
          <w:rFonts w:ascii="Times New Roman" w:cs="Times New Roman" w:eastAsia="Times New Roman" w:hAnsi="Times New Roman"/>
          <w:sz w:val="22"/>
          <w:szCs w:val="22"/>
          <w:color w:val="auto"/>
        </w:rPr>
        <w:t>” means the Sixth Amendment to the Prior Credit Agreement, dated as of November 8, 2019 among the Borrower, Deutsche Bank AG New York Branch, as administrative agent and as an issuing lender and the Lenders party thereto.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Effective Date</w:t>
      </w:r>
      <w:r>
        <w:rPr>
          <w:rFonts w:ascii="Times New Roman" w:cs="Times New Roman" w:eastAsia="Times New Roman" w:hAnsi="Times New Roman"/>
          <w:sz w:val="22"/>
          <w:szCs w:val="22"/>
          <w:color w:val="auto"/>
        </w:rPr>
        <w:t>” shall have the meaning provided in the Sixth Amendment.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Extended Revolving Commitments</w:t>
      </w:r>
      <w:r>
        <w:rPr>
          <w:rFonts w:ascii="Times New Roman" w:cs="Times New Roman" w:eastAsia="Times New Roman" w:hAnsi="Times New Roman"/>
          <w:sz w:val="22"/>
          <w:szCs w:val="22"/>
          <w:color w:val="auto"/>
        </w:rPr>
        <w:t>” means the Revolving Commitments of each Sixth Amendment Extending Revolving Lender.</w:t>
      </w:r>
    </w:p>
    <w:p>
      <w:pPr>
        <w:spacing w:after="0" w:line="16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i w:val="1"/>
          <w:iCs w:val="1"/>
          <w:color w:val="auto"/>
        </w:rPr>
        <w:t>“Sixth Amendment Extending Revolving Lender</w:t>
      </w:r>
      <w:r>
        <w:rPr>
          <w:rFonts w:ascii="Times New Roman" w:cs="Times New Roman" w:eastAsia="Times New Roman" w:hAnsi="Times New Roman"/>
          <w:sz w:val="22"/>
          <w:szCs w:val="22"/>
          <w:color w:val="auto"/>
        </w:rPr>
        <w:t>” shall mean each Revolving Lender that has provided a signature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page on or prior to November 8, 2019 voting in favor of accepting the Sixth Amendment Extension Offer and extending the Revolving Facility Maturity Date as set forth in the Sixth Amendment, which, for the avoidance of doubt, shall not include the Fifth Amendment Non-Extending Revolving Lender.</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Extension Offer</w:t>
      </w:r>
      <w:r>
        <w:rPr>
          <w:rFonts w:ascii="Times New Roman" w:cs="Times New Roman" w:eastAsia="Times New Roman" w:hAnsi="Times New Roman"/>
          <w:sz w:val="22"/>
          <w:szCs w:val="22"/>
          <w:color w:val="auto"/>
        </w:rPr>
        <w:t>” means the Extension Offer made pursuant to the Sixth Amendment.</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Non-Extended Revolving Commitments</w:t>
      </w:r>
      <w:r>
        <w:rPr>
          <w:rFonts w:ascii="Times New Roman" w:cs="Times New Roman" w:eastAsia="Times New Roman" w:hAnsi="Times New Roman"/>
          <w:sz w:val="22"/>
          <w:szCs w:val="22"/>
          <w:color w:val="auto"/>
        </w:rPr>
        <w:t>” means the Revolving Commitments of each Sixth Amendment Non-Extending Revolving Lender.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Slot</w:t>
      </w:r>
      <w:r>
        <w:rPr>
          <w:rFonts w:ascii="Times New Roman" w:cs="Times New Roman" w:eastAsia="Times New Roman" w:hAnsi="Times New Roman"/>
          <w:sz w:val="22"/>
          <w:szCs w:val="22"/>
          <w:color w:val="auto"/>
        </w:rPr>
        <w:t>” shall mean each FAA Route Slot and each Foreign Route Slot, or any of them.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302" w:lineRule="exact"/>
        <w:rPr>
          <w:sz w:val="20"/>
          <w:szCs w:val="20"/>
          <w:color w:val="auto"/>
        </w:rPr>
      </w:pPr>
    </w:p>
    <w:p>
      <w:pPr>
        <w:ind w:firstLine="1304"/>
        <w:spacing w:after="0" w:line="275"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Adjustment</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b w:val="1"/>
          <w:bCs w:val="1"/>
          <w:color w:val="FF0000"/>
          <w:strike w:val="1"/>
        </w:rPr>
        <w:t>, for any calculation with respect to Term SOFR,</w:t>
      </w:r>
      <w:r>
        <w:rPr>
          <w:rFonts w:ascii="Times New Roman" w:cs="Times New Roman" w:eastAsia="Times New Roman" w:hAnsi="Times New Roman"/>
          <w:sz w:val="22"/>
          <w:szCs w:val="22"/>
          <w:color w:val="auto"/>
        </w:rPr>
        <w:t xml:space="preserve"> a percentage per annum as set forth for the applicable Interest Period therefor:</w:t>
      </w:r>
    </w:p>
    <w:p>
      <w:pPr>
        <w:spacing w:after="0" w:line="174" w:lineRule="exact"/>
        <w:rPr>
          <w:sz w:val="20"/>
          <w:szCs w:val="20"/>
          <w:color w:val="auto"/>
        </w:rPr>
      </w:pPr>
    </w:p>
    <w:tbl>
      <w:tblPr>
        <w:tblLayout w:type="fixed"/>
        <w:tblInd w:w="2090" w:type="dxa"/>
        <w:tblCellMar>
          <w:top w:w="0" w:type="dxa"/>
          <w:left w:w="0" w:type="dxa"/>
          <w:bottom w:w="0" w:type="dxa"/>
          <w:right w:w="0" w:type="dxa"/>
        </w:tblCellMar>
      </w:tblPr>
      <w:tr>
        <w:trPr>
          <w:trHeight w:val="284"/>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Interest Period</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Percentage</w:t>
            </w:r>
          </w:p>
        </w:tc>
      </w:tr>
      <w:tr>
        <w:trPr>
          <w:trHeight w:val="26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One month</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0.11448%</w:t>
            </w:r>
          </w:p>
        </w:tc>
      </w:tr>
      <w:tr>
        <w:trPr>
          <w:trHeight w:val="264"/>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Three months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0.26161%</w:t>
            </w:r>
          </w:p>
        </w:tc>
      </w:tr>
      <w:tr>
        <w:trPr>
          <w:trHeight w:val="26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Six months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0.42826%</w:t>
            </w:r>
          </w:p>
        </w:tc>
      </w:tr>
    </w:tbl>
    <w:p>
      <w:pPr>
        <w:spacing w:after="0" w:line="29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4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Solvent</w:t>
      </w:r>
      <w:r>
        <w:rPr>
          <w:rFonts w:ascii="Times New Roman" w:cs="Times New Roman" w:eastAsia="Times New Roman" w:hAnsi="Times New Roman"/>
          <w:sz w:val="22"/>
          <w:szCs w:val="22"/>
          <w:color w:val="auto"/>
        </w:rPr>
        <w:t>”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October 6, 2014; (3) 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or any other analogous criteria in any jurisdiction).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South American Countries</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Spare Parts</w:t>
      </w:r>
      <w:r>
        <w:rPr>
          <w:rFonts w:ascii="Times New Roman" w:cs="Times New Roman" w:eastAsia="Times New Roman" w:hAnsi="Times New Roman"/>
          <w:sz w:val="22"/>
          <w:szCs w:val="22"/>
          <w:color w:val="auto"/>
        </w:rPr>
        <w:t>”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Securitization Undertakings</w:t>
      </w:r>
      <w:r>
        <w:rPr>
          <w:rFonts w:ascii="Times New Roman" w:cs="Times New Roman" w:eastAsia="Times New Roman" w:hAnsi="Times New Roman"/>
          <w:sz w:val="22"/>
          <w:szCs w:val="22"/>
          <w:color w:val="auto"/>
        </w:rPr>
        <w:t>” shall mean all representations, warranties, covenants, indemnities, performance Guarantees and servicing obligations entered into by Parent or any Subsidiary (other than a Receivables Subsidiary), which are customary in connection with any Qualified Receivables Transaction.</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Stated Maturity</w:t>
      </w:r>
      <w:r>
        <w:rPr>
          <w:rFonts w:ascii="Times New Roman" w:cs="Times New Roman" w:eastAsia="Times New Roman" w:hAnsi="Times New Roman"/>
          <w:sz w:val="22"/>
          <w:szCs w:val="22"/>
          <w:color w:val="auto"/>
        </w:rPr>
        <w:t>” shall mean, with respect to any installment of interest or principal on any series of Indebtedness, the date on which the payment of interest or principal was scheduled to be paid in the documentation governing such Indebtedness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00" w:lineRule="exact"/>
        <w:rPr>
          <w:sz w:val="20"/>
          <w:szCs w:val="20"/>
          <w:color w:val="auto"/>
        </w:rPr>
      </w:pPr>
    </w:p>
    <w:p>
      <w:pPr>
        <w:spacing w:after="0" w:line="32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 Closing Date, and will not include any contingent obligations to repay, redeem or repurchase any such interest or principal prior to the date originally scheduled for the payment thereof.</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Subject Company</w:t>
      </w:r>
      <w:r>
        <w:rPr>
          <w:rFonts w:ascii="Times New Roman" w:cs="Times New Roman" w:eastAsia="Times New Roman" w:hAnsi="Times New Roman"/>
          <w:sz w:val="22"/>
          <w:szCs w:val="22"/>
          <w:color w:val="auto"/>
        </w:rPr>
        <w:t>” shall have the meaning set forth in Section 6.10(a).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with respect to any Person:</w:t>
      </w:r>
    </w:p>
    <w:p>
      <w:pPr>
        <w:spacing w:after="0" w:line="224" w:lineRule="exact"/>
        <w:rPr>
          <w:sz w:val="20"/>
          <w:szCs w:val="20"/>
          <w:color w:val="auto"/>
        </w:rPr>
      </w:pPr>
    </w:p>
    <w:p>
      <w:pPr>
        <w:jc w:val="both"/>
        <w:ind w:left="660" w:firstLine="644"/>
        <w:spacing w:after="0" w:line="251" w:lineRule="auto"/>
        <w:tabs>
          <w:tab w:leader="none" w:pos="192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19"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w:t>
      </w:r>
    </w:p>
    <w:p>
      <w:pPr>
        <w:spacing w:after="0" w:line="1"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or any Subsidiary of such Person is a controlling general partner or otherwise controls such entity.</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shall mean, with respect to any Guarantor, any obligation to pay or perform under any agreement, contract or transaction that constitutes a “swap” within the meaning of Section 1a(47) of the Commodity Exchange Act.</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shall mean any and all present or future taxes, levies, imposts, duties, assessments, fees, deductions, charges or withholdings imposed by any Governmental Authority including any interest, additions to tax or penalties applicable thereto.</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FAA Slot</w:t>
      </w:r>
      <w:r>
        <w:rPr>
          <w:rFonts w:ascii="Times New Roman" w:cs="Times New Roman" w:eastAsia="Times New Roman" w:hAnsi="Times New Roman"/>
          <w:sz w:val="22"/>
          <w:szCs w:val="22"/>
          <w:color w:val="auto"/>
        </w:rPr>
        <w:t>” shall mean an FAA Slot that was obtained by any Grantor from another air carrier pursuant to an agreement (including but not limited to a loan agreement, lease agreement, slot exchange agreement or slot release agreement) and is held by such Grantor on a temporary basis.</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Foreign Slot</w:t>
      </w:r>
      <w:r>
        <w:rPr>
          <w:rFonts w:ascii="Times New Roman" w:cs="Times New Roman" w:eastAsia="Times New Roman" w:hAnsi="Times New Roman"/>
          <w:sz w:val="22"/>
          <w:szCs w:val="22"/>
          <w:color w:val="auto"/>
        </w:rPr>
        <w:t>” shall mean a Foreign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00" w:lineRule="exact"/>
        <w:rPr>
          <w:sz w:val="20"/>
          <w:szCs w:val="20"/>
          <w:color w:val="auto"/>
        </w:rPr>
      </w:pPr>
    </w:p>
    <w:p>
      <w:pPr>
        <w:spacing w:after="0" w:line="31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Slot</w:t>
      </w:r>
      <w:r>
        <w:rPr>
          <w:rFonts w:ascii="Times New Roman" w:cs="Times New Roman" w:eastAsia="Times New Roman" w:hAnsi="Times New Roman"/>
          <w:sz w:val="22"/>
          <w:szCs w:val="22"/>
          <w:color w:val="auto"/>
        </w:rPr>
        <w:t>” shall mean any Temporary FAA Slot or any Temporary Foreign Slot and any FAA Slot or Foreign Slot subject to a Transfer Restriction, in each case, for so long as such Transfer Restriction is in effect.</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Lender</w:t>
      </w:r>
      <w:r>
        <w:rPr>
          <w:rFonts w:ascii="Times New Roman" w:cs="Times New Roman" w:eastAsia="Times New Roman" w:hAnsi="Times New Roman"/>
          <w:sz w:val="22"/>
          <w:szCs w:val="22"/>
          <w:color w:val="auto"/>
        </w:rPr>
        <w:t>” shall mean each Lender having a Term Loan Commitment or, as the case may be, an outstanding Term Loan. For the avoidance of doubt, each Seventh Amendment Extended Term Lender shall constitute a “Term Lender” hereunder and after the Seventh Amendment Effective Date, the Administrative Agent shall update and/or modify the Register to reflect the transactions contemplated by the Seventh Amendment.</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w:t>
      </w:r>
      <w:r>
        <w:rPr>
          <w:rFonts w:ascii="Times New Roman" w:cs="Times New Roman" w:eastAsia="Times New Roman" w:hAnsi="Times New Roman"/>
          <w:sz w:val="22"/>
          <w:szCs w:val="22"/>
          <w:color w:val="auto"/>
        </w:rPr>
        <w:t>” shall mean the Seventh Amendment Extended Term Loans and any other Class of Term 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20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Commitment</w:t>
      </w:r>
      <w:r>
        <w:rPr>
          <w:rFonts w:ascii="Times New Roman" w:cs="Times New Roman" w:eastAsia="Times New Roman" w:hAnsi="Times New Roman"/>
          <w:sz w:val="22"/>
          <w:szCs w:val="22"/>
          <w:color w:val="auto"/>
        </w:rPr>
        <w:t>” shall mean the commitment of each Term Lender to make Term Loans hereunder and, in the case of the Seventh Amendment Extended Term Loans, in an aggregate principal amount not to exceed the amount set forth under the heading “ Seventh Amendment Extended Term Loans” opposite its name in the Seventh Amendment Term Loan Commitment Schedule or in the Assignment and Acceptance pursuant to which such Term Lender became a party hereto, as the same may be changed from time to time pursuant to the terms hereof. The aggregate amount of the Term Loan Commitments as of the Seventh Amendment Effective Date is $1,000,000,000.00. The Term Loan Commitments as of the Seventh Amendment Effective Date are for Seventh Amendment Extended Term Loans.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Extension</w:t>
      </w:r>
      <w:r>
        <w:rPr>
          <w:rFonts w:ascii="Times New Roman" w:cs="Times New Roman" w:eastAsia="Times New Roman" w:hAnsi="Times New Roman"/>
          <w:sz w:val="22"/>
          <w:szCs w:val="22"/>
          <w:color w:val="auto"/>
        </w:rPr>
        <w:t>” shall have the meaning set forth in Section 2.28(a).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Extension Offer</w:t>
      </w:r>
      <w:r>
        <w:rPr>
          <w:rFonts w:ascii="Times New Roman" w:cs="Times New Roman" w:eastAsia="Times New Roman" w:hAnsi="Times New Roman"/>
          <w:sz w:val="22"/>
          <w:szCs w:val="22"/>
          <w:color w:val="auto"/>
        </w:rPr>
        <w:t>” shall have the meaning set forth in Section 2.28(a).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Facility</w:t>
      </w:r>
      <w:r>
        <w:rPr>
          <w:rFonts w:ascii="Times New Roman" w:cs="Times New Roman" w:eastAsia="Times New Roman" w:hAnsi="Times New Roman"/>
          <w:sz w:val="22"/>
          <w:szCs w:val="22"/>
          <w:color w:val="auto"/>
        </w:rPr>
        <w:t>” shall mean the Term Loan Commitments and the Term Loans made thereunder.</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Maturity Date</w:t>
      </w:r>
      <w:r>
        <w:rPr>
          <w:rFonts w:ascii="Times New Roman" w:cs="Times New Roman" w:eastAsia="Times New Roman" w:hAnsi="Times New Roman"/>
          <w:sz w:val="22"/>
          <w:szCs w:val="22"/>
          <w:color w:val="auto"/>
        </w:rPr>
        <w:t>” shall mean, with respect to (a) Seventh Amendment Extended Term Loans, February 15, 2028 and (b) with respect to any other Extended Term Loans extended after the Seventh Amendment Effective Date, the final maturity date therefor as specified in the applicable Extension Offer accepted by the respective Term Lenders (as the same may be further extended pursuant to Section 2.28).</w:t>
      </w:r>
    </w:p>
    <w:p>
      <w:pPr>
        <w:spacing w:after="0" w:line="16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Termination Date</w:t>
      </w:r>
      <w:r>
        <w:rPr>
          <w:rFonts w:ascii="Times New Roman" w:cs="Times New Roman" w:eastAsia="Times New Roman" w:hAnsi="Times New Roman"/>
          <w:sz w:val="22"/>
          <w:szCs w:val="22"/>
          <w:color w:val="auto"/>
        </w:rPr>
        <w:t>” shall mean the earlier to occur of (a) the Term Loan Maturity Date and (b) the acceleration of the Term Loans in accordance with the terms hereof.</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306" w:lineRule="exact"/>
        <w:rPr>
          <w:sz w:val="20"/>
          <w:szCs w:val="20"/>
          <w:color w:val="auto"/>
        </w:rPr>
      </w:pPr>
    </w:p>
    <w:p>
      <w:pPr>
        <w:jc w:val="both"/>
        <w:ind w:firstLine="1304"/>
        <w:spacing w:after="0" w:line="249" w:lineRule="auto"/>
        <w:tabs>
          <w:tab w:leader="none" w:pos="193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2"/>
          <w:szCs w:val="22"/>
          <w:i w:val="1"/>
          <w:iCs w:val="1"/>
          <w:color w:val="auto"/>
        </w:rPr>
        <w:t>ABR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7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Tranche</w:t>
      </w:r>
      <w:r>
        <w:rPr>
          <w:rFonts w:ascii="Times New Roman" w:cs="Times New Roman" w:eastAsia="Times New Roman" w:hAnsi="Times New Roman"/>
          <w:sz w:val="22"/>
          <w:szCs w:val="22"/>
          <w:color w:val="auto"/>
        </w:rPr>
        <w:t>” shall mean the collective reference to Term SOFR Loans under a particular Facility the then current Interest Periods with respect to all of which begin on the same date and end on the same later date (whether or not such Loans shall originally have been made on the same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00" w:lineRule="exact"/>
        <w:rPr>
          <w:sz w:val="20"/>
          <w:szCs w:val="20"/>
          <w:color w:val="auto"/>
        </w:rPr>
      </w:pPr>
    </w:p>
    <w:p>
      <w:pPr>
        <w:spacing w:after="0" w:line="318"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Termination Date</w:t>
      </w:r>
      <w:r>
        <w:rPr>
          <w:rFonts w:ascii="Times New Roman" w:cs="Times New Roman" w:eastAsia="Times New Roman" w:hAnsi="Times New Roman"/>
          <w:sz w:val="21"/>
          <w:szCs w:val="21"/>
          <w:color w:val="auto"/>
        </w:rPr>
        <w:t>” shall mean (i) with respect to the Revolving Loans, the Revolving Facility Termination Date applicable to the related Revolving Commitments and (ii) with respect to the Term Loans, the Term Loan Termination Date.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 14</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 49</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Obligations</w:t>
      </w:r>
      <w:r>
        <w:rPr>
          <w:rFonts w:ascii="Times New Roman" w:cs="Times New Roman" w:eastAsia="Times New Roman" w:hAnsi="Times New Roman"/>
          <w:sz w:val="22"/>
          <w:szCs w:val="22"/>
          <w:color w:val="auto"/>
        </w:rPr>
        <w:t>” shall have the meaning provided in the definition of “</w:t>
      </w: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Revolving Commitment</w:t>
      </w:r>
      <w:r>
        <w:rPr>
          <w:rFonts w:ascii="Times New Roman" w:cs="Times New Roman" w:eastAsia="Times New Roman" w:hAnsi="Times New Roman"/>
          <w:sz w:val="22"/>
          <w:szCs w:val="22"/>
          <w:color w:val="auto"/>
        </w:rPr>
        <w:t>” shall mean, at any time, the sum of the Revolving Commitments at such time.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Revolving Extensions of Credit</w:t>
      </w:r>
      <w:r>
        <w:rPr>
          <w:rFonts w:ascii="Times New Roman" w:cs="Times New Roman" w:eastAsia="Times New Roman" w:hAnsi="Times New Roman"/>
          <w:sz w:val="22"/>
          <w:szCs w:val="22"/>
          <w:color w:val="auto"/>
        </w:rPr>
        <w:t>” shall mean, at any time, the aggregate amount of the Revolving Extensions of Credit of the Revolving Lenders outstanding at such time.</w:t>
      </w:r>
    </w:p>
    <w:p>
      <w:pPr>
        <w:spacing w:after="0" w:line="16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shall mean the execution, delivery and performance by the Borrower and Guarantors of this Agreement and the other Loan Documents to which they may be a party, the creation of the Liens in the Collateral in favor of the Collateral Agent for the benefit of the Secured Parties, the borrowing of Loans and the use of the proceeds thereof, and the request for and issuance of Letters of Credit hereunder.</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 Restriction</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Term SOFR Reference Rate or the Alternate Base Rate and when used in reference to any Commitment, refers to whether such Commitment is a Revolving Commitment or a Term Loan Commitment.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shall mean the Uniform Commercial Code as in effect from time to time in any applicable jurisdiction.</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Debenture</w:t>
      </w:r>
      <w:r>
        <w:rPr>
          <w:rFonts w:ascii="Times New Roman" w:cs="Times New Roman" w:eastAsia="Times New Roman" w:hAnsi="Times New Roman"/>
          <w:sz w:val="22"/>
          <w:szCs w:val="22"/>
          <w:color w:val="auto"/>
        </w:rPr>
        <w:t>” shall mean any debenture executed and delivered to the Administrative Agent substantially in the form of Exhibit A-2.</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3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Financial Conduct Authority, which includes certain credit institutions and investment firms, and certain affiliates of such credit institutions or investment firms.</w:t>
      </w:r>
    </w:p>
    <w:p>
      <w:pPr>
        <w:spacing w:after="0" w:line="154"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37"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shall mean the United States of America.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 Citizen</w:t>
      </w:r>
      <w:r>
        <w:rPr>
          <w:rFonts w:ascii="Times New Roman" w:cs="Times New Roman" w:eastAsia="Times New Roman" w:hAnsi="Times New Roman"/>
          <w:sz w:val="22"/>
          <w:szCs w:val="22"/>
          <w:color w:val="auto"/>
        </w:rPr>
        <w:t>” shall have the meaning set forth in Section 3.02.</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Unrestricted Subsidiary</w:t>
      </w:r>
      <w:r>
        <w:rPr>
          <w:rFonts w:ascii="Times New Roman" w:cs="Times New Roman" w:eastAsia="Times New Roman" w:hAnsi="Times New Roman"/>
          <w:sz w:val="22"/>
          <w:szCs w:val="22"/>
          <w:color w:val="auto"/>
        </w:rPr>
        <w:t>” shall mean any Subsidiary of Parent (other than the Borrower or US Airways) that is designated by Parent as an Unrestricted Subsidiary in compliance with Section 5.05 or any Subsidiary of an Unrestricted Subsidiary, but only if such Subsidiary:</w:t>
      </w:r>
    </w:p>
    <w:p>
      <w:pPr>
        <w:spacing w:after="0" w:line="170" w:lineRule="exact"/>
        <w:rPr>
          <w:sz w:val="20"/>
          <w:szCs w:val="20"/>
          <w:color w:val="auto"/>
        </w:rPr>
      </w:pPr>
    </w:p>
    <w:p>
      <w:pPr>
        <w:ind w:left="1780" w:hanging="476"/>
        <w:spacing w:after="0"/>
        <w:tabs>
          <w:tab w:leader="none" w:pos="17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 Indebtedness other than Non-Recourse Debt;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3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80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guaranteed or otherwise directly or indirectly provided credit support for any Indebtedness of Parent or any of its Restricted Subsidiaries;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own any assets or properties that constitute Collateral.</w:t>
      </w:r>
    </w:p>
    <w:p>
      <w:pPr>
        <w:spacing w:after="0" w:line="216"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Unused Total Revolving Commitment</w:t>
      </w:r>
      <w:r>
        <w:rPr>
          <w:rFonts w:ascii="Times New Roman" w:cs="Times New Roman" w:eastAsia="Times New Roman" w:hAnsi="Times New Roman"/>
          <w:sz w:val="22"/>
          <w:szCs w:val="22"/>
          <w:color w:val="auto"/>
        </w:rPr>
        <w:t>” shall mean, at any time, (a) the Total Revolving Commitment less (b) the Total Revolving Extensions of Credit.</w:t>
      </w:r>
    </w:p>
    <w:p>
      <w:pPr>
        <w:spacing w:after="0" w:line="163"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w:t>
      </w:r>
      <w:r>
        <w:rPr>
          <w:rFonts w:ascii="Times New Roman" w:cs="Times New Roman" w:eastAsia="Times New Roman" w:hAnsi="Times New Roman"/>
          <w:sz w:val="22"/>
          <w:szCs w:val="22"/>
          <w:color w:val="auto"/>
        </w:rPr>
        <w:t>” shall mean US Airways, Inc., a Delaware corporation which merged with and into the Borrower with the Borrower as the surviving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Closing Date</w:t>
      </w:r>
      <w:r>
        <w:rPr>
          <w:rFonts w:ascii="Times New Roman" w:cs="Times New Roman" w:eastAsia="Times New Roman" w:hAnsi="Times New Roman"/>
          <w:sz w:val="22"/>
          <w:szCs w:val="22"/>
          <w:color w:val="auto"/>
        </w:rPr>
        <w:t>” shall mean May 24, 2013.</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Indenture</w:t>
      </w:r>
      <w:r>
        <w:rPr>
          <w:rFonts w:ascii="Times New Roman" w:cs="Times New Roman" w:eastAsia="Times New Roman" w:hAnsi="Times New Roman"/>
          <w:sz w:val="22"/>
          <w:szCs w:val="22"/>
          <w:color w:val="auto"/>
        </w:rPr>
        <w:t>” shall mean the Indenture, dated as of May 24, 2013, between US Airways and Wilmington Trust, National Association, as trustee, as amended or supplemented from time to time.</w:t>
      </w:r>
    </w:p>
    <w:p>
      <w:pPr>
        <w:spacing w:after="0" w:line="16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Use or Lose Rule</w:t>
      </w:r>
      <w:r>
        <w:rPr>
          <w:rFonts w:ascii="Times New Roman" w:cs="Times New Roman" w:eastAsia="Times New Roman" w:hAnsi="Times New Roman"/>
          <w:sz w:val="22"/>
          <w:szCs w:val="22"/>
          <w:color w:val="auto"/>
        </w:rPr>
        <w:t>” shall mean with respect to Slots, any applicable utilization requirements issued by the FAA, other Governmental Authorities, any Foreign Aviation Authorities or any Airport Authorities.</w:t>
      </w:r>
    </w:p>
    <w:p>
      <w:pPr>
        <w:spacing w:after="0" w:line="16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Stock</w:t>
      </w:r>
      <w:r>
        <w:rPr>
          <w:rFonts w:ascii="Times New Roman" w:cs="Times New Roman" w:eastAsia="Times New Roman" w:hAnsi="Times New Roman"/>
          <w:sz w:val="22"/>
          <w:szCs w:val="22"/>
          <w:color w:val="auto"/>
        </w:rPr>
        <w:t>” of any specified Person as of any date shall mean the Capital Stock of such Person that is at the time entitled to vote in the election of the Board of Directors of such Person.</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Weighted Average Life to Maturity</w:t>
      </w:r>
      <w:r>
        <w:rPr>
          <w:rFonts w:ascii="Times New Roman" w:cs="Times New Roman" w:eastAsia="Times New Roman" w:hAnsi="Times New Roman"/>
          <w:sz w:val="22"/>
          <w:szCs w:val="22"/>
          <w:color w:val="auto"/>
        </w:rPr>
        <w:t>” shall mean, when applied to any Indebtedness at any date, the number of years obtained by dividing:</w:t>
      </w:r>
    </w:p>
    <w:p>
      <w:pPr>
        <w:spacing w:after="0" w:line="153" w:lineRule="exact"/>
        <w:rPr>
          <w:sz w:val="20"/>
          <w:szCs w:val="20"/>
          <w:color w:val="auto"/>
        </w:rPr>
      </w:pPr>
    </w:p>
    <w:p>
      <w:pPr>
        <w:jc w:val="both"/>
        <w:ind w:left="660" w:firstLine="644"/>
        <w:spacing w:after="0" w:line="256" w:lineRule="auto"/>
        <w:tabs>
          <w:tab w:leader="none" w:pos="18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principal amount of such Indebtedness.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Withholding Agent</w:t>
      </w:r>
      <w:r>
        <w:rPr>
          <w:rFonts w:ascii="Times New Roman" w:cs="Times New Roman" w:eastAsia="Times New Roman" w:hAnsi="Times New Roman"/>
          <w:sz w:val="22"/>
          <w:szCs w:val="22"/>
          <w:color w:val="auto"/>
        </w:rPr>
        <w:t>” shall mean any of the Borrower, a Guarantor and the Administrative Agent.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Working Capital</w:t>
      </w:r>
      <w:r>
        <w:rPr>
          <w:rFonts w:ascii="Times New Roman" w:cs="Times New Roman" w:eastAsia="Times New Roman" w:hAnsi="Times New Roman"/>
          <w:sz w:val="22"/>
          <w:szCs w:val="22"/>
          <w:color w:val="auto"/>
        </w:rPr>
        <w:t>”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w:t>
      </w:r>
    </w:p>
    <w:p>
      <w:pPr>
        <w:spacing w:after="0" w:line="16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Yield Differential</w:t>
      </w:r>
      <w:r>
        <w:rPr>
          <w:rFonts w:ascii="Times New Roman" w:cs="Times New Roman" w:eastAsia="Times New Roman" w:hAnsi="Times New Roman"/>
          <w:sz w:val="22"/>
          <w:szCs w:val="22"/>
          <w:color w:val="auto"/>
        </w:rPr>
        <w:t>” shall have the meaning set forth in Section 2.27(c)(iv).</w:t>
      </w:r>
    </w:p>
    <w:p>
      <w:pPr>
        <w:spacing w:after="0" w:line="22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w:t>
      </w:r>
    </w:p>
    <w:p>
      <w:pPr>
        <w:spacing w:after="0" w:line="5" w:lineRule="exact"/>
        <w:rPr>
          <w:sz w:val="20"/>
          <w:szCs w:val="20"/>
          <w:color w:val="auto"/>
        </w:rPr>
      </w:pPr>
    </w:p>
    <w:p>
      <w:pPr>
        <w:jc w:val="both"/>
        <w:ind w:firstLine="8"/>
        <w:spacing w:after="0" w:line="248" w:lineRule="auto"/>
        <w:tabs>
          <w:tab w:leader="none" w:pos="29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 of the Borrower or such Guarantors, as applicable.</w:t>
      </w:r>
    </w:p>
    <w:p>
      <w:pPr>
        <w:spacing w:after="0" w:line="18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u w:val="single" w:color="auto"/>
          <w:color w:val="auto"/>
        </w:rPr>
        <w:t>Effect of Restatement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7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effectiveness of this Agreement shall not constitute a novation of any Obligations owing under the Credit Agreement. All Loans, Letters of Credit outstanding under the Credit Agreement and all accrued and unpaid amounts owing by the Borrower or any Guarantor pursuant to the Credit Agreement shall continue to be outstanding and owing hereunder. Any payment or performance of any Obligation under the Credit Agreement or any Obligation described in this Agreement during any period prior to the Seventh Amendment Effective Date shall constitute payment or performance of such Obligation under this Agreement. Any usage under any “basket” set forth in any covenant or exception in the Credit Agreement shall be included in the determination of baskets under this Agreement.</w:t>
      </w:r>
    </w:p>
    <w:p>
      <w:pPr>
        <w:spacing w:after="0" w:line="180" w:lineRule="exact"/>
        <w:rPr>
          <w:rFonts w:ascii="Times New Roman" w:cs="Times New Roman" w:eastAsia="Times New Roman" w:hAnsi="Times New Roman"/>
          <w:sz w:val="22"/>
          <w:szCs w:val="22"/>
          <w:color w:val="auto"/>
        </w:rPr>
      </w:pPr>
    </w:p>
    <w:p>
      <w:pPr>
        <w:ind w:firstLine="1304"/>
        <w:spacing w:after="0" w:line="271" w:lineRule="auto"/>
        <w:tabs>
          <w:tab w:leader="none" w:pos="178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Agreement and the modifications effectuated thereby, each reference to the Credit Agreement in the Loan Documents shall be deemed to be a reference to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ind w:left="1300" w:right="3920" w:firstLine="2616"/>
        <w:spacing w:after="0" w:line="467" w:lineRule="auto"/>
        <w:rPr>
          <w:sz w:val="20"/>
          <w:szCs w:val="20"/>
          <w:color w:val="auto"/>
        </w:rPr>
      </w:pPr>
      <w:r>
        <w:rPr>
          <w:rFonts w:ascii="Times New Roman" w:cs="Times New Roman" w:eastAsia="Times New Roman" w:hAnsi="Times New Roman"/>
          <w:sz w:val="21"/>
          <w:szCs w:val="21"/>
          <w:color w:val="auto"/>
        </w:rPr>
        <w:t xml:space="preserve">AMOUNT AND TERMS OF CREDIT SECTION 2.01. </w:t>
      </w:r>
      <w:r>
        <w:rPr>
          <w:rFonts w:ascii="Times New Roman" w:cs="Times New Roman" w:eastAsia="Times New Roman" w:hAnsi="Times New Roman"/>
          <w:sz w:val="21"/>
          <w:szCs w:val="21"/>
          <w:u w:val="single" w:color="auto"/>
          <w:color w:val="auto"/>
        </w:rPr>
        <w:t>Commitments of the Lenders; Term Loans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left="1760" w:hanging="456"/>
        <w:spacing w:after="0"/>
        <w:tabs>
          <w:tab w:leader="none" w:pos="17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Commitments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2" w:lineRule="auto"/>
        <w:tabs>
          <w:tab w:leader="none" w:pos="177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Lender severally, and not jointly with the other Revolving Lenders, agrees, upon the terms and subject to the conditions herein set forth, to make revolving credit loans denominated in Dollars (each a “</w:t>
      </w:r>
      <w:r>
        <w:rPr>
          <w:rFonts w:ascii="Times New Roman" w:cs="Times New Roman" w:eastAsia="Times New Roman" w:hAnsi="Times New Roman"/>
          <w:sz w:val="22"/>
          <w:szCs w:val="22"/>
          <w:i w:val="1"/>
          <w:iCs w:val="1"/>
          <w:color w:val="auto"/>
        </w:rPr>
        <w:t>Revolving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w:t>
      </w:r>
    </w:p>
    <w:p>
      <w:pPr>
        <w:spacing w:after="0" w:line="179" w:lineRule="exact"/>
        <w:rPr>
          <w:rFonts w:ascii="Times New Roman" w:cs="Times New Roman" w:eastAsia="Times New Roman" w:hAnsi="Times New Roman"/>
          <w:sz w:val="22"/>
          <w:szCs w:val="22"/>
          <w:color w:val="auto"/>
        </w:rPr>
      </w:pPr>
    </w:p>
    <w:p>
      <w:pPr>
        <w:ind w:firstLine="980"/>
        <w:spacing w:after="0" w:line="271" w:lineRule="auto"/>
        <w:tabs>
          <w:tab w:leader="none" w:pos="129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Each Borrowing of a Revolving Loan shall be made from the Revolving Lenders pro rata in accordance with their respective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Revolving Lender to make any Revolving Loan shall not in itself relieve the other Revolving Lenders of their obligations to lend.</w:t>
      </w:r>
    </w:p>
    <w:p>
      <w:pPr>
        <w:spacing w:after="0" w:line="154" w:lineRule="exact"/>
        <w:rPr>
          <w:sz w:val="20"/>
          <w:szCs w:val="20"/>
          <w:color w:val="auto"/>
        </w:rPr>
      </w:pPr>
    </w:p>
    <w:p>
      <w:pPr>
        <w:ind w:right="20" w:firstLine="1304"/>
        <w:spacing w:after="0" w:line="287" w:lineRule="auto"/>
        <w:tabs>
          <w:tab w:leader="none" w:pos="181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Loan Commitments. </w:t>
      </w:r>
      <w:r>
        <w:rPr>
          <w:rFonts w:ascii="Times New Roman" w:cs="Times New Roman" w:eastAsia="Times New Roman" w:hAnsi="Times New Roman"/>
          <w:sz w:val="22"/>
          <w:szCs w:val="22"/>
          <w:color w:val="auto"/>
        </w:rPr>
        <w:t>The Seventh Amendment Extended Term Loans shall constitute Term Loans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all purposes of this Agreement and shall be repaid in accordance with the provisions of this Agreement.</w:t>
      </w:r>
    </w:p>
    <w:p>
      <w:pPr>
        <w:spacing w:after="0" w:line="137" w:lineRule="exact"/>
        <w:rPr>
          <w:rFonts w:ascii="Times New Roman" w:cs="Times New Roman" w:eastAsia="Times New Roman" w:hAnsi="Times New Roman"/>
          <w:sz w:val="22"/>
          <w:szCs w:val="22"/>
          <w:color w:val="auto"/>
        </w:rPr>
      </w:pPr>
    </w:p>
    <w:p>
      <w:pPr>
        <w:jc w:val="both"/>
        <w:ind w:firstLine="1304"/>
        <w:spacing w:after="0" w:line="254" w:lineRule="auto"/>
        <w:tabs>
          <w:tab w:leader="none" w:pos="177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Type of Borrowing</w:t>
      </w:r>
      <w:r>
        <w:rPr>
          <w:rFonts w:ascii="Times New Roman" w:cs="Times New Roman" w:eastAsia="Times New Roman" w:hAnsi="Times New Roman"/>
          <w:sz w:val="22"/>
          <w:szCs w:val="22"/>
          <w:color w:val="auto"/>
        </w:rPr>
        <w:t>. Each Borrowing shall be comprised entirely of ABR Loans or Term SOFR Loans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may request in accordance herewith. Each Lender at its option may make any Term SOFR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 There may be multiple Borrowings incurred, converted or continued on the same day.</w:t>
      </w:r>
    </w:p>
    <w:p>
      <w:pPr>
        <w:spacing w:after="0" w:line="17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1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Amount of Borrowing</w:t>
      </w:r>
      <w:r>
        <w:rPr>
          <w:rFonts w:ascii="Times New Roman" w:cs="Times New Roman" w:eastAsia="Times New Roman" w:hAnsi="Times New Roman"/>
          <w:sz w:val="22"/>
          <w:szCs w:val="22"/>
          <w:color w:val="auto"/>
        </w:rPr>
        <w:t>. At the commencement of each Interest Period for any Term SOFR Borrowing,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ABR Borrowing may be in an aggregate amount that is equal to the entire Unused Total Revolving Commitment or that is required to finance the reimbursement of an LC Disbursement as contemplated by Section 2.02(e). Borrowings of more than one Type may be outstanding at the same time.</w:t>
      </w:r>
    </w:p>
    <w:p>
      <w:pPr>
        <w:spacing w:after="0" w:line="174" w:lineRule="exact"/>
        <w:rPr>
          <w:rFonts w:ascii="Times New Roman" w:cs="Times New Roman" w:eastAsia="Times New Roman" w:hAnsi="Times New Roman"/>
          <w:sz w:val="22"/>
          <w:szCs w:val="22"/>
          <w:color w:val="auto"/>
        </w:rPr>
      </w:pPr>
    </w:p>
    <w:p>
      <w:pPr>
        <w:jc w:val="both"/>
        <w:ind w:firstLine="1304"/>
        <w:spacing w:after="0" w:line="254" w:lineRule="auto"/>
        <w:tabs>
          <w:tab w:leader="none" w:pos="17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Interest Period</w:t>
      </w:r>
      <w:r>
        <w:rPr>
          <w:rFonts w:ascii="Times New Roman" w:cs="Times New Roman" w:eastAsia="Times New Roman" w:hAnsi="Times New Roman"/>
          <w:sz w:val="22"/>
          <w:szCs w:val="22"/>
          <w:color w:val="auto"/>
        </w:rPr>
        <w:t>. Notwithstanding any other provision of this Agreement, the Borrower shall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entitled to request, or to elect to convert or continue, (i) any 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w:t>
      </w:r>
    </w:p>
    <w:p>
      <w:pPr>
        <w:spacing w:after="0" w:line="17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50" w:lineRule="auto"/>
        <w:tabs>
          <w:tab w:leader="none" w:pos="176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Subject to the terms and conditions set forth herein, the Borrower may request the issuance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and (subject to the representation in the second sentence of clause (b) below being true and correct) each Issuing Lender agrees to issue Letters of Credit in Dollars upon request of the Borrower at any time and from time to time from the Revolver Availability Date to but excluding the date that is five (5) Business Days prior to the Revolving Facility Maturity Date, for the Borrower’s own account or the account of any other Subsidiary of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Issuing Lender shall issue (or amend, renew or extend) any Letter of Credit if, after giving effect to such issuance (or amendment, renewal or extension), (i) the LC Exposure in respect of Letters of Credit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by it would exceed its LC Commitment or (ii) the aggregate amount of the Unused Total Revolving Commitment would be less than zero.</w:t>
      </w:r>
    </w:p>
    <w:p>
      <w:pPr>
        <w:spacing w:after="0" w:line="154" w:lineRule="exact"/>
        <w:rPr>
          <w:sz w:val="20"/>
          <w:szCs w:val="20"/>
          <w:color w:val="auto"/>
        </w:rPr>
      </w:pPr>
    </w:p>
    <w:p>
      <w:pPr>
        <w:jc w:val="both"/>
        <w:ind w:firstLine="1304"/>
        <w:spacing w:after="0" w:line="261" w:lineRule="auto"/>
        <w:tabs>
          <w:tab w:leader="none" w:pos="1804"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of Issuance, Amendment, Renewal, Extension. </w:t>
      </w:r>
      <w:r>
        <w:rPr>
          <w:rFonts w:ascii="Times New Roman" w:cs="Times New Roman" w:eastAsia="Times New Roman" w:hAnsi="Times New Roman"/>
          <w:sz w:val="21"/>
          <w:szCs w:val="21"/>
          <w:color w:val="auto"/>
        </w:rPr>
        <w:t>The Borrower may request the issuance of a Letter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Credit (or the amendment, renewal or extension of an outstanding Letter of Credit) by delivering (i) telephonic notice promptly followed by written Letter of Credit Request or (ii) hand deliver or telecopy (or transmit by electronic communication, if arrangements for doing so have been approved by the applicable Issuing Lender (which approval shall not be unreasonably withheld, delayed or conditioned)) to the applicable Issuing Lender and the Administrative Agent (at least three (3) 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 (2) the date on which such Letter of Credit is to expire (which shall comply with paragraph (c) of this Section 2.02), (3) the amount of such Letter of Credit,</w:t>
      </w:r>
    </w:p>
    <w:p>
      <w:pPr>
        <w:jc w:val="both"/>
        <w:ind w:firstLine="8"/>
        <w:spacing w:after="0" w:line="258" w:lineRule="auto"/>
        <w:tabs>
          <w:tab w:leader="none" w:pos="308"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 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w:t>
      </w:r>
    </w:p>
    <w:p>
      <w:pPr>
        <w:spacing w:after="0" w:line="177"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65"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 Each Letter of Credit shall expire at or prior to the close of business on the earlier of (i)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that is (x) one year after the date of the issuance of such Letter of Credit (or, in the case of any renewal or extension thereof, one year after such renewal or extension) or (y) such later date as may be agreed by the Borrower and the Issuing Lender, and (ii) the date that is five (5) Business Days prior to the Revolving Facility Maturity Date with respect to the applicable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all of the participations in such Letter of Credit held by the holders of such Revolving Commitments have been re-allocated or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terms of any Extension Amendment, such Revolving Commitments shall be disregarded for purposes of this clause (ii)).</w:t>
      </w:r>
    </w:p>
    <w:p>
      <w:pPr>
        <w:spacing w:after="0" w:line="154" w:lineRule="exact"/>
        <w:rPr>
          <w:sz w:val="20"/>
          <w:szCs w:val="20"/>
          <w:color w:val="auto"/>
        </w:rPr>
      </w:pPr>
    </w:p>
    <w:p>
      <w:pPr>
        <w:jc w:val="both"/>
        <w:ind w:firstLine="1304"/>
        <w:spacing w:after="0" w:line="248" w:lineRule="auto"/>
        <w:tabs>
          <w:tab w:leader="none" w:pos="180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By the issuance of a Letter of Credit (or an amendment, renewal or extension of a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including any amendment 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reimbursement payment required to be refunded to the Borrower 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w:t>
      </w:r>
    </w:p>
    <w:p>
      <w:pPr>
        <w:spacing w:after="0" w:line="18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0" w:lineRule="auto"/>
        <w:tabs>
          <w:tab w:leader="none" w:pos="179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Issuing Lender shall make any LC Disbursement in respect of a Letter of Credit, the Borrower shall reimburse such LC Disbursement (whether or not such Letter of Credit was issued for the Borrower’s own account or in its name for the account or name of any other Subsidiary of the Parent) by paying to the Administrative Agent an amount equal to the amount of such LC Disbursement not later than the first Business Day following the date the Borrower receives notice from the Issuing Lender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LC Disbursement, to the extent not reimbursed and, subject to the satisfaction (or waiver) of the conditions to borrowing set forth herein, including, without limitation, making a 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w:t>
      </w:r>
    </w:p>
    <w:p>
      <w:pPr>
        <w:spacing w:after="0" w:line="179" w:lineRule="exact"/>
        <w:rPr>
          <w:rFonts w:ascii="Times New Roman" w:cs="Times New Roman" w:eastAsia="Times New Roman" w:hAnsi="Times New Roman"/>
          <w:sz w:val="22"/>
          <w:szCs w:val="22"/>
          <w:color w:val="auto"/>
        </w:rPr>
      </w:pPr>
    </w:p>
    <w:p>
      <w:pPr>
        <w:ind w:firstLine="1304"/>
        <w:spacing w:after="0" w:line="295" w:lineRule="auto"/>
        <w:tabs>
          <w:tab w:leader="none" w:pos="180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fails to make any payment due under the preceding paragraph (i) with respect to a Letter of Credit when due (including by a Borrowing), the Administrative Agent shall notify each Revolving Lender of the applicable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to Revolving Loans made by such Revolving Lender (and Section 2.04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w:t>
      </w:r>
    </w:p>
    <w:p>
      <w:pPr>
        <w:spacing w:after="0" w:line="166" w:lineRule="exact"/>
        <w:rPr>
          <w:sz w:val="20"/>
          <w:szCs w:val="20"/>
          <w:color w:val="auto"/>
        </w:rPr>
      </w:pPr>
    </w:p>
    <w:p>
      <w:pPr>
        <w:jc w:val="both"/>
        <w:ind w:firstLine="1304"/>
        <w:spacing w:after="0" w:line="260" w:lineRule="auto"/>
        <w:tabs>
          <w:tab w:leader="none" w:pos="203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Obligations Absolute</w:t>
      </w:r>
      <w:r>
        <w:rPr>
          <w:rFonts w:ascii="Times New Roman" w:cs="Times New Roman" w:eastAsia="Times New Roman" w:hAnsi="Times New Roman"/>
          <w:sz w:val="21"/>
          <w:szCs w:val="21"/>
          <w:color w:val="auto"/>
        </w:rPr>
        <w:t>. The Borrower’s obligation to reimburse LC Disbursements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Section 2.02(e)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 waived by the Borrower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0" w:lineRule="exact"/>
        <w:rPr>
          <w:sz w:val="20"/>
          <w:szCs w:val="20"/>
          <w:color w:val="auto"/>
        </w:rPr>
      </w:pPr>
    </w:p>
    <w:p>
      <w:pPr>
        <w:spacing w:after="0" w:line="3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 terms and conditions of such Letter of Credit (as finally determined by a court of competent jurisdiction).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0" w:lineRule="exact"/>
        <w:rPr>
          <w:sz w:val="20"/>
          <w:szCs w:val="20"/>
          <w:color w:val="auto"/>
        </w:rPr>
      </w:pPr>
    </w:p>
    <w:p>
      <w:pPr>
        <w:jc w:val="both"/>
        <w:ind w:firstLine="1304"/>
        <w:spacing w:after="0" w:line="250" w:lineRule="auto"/>
        <w:tabs>
          <w:tab w:leader="none" w:pos="192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Disbursement Procedures</w:t>
      </w:r>
      <w:r>
        <w:rPr>
          <w:rFonts w:ascii="Times New Roman" w:cs="Times New Roman" w:eastAsia="Times New Roman" w:hAnsi="Times New Roman"/>
          <w:sz w:val="22"/>
          <w:szCs w:val="22"/>
          <w:color w:val="auto"/>
        </w:rPr>
        <w:t>. The applicable Issuing Lender shall, promptly following its receipt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examine all documents purporting to represent a demand for payment under a Letter of Credit. The applicable Issuing Lender shall promptly notify the Administrative Agent and the Borrower by telephone (confirmed by telecopy) of such demand for payment, whether the applicable Issuing Lender has made or will make an LC Disbursement thereunder and the amount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the applicable Issuing Lender and the Revolving Lenders with respect to any such LC Disbursement in accordance with the terms herein.</w:t>
      </w:r>
    </w:p>
    <w:p>
      <w:pPr>
        <w:spacing w:after="0" w:line="19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Interim Interest</w:t>
      </w:r>
      <w:r>
        <w:rPr>
          <w:rFonts w:ascii="Times New Roman" w:cs="Times New Roman" w:eastAsia="Times New Roman" w:hAnsi="Times New Roman"/>
          <w:sz w:val="22"/>
          <w:szCs w:val="22"/>
          <w:color w:val="auto"/>
        </w:rPr>
        <w:t>. If the applicable Issuing Lender shall make any LC Disbursement, then, unless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w:t>
      </w:r>
    </w:p>
    <w:p>
      <w:pPr>
        <w:spacing w:after="0" w:line="185" w:lineRule="exact"/>
        <w:rPr>
          <w:rFonts w:ascii="Times New Roman" w:cs="Times New Roman" w:eastAsia="Times New Roman" w:hAnsi="Times New Roman"/>
          <w:sz w:val="22"/>
          <w:szCs w:val="22"/>
          <w:color w:val="auto"/>
        </w:rPr>
      </w:pPr>
    </w:p>
    <w:p>
      <w:pPr>
        <w:ind w:right="20" w:firstLine="1304"/>
        <w:spacing w:after="0" w:line="275" w:lineRule="auto"/>
        <w:tabs>
          <w:tab w:leader="none" w:pos="177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Replacement of the Issuing Lender</w:t>
      </w:r>
      <w:r>
        <w:rPr>
          <w:rFonts w:ascii="Times New Roman" w:cs="Times New Roman" w:eastAsia="Times New Roman" w:hAnsi="Times New Roman"/>
          <w:sz w:val="22"/>
          <w:szCs w:val="22"/>
          <w:color w:val="auto"/>
        </w:rPr>
        <w:t>. Any Issuing Lender may be replaced at any time by written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the Borrower,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66" w:lineRule="exact"/>
        <w:rPr>
          <w:sz w:val="20"/>
          <w:szCs w:val="20"/>
          <w:color w:val="auto"/>
        </w:rPr>
      </w:pPr>
    </w:p>
    <w:p>
      <w:pPr>
        <w:jc w:val="both"/>
        <w:ind w:firstLine="1304"/>
        <w:spacing w:after="0" w:line="248" w:lineRule="auto"/>
        <w:tabs>
          <w:tab w:leader="none" w:pos="1878"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Replacement of Letters of Credit; Cash Collateralization</w:t>
      </w:r>
      <w:r>
        <w:rPr>
          <w:rFonts w:ascii="Times New Roman" w:cs="Times New Roman" w:eastAsia="Times New Roman" w:hAnsi="Times New Roman"/>
          <w:sz w:val="22"/>
          <w:szCs w:val="22"/>
          <w:color w:val="auto"/>
        </w:rPr>
        <w:t>. The Borrower shall (i) upon or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Maturity Date with respect to all Revolving Commitments and (B) the acceleration of the Revolving Loans (if any) and the termination of the Revolving Commitments in accordance with the terms hereof (the “</w:t>
      </w:r>
      <w:r>
        <w:rPr>
          <w:rFonts w:ascii="Times New Roman" w:cs="Times New Roman" w:eastAsia="Times New Roman" w:hAnsi="Times New Roman"/>
          <w:sz w:val="22"/>
          <w:szCs w:val="22"/>
          <w:i w:val="1"/>
          <w:iCs w:val="1"/>
          <w:color w:val="auto"/>
        </w:rPr>
        <w:t>Outstanding Letters of Credit</w:t>
      </w:r>
      <w:r>
        <w:rPr>
          <w:rFonts w:ascii="Times New Roman" w:cs="Times New Roman" w:eastAsia="Times New Roman" w:hAnsi="Times New Roman"/>
          <w:sz w:val="22"/>
          <w:szCs w:val="22"/>
          <w:color w:val="auto"/>
        </w:rPr>
        <w:t>”) to be returned to the applicable Issuing Lender undrawn and marked “cancelled” or (y) if the Borrower does not do so in whole or in part either</w:t>
      </w:r>
    </w:p>
    <w:p>
      <w:pPr>
        <w:spacing w:after="0" w:line="7" w:lineRule="exact"/>
        <w:rPr>
          <w:rFonts w:ascii="Times New Roman" w:cs="Times New Roman" w:eastAsia="Times New Roman" w:hAnsi="Times New Roman"/>
          <w:sz w:val="22"/>
          <w:szCs w:val="22"/>
          <w:color w:val="auto"/>
        </w:rPr>
      </w:pPr>
    </w:p>
    <w:p>
      <w:pPr>
        <w:jc w:val="both"/>
        <w:ind w:firstLine="8"/>
        <w:spacing w:after="0" w:line="258" w:lineRule="auto"/>
        <w:tabs>
          <w:tab w:leader="none" w:pos="36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clauses (A) or (B) above), and (ii) if required pursuant to Section 2.02(l), 2.12(c), 2.12(d), 2.12(e), 2.12(g), 2.26(d)(ii), 2.26(e)(ii), 2.26(f) or 7.01 or pursuant to any 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Times New Roman" w:cs="Times New Roman" w:eastAsia="Times New Roman" w:hAnsi="Times New Roman"/>
          <w:sz w:val="21"/>
          <w:szCs w:val="21"/>
          <w:i w:val="1"/>
          <w:iCs w:val="1"/>
          <w:color w:val="auto"/>
        </w:rPr>
        <w:t>Cash Collateralization</w:t>
      </w:r>
      <w:r>
        <w:rPr>
          <w:rFonts w:ascii="Times New Roman" w:cs="Times New Roman" w:eastAsia="Times New Roman" w:hAnsi="Times New Roman"/>
          <w:sz w:val="21"/>
          <w:szCs w:val="21"/>
          <w:color w:val="auto"/>
        </w:rPr>
        <w:t>”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00" w:lineRule="exact"/>
        <w:rPr>
          <w:sz w:val="20"/>
          <w:szCs w:val="20"/>
          <w:color w:val="auto"/>
        </w:rPr>
      </w:pPr>
    </w:p>
    <w:p>
      <w:pPr>
        <w:spacing w:after="0" w:line="3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understood that any LC Exposure shall be deemed to be “</w:t>
      </w:r>
      <w:r>
        <w:rPr>
          <w:rFonts w:ascii="Times New Roman" w:cs="Times New Roman" w:eastAsia="Times New Roman" w:hAnsi="Times New Roman"/>
          <w:sz w:val="22"/>
          <w:szCs w:val="22"/>
          <w:i w:val="1"/>
          <w:iCs w:val="1"/>
          <w:color w:val="auto"/>
        </w:rPr>
        <w:t>Cash Collateralized</w:t>
      </w:r>
      <w:r>
        <w:rPr>
          <w:rFonts w:ascii="Times New Roman" w:cs="Times New Roman" w:eastAsia="Times New Roman" w:hAnsi="Times New Roman"/>
          <w:sz w:val="22"/>
          <w:szCs w:val="22"/>
          <w:color w:val="auto"/>
        </w:rPr>
        <w:t>” 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w:t>
      </w:r>
    </w:p>
    <w:p>
      <w:pPr>
        <w:spacing w:after="0" w:line="203" w:lineRule="exact"/>
        <w:rPr>
          <w:sz w:val="20"/>
          <w:szCs w:val="20"/>
          <w:color w:val="auto"/>
        </w:rPr>
      </w:pPr>
    </w:p>
    <w:p>
      <w:pPr>
        <w:jc w:val="both"/>
        <w:ind w:firstLine="1304"/>
        <w:spacing w:after="0" w:line="247" w:lineRule="auto"/>
        <w:tabs>
          <w:tab w:leader="none" w:pos="183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Issuing Lender Agreements</w:t>
      </w:r>
      <w:r>
        <w:rPr>
          <w:rFonts w:ascii="Times New Roman" w:cs="Times New Roman" w:eastAsia="Times New Roman" w:hAnsi="Times New Roman"/>
          <w:sz w:val="22"/>
          <w:szCs w:val="22"/>
          <w:color w:val="auto"/>
        </w:rPr>
        <w:t>. Unless otherwise requested by the Administrative Agent, each Issuing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w:t>
      </w:r>
    </w:p>
    <w:p>
      <w:pPr>
        <w:spacing w:after="0" w:line="189" w:lineRule="exact"/>
        <w:rPr>
          <w:rFonts w:ascii="Times New Roman" w:cs="Times New Roman" w:eastAsia="Times New Roman" w:hAnsi="Times New Roman"/>
          <w:sz w:val="22"/>
          <w:szCs w:val="22"/>
          <w:color w:val="auto"/>
        </w:rPr>
      </w:pPr>
    </w:p>
    <w:p>
      <w:pPr>
        <w:ind w:firstLine="1304"/>
        <w:spacing w:after="0" w:line="275" w:lineRule="auto"/>
        <w:tabs>
          <w:tab w:leader="none" w:pos="171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Provisions Related to Extended Revolving Commitments</w:t>
      </w:r>
      <w:r>
        <w:rPr>
          <w:rFonts w:ascii="Times New Roman" w:cs="Times New Roman" w:eastAsia="Times New Roman" w:hAnsi="Times New Roman"/>
          <w:sz w:val="22"/>
          <w:szCs w:val="22"/>
          <w:color w:val="auto"/>
        </w:rPr>
        <w:t>. If the Revolving Facility Maturity Date in respect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tranche of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00" w:lineRule="exact"/>
        <w:rPr>
          <w:sz w:val="20"/>
          <w:szCs w:val="20"/>
          <w:color w:val="auto"/>
        </w:rPr>
      </w:pPr>
    </w:p>
    <w:p>
      <w:pPr>
        <w:spacing w:after="0" w:line="3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occurs prior to the expiration of any Letter of Credit with respect to which Lenders holding such Revolving Commitments hold participation interests, then (i) if one or more other tranches of Revolving Commitments in respect of which the Revolving Facility Maturity Date shall not have occurred 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w:t>
      </w:r>
    </w:p>
    <w:p>
      <w:pPr>
        <w:spacing w:after="0" w:line="19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Requests for Loans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firstLine="1304"/>
        <w:spacing w:after="0" w:line="256" w:lineRule="auto"/>
        <w:tabs>
          <w:tab w:leader="none" w:pos="1833"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Unless otherwise agreed to by the Administrative Agent in connection with making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initial Revolving Loans, to request a Revolving Loan, the Borrower shall notify the Administrative Agent of such request by</w:t>
      </w:r>
    </w:p>
    <w:p>
      <w:pPr>
        <w:spacing w:after="0" w:line="1" w:lineRule="exact"/>
        <w:rPr>
          <w:rFonts w:ascii="Times New Roman" w:cs="Times New Roman" w:eastAsia="Times New Roman" w:hAnsi="Times New Roman"/>
          <w:sz w:val="22"/>
          <w:szCs w:val="22"/>
          <w:color w:val="auto"/>
        </w:rPr>
      </w:pPr>
    </w:p>
    <w:p>
      <w:pPr>
        <w:jc w:val="both"/>
        <w:ind w:firstLine="8"/>
        <w:spacing w:after="0" w:line="254" w:lineRule="auto"/>
        <w:tabs>
          <w:tab w:leader="none" w:pos="27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telephone or (ii) by hand or by facsimile delivery of a written Loan Request (A) in the case of a Term SOFR Loan, not later than 2:00 p.m., New York City time, three (3) U.S. Government Securities Business Days before proposed Borrowing Date and</w:t>
      </w:r>
    </w:p>
    <w:p>
      <w:pPr>
        <w:spacing w:after="0" w:line="1"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in the case of an ABR Loan, not later than 11:00 a.m., New York City time, on the proposed Borrowing Date. Each such telephonic Revolving Loan request shall be irrevocable and shall be confirmed promptly by hand delivery or telecopy to the Administrative Agent of a written Loan Request signed by the Borrower. Each such telephonic Revolving Loan request and written Loan Request shall specify the following information in compliance with Section 2.01:</w:t>
      </w:r>
    </w:p>
    <w:p>
      <w:pPr>
        <w:spacing w:after="0" w:line="181" w:lineRule="exact"/>
        <w:rPr>
          <w:rFonts w:ascii="Times New Roman" w:cs="Times New Roman" w:eastAsia="Times New Roman" w:hAnsi="Times New Roman"/>
          <w:sz w:val="21"/>
          <w:szCs w:val="21"/>
          <w:color w:val="auto"/>
        </w:rPr>
      </w:pPr>
    </w:p>
    <w:p>
      <w:pPr>
        <w:ind w:left="1720" w:hanging="416"/>
        <w:spacing w:after="0"/>
        <w:tabs>
          <w:tab w:leader="none" w:pos="172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Revolving Loan (which shall comply with Section 2.01(d));</w:t>
      </w:r>
    </w:p>
    <w:p>
      <w:pPr>
        <w:spacing w:after="0" w:line="220" w:lineRule="exact"/>
        <w:rPr>
          <w:sz w:val="20"/>
          <w:szCs w:val="20"/>
          <w:color w:val="auto"/>
        </w:rPr>
      </w:pPr>
    </w:p>
    <w:p>
      <w:pPr>
        <w:ind w:left="1780" w:hanging="476"/>
        <w:spacing w:after="0"/>
        <w:tabs>
          <w:tab w:leader="none" w:pos="17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of such Revolving Loan, which shall be a Business Day;</w:t>
      </w:r>
    </w:p>
    <w:p>
      <w:pPr>
        <w:spacing w:after="0" w:line="23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Revolving Loan is to be an ABR Loan or a Term SOFR Loan;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0" w:lineRule="exact"/>
        <w:rPr>
          <w:sz w:val="20"/>
          <w:szCs w:val="20"/>
          <w:color w:val="auto"/>
        </w:rPr>
      </w:pPr>
    </w:p>
    <w:p>
      <w:pPr>
        <w:spacing w:after="0" w:line="322" w:lineRule="exact"/>
        <w:rPr>
          <w:sz w:val="20"/>
          <w:szCs w:val="20"/>
          <w:color w:val="auto"/>
        </w:rPr>
      </w:pPr>
    </w:p>
    <w:p>
      <w:pPr>
        <w:ind w:left="660" w:right="20" w:firstLine="644"/>
        <w:spacing w:after="0" w:line="271" w:lineRule="auto"/>
        <w:tabs>
          <w:tab w:leader="none" w:pos="1847"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Loan, the initial Interest Period to be applicable thereto, which shall be a period contemplated by the definition of the term “Interest Period.”</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no election as to the Type of Revolving Loan is specified, then the requested Revolving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w:t>
      </w:r>
    </w:p>
    <w:p>
      <w:pPr>
        <w:spacing w:after="0" w:line="175" w:lineRule="exact"/>
        <w:rPr>
          <w:sz w:val="20"/>
          <w:szCs w:val="20"/>
          <w:color w:val="auto"/>
        </w:rPr>
      </w:pPr>
    </w:p>
    <w:p>
      <w:pPr>
        <w:jc w:val="both"/>
        <w:ind w:firstLine="1304"/>
        <w:spacing w:after="0" w:line="251" w:lineRule="auto"/>
        <w:tabs>
          <w:tab w:leader="none" w:pos="191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Loans</w:t>
      </w:r>
      <w:r>
        <w:rPr>
          <w:rFonts w:ascii="Times New Roman" w:cs="Times New Roman" w:eastAsia="Times New Roman" w:hAnsi="Times New Roman"/>
          <w:sz w:val="22"/>
          <w:szCs w:val="22"/>
          <w:color w:val="auto"/>
        </w:rPr>
        <w:t>. Unless otherwise agreed to by the Administrative Agent, to request the Term Loans,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notify the Administrative Agent of such request by telephone (i) in the case of a Term SOFR Loan, not later than 2:00 p.m., New York City time, two (2) U.S. Government Securities Business Days before the Closing Date (or the Seventh Amendment Effective Date, as applicable) and (ii) in the case of an ABR Loan, not later than 1:00 p.m., New York City time one (1) Business Day before the Closing Date (or the Seventh Amendment Effective Date, as applicable). Each such telephonic Term Loan request shall be irrevocable and shall be confirmed promptly by hand delivery or telecopy to the Administrative Agent of a written Loan Request signed by the Borrower. Each such telephonic and written Loan Request shall specify the following information in compliance with Section 2.01:</w:t>
      </w:r>
    </w:p>
    <w:p>
      <w:pPr>
        <w:spacing w:after="0" w:line="182" w:lineRule="exact"/>
        <w:rPr>
          <w:sz w:val="20"/>
          <w:szCs w:val="20"/>
          <w:color w:val="auto"/>
        </w:rPr>
      </w:pPr>
    </w:p>
    <w:p>
      <w:pPr>
        <w:ind w:left="1720" w:hanging="416"/>
        <w:spacing w:after="0"/>
        <w:tabs>
          <w:tab w:leader="none" w:pos="172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Term Loan (which shall comply with Section 2.01(d));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of such Term Loan, which shall be a Business Day;</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Term Loan is to be an ABR Loan or a Term SOFR Loan; and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4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Loan, the initial Interest Period to be applicable thereto, which shall be a period contemplated by the definition of the term “Interest Period.”</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no election as to the Type of Term Loan is specified, then the requested Term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2.03(b), the Administrative Agent shall advise each Term Lender of the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thereof and of the amount of such Term Lender’s Loan to be made as part of the requested Term Loan.</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Funding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6" w:lineRule="auto"/>
        <w:tabs>
          <w:tab w:leader="none" w:pos="190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ABR Loans made to finance the reimbursement of an LC Disbursement as provided in Section 2.02(e) shall be remitted by the Administrative Agent to the relevant Issuing Lender.</w:t>
      </w:r>
    </w:p>
    <w:p>
      <w:pPr>
        <w:spacing w:after="0" w:line="165"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1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w:t>
      </w:r>
    </w:p>
    <w:p>
      <w:pPr>
        <w:spacing w:after="0" w:line="181"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9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Administrative Agent shall have received notice from a Lender prior to the proposed Borrowing Date (or, with respect to any ABR Loan made on same-day notice, prior to </w:t>
      </w:r>
      <w:r>
        <w:rPr>
          <w:rFonts w:ascii="Times New Roman" w:cs="Times New Roman" w:eastAsia="Times New Roman" w:hAnsi="Times New Roman"/>
          <w:sz w:val="21"/>
          <w:szCs w:val="21"/>
          <w:b w:val="1"/>
          <w:bCs w:val="1"/>
          <w:color w:val="FF0000"/>
          <w:strike w:val="1"/>
        </w:rPr>
        <w:t>11:00 a.m</w:t>
      </w:r>
      <w:r>
        <w:rPr>
          <w:rFonts w:ascii="Times New Roman" w:cs="Times New Roman" w:eastAsia="Times New Roman" w:hAnsi="Times New Roman"/>
          <w:sz w:val="21"/>
          <w:szCs w:val="21"/>
          <w:b w:val="1"/>
          <w:bCs w:val="1"/>
          <w:u w:val="single" w:color="auto"/>
          <w:color w:val="0000FF"/>
        </w:rPr>
        <w:t>12:00 p.m</w:t>
      </w:r>
      <w:r>
        <w:rPr>
          <w:rFonts w:ascii="Times New Roman" w:cs="Times New Roman" w:eastAsia="Times New Roman" w:hAnsi="Times New Roman"/>
          <w:sz w:val="21"/>
          <w:szCs w:val="21"/>
          <w:color w:val="auto"/>
        </w:rPr>
        <w:t>.,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Lender’s Loan included in such Loan and the Borrower shall not be obligated to repay such amount pursuant to the preceding sentence if not previously repaid.</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2" w:lineRule="auto"/>
        <w:tabs>
          <w:tab w:leader="none" w:pos="1757"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elect from time to time to (i) convert ABR Loans to Term SOFR Loans, (ii) convert Term SOFR Loans to ABR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conversion of Term SOFR Loans may be made only on the last day of an Interest Period with respect thereto or (iii) continue any Term SOFR Loan as such upon the expiration of the then current Interest Period with respect thereto.</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9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Interest Election Request pursuant to this Section 2.05, the Borrower shall notify the Administrative Agent of such election by hand or facsimile delivery or by electronic mail of a written Interest Election Request by the time that a Loan Request would be required under Section 2.03(a) or Section 2.03(b) if the Borrower were requesting a Loan of the Type resulting from such election to be made on the effective date of such election.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w:t>
      </w:r>
    </w:p>
    <w:p>
      <w:pPr>
        <w:spacing w:after="0" w:line="193" w:lineRule="exact"/>
        <w:rPr>
          <w:rFonts w:ascii="Times New Roman" w:cs="Times New Roman" w:eastAsia="Times New Roman" w:hAnsi="Times New Roman"/>
          <w:sz w:val="22"/>
          <w:szCs w:val="22"/>
          <w:color w:val="auto"/>
        </w:rPr>
      </w:pPr>
    </w:p>
    <w:p>
      <w:pPr>
        <w:ind w:left="2020" w:hanging="716"/>
        <w:spacing w:after="0"/>
        <w:tabs>
          <w:tab w:leader="none" w:pos="202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written Interest Election Request shall specify the following information in compliance with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2.01:</w:t>
      </w:r>
    </w:p>
    <w:p>
      <w:pPr>
        <w:spacing w:after="0" w:line="196" w:lineRule="exact"/>
        <w:rPr>
          <w:sz w:val="20"/>
          <w:szCs w:val="20"/>
          <w:color w:val="auto"/>
        </w:rPr>
      </w:pPr>
    </w:p>
    <w:p>
      <w:pPr>
        <w:jc w:val="both"/>
        <w:ind w:left="660" w:firstLine="644"/>
        <w:spacing w:after="0" w:line="257" w:lineRule="auto"/>
        <w:tabs>
          <w:tab w:leader="none" w:pos="174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6"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election made pursuant to such Interest Election Request, which shall be a Business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w:t>
      </w:r>
    </w:p>
    <w:p>
      <w:pPr>
        <w:spacing w:after="0" w:line="195"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Term SOFR Borrowing;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3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Term SOFR Borrowing, the Interest Period to be applicable thereto after giving effect to such election, which shall be a period contemplated by the definition of the term “Interest Period.”</w:t>
      </w:r>
    </w:p>
    <w:p>
      <w:pPr>
        <w:spacing w:after="0" w:line="1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any such Interest Election Request requests a Term SOFR Borrowing but does not specify an Interest Period, then the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0" w:lineRule="exact"/>
        <w:rPr>
          <w:sz w:val="20"/>
          <w:szCs w:val="20"/>
          <w:color w:val="auto"/>
        </w:rPr>
      </w:pPr>
    </w:p>
    <w:p>
      <w:pPr>
        <w:spacing w:after="0" w:line="322" w:lineRule="exact"/>
        <w:rPr>
          <w:sz w:val="20"/>
          <w:szCs w:val="20"/>
          <w:color w:val="auto"/>
        </w:rPr>
      </w:pPr>
    </w:p>
    <w:p>
      <w:pPr>
        <w:ind w:firstLine="1304"/>
        <w:spacing w:after="0" w:line="271" w:lineRule="auto"/>
        <w:tabs>
          <w:tab w:leader="none" w:pos="19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details thereof and of such Lender’s portion of each resulting Borrowing.</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 one-month Term SOFR Borrowing. Notwithstanding any contrary provision hereof, if an Event of Default has occurred and is continuing, and upon the request of the Required Lenders, (i) no outstanding Borrowing may be converted to or continued as a Term SOFR Borrowing and (ii) unless repaid, each Term SOFR Borrowing shall be converted to an ABR Borrowing at the end of the Interest Period applicable thereto.</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Limitation on Term SOFR Tranches</w:t>
      </w:r>
      <w:r>
        <w:rPr>
          <w:rFonts w:ascii="Times New Roman" w:cs="Times New Roman" w:eastAsia="Times New Roman" w:hAnsi="Times New Roman"/>
          <w:sz w:val="22"/>
          <w:szCs w:val="22"/>
          <w:color w:val="auto"/>
        </w:rPr>
        <w:t>.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Tranche shall be equal to $1,000,000 or a whole multiple of $1,000,000 in excess thereof and (b) no more than twenty Term SOFR Tranches shall be outstanding at any one time.</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Interest on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80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2.08, each ABR Loan shall bear interest (computed on the basis of the actual number of days elapsed over a year of 365 days or 366 days in a leap year) at a rate per annum equal to the Alternate Base Rate plus the Applicable Margin.</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2.08, each Term SOFR Loan shall bear interest (computed on the basis of the actual number of days elapsed over a year of 360 days) at a rate per annum equal, during each Interest Period applicable thereto, to the Adjusted Term SOFR for such Interest Period in effect for such Borrowing plus the Applicable Margin.</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4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conversion of any Term SOFR Loan to an ABR Loan, accrued interest on such Loan shall be payable on the effective date of such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0" w:lineRule="exact"/>
        <w:rPr>
          <w:sz w:val="20"/>
          <w:szCs w:val="20"/>
          <w:color w:val="auto"/>
        </w:rPr>
      </w:pPr>
    </w:p>
    <w:p>
      <w:pPr>
        <w:spacing w:after="0" w:line="322" w:lineRule="exact"/>
        <w:rPr>
          <w:sz w:val="20"/>
          <w:szCs w:val="20"/>
          <w:color w:val="auto"/>
        </w:rPr>
      </w:pPr>
    </w:p>
    <w:p>
      <w:pPr>
        <w:jc w:val="both"/>
        <w:ind w:firstLine="1304"/>
        <w:spacing w:after="0" w:line="251" w:lineRule="auto"/>
        <w:tabs>
          <w:tab w:leader="none" w:pos="180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use or administration of Term SOFR,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39" w:lineRule="auto"/>
        <w:tabs>
          <w:tab w:leader="none" w:pos="179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2.09(a)(i) will occur prior to the applicable Benchmark Transition Start Date.</w:t>
      </w:r>
    </w:p>
    <w:p>
      <w:pPr>
        <w:spacing w:after="0" w:line="21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00" w:lineRule="exact"/>
        <w:rPr>
          <w:sz w:val="20"/>
          <w:szCs w:val="20"/>
          <w:color w:val="auto"/>
        </w:rPr>
      </w:pPr>
    </w:p>
    <w:p>
      <w:pPr>
        <w:spacing w:after="0" w:line="322" w:lineRule="exact"/>
        <w:rPr>
          <w:sz w:val="20"/>
          <w:szCs w:val="20"/>
          <w:color w:val="auto"/>
        </w:rPr>
      </w:pPr>
    </w:p>
    <w:p>
      <w:pPr>
        <w:jc w:val="both"/>
        <w:ind w:firstLine="1304"/>
        <w:spacing w:after="0" w:line="249" w:lineRule="auto"/>
        <w:tabs>
          <w:tab w:leader="none" w:pos="184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2.09(d) and (y) the commencement of any Benchmark Unavailability Period. Any determination, decision or election that may be made by the Administrative Agent or, if applicable, any Lender (or group of Lenders) pursuant to this Section 2.09,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2.09.</w:t>
      </w:r>
    </w:p>
    <w:p>
      <w:pPr>
        <w:spacing w:after="0" w:line="18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7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the Borrower may revoke any pending request for a Term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00" w:lineRule="exact"/>
        <w:rPr>
          <w:sz w:val="20"/>
          <w:szCs w:val="20"/>
          <w:color w:val="auto"/>
        </w:rPr>
      </w:pPr>
    </w:p>
    <w:p>
      <w:pPr>
        <w:spacing w:after="0" w:line="32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Amortization of Term Loans; Repayment of Loans; Evidence of Debt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76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to the Administrative Agent for the ratable account of each Revolving Lender the then unpaid principal amount of each Revolving Loan then outstanding on the Revolving Facility Termination Date applicable to such Revolving Loan.</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7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amounts of the Seventh Amendment Extended Term Loans shall be repaid in consecutive annual installments (each, an “</w:t>
      </w:r>
      <w:r>
        <w:rPr>
          <w:rFonts w:ascii="Times New Roman" w:cs="Times New Roman" w:eastAsia="Times New Roman" w:hAnsi="Times New Roman"/>
          <w:sz w:val="22"/>
          <w:szCs w:val="22"/>
          <w:i w:val="1"/>
          <w:iCs w:val="1"/>
          <w:color w:val="auto"/>
        </w:rPr>
        <w:t>Installment</w:t>
      </w:r>
      <w:r>
        <w:rPr>
          <w:rFonts w:ascii="Times New Roman" w:cs="Times New Roman" w:eastAsia="Times New Roman" w:hAnsi="Times New Roman"/>
          <w:sz w:val="22"/>
          <w:szCs w:val="22"/>
          <w:color w:val="auto"/>
        </w:rPr>
        <w:t>”) of 1.00% of the original aggregate principal amount of the Seventh Amendment Extended Term Loans as of the Seventh Amendment Effective Date commencing on June 27, 2023. Notwithstanding the foregoing, (1) such Installments shall be reduced in connection with any mandatory or voluntary prepayments of the Seventh Amendment Extended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7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2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(c) or (d) of this Section 2.10 shall be prima facie evidence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2"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00" w:lineRule="exact"/>
        <w:rPr>
          <w:sz w:val="20"/>
          <w:szCs w:val="20"/>
          <w:color w:val="auto"/>
        </w:rPr>
      </w:pPr>
    </w:p>
    <w:p>
      <w:pPr>
        <w:spacing w:after="0" w:line="3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times (including after assignment pursuant to Section 10.02) be represented by one or more promissory notes in such form payable to such payee and its registered assigns.</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Optional Termination or Reduction of Revolving Commitments</w:t>
      </w:r>
      <w:r>
        <w:rPr>
          <w:rFonts w:ascii="Times New Roman" w:cs="Times New Roman" w:eastAsia="Times New Roman" w:hAnsi="Times New Roman"/>
          <w:sz w:val="22"/>
          <w:szCs w:val="22"/>
          <w:color w:val="auto"/>
        </w:rPr>
        <w:t xml:space="preserve">. Upon at least one (1) Business Day prior written notice to the Administrative Agent, the Borrower may at any time in whole permanently terminate the Total Revolving Commitment (subject to compliance with Section 2.12(e)), or from time to time in part permanently reduce the Unused Total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 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Section 2.11 shall be applied to reduce the Revolving Commitment of each Revolving Lender on a pro rata basis.</w:t>
      </w:r>
    </w:p>
    <w:p>
      <w:pPr>
        <w:spacing w:after="0" w:line="19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Mandatory Prepayment of Loans; Commitment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78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deposit, on the next Business Day (or, if later, within five (5) Business Days of Parent or any of its Subsidiaries receiving any Net Proceeds as a result of such Disposition of Collateral or Recovery Event), cash in an amount (the “</w:t>
      </w:r>
      <w:r>
        <w:rPr>
          <w:rFonts w:ascii="Times New Roman" w:cs="Times New Roman" w:eastAsia="Times New Roman" w:hAnsi="Times New Roman"/>
          <w:sz w:val="22"/>
          <w:szCs w:val="22"/>
          <w:i w:val="1"/>
          <w:iCs w:val="1"/>
          <w:color w:val="auto"/>
        </w:rPr>
        <w:t>Net Proceeds Amount</w:t>
      </w:r>
      <w:r>
        <w:rPr>
          <w:rFonts w:ascii="Times New Roman" w:cs="Times New Roman" w:eastAsia="Times New Roman" w:hAnsi="Times New Roman"/>
          <w:sz w:val="22"/>
          <w:szCs w:val="22"/>
          <w:color w:val="auto"/>
        </w:rPr>
        <w:t xml:space="preserve">”) equal to the amount of such received Net Proceeds (solely to the extent necessary to maintain compliance with Section 6.04) into the Collateral Proceeds Account that is maintained with the Collateral Agent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00" w:lineRule="exact"/>
        <w:rPr>
          <w:sz w:val="20"/>
          <w:szCs w:val="20"/>
          <w:color w:val="auto"/>
        </w:rPr>
      </w:pPr>
    </w:p>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amount of any such deposit may be applied by the Administrative Agent in accordance with Section 2.12(c);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w:t>
      </w:r>
    </w:p>
    <w:p>
      <w:pPr>
        <w:spacing w:after="0" w:line="179" w:lineRule="exact"/>
        <w:rPr>
          <w:sz w:val="20"/>
          <w:szCs w:val="20"/>
          <w:color w:val="auto"/>
        </w:rPr>
      </w:pPr>
    </w:p>
    <w:p>
      <w:pPr>
        <w:ind w:firstLine="1304"/>
        <w:spacing w:after="0" w:line="271" w:lineRule="auto"/>
        <w:tabs>
          <w:tab w:leader="none" w:pos="190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prepay the Loans (without, in the case of any Revolving Loan, any corresponding reduction in Revolving Commitments) when and in an amount necessary to comply with Section 6.09(b).</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4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2.02(j). The application of any prepayment pursuant to this Section 2.12 shall be made,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ABR Loans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Term SOFR Loans. Term Loans prepaid pursuant to this Section 2.12 may not be reborrowed.</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6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2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2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00" w:lineRule="exact"/>
        <w:rPr>
          <w:sz w:val="20"/>
          <w:szCs w:val="20"/>
          <w:color w:val="auto"/>
        </w:rPr>
      </w:pPr>
    </w:p>
    <w:p>
      <w:pPr>
        <w:spacing w:after="0" w:line="322" w:lineRule="exact"/>
        <w:rPr>
          <w:sz w:val="20"/>
          <w:szCs w:val="20"/>
          <w:color w:val="auto"/>
        </w:rPr>
      </w:pPr>
    </w:p>
    <w:p>
      <w:pPr>
        <w:jc w:val="both"/>
        <w:ind w:firstLine="1304"/>
        <w:spacing w:after="0" w:line="253" w:lineRule="auto"/>
        <w:tabs>
          <w:tab w:leader="none" w:pos="180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occurs, within thirty (30) days following the occurrence of such Change of Control, the Borrower (or Parent (or any third party on behalf of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Core Collateral,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immediately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Optional Prepayment of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8" w:lineRule="auto"/>
        <w:tabs>
          <w:tab w:leader="none" w:pos="180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at any time and from time to time, to prepay any Loans, in whole or in part, (i) with respect to Term SOFR Loans, upon (A) telephonic notice (followed promptly by written or facsimile notice or notice by electronic mail) (which notice may be conditional notice) to the Administrative Agent or (B) written or facsimile notice (or notice by electronic mail) (which notice may be conditional notice) to the Administrative Agent, in any case received by 1:00 p.m., New York City time, three (3) </w:t>
      </w:r>
      <w:r>
        <w:rPr>
          <w:rFonts w:ascii="Times New Roman" w:cs="Times New Roman" w:eastAsia="Times New Roman" w:hAnsi="Times New Roman"/>
          <w:sz w:val="22"/>
          <w:szCs w:val="22"/>
          <w:b w:val="1"/>
          <w:bCs w:val="1"/>
          <w:u w:val="single" w:color="auto"/>
          <w:color w:val="0000FF"/>
        </w:rPr>
        <w:t>U.S. Government Securities</w:t>
      </w:r>
      <w:r>
        <w:rPr>
          <w:rFonts w:ascii="Times New Roman" w:cs="Times New Roman" w:eastAsia="Times New Roman" w:hAnsi="Times New Roman"/>
          <w:sz w:val="22"/>
          <w:szCs w:val="22"/>
          <w:color w:val="auto"/>
        </w:rPr>
        <w:t xml:space="preserve">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ABR Loans may be prepaid on the same day notice is given if such notice is received by the Administrative Agent by 12:00 noon,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0" w:lineRule="exact"/>
        <w:rPr>
          <w:sz w:val="20"/>
          <w:szCs w:val="20"/>
          <w:color w:val="auto"/>
        </w:rPr>
      </w:pPr>
    </w:p>
    <w:p>
      <w:pPr>
        <w:spacing w:after="0" w:line="3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York City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revocation of such conditional notice occurs within the applicable notice period plus 5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each such partial prepayment shall be in an amount not less than $1,000,000 and in integral multiples of $1,000,000 in the case of Term SOFR Loans and integral multiples of $100,000 in the case of ABR Loans, (B) no prepayment of Term SOFR Loans shall be permitted pursuant to this Section 2.13(a) other than on the last day of an Interest Period applicable thereto unless such prepayment is accompanied by the payment of the amounts described in Section 2.15, and (C) no partial prepayment of a Term SOFR Tranche shall result in the aggregate principal amount of the Term SOFR Loans remaining outstanding pursuant to such Term SOFR Tranche being less than $1,000,000. Notwithstanding anything to the contrary above, no notice to the Administrative Agent shall be required in connection with the prepayment of the Non-Extended Term Loans contemplated in the Seventh Amendment.</w:t>
      </w:r>
    </w:p>
    <w:p>
      <w:pPr>
        <w:spacing w:after="0" w:line="180" w:lineRule="exact"/>
        <w:rPr>
          <w:sz w:val="20"/>
          <w:szCs w:val="20"/>
          <w:color w:val="auto"/>
        </w:rPr>
      </w:pPr>
    </w:p>
    <w:p>
      <w:pPr>
        <w:jc w:val="both"/>
        <w:ind w:firstLine="1304"/>
        <w:spacing w:after="0" w:line="248" w:lineRule="auto"/>
        <w:tabs>
          <w:tab w:leader="none" w:pos="187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w:t>
      </w:r>
    </w:p>
    <w:p>
      <w:pPr>
        <w:spacing w:after="0" w:line="18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of prepayment shall specify the prepayment date, the principal amount of the Loans to be prepaid and, in the case of Term SOFR Loans, the Borrowing or Borrowings to be prepaid and shall commit the Borrower to prepay such Loan by the amount and on the date stated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w:t>
      </w:r>
    </w:p>
    <w:p>
      <w:pPr>
        <w:spacing w:after="0" w:line="186"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80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prior to the date that is six (6) months after the Seventh Amendment Effective Date, there shall occur any Repricing Event, the Borrower shall pay to the Administrative Agent, for the ratable account of each of the Term Lenders holding Seventh Amendment Extended Term Loans subject to such Repricing Event, (i)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00" w:lineRule="exact"/>
        <w:rPr>
          <w:sz w:val="20"/>
          <w:szCs w:val="20"/>
          <w:color w:val="auto"/>
        </w:rPr>
      </w:pPr>
    </w:p>
    <w:p>
      <w:pPr>
        <w:spacing w:after="0" w:line="3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case of a Repricing Event of the type described in clause (a) of the definition thereof, a prepayment premium of 1% of the aggregate principal amount of the Seventh Amendment Extended Term Loans subject to such Repricing Event and (ii) in the case of a Repricing Event of the type described in clause (b) of the definition thereof, an amount equal to 1% of the aggregate principal amount of the Seventh Amendment Extended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Term Lender so replaced shall be entitled to the prepayment premium set forth in clause (i) of the preceding sentence with respect to its Seventh Amendment Extended Term Loans so assigned unless such fee is waived by such Term Lender.</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any Change in Law shall:</w:t>
      </w:r>
    </w:p>
    <w:p>
      <w:pPr>
        <w:spacing w:after="0" w:line="220" w:lineRule="exact"/>
        <w:rPr>
          <w:sz w:val="20"/>
          <w:szCs w:val="20"/>
          <w:color w:val="auto"/>
        </w:rPr>
      </w:pPr>
    </w:p>
    <w:p>
      <w:pPr>
        <w:jc w:val="both"/>
        <w:ind w:left="660" w:firstLine="644"/>
        <w:spacing w:after="0" w:line="253" w:lineRule="auto"/>
        <w:tabs>
          <w:tab w:leader="none" w:pos="172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by, any Lender or Issuing Lender; or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3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Issuing Lender or the London interbank market any other condition, cost or expense (other than Taxes) affecting this Agreement or Term SOFR Loans made by such Lender or any Letter of Credit or participation therein;</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into, continuing or maintaining any Term SOFR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Term SOFR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w:t>
      </w:r>
    </w:p>
    <w:p>
      <w:pPr>
        <w:spacing w:after="0" w:line="180" w:lineRule="exact"/>
        <w:rPr>
          <w:sz w:val="20"/>
          <w:szCs w:val="20"/>
          <w:color w:val="auto"/>
        </w:rPr>
      </w:pPr>
    </w:p>
    <w:p>
      <w:pPr>
        <w:ind w:firstLine="1304"/>
        <w:spacing w:after="0" w:line="271" w:lineRule="auto"/>
        <w:tabs>
          <w:tab w:leader="none" w:pos="179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Issuing Lender reasonably determines in good faith that any Change in Law affecting such Lender or Issuing Lender or such Lender’s or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SOFR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w:t>
      </w:r>
    </w:p>
    <w:p>
      <w:pPr>
        <w:spacing w:after="0" w:line="183" w:lineRule="exact"/>
        <w:rPr>
          <w:sz w:val="20"/>
          <w:szCs w:val="20"/>
          <w:color w:val="auto"/>
        </w:rPr>
      </w:pPr>
    </w:p>
    <w:p>
      <w:pPr>
        <w:ind w:left="1760" w:hanging="456"/>
        <w:spacing w:after="0"/>
        <w:tabs>
          <w:tab w:leader="none" w:pos="17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 Lender or Issuing Lender setting forth the amount or amounts necessary to compensate such Lender or Issuing Lender or its holding company, as the case may be, as specified in paragraph (a) or (b) of this Section 2.14 and the basis for calculating such amount or amounts shall be delivered to the Borrower and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amount due. The Borrower shall pay such Lender or Issuing Lender, as the case may be, the amount due within fifteen (15) days after receipt of such certificate.</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8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or Issuing Lender to demand compensation pursuant to this Section 2.14 shall not constitute a waiver of such Lender’s or Issuing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Issuing Lender pursuant to this Section 2.14 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w:t>
      </w:r>
    </w:p>
    <w:p>
      <w:pPr>
        <w:spacing w:after="0" w:line="18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4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Lender of its applicable lending office (it being understood that any such relocation effected pursuant to Section 2.18 is not “voluntary”), or (C) such Lender or Issuing Lender is not seeking similar compensation for such costs to which it is entitled from its borrowers generally in commercial loans of a similar size.</w:t>
      </w:r>
    </w:p>
    <w:p>
      <w:pPr>
        <w:spacing w:after="0" w:line="186" w:lineRule="exact"/>
        <w:rPr>
          <w:sz w:val="20"/>
          <w:szCs w:val="20"/>
          <w:color w:val="auto"/>
        </w:rPr>
      </w:pPr>
    </w:p>
    <w:p>
      <w:pPr>
        <w:jc w:val="both"/>
        <w:ind w:firstLine="1304"/>
        <w:spacing w:after="0" w:line="250" w:lineRule="auto"/>
        <w:tabs>
          <w:tab w:leader="none" w:pos="197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determination by a Lender or Issuing Lender of amounts owed pursuant to this Section 2.14 to such Lender or Issuing Lender due to any such Change in Law shall be made in good faith in a manner generally consistent with such Lender’s or Issuing Lender’s standard practice.</w:t>
      </w:r>
    </w:p>
    <w:p>
      <w:pPr>
        <w:spacing w:after="0" w:line="19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Term SOFR Loan other than on the last day of an Interest Period applicable thereto (including as a result of the occurrence and continuance of an Event of Default), (b) the failure to borrow, convert, continue or prepay any Term SOFR Loan on the date specified in any notice delivered pursuant hereto or (c) the assignment of any Term SOFR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case shall this Section 2.15 apply to any payment of an Installment pursuant to Section 2.10(b). The Borrower shall pay such Lender the amount due within fifteen (15) days after receipt of such certificate.</w:t>
      </w:r>
    </w:p>
    <w:p>
      <w:pPr>
        <w:spacing w:after="0" w:line="18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4" w:lineRule="auto"/>
        <w:tabs>
          <w:tab w:leader="none" w:pos="1813"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payments by or on account of any Obligation of the Borrower or any Guarantor hereunder or under any other Loan Document shall be made free and clear of and without deduction or withholding for any Taxes except as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Taxes are required to be deducted or withheld from any amounts payable to the Administrative Agent, any Lender or any Issuing Lender, as determined in good faith by the applicable Withholding Agent, then</w:t>
      </w:r>
    </w:p>
    <w:p>
      <w:pPr>
        <w:jc w:val="both"/>
        <w:ind w:firstLine="8"/>
        <w:spacing w:after="0" w:line="246" w:lineRule="auto"/>
        <w:tabs>
          <w:tab w:leader="none" w:pos="29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Taxes are Indemnified Taxes or Other Taxes, the sum payable by the Borrower or applicable Guarantor shall be increased as necessary so that after making all required deductions or withholdings for any Indemnified Taxes or Other Taxes (including deductions or withholdings for any Indemnified Taxes or Other Taxes applicable to additional sums payable under this Section 2.16), the Administrative Agent, Lender, Issuing Lender or any other recipient of such payments (as the case may be) receives an amount equal to the sum it would have received had no such deductions or withholdings been made, (ii) the applicable Withholding Agent shall make such deductions or withholdings and (iii)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200" w:lineRule="exact"/>
        <w:rPr>
          <w:sz w:val="20"/>
          <w:szCs w:val="20"/>
          <w:color w:val="auto"/>
        </w:rPr>
      </w:pPr>
    </w:p>
    <w:p>
      <w:pPr>
        <w:spacing w:after="0" w:line="32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Withholding Agent shall timely pay the full amount deducted or withheld to the relevant Governmental Authority in accordance with applicable law.</w:t>
      </w:r>
    </w:p>
    <w:p>
      <w:pPr>
        <w:spacing w:after="0" w:line="158" w:lineRule="exact"/>
        <w:rPr>
          <w:sz w:val="20"/>
          <w:szCs w:val="20"/>
          <w:color w:val="auto"/>
        </w:rPr>
      </w:pPr>
    </w:p>
    <w:p>
      <w:pPr>
        <w:ind w:firstLine="1304"/>
        <w:spacing w:after="0" w:line="284" w:lineRule="auto"/>
        <w:tabs>
          <w:tab w:leader="none" w:pos="193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or any Guarantor, as applicable, shall pay any Other Taxes to the relevant Governmental Authority in accordance with applicable law.</w:t>
      </w:r>
    </w:p>
    <w:p>
      <w:pPr>
        <w:spacing w:after="0" w:line="14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9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w:t>
      </w:r>
    </w:p>
    <w:p>
      <w:pPr>
        <w:spacing w:after="0" w:line="18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1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6"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1"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51"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or as will enable the Borrower to determine whether or not such Lender is subject to backup withholding or information reporting requirements;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required to deliver any documentation pursuant to this Section 2.16(f) that such Lender is not legally able to deliver. For purposes of this paragraph (f) and paragraphs (g) and (h), the term “Lender” includes any Issuing Lender.</w:t>
      </w:r>
    </w:p>
    <w:p>
      <w:pPr>
        <w:spacing w:after="0" w:line="176" w:lineRule="exact"/>
        <w:rPr>
          <w:sz w:val="20"/>
          <w:szCs w:val="20"/>
          <w:color w:val="auto"/>
        </w:rPr>
      </w:pPr>
    </w:p>
    <w:p>
      <w:pPr>
        <w:jc w:val="both"/>
        <w:ind w:firstLine="1304"/>
        <w:spacing w:after="0" w:line="252" w:lineRule="auto"/>
        <w:tabs>
          <w:tab w:leader="none" w:pos="177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w:t>
      </w:r>
    </w:p>
    <w:p>
      <w:pPr>
        <w:spacing w:after="0" w:line="193" w:lineRule="exact"/>
        <w:rPr>
          <w:sz w:val="20"/>
          <w:szCs w:val="20"/>
          <w:color w:val="auto"/>
        </w:rPr>
      </w:pPr>
    </w:p>
    <w:p>
      <w:pPr>
        <w:jc w:val="both"/>
        <w:ind w:left="660" w:firstLine="644"/>
        <w:spacing w:after="0" w:line="257" w:lineRule="auto"/>
        <w:tabs>
          <w:tab w:leader="none" w:pos="183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W-8BEN or Internal Revenue Service Form W-8BEN-E, as applicable, claiming eligibility for benefits of an income tax treaty to which the United States is a party;</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W-8ECI;</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5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 8IMY, together with the duly executed forms for its beneficiaries, partners or members described in clauses (i), (ii), (iii) or (iv) of this subparagraph (g)(1) or in subparagraph (g)(2) and other applicable attachments;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210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exemption for portfolio interest under Section 881(c) of the Code, (x) a certificate to the effect that such Foreign Lender is not (A) a “bank” within the meaning</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of Section 881(c)(3)(A) of the Code, (B) a “10 percent shareholder” of the Borrower within the meaning of Section 881(c)</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(3)(B) of the Code, (C) a “controlled foreign corporation” described in Section 881(c)(3)(C) of the Code or</w:t>
      </w:r>
    </w:p>
    <w:p>
      <w:pPr>
        <w:spacing w:after="0" w:line="5" w:lineRule="exact"/>
        <w:rPr>
          <w:sz w:val="20"/>
          <w:szCs w:val="20"/>
          <w:color w:val="auto"/>
        </w:rPr>
      </w:pPr>
    </w:p>
    <w:p>
      <w:pPr>
        <w:jc w:val="both"/>
        <w:ind w:left="660" w:hanging="4"/>
        <w:spacing w:after="0" w:line="251" w:lineRule="auto"/>
        <w:tabs>
          <w:tab w:leader="none" w:pos="106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a trade or business in the United States with which the relevant interest payments are effectively connected and (y) two (2) duly executed originals of the Internal Revenue Service Form W-8BEN or Internal Revenue Service Form W-8BEN-E, as applicable;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8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duly executed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w:t>
      </w:r>
    </w:p>
    <w:p>
      <w:pPr>
        <w:spacing w:after="0" w:line="16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 Foreign Lender shall not be required to deliver any form or statement pursuant to this Section 2.16(g) that such Foreign Lender is not legally able to deliver.</w:t>
      </w:r>
    </w:p>
    <w:p>
      <w:pPr>
        <w:spacing w:after="0" w:line="158" w:lineRule="exact"/>
        <w:rPr>
          <w:sz w:val="20"/>
          <w:szCs w:val="20"/>
          <w:color w:val="auto"/>
        </w:rPr>
      </w:pPr>
    </w:p>
    <w:p>
      <w:pPr>
        <w:ind w:firstLine="1304"/>
        <w:spacing w:after="0" w:line="271" w:lineRule="auto"/>
        <w:tabs>
          <w:tab w:leader="none" w:pos="183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“United States person” (as such term is defined in Section 7701(a)(30) of the Code) shall deliver to the Administrative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federal backup withholding tax.</w:t>
      </w:r>
    </w:p>
    <w:p>
      <w:pPr>
        <w:spacing w:after="0" w:line="176" w:lineRule="exact"/>
        <w:rPr>
          <w:sz w:val="20"/>
          <w:szCs w:val="20"/>
          <w:color w:val="auto"/>
        </w:rPr>
      </w:pPr>
    </w:p>
    <w:p>
      <w:pPr>
        <w:jc w:val="both"/>
        <w:ind w:firstLine="1304"/>
        <w:spacing w:after="0" w:line="252" w:lineRule="auto"/>
        <w:tabs>
          <w:tab w:leader="none" w:pos="186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w:t>
      </w:r>
    </w:p>
    <w:p>
      <w:pPr>
        <w:spacing w:after="0" w:line="185" w:lineRule="exact"/>
        <w:rPr>
          <w:sz w:val="20"/>
          <w:szCs w:val="20"/>
          <w:color w:val="auto"/>
        </w:rPr>
      </w:pPr>
    </w:p>
    <w:p>
      <w:pPr>
        <w:jc w:val="both"/>
        <w:ind w:firstLine="1304"/>
        <w:spacing w:after="0" w:line="248" w:lineRule="auto"/>
        <w:tabs>
          <w:tab w:leader="none" w:pos="177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2.16 shall not be construed to require the Administrative Agent or any Lender to make available its tax returns (or any other information relating to its taxes which it deems confidential) to the Borrower or any other Person.</w:t>
      </w:r>
    </w:p>
    <w:p>
      <w:pPr>
        <w:spacing w:after="0" w:line="19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85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or prepayment required to be made by it hereunder (whether of principal, interest, fees or reimbursement of LC Disbursements,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745 Seventh Avenue New York, New York 10019, pursuant to wire instructions to be provided by the Administrative Agent, except payments to be made directly to an Issuing Lender as expressly provided herein and except that payments pursuant to Sections 2.14, 2.15 and 10.04 shall be made directly to the Persons entitled thereto. The Administrative Agent shall distribute any such payments received by it (including, subject to the terms of any Intercreditor Agreement or any Other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8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3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insufficient funds are received by and available to the Administrative Agent to pay fully all Obligations then due hereunder, such funds shall be applied, subject to the terms of any Intercreditor Agreement or any Other Intercreditor Agreement, as applicable,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towards payment of Fees and expenses then due under Sections 2.19 and 10.04 payable to each Agent and any trustee appointed pursuant to Section 8.01(d), to the extent applicable,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towards payment of Fees and expenses then due under Sections 2.20, 2.21 and 10.04 payable to the Lenders and the Issuing Lenders and towards payment of interest then due on account of the Revolving Loans, Term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Letters of Credit, ratably among the parties entitled thereto in accordance with the amounts of such Fees and expenses and interest then due to such parties and (iii)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towards payment of (A) principal of the Revolving Loans, Term Loans and unreimbursed LC Disbursements then due 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w:t>
      </w:r>
    </w:p>
    <w:p>
      <w:pPr>
        <w:spacing w:after="0" w:line="183" w:lineRule="exact"/>
        <w:rPr>
          <w:sz w:val="20"/>
          <w:szCs w:val="20"/>
          <w:color w:val="auto"/>
        </w:rPr>
      </w:pPr>
    </w:p>
    <w:p>
      <w:pPr>
        <w:jc w:val="both"/>
        <w:ind w:firstLine="1304"/>
        <w:spacing w:after="0" w:line="249" w:lineRule="auto"/>
        <w:tabs>
          <w:tab w:leader="none" w:pos="1757"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 Rata Treatment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2" w:lineRule="auto"/>
        <w:tabs>
          <w:tab w:leader="none" w:pos="177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200" w:lineRule="exact"/>
        <w:rPr>
          <w:sz w:val="20"/>
          <w:szCs w:val="20"/>
          <w:color w:val="auto"/>
        </w:rPr>
      </w:pPr>
    </w:p>
    <w:p>
      <w:pPr>
        <w:spacing w:after="0" w:line="32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Term Loans shall be applied in the manner directed by the Borrower (or, if no such direction is given, in direct order of maturity) to the remaining scheduled Installments of the applicable Class of Term Loans being prepaid.</w:t>
      </w:r>
    </w:p>
    <w:p>
      <w:pPr>
        <w:spacing w:after="0" w:line="158" w:lineRule="exact"/>
        <w:rPr>
          <w:sz w:val="20"/>
          <w:szCs w:val="20"/>
          <w:color w:val="auto"/>
        </w:rPr>
      </w:pPr>
    </w:p>
    <w:p>
      <w:pPr>
        <w:jc w:val="both"/>
        <w:ind w:firstLine="1304"/>
        <w:spacing w:after="0" w:line="263" w:lineRule="auto"/>
        <w:tabs>
          <w:tab w:leader="none" w:pos="182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(including each prepayment) by the Borrower on account of principal of and interest on any Class of Revolving Loans shall be made pro rata according to the respective outstanding principal amounts of such Class of Revolving Loans then held by the Revolving Lenders.</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Section 2.18(b), 2.26, 2.27, 2.28, 10.08(d), 10.08(e) or 10.08(f), (D) the application of funds resulting from the existence of a Defaulting Lender, or (E) any other circumstance expressly provided for herein.</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780"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27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4"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w:t>
      </w:r>
    </w:p>
    <w:p>
      <w:pPr>
        <w:spacing w:after="0" w:line="1" w:lineRule="exact"/>
        <w:rPr>
          <w:rFonts w:ascii="Times New Roman" w:cs="Times New Roman" w:eastAsia="Times New Roman" w:hAnsi="Times New Roman"/>
          <w:sz w:val="22"/>
          <w:szCs w:val="22"/>
          <w:color w:val="auto"/>
        </w:rPr>
      </w:pPr>
    </w:p>
    <w:p>
      <w:pPr>
        <w:jc w:val="both"/>
        <w:ind w:firstLine="8"/>
        <w:spacing w:after="0" w:line="264" w:lineRule="auto"/>
        <w:tabs>
          <w:tab w:leader="none" w:pos="263"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200" w:lineRule="exact"/>
        <w:rPr>
          <w:sz w:val="20"/>
          <w:szCs w:val="20"/>
          <w:color w:val="auto"/>
        </w:rPr>
      </w:pPr>
    </w:p>
    <w:p>
      <w:pPr>
        <w:spacing w:after="0" w:line="3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any case as of a Business Day specified in such notice from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The Borrower shall pay (i) to the Administrative Agent the fees set forth in that certain Administrative Agent Fee Letter, dated as of the Seventh Amendment Effective Date, between the Administrative Agent and the Borrower (as may be amended, restated, amended and restated, modified, supplemented or replaced from time to time, the “</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and (ii) the fees set forth in the certain Engagement Letter, dated as of the Seventh Amendment Effective Date, by and between the Borrower and the Agents (as defined therein) (the “</w:t>
      </w:r>
      <w:r>
        <w:rPr>
          <w:rFonts w:ascii="Times New Roman" w:cs="Times New Roman" w:eastAsia="Times New Roman" w:hAnsi="Times New Roman"/>
          <w:sz w:val="22"/>
          <w:szCs w:val="22"/>
          <w:i w:val="1"/>
          <w:iCs w:val="1"/>
          <w:color w:val="auto"/>
        </w:rPr>
        <w:t>Original Engagement Letter</w:t>
      </w:r>
      <w:r>
        <w:rPr>
          <w:rFonts w:ascii="Times New Roman" w:cs="Times New Roman" w:eastAsia="Times New Roman" w:hAnsi="Times New Roman"/>
          <w:sz w:val="22"/>
          <w:szCs w:val="22"/>
          <w:color w:val="auto"/>
        </w:rPr>
        <w:t>”), as supplemented by that certain Supplemental Letter, dated as of the Seventh Amendment Effective Date, by and among the Borrower, the Agents (as defined in the Original Engagement Letter) and the Additional Arrangers (as defined therein) (the “</w:t>
      </w:r>
      <w:r>
        <w:rPr>
          <w:rFonts w:ascii="Times New Roman" w:cs="Times New Roman" w:eastAsia="Times New Roman" w:hAnsi="Times New Roman"/>
          <w:sz w:val="22"/>
          <w:szCs w:val="22"/>
          <w:i w:val="1"/>
          <w:iCs w:val="1"/>
          <w:color w:val="auto"/>
        </w:rPr>
        <w:t>Supplemental Letter</w:t>
      </w:r>
      <w:r>
        <w:rPr>
          <w:rFonts w:ascii="Times New Roman" w:cs="Times New Roman" w:eastAsia="Times New Roman" w:hAnsi="Times New Roman"/>
          <w:sz w:val="22"/>
          <w:szCs w:val="22"/>
          <w:color w:val="auto"/>
        </w:rPr>
        <w:t>”; and the Original Engagement Letter, as may be amended, restated, amended and restated, modified, supplemented or replaced from time to time, including by Supplemental Letter, the “</w:t>
      </w:r>
      <w:r>
        <w:rPr>
          <w:rFonts w:ascii="Times New Roman" w:cs="Times New Roman" w:eastAsia="Times New Roman" w:hAnsi="Times New Roman"/>
          <w:sz w:val="22"/>
          <w:szCs w:val="22"/>
          <w:i w:val="1"/>
          <w:iCs w:val="1"/>
          <w:color w:val="auto"/>
        </w:rPr>
        <w:t>Engagement Letter</w:t>
      </w:r>
      <w:r>
        <w:rPr>
          <w:rFonts w:ascii="Times New Roman" w:cs="Times New Roman" w:eastAsia="Times New Roman" w:hAnsi="Times New Roman"/>
          <w:sz w:val="22"/>
          <w:szCs w:val="22"/>
          <w:color w:val="auto"/>
        </w:rPr>
        <w:t>”), in each case, at the times and to the entities set forth therein.</w:t>
      </w:r>
    </w:p>
    <w:p>
      <w:pPr>
        <w:spacing w:after="0" w:line="18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2.20.</w:t>
      </w:r>
      <w:r>
        <w:rPr>
          <w:sz w:val="20"/>
          <w:szCs w:val="20"/>
          <w:color w:val="auto"/>
        </w:rPr>
        <w:tab/>
      </w: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98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Administrative Agent for the accounts of the Revolving Lenders a commitment fee (the “</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xml:space="preserve">”)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for the fiscal quarter in which the </w:t>
      </w:r>
      <w:r>
        <w:rPr>
          <w:rFonts w:ascii="Times New Roman" w:cs="Times New Roman" w:eastAsia="Times New Roman" w:hAnsi="Times New Roman"/>
          <w:sz w:val="22"/>
          <w:szCs w:val="22"/>
          <w:b w:val="1"/>
          <w:bCs w:val="1"/>
          <w:color w:val="FF0000"/>
          <w:strike w:val="1"/>
        </w:rPr>
        <w:t>Eighth</w:t>
      </w:r>
      <w:r>
        <w:rPr>
          <w:rFonts w:ascii="Times New Roman" w:cs="Times New Roman" w:eastAsia="Times New Roman" w:hAnsi="Times New Roman"/>
          <w:sz w:val="22"/>
          <w:szCs w:val="22"/>
          <w:b w:val="1"/>
          <w:bCs w:val="1"/>
          <w:u w:val="single" w:color="auto"/>
          <w:color w:val="0000FF"/>
        </w:rPr>
        <w:t>Ninth</w:t>
      </w:r>
      <w:r>
        <w:rPr>
          <w:rFonts w:ascii="Times New Roman" w:cs="Times New Roman" w:eastAsia="Times New Roman" w:hAnsi="Times New Roman"/>
          <w:sz w:val="22"/>
          <w:szCs w:val="22"/>
          <w:color w:val="auto"/>
        </w:rPr>
        <w:t xml:space="preserve"> Amendment Effective Date occurs based on the Commitment Fee set forth herein prior to the </w:t>
      </w:r>
      <w:r>
        <w:rPr>
          <w:rFonts w:ascii="Times New Roman" w:cs="Times New Roman" w:eastAsia="Times New Roman" w:hAnsi="Times New Roman"/>
          <w:sz w:val="22"/>
          <w:szCs w:val="22"/>
          <w:b w:val="1"/>
          <w:bCs w:val="1"/>
          <w:color w:val="FF0000"/>
          <w:strike w:val="1"/>
        </w:rPr>
        <w:t>Eighth</w:t>
      </w:r>
      <w:r>
        <w:rPr>
          <w:rFonts w:ascii="Times New Roman" w:cs="Times New Roman" w:eastAsia="Times New Roman" w:hAnsi="Times New Roman"/>
          <w:sz w:val="22"/>
          <w:szCs w:val="22"/>
          <w:b w:val="1"/>
          <w:bCs w:val="1"/>
          <w:u w:val="single" w:color="auto"/>
          <w:color w:val="0000FF"/>
        </w:rPr>
        <w:t>Ninth</w:t>
      </w:r>
      <w:r>
        <w:rPr>
          <w:rFonts w:ascii="Times New Roman" w:cs="Times New Roman" w:eastAsia="Times New Roman" w:hAnsi="Times New Roman"/>
          <w:sz w:val="22"/>
          <w:szCs w:val="22"/>
          <w:color w:val="auto"/>
        </w:rPr>
        <w:t xml:space="preserve"> Amendment Effective Date and from and after the </w:t>
      </w:r>
      <w:r>
        <w:rPr>
          <w:rFonts w:ascii="Times New Roman" w:cs="Times New Roman" w:eastAsia="Times New Roman" w:hAnsi="Times New Roman"/>
          <w:sz w:val="22"/>
          <w:szCs w:val="22"/>
          <w:b w:val="1"/>
          <w:bCs w:val="1"/>
          <w:color w:val="FF0000"/>
          <w:strike w:val="1"/>
        </w:rPr>
        <w:t>Eighth</w:t>
      </w:r>
      <w:r>
        <w:rPr>
          <w:rFonts w:ascii="Times New Roman" w:cs="Times New Roman" w:eastAsia="Times New Roman" w:hAnsi="Times New Roman"/>
          <w:sz w:val="22"/>
          <w:szCs w:val="22"/>
          <w:b w:val="1"/>
          <w:bCs w:val="1"/>
          <w:u w:val="single" w:color="auto"/>
          <w:color w:val="0000FF"/>
        </w:rPr>
        <w:t>Ninth</w:t>
      </w:r>
      <w:r>
        <w:rPr>
          <w:rFonts w:ascii="Times New Roman" w:cs="Times New Roman" w:eastAsia="Times New Roman" w:hAnsi="Times New Roman"/>
          <w:sz w:val="22"/>
          <w:szCs w:val="22"/>
          <w:color w:val="auto"/>
        </w:rPr>
        <w:t xml:space="preserv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200" w:lineRule="exact"/>
        <w:rPr>
          <w:sz w:val="20"/>
          <w:szCs w:val="20"/>
          <w:color w:val="auto"/>
        </w:rPr>
      </w:pPr>
    </w:p>
    <w:p>
      <w:pPr>
        <w:spacing w:after="0" w:line="32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2.21. </w:t>
      </w:r>
      <w:r>
        <w:rPr>
          <w:rFonts w:ascii="Times New Roman" w:cs="Times New Roman" w:eastAsia="Times New Roman" w:hAnsi="Times New Roman"/>
          <w:sz w:val="21"/>
          <w:szCs w:val="21"/>
          <w:u w:val="single" w:color="auto"/>
          <w:color w:val="auto"/>
        </w:rPr>
        <w:t>Letter of Credit Fees</w:t>
      </w:r>
      <w:r>
        <w:rPr>
          <w:rFonts w:ascii="Times New Roman" w:cs="Times New Roman" w:eastAsia="Times New Roman" w:hAnsi="Times New Roman"/>
          <w:sz w:val="21"/>
          <w:szCs w:val="21"/>
          <w:color w:val="auto"/>
        </w:rPr>
        <w:t>.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Term SOFR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 payable quarterly in the manner described in the immediately preceding sentence and on the date of expiration or termination of any such Letter of Credit.</w:t>
      </w:r>
    </w:p>
    <w:p>
      <w:pPr>
        <w:spacing w:after="0" w:line="18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2.22. </w:t>
      </w:r>
      <w:r>
        <w:rPr>
          <w:rFonts w:ascii="Times New Roman" w:cs="Times New Roman" w:eastAsia="Times New Roman" w:hAnsi="Times New Roman"/>
          <w:sz w:val="22"/>
          <w:szCs w:val="22"/>
          <w:u w:val="single" w:color="auto"/>
          <w:color w:val="auto"/>
        </w:rPr>
        <w:t>Nature of Fees</w:t>
      </w:r>
      <w:r>
        <w:rPr>
          <w:rFonts w:ascii="Times New Roman" w:cs="Times New Roman" w:eastAsia="Times New Roman" w:hAnsi="Times New Roman"/>
          <w:sz w:val="22"/>
          <w:szCs w:val="22"/>
          <w:color w:val="auto"/>
        </w:rPr>
        <w:t>. All Fees shall be paid on the dates due, in immediately available funds, to the Administrative Agent, the Issuing Lenders and the Joint Lead Arrangers and Bookrunners, as provided herein and in the Fee Letter. Once paid, none of the Fees shall be refundable or creditable under any circumstances, except as otherwise provided in the Fee Letter and Engagement Letter.</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2.23.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Upon the occurrence and during the continuance of any Event of Default pursuant to Section 7.01(b), the Administrative Agent, the Collateral Agent,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Lender, each Issuing Lender and the Administrative Agent agree promptly to notify the Borrower and Guarantors after any such set-off and application made by such Lender, such Issuing Lender or the Administrative Agent (or any of such banking Affiliates),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w:t>
      </w:r>
    </w:p>
    <w:p>
      <w:pPr>
        <w:spacing w:after="0" w:line="19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2.24. </w:t>
      </w:r>
      <w:r>
        <w:rPr>
          <w:rFonts w:ascii="Times New Roman" w:cs="Times New Roman" w:eastAsia="Times New Roman" w:hAnsi="Times New Roman"/>
          <w:sz w:val="22"/>
          <w:szCs w:val="22"/>
          <w:u w:val="single" w:color="auto"/>
          <w:color w:val="auto"/>
        </w:rPr>
        <w:t>Security Interest in Letter of Credit Account</w:t>
      </w:r>
      <w:r>
        <w:rPr>
          <w:rFonts w:ascii="Times New Roman" w:cs="Times New Roman" w:eastAsia="Times New Roman" w:hAnsi="Times New Roman"/>
          <w:sz w:val="22"/>
          <w:szCs w:val="22"/>
          <w:color w:val="auto"/>
        </w:rPr>
        <w:t>. The Borrower and the Guarantors hereby pledge to the Collateral Agent, for its benefit and for the benefit of the other Secured Parties, and hereby grant to the Collateral Agent, for its benefit and for the benefit of the other Secured Parties, a first priority security interest, senior to all other Liens, if any, in all of the Borrower’s and the Guarantors’ right, title and interest in and to the Letter of Credit Account, any direct investment of the funds contained therein and any proceeds thereof. Cash held in the Letter of Credit Account shall not be available for use by the Borrower, and shall be released to the Borrower only as described in Section 2.02(j).</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2.25.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w:t>
      </w:r>
    </w:p>
    <w:p>
      <w:pPr>
        <w:spacing w:after="0" w:line="17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2.26.</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77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any Lender becomes a Defaulting Lender, then the Borrower may,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Lender shall have any obligation to the Borrower to find a replacement Lender or other such Person.</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7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being replaced pursuant to Section 2.26(a) shall (i) execute and deliver an Assignment and Acceptance with respect to such Lender’s outstanding Commitments, Loans and participations in Letters of Credit and (ii) deliver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documentation evidencing such Loans to the Borrower or the Administrative Agent. Pursuant to such Assignment and Acceptance, (A) the assignee 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w:t>
      </w:r>
    </w:p>
    <w:p>
      <w:pPr>
        <w:spacing w:after="0" w:line="1" w:lineRule="exact"/>
        <w:rPr>
          <w:sz w:val="20"/>
          <w:szCs w:val="20"/>
          <w:color w:val="auto"/>
        </w:rPr>
      </w:pPr>
    </w:p>
    <w:p>
      <w:pPr>
        <w:jc w:val="both"/>
        <w:ind w:firstLine="8"/>
        <w:spacing w:after="0" w:line="246" w:lineRule="auto"/>
        <w:tabs>
          <w:tab w:leader="none" w:pos="397"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7"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Anything herein to the contrary notwithstanding, if a Revolving Lender becomes, and during the period it remains, a Defaulting Lender, during such period, such Defaulting Lender shall not be entitled to any fees accruing during such period pursuant to Section 2.20 and 2.21 (without prejudice to the rights of the Non-Defaulting Lenders in respect of such fees);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w:t>
      </w:r>
    </w:p>
    <w:p>
      <w:pPr>
        <w:spacing w:after="0" w:line="169"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LC Exposure exists at the time a Revolving Lender becomes a Defaulting Lender then:</w:t>
      </w:r>
    </w:p>
    <w:p>
      <w:pPr>
        <w:spacing w:after="0" w:line="220" w:lineRule="exact"/>
        <w:rPr>
          <w:sz w:val="20"/>
          <w:szCs w:val="20"/>
          <w:color w:val="auto"/>
        </w:rPr>
      </w:pPr>
    </w:p>
    <w:p>
      <w:pPr>
        <w:jc w:val="both"/>
        <w:ind w:left="660" w:firstLine="644"/>
        <w:spacing w:after="0" w:line="253" w:lineRule="auto"/>
        <w:tabs>
          <w:tab w:leader="none" w:pos="182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the Non-Defaulting Lenders pro rata in accordance with their respective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Revolving Extensions of Credit of each such Non-Defaulting Lender may not in any event exceed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200" w:lineRule="exact"/>
        <w:rPr>
          <w:sz w:val="20"/>
          <w:szCs w:val="20"/>
          <w:color w:val="auto"/>
        </w:rPr>
      </w:pPr>
    </w:p>
    <w:p>
      <w:pPr>
        <w:spacing w:after="0" w:line="322"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Commitment of such Non-Defaulting Lender as in effect at the time of such reallocation, (B) subject to Section 10.19, such reallocation will not constitute a waiver or release of any claim the Borrower, the Administrative Agent, the Issuing Lenders or any other Lender may have against such Defaulting Lender, (C) at the time of such reallocation, no Event of Default pursuant to Section 7.01(b), (e)(B), (f) or (g) has occurred and is continuing and (D) neither such reallocation nor any payment by a Non-Defaulting Lender as a result thereof will cause such Defaulting Lender to be a Non-Defaulting Lender; and</w:t>
      </w:r>
    </w:p>
    <w:p>
      <w:pPr>
        <w:spacing w:after="0" w:line="177" w:lineRule="exact"/>
        <w:rPr>
          <w:sz w:val="20"/>
          <w:szCs w:val="20"/>
          <w:color w:val="auto"/>
        </w:rPr>
      </w:pPr>
    </w:p>
    <w:p>
      <w:pPr>
        <w:jc w:val="both"/>
        <w:ind w:left="660" w:firstLine="644"/>
        <w:spacing w:after="0" w:line="266" w:lineRule="auto"/>
        <w:tabs>
          <w:tab w:leader="none" w:pos="1827"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portion (the “</w:t>
      </w:r>
      <w:r>
        <w:rPr>
          <w:rFonts w:ascii="Times New Roman" w:cs="Times New Roman" w:eastAsia="Times New Roman" w:hAnsi="Times New Roman"/>
          <w:sz w:val="21"/>
          <w:szCs w:val="21"/>
          <w:i w:val="1"/>
          <w:iCs w:val="1"/>
          <w:color w:val="auto"/>
        </w:rPr>
        <w:t>unreallocated portion</w:t>
      </w:r>
      <w:r>
        <w:rPr>
          <w:rFonts w:ascii="Times New Roman" w:cs="Times New Roman" w:eastAsia="Times New Roman" w:hAnsi="Times New Roman"/>
          <w:sz w:val="21"/>
          <w:szCs w:val="21"/>
          <w:color w:val="auto"/>
        </w:rPr>
        <w:t>”)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w:t>
      </w:r>
    </w:p>
    <w:p>
      <w:pPr>
        <w:spacing w:after="0" w:line="167" w:lineRule="exact"/>
        <w:rPr>
          <w:sz w:val="20"/>
          <w:szCs w:val="20"/>
          <w:color w:val="auto"/>
        </w:rPr>
      </w:pPr>
    </w:p>
    <w:p>
      <w:pPr>
        <w:jc w:val="both"/>
        <w:ind w:firstLine="1304"/>
        <w:spacing w:after="0" w:line="263" w:lineRule="auto"/>
        <w:tabs>
          <w:tab w:leader="none" w:pos="179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other conditions precedent set forth in this Agreement, if any Revolving Lender becomes, and during the period it remains, a Defaulting Lender, no Issuing Lender shall be required to issue any Letter of Credit or to amend any outstanding Letter of Credit, unless:</w:t>
      </w:r>
    </w:p>
    <w:p>
      <w:pPr>
        <w:spacing w:after="0" w:line="167" w:lineRule="exact"/>
        <w:rPr>
          <w:sz w:val="20"/>
          <w:szCs w:val="20"/>
          <w:color w:val="auto"/>
        </w:rPr>
      </w:pPr>
    </w:p>
    <w:p>
      <w:pPr>
        <w:jc w:val="both"/>
        <w:ind w:left="660" w:firstLine="644"/>
        <w:spacing w:after="0" w:line="257" w:lineRule="auto"/>
        <w:tabs>
          <w:tab w:leader="none" w:pos="191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Defaulting Lender, the LC Exposure of such Defaulting Lender is reallocated, as to outstanding and future Letters of Credit, to the Non-Defaulting Lenders as provided in Section 2.26(d)(i), except as provided in clause (ii) below,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19"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86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200" w:lineRule="exact"/>
        <w:rPr>
          <w:sz w:val="20"/>
          <w:szCs w:val="20"/>
          <w:color w:val="auto"/>
        </w:rPr>
      </w:pPr>
    </w:p>
    <w:p>
      <w:pPr>
        <w:spacing w:after="0" w:line="322"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be, (A) the Borrower agrees that the face amount of such requested Letter of Credit will be reduced by an amount equal to the portion thereof as to which such Defaulting Lender would otherwise be liable, and (B) the Non-Defaulting Lenders’ 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w:t>
      </w:r>
    </w:p>
    <w:p>
      <w:pPr>
        <w:spacing w:after="0" w:line="195" w:lineRule="exact"/>
        <w:rPr>
          <w:sz w:val="20"/>
          <w:szCs w:val="20"/>
          <w:color w:val="auto"/>
        </w:rPr>
      </w:pPr>
    </w:p>
    <w:p>
      <w:pPr>
        <w:jc w:val="both"/>
        <w:ind w:firstLine="1304"/>
        <w:spacing w:after="0" w:line="249" w:lineRule="auto"/>
        <w:tabs>
          <w:tab w:leader="none" w:pos="175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 obligations (contingent or otherwise) of such Defaulting Lender in respect thereof, or to make other arrangements satisfactory to the Administrative Agent and such Issuing Lender in their sole discretion to protect them against the risk of non-payment by such Defaulting Lender.</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amounts owing by such Defaulting Lender to the Administrative Agent;</w:t>
      </w:r>
    </w:p>
    <w:p>
      <w:pPr>
        <w:spacing w:after="0" w:line="220" w:lineRule="exact"/>
        <w:rPr>
          <w:sz w:val="20"/>
          <w:szCs w:val="20"/>
          <w:color w:val="auto"/>
        </w:rPr>
      </w:pPr>
    </w:p>
    <w:p>
      <w:pPr>
        <w:jc w:val="both"/>
        <w:ind w:left="66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any amounts owing by such Defaulting Lender to the Issuing Lenders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137"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payment of the default interest and then current interest due and payable to the Revolving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Non-Defaulting Lenders hereunder, ratably among them in accordance with the amounts of such interest then due and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200" w:lineRule="exact"/>
        <w:rPr>
          <w:sz w:val="20"/>
          <w:szCs w:val="20"/>
          <w:color w:val="auto"/>
        </w:rPr>
      </w:pPr>
    </w:p>
    <w:p>
      <w:pPr>
        <w:spacing w:after="0" w:line="318"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fees then due and payable to the Non-Defaulting Lenders hereunder, ratably among them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amounts of such fees then due and payable to them;</w:t>
      </w:r>
    </w:p>
    <w:p>
      <w:pPr>
        <w:spacing w:after="0" w:line="149" w:lineRule="exact"/>
        <w:rPr>
          <w:sz w:val="20"/>
          <w:szCs w:val="20"/>
          <w:color w:val="auto"/>
        </w:rPr>
      </w:pPr>
    </w:p>
    <w:p>
      <w:pPr>
        <w:jc w:val="both"/>
        <w:ind w:left="660" w:right="2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pay principal and unreimbursed LC Disbursements then due and payable to the Non-Defaulting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ratably in accordance with the amounts thereof then due and payable to them;</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ratable payment of other amounts then due and payable to the Non-Defaulting Lenders;</w:t>
      </w:r>
    </w:p>
    <w:p>
      <w:pPr>
        <w:spacing w:after="0" w:line="220"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funding of any Loan or the funding or Cash Collateralization of any participation in any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in respect of which such Defaulting Lender has failed to fund its portion thereof as required by this Agreement, as determined by the Administrative Agent;</w:t>
      </w:r>
    </w:p>
    <w:p>
      <w:pPr>
        <w:spacing w:after="0" w:line="18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if so determined by the Administrative Agent and the Borrower, held in such account as Cash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future funding obligations of the Defaulting Lender under this Agreement;</w:t>
      </w:r>
    </w:p>
    <w:p>
      <w:pPr>
        <w:spacing w:after="0" w:line="149"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ninth</w:t>
      </w:r>
      <w:r>
        <w:rPr>
          <w:rFonts w:ascii="Times New Roman" w:cs="Times New Roman" w:eastAsia="Times New Roman" w:hAnsi="Times New Roman"/>
          <w:sz w:val="22"/>
          <w:szCs w:val="22"/>
          <w:color w:val="auto"/>
        </w:rPr>
        <w:t>, pro rata, to the payment of any amounts owing to the Borrower or the Lenders as a result of any judgment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court of competent jurisdiction obtained by a Borrower or any Lender against such Defaulting Lender as a result of such Defaulting Lender’s breach of its obligations under this Agreement; and</w:t>
      </w:r>
    </w:p>
    <w:p>
      <w:pPr>
        <w:spacing w:after="0" w:line="166"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tenth</w:t>
      </w:r>
      <w:r>
        <w:rPr>
          <w:rFonts w:ascii="Times New Roman" w:cs="Times New Roman" w:eastAsia="Times New Roman" w:hAnsi="Times New Roman"/>
          <w:sz w:val="22"/>
          <w:szCs w:val="22"/>
          <w:color w:val="auto"/>
        </w:rPr>
        <w:t>, after the termination of the Revolving Commitments and payment in full of all obligations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to pay amounts owing under this Agreement to such Defaulting Lender or as a court of competent jurisdiction may otherwise direct.</w:t>
      </w:r>
    </w:p>
    <w:p>
      <w:pPr>
        <w:spacing w:after="0" w:line="165" w:lineRule="exact"/>
        <w:rPr>
          <w:sz w:val="20"/>
          <w:szCs w:val="20"/>
          <w:color w:val="auto"/>
        </w:rPr>
      </w:pPr>
    </w:p>
    <w:p>
      <w:pPr>
        <w:jc w:val="both"/>
        <w:ind w:firstLine="1304"/>
        <w:spacing w:after="0" w:line="250" w:lineRule="auto"/>
        <w:tabs>
          <w:tab w:leader="none" w:pos="187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2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shall be made retroactively with respect to fees accrued while such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Non</w:t>
      </w:r>
      <w:r>
        <w:rPr>
          <w:rFonts w:ascii="Calibri" w:cs="Calibri" w:eastAsia="Calibri" w:hAnsi="Calibri"/>
          <w:sz w:val="21"/>
          <w:szCs w:val="21"/>
          <w:color w:val="auto"/>
        </w:rPr>
        <w:t>-</w:t>
      </w:r>
      <w:r>
        <w:rPr>
          <w:rFonts w:ascii="Times New Roman" w:cs="Times New Roman" w:eastAsia="Times New Roman" w:hAnsi="Times New Roman"/>
          <w:sz w:val="21"/>
          <w:szCs w:val="21"/>
          <w:color w:val="auto"/>
        </w:rPr>
        <w:t>Defaulting Lender</w:t>
      </w:r>
    </w:p>
    <w:p>
      <w:pPr>
        <w:spacing w:after="0" w:line="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shall constitute a waiver or release of any claim of any party hereunder arising from such Lender’s having been a Defaulting Lender.</w:t>
      </w:r>
    </w:p>
    <w:p>
      <w:pPr>
        <w:spacing w:after="0" w:line="158" w:lineRule="exact"/>
        <w:rPr>
          <w:sz w:val="20"/>
          <w:szCs w:val="20"/>
          <w:color w:val="auto"/>
        </w:rPr>
      </w:pPr>
    </w:p>
    <w:p>
      <w:pPr>
        <w:jc w:val="both"/>
        <w:ind w:firstLine="1304"/>
        <w:spacing w:after="0" w:line="275" w:lineRule="auto"/>
        <w:tabs>
          <w:tab w:leader="none" w:pos="1748"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w:t>
      </w:r>
    </w:p>
    <w:p>
      <w:pPr>
        <w:spacing w:after="0" w:line="15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2.27.</w:t>
      </w:r>
      <w:r>
        <w:rPr>
          <w:sz w:val="20"/>
          <w:szCs w:val="20"/>
          <w:color w:val="auto"/>
        </w:rPr>
        <w:tab/>
      </w:r>
      <w:r>
        <w:rPr>
          <w:rFonts w:ascii="Times New Roman" w:cs="Times New Roman" w:eastAsia="Times New Roman" w:hAnsi="Times New Roman"/>
          <w:sz w:val="21"/>
          <w:szCs w:val="21"/>
          <w:u w:val="single" w:color="auto"/>
          <w:color w:val="auto"/>
        </w:rPr>
        <w:t>Increase in Commitment</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firstLine="1304"/>
        <w:spacing w:after="0" w:line="260" w:lineRule="auto"/>
        <w:tabs>
          <w:tab w:leader="none" w:pos="1779"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Borrower Request</w:t>
      </w:r>
      <w:r>
        <w:rPr>
          <w:rFonts w:ascii="Times New Roman" w:cs="Times New Roman" w:eastAsia="Times New Roman" w:hAnsi="Times New Roman"/>
          <w:sz w:val="21"/>
          <w:szCs w:val="21"/>
          <w:color w:val="auto"/>
        </w:rPr>
        <w:t>. The Borrower may by written notice to the Administrative Agent request (x) prior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Revolving Facility Maturity Date, an increase to the existing Revolving Commitments and/or LC Commitment or to establish one or more new Revolving Commitments and/or LC Commitments (each, an “</w:t>
      </w:r>
      <w:r>
        <w:rPr>
          <w:rFonts w:ascii="Times New Roman" w:cs="Times New Roman" w:eastAsia="Times New Roman" w:hAnsi="Times New Roman"/>
          <w:sz w:val="21"/>
          <w:szCs w:val="21"/>
          <w:i w:val="1"/>
          <w:iCs w:val="1"/>
          <w:color w:val="auto"/>
        </w:rPr>
        <w:t>Incremental Revolving Commitment</w:t>
      </w:r>
      <w:r>
        <w:rPr>
          <w:rFonts w:ascii="Times New Roman" w:cs="Times New Roman" w:eastAsia="Times New Roman" w:hAnsi="Times New Roman"/>
          <w:sz w:val="21"/>
          <w:szCs w:val="21"/>
          <w:color w:val="auto"/>
        </w:rPr>
        <w:t>”) and/or (y) at any time the establishment of one or more new Term Loan Commitments (each, an “</w:t>
      </w:r>
      <w:r>
        <w:rPr>
          <w:rFonts w:ascii="Times New Roman" w:cs="Times New Roman" w:eastAsia="Times New Roman" w:hAnsi="Times New Roman"/>
          <w:sz w:val="21"/>
          <w:szCs w:val="21"/>
          <w:i w:val="1"/>
          <w:iCs w:val="1"/>
          <w:color w:val="auto"/>
        </w:rPr>
        <w:t>Incremental Term Loan Commitment</w:t>
      </w:r>
      <w:r>
        <w:rPr>
          <w:rFonts w:ascii="Times New Roman" w:cs="Times New Roman" w:eastAsia="Times New Roman" w:hAnsi="Times New Roman"/>
          <w:sz w:val="21"/>
          <w:szCs w:val="21"/>
          <w:color w:val="auto"/>
        </w:rPr>
        <w:t>”, and together with the Incremental Revolving Commitments, the “</w:t>
      </w:r>
      <w:r>
        <w:rPr>
          <w:rFonts w:ascii="Times New Roman" w:cs="Times New Roman" w:eastAsia="Times New Roman" w:hAnsi="Times New Roman"/>
          <w:sz w:val="21"/>
          <w:szCs w:val="21"/>
          <w:i w:val="1"/>
          <w:iCs w:val="1"/>
          <w:color w:val="auto"/>
        </w:rPr>
        <w:t>Incremental Commitments</w:t>
      </w:r>
      <w:r>
        <w:rPr>
          <w:rFonts w:ascii="Times New Roman" w:cs="Times New Roman" w:eastAsia="Times New Roman" w:hAnsi="Times New Roman"/>
          <w:sz w:val="21"/>
          <w:szCs w:val="21"/>
          <w:color w:val="auto"/>
        </w:rPr>
        <w:t>”) by an amount not less than $50,000,000 individually. Each such notice shall specify (i) the date (each, an “</w:t>
      </w:r>
      <w:r>
        <w:rPr>
          <w:rFonts w:ascii="Times New Roman" w:cs="Times New Roman" w:eastAsia="Times New Roman" w:hAnsi="Times New Roman"/>
          <w:sz w:val="21"/>
          <w:szCs w:val="21"/>
          <w:i w:val="1"/>
          <w:iCs w:val="1"/>
          <w:color w:val="auto"/>
        </w:rPr>
        <w:t>Increase Effective Date</w:t>
      </w:r>
      <w:r>
        <w:rPr>
          <w:rFonts w:ascii="Times New Roman" w:cs="Times New Roman" w:eastAsia="Times New Roman" w:hAnsi="Times New Roman"/>
          <w:sz w:val="21"/>
          <w:szCs w:val="21"/>
          <w:color w:val="auto"/>
        </w:rPr>
        <w:t>”) on which the Borrower proposes that the Incremental Commitments shall be effective, which shall be a date not less than 10 Business Days after the date on which such notice is delivered to the Administrative Agent (or such earlier date agreed by the Administrative Agent) and</w:t>
      </w:r>
    </w:p>
    <w:p>
      <w:pPr>
        <w:jc w:val="both"/>
        <w:ind w:firstLine="8"/>
        <w:spacing w:after="0" w:line="247" w:lineRule="auto"/>
        <w:tabs>
          <w:tab w:leader="none" w:pos="32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Eligible Assignee or other lender reasonably acceptable to the Administrative Agent (and, in the case of any Incremental Revolving Commitment that contains an LC Commitment, each Issuing Lender) to whom the Borrower proposes any portion of such Incremental Commitments be allocated (each, a “</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xml:space="preserve">”) and the amounts of such allocations;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existing Lender approached to provide all or a portion of the Incremental Commitments may elect or decline, in its sole discretion, to provide such Incremental Commitment.</w:t>
      </w:r>
    </w:p>
    <w:p>
      <w:pPr>
        <w:spacing w:after="0" w:line="182"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The Incremental Commitments shall become effective, as of such Increase Effective Date;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200" w:lineRule="exact"/>
        <w:rPr>
          <w:sz w:val="20"/>
          <w:szCs w:val="20"/>
          <w:color w:val="auto"/>
        </w:rPr>
      </w:pPr>
    </w:p>
    <w:p>
      <w:pPr>
        <w:spacing w:after="0" w:line="322" w:lineRule="exact"/>
        <w:rPr>
          <w:sz w:val="20"/>
          <w:szCs w:val="20"/>
          <w:color w:val="auto"/>
        </w:rPr>
      </w:pPr>
    </w:p>
    <w:p>
      <w:pPr>
        <w:ind w:left="660" w:firstLine="644"/>
        <w:spacing w:after="0" w:line="271" w:lineRule="auto"/>
        <w:tabs>
          <w:tab w:leader="none" w:pos="1775"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conditions set forth in Section 4.02 shall be satisfied on or prior to such Increase Effective Date before and after giving effect to such Incremental Commitments;</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37"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would result from giving effect to the Incremental Commitments on, or the making of any new Loans on, such Increase Effective Date; and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66" w:lineRule="auto"/>
        <w:tabs>
          <w:tab w:leader="none" w:pos="1884"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provide an Officer’s Certificate demonstrating in reasonable detail that, after giving pro forma effect to (1) the Incremental Commitments, (2) any new Loans to be made on such Increase Effective Date and</w:t>
      </w:r>
    </w:p>
    <w:p>
      <w:pPr>
        <w:spacing w:after="0" w:line="1" w:lineRule="exact"/>
        <w:rPr>
          <w:rFonts w:ascii="Times New Roman" w:cs="Times New Roman" w:eastAsia="Times New Roman" w:hAnsi="Times New Roman"/>
          <w:sz w:val="21"/>
          <w:szCs w:val="21"/>
          <w:color w:val="auto"/>
        </w:rPr>
      </w:pPr>
    </w:p>
    <w:p>
      <w:pPr>
        <w:ind w:left="660" w:hanging="4"/>
        <w:spacing w:after="0" w:line="248" w:lineRule="auto"/>
        <w:tabs>
          <w:tab w:leader="none" w:pos="100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of any Additional Collateral, the Collateral Coverage Ratio shall be no less than 1.6 to 1.0 and the aggregate amount of Liquidity shall be no less than $2,200,000,000.</w:t>
      </w:r>
    </w:p>
    <w:p>
      <w:pPr>
        <w:spacing w:after="0" w:line="192" w:lineRule="exact"/>
        <w:rPr>
          <w:sz w:val="20"/>
          <w:szCs w:val="20"/>
          <w:color w:val="auto"/>
        </w:rPr>
      </w:pPr>
    </w:p>
    <w:p>
      <w:pPr>
        <w:ind w:firstLine="1304"/>
        <w:spacing w:after="0" w:line="275" w:lineRule="auto"/>
        <w:tabs>
          <w:tab w:leader="none" w:pos="1887"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of New Loans and Commitments</w:t>
      </w:r>
      <w:r>
        <w:rPr>
          <w:rFonts w:ascii="Times New Roman" w:cs="Times New Roman" w:eastAsia="Times New Roman" w:hAnsi="Times New Roman"/>
          <w:sz w:val="22"/>
          <w:szCs w:val="22"/>
          <w:color w:val="auto"/>
        </w:rPr>
        <w:t>. The terms and provisions of Loans made pursuant to the new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shall be as follows:</w:t>
      </w:r>
    </w:p>
    <w:p>
      <w:pPr>
        <w:spacing w:after="0" w:line="153" w:lineRule="exact"/>
        <w:rPr>
          <w:sz w:val="20"/>
          <w:szCs w:val="20"/>
          <w:color w:val="auto"/>
        </w:rPr>
      </w:pPr>
    </w:p>
    <w:p>
      <w:pPr>
        <w:jc w:val="both"/>
        <w:ind w:left="660" w:firstLine="644"/>
        <w:spacing w:after="0" w:line="252" w:lineRule="auto"/>
        <w:tabs>
          <w:tab w:leader="none" w:pos="179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provisions with respect to interest rates, maturity date and amortization schedule of Loans made pursuant to any Incremental Term Loan Commitments (“</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shall be as agreed upon between the Borrower and the applicable Lenders providing such Loans (it being understood that the Incremental Term Loans may be part of the Seventh Amendment Extended Term Loans or any other Class of Term Loans);</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7"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Loans made pursuant to Incremental Term Loan Commitments shall be no earlier than the Term Loan Maturity Date applicable to the Seventh Amendment Extended Term Loans that have not been extended pursuant to Section 2.28;</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11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any Loans made pursuant to Incremental Term Loan Commitments shall be no shorter than the Weighted Average Life to Maturity of the Seventh Amendment Extended Term Loans made on the Seventh Amendment Effective Date;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4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interest rate margins for new Incremental Term Loans shall be determined by the Borrower and the applicable Lenders providing such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Class of Incremental Term Loans incurred prior to the date that is eighteen (18) months after the Seventh Amendment Effective Date, if the All-In Initial Yield on such Class of Incremental Term Loans exceeds the All-In Initial Yield on the Seventh Amendment Extended Term Loans funded hereunder (the “</w:t>
      </w:r>
      <w:r>
        <w:rPr>
          <w:rFonts w:ascii="Times New Roman" w:cs="Times New Roman" w:eastAsia="Times New Roman" w:hAnsi="Times New Roman"/>
          <w:sz w:val="22"/>
          <w:szCs w:val="22"/>
          <w:i w:val="1"/>
          <w:iCs w:val="1"/>
          <w:color w:val="auto"/>
        </w:rPr>
        <w:t>Original Term Loans</w:t>
      </w:r>
      <w:r>
        <w:rPr>
          <w:rFonts w:ascii="Times New Roman" w:cs="Times New Roman" w:eastAsia="Times New Roman" w:hAnsi="Times New Roman"/>
          <w:sz w:val="22"/>
          <w:szCs w:val="22"/>
          <w:color w:val="auto"/>
        </w:rPr>
        <w:t>”) by more than 50 basis points (the amount of such excess, if any, above 50 basis points being referred to herein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200" w:lineRule="exact"/>
        <w:rPr>
          <w:sz w:val="20"/>
          <w:szCs w:val="20"/>
          <w:color w:val="auto"/>
        </w:rPr>
      </w:pPr>
    </w:p>
    <w:p>
      <w:pPr>
        <w:spacing w:after="0" w:line="318"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Yield Differential</w:t>
      </w:r>
      <w:r>
        <w:rPr>
          <w:rFonts w:ascii="Times New Roman" w:cs="Times New Roman" w:eastAsia="Times New Roman" w:hAnsi="Times New Roman"/>
          <w:sz w:val="21"/>
          <w:szCs w:val="21"/>
          <w:color w:val="auto"/>
        </w:rPr>
        <w:t xml:space="preserve">”), then the interest rate margin (and, as provided in the following proviso, the Term SOFR Reference Rate floor) then in effect for the Original Term Loans shall be increased to eliminate such Yield Differential; provided that, to the extent any portion of the Yield Differential is attributable to any Term SOFR Reference Rate floor applicable to such Class of Incremental Term Loans exceeding the Term SOFR Reference Rate floor applicable to the Original Term Loans, the Term SOFR Reference Rate floor applicable to the Original Term Loans shall first be increased to eliminate such Yield Differential to an amount not to exceed the Term SOFR </w:t>
      </w:r>
      <w:r>
        <w:rPr>
          <w:rFonts w:ascii="Times New Roman" w:cs="Times New Roman" w:eastAsia="Times New Roman" w:hAnsi="Times New Roman"/>
          <w:sz w:val="21"/>
          <w:szCs w:val="21"/>
          <w:b w:val="1"/>
          <w:bCs w:val="1"/>
          <w:u w:val="single" w:color="auto"/>
          <w:color w:val="0000FF"/>
        </w:rPr>
        <w:t>Reference</w:t>
      </w:r>
      <w:r>
        <w:rPr>
          <w:rFonts w:ascii="Times New Roman" w:cs="Times New Roman" w:eastAsia="Times New Roman" w:hAnsi="Times New Roman"/>
          <w:sz w:val="21"/>
          <w:szCs w:val="21"/>
          <w:color w:val="auto"/>
        </w:rPr>
        <w:t xml:space="preserve"> Rate floor applicable to such Class of Incremental Term Loans prior to any increase in the interest rate margin applicable to such Original Term Loans;</w:t>
      </w:r>
    </w:p>
    <w:p>
      <w:pPr>
        <w:spacing w:after="0" w:line="170" w:lineRule="exact"/>
        <w:rPr>
          <w:sz w:val="20"/>
          <w:szCs w:val="20"/>
          <w:color w:val="auto"/>
        </w:rPr>
      </w:pPr>
    </w:p>
    <w:p>
      <w:pPr>
        <w:jc w:val="both"/>
        <w:ind w:left="660" w:firstLine="644"/>
        <w:spacing w:after="0" w:line="263" w:lineRule="auto"/>
        <w:tabs>
          <w:tab w:leader="none" w:pos="183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Revolving Loans extended pursuant to such new Commitments shall be no earlier than the Revolving Facility Maturity Date applicable to the Revolving Commitments that have not been extended pursuant to Section 2.28;</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0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Revolving Commitments established pursuant to such Incremental Revolving Commitments shall not require any scheduled amortization or mandatory commitment reduction prior to the Revolving Facility Maturity Date;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203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Incremental Commitments shall be effected by a joinder agreement (the “</w:t>
      </w:r>
      <w:r>
        <w:rPr>
          <w:rFonts w:ascii="Times New Roman" w:cs="Times New Roman" w:eastAsia="Times New Roman" w:hAnsi="Times New Roman"/>
          <w:sz w:val="22"/>
          <w:szCs w:val="22"/>
          <w:i w:val="1"/>
          <w:iCs w:val="1"/>
          <w:color w:val="auto"/>
        </w:rPr>
        <w:t>Increase Joinder</w:t>
      </w:r>
      <w:r>
        <w:rPr>
          <w:rFonts w:ascii="Times New Roman" w:cs="Times New Roman" w:eastAsia="Times New Roman" w:hAnsi="Times New Roman"/>
          <w:sz w:val="22"/>
          <w:szCs w:val="22"/>
          <w:color w:val="auto"/>
        </w:rPr>
        <w:t>”)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w:t>
      </w:r>
    </w:p>
    <w:p>
      <w:pPr>
        <w:spacing w:after="0" w:line="180" w:lineRule="exact"/>
        <w:rPr>
          <w:sz w:val="20"/>
          <w:szCs w:val="20"/>
          <w:color w:val="auto"/>
        </w:rPr>
      </w:pPr>
    </w:p>
    <w:p>
      <w:pPr>
        <w:ind w:right="20" w:firstLine="1304"/>
        <w:spacing w:after="0" w:line="275" w:lineRule="auto"/>
        <w:tabs>
          <w:tab w:leader="none" w:pos="185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of Revolving Loans</w:t>
      </w:r>
      <w:r>
        <w:rPr>
          <w:rFonts w:ascii="Times New Roman" w:cs="Times New Roman" w:eastAsia="Times New Roman" w:hAnsi="Times New Roman"/>
          <w:sz w:val="22"/>
          <w:szCs w:val="22"/>
          <w:color w:val="auto"/>
        </w:rPr>
        <w:t>. To the extent the Commitments being increased on the relevant Increase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Date are Revolving Commitments,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 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 Effective Date shall make such Revolving Loans in accordance with Section 2.01(a).</w:t>
      </w:r>
    </w:p>
    <w:p>
      <w:pPr>
        <w:spacing w:after="0" w:line="169" w:lineRule="exact"/>
        <w:rPr>
          <w:sz w:val="20"/>
          <w:szCs w:val="20"/>
          <w:color w:val="auto"/>
        </w:rPr>
      </w:pPr>
    </w:p>
    <w:p>
      <w:pPr>
        <w:jc w:val="both"/>
        <w:ind w:firstLine="1304"/>
        <w:spacing w:after="0" w:line="258" w:lineRule="auto"/>
        <w:tabs>
          <w:tab w:leader="none" w:pos="179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Making of New Term Loans</w:t>
      </w:r>
      <w:r>
        <w:rPr>
          <w:rFonts w:ascii="Times New Roman" w:cs="Times New Roman" w:eastAsia="Times New Roman" w:hAnsi="Times New Roman"/>
          <w:sz w:val="22"/>
          <w:szCs w:val="22"/>
          <w:color w:val="auto"/>
        </w:rPr>
        <w:t>. On any Increase Effective Date on which one or more Incremental Term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becomes effective, subject to the satisfaction of the foregoing terms and conditions, each Lender of such Incremental Term Loan Commitment shall make an Incremental Term Loan to the Borrower in an amount equal to its Incremental Term Loan Commitment.</w:t>
      </w:r>
    </w:p>
    <w:p>
      <w:pPr>
        <w:spacing w:after="0" w:line="167" w:lineRule="exact"/>
        <w:rPr>
          <w:rFonts w:ascii="Times New Roman" w:cs="Times New Roman" w:eastAsia="Times New Roman" w:hAnsi="Times New Roman"/>
          <w:sz w:val="22"/>
          <w:szCs w:val="22"/>
          <w:color w:val="auto"/>
        </w:rPr>
      </w:pPr>
    </w:p>
    <w:p>
      <w:pPr>
        <w:jc w:val="both"/>
        <w:ind w:firstLine="1304"/>
        <w:spacing w:after="0" w:line="269" w:lineRule="auto"/>
        <w:tabs>
          <w:tab w:leader="none" w:pos="1741"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Security and Guaranty</w:t>
      </w:r>
      <w:r>
        <w:rPr>
          <w:rFonts w:ascii="Times New Roman" w:cs="Times New Roman" w:eastAsia="Times New Roman" w:hAnsi="Times New Roman"/>
          <w:sz w:val="21"/>
          <w:szCs w:val="21"/>
          <w:color w:val="auto"/>
        </w:rPr>
        <w:t>. The Incremental Commitments will be secured on a</w:t>
      </w:r>
      <w:r>
        <w:rPr>
          <w:rFonts w:ascii="Times New Roman" w:cs="Times New Roman" w:eastAsia="Times New Roman" w:hAnsi="Times New Roman"/>
          <w:sz w:val="21"/>
          <w:szCs w:val="21"/>
          <w:i w:val="1"/>
          <w:iCs w:val="1"/>
          <w:color w:val="auto"/>
        </w:rPr>
        <w:t xml:space="preserve"> pari passu </w:t>
      </w:r>
      <w:r>
        <w:rPr>
          <w:rFonts w:ascii="Times New Roman" w:cs="Times New Roman" w:eastAsia="Times New Roman" w:hAnsi="Times New Roman"/>
          <w:sz w:val="21"/>
          <w:szCs w:val="21"/>
          <w:color w:val="auto"/>
        </w:rPr>
        <w:t>or (at the Borrower’s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option) junior basis by the same Collateral securing the obligations under the Facilities, and the Incremental Commitments and any incremental loans drawn thereunder shall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in right of payment with or (at the Borrower’s option) junior to the obligations under the Facilities (it being understood any such junior liens shall be subject to any Intercreditor Agreement or any Other Intercreditor Agreement). Incremental Commitments shall benefit from the same guarantees as the Facilities.</w:t>
      </w:r>
    </w:p>
    <w:p>
      <w:pPr>
        <w:spacing w:after="0" w:line="16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2.28.</w:t>
      </w:r>
      <w:r>
        <w:rPr>
          <w:sz w:val="20"/>
          <w:szCs w:val="20"/>
          <w:color w:val="auto"/>
        </w:rPr>
        <w:tab/>
      </w:r>
      <w:r>
        <w:rPr>
          <w:rFonts w:ascii="Times New Roman" w:cs="Times New Roman" w:eastAsia="Times New Roman" w:hAnsi="Times New Roman"/>
          <w:sz w:val="21"/>
          <w:szCs w:val="21"/>
          <w:u w:val="single" w:color="auto"/>
          <w:color w:val="auto"/>
        </w:rPr>
        <w:t>Extension of Term Loans; Extension of the Revolving Facility</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62" w:lineRule="auto"/>
        <w:tabs>
          <w:tab w:leader="none" w:pos="1833"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Extension of Term Loans</w:t>
      </w:r>
      <w:r>
        <w:rPr>
          <w:rFonts w:ascii="Times New Roman" w:cs="Times New Roman" w:eastAsia="Times New Roman" w:hAnsi="Times New Roman"/>
          <w:sz w:val="21"/>
          <w:szCs w:val="21"/>
          <w:color w:val="auto"/>
        </w:rPr>
        <w:t>. Notwithstanding anything to the contrary in this Agreement, pursuant to one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more offers (each, a “</w:t>
      </w:r>
      <w:r>
        <w:rPr>
          <w:rFonts w:ascii="Times New Roman" w:cs="Times New Roman" w:eastAsia="Times New Roman" w:hAnsi="Times New Roman"/>
          <w:sz w:val="21"/>
          <w:szCs w:val="21"/>
          <w:i w:val="1"/>
          <w:iCs w:val="1"/>
          <w:color w:val="auto"/>
        </w:rPr>
        <w:t>Term Loan Extension Offer</w:t>
      </w:r>
      <w:r>
        <w:rPr>
          <w:rFonts w:ascii="Times New Roman" w:cs="Times New Roman" w:eastAsia="Times New Roman" w:hAnsi="Times New Roman"/>
          <w:sz w:val="21"/>
          <w:szCs w:val="21"/>
          <w:color w:val="auto"/>
        </w:rPr>
        <w:t>”),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Times New Roman" w:cs="Times New Roman" w:eastAsia="Times New Roman" w:hAnsi="Times New Roman"/>
          <w:sz w:val="21"/>
          <w:szCs w:val="21"/>
          <w:i w:val="1"/>
          <w:iCs w:val="1"/>
          <w:color w:val="auto"/>
        </w:rPr>
        <w:t>Term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Extension</w:t>
      </w:r>
      <w:r>
        <w:rPr>
          <w:rFonts w:ascii="Times New Roman" w:cs="Times New Roman" w:eastAsia="Times New Roman" w:hAnsi="Times New Roman"/>
          <w:sz w:val="21"/>
          <w:szCs w:val="21"/>
          <w:color w:val="auto"/>
        </w:rPr>
        <w:t>,” and each group of Term Loans, as so extended, as well as the original Term Loans not so extended, being a “</w:t>
      </w:r>
      <w:r>
        <w:rPr>
          <w:rFonts w:ascii="Times New Roman" w:cs="Times New Roman" w:eastAsia="Times New Roman" w:hAnsi="Times New Roman"/>
          <w:sz w:val="21"/>
          <w:szCs w:val="21"/>
          <w:i w:val="1"/>
          <w:iCs w:val="1"/>
          <w:color w:val="auto"/>
        </w:rPr>
        <w:t>tranche of Term Loans</w:t>
      </w:r>
      <w:r>
        <w:rPr>
          <w:rFonts w:ascii="Times New Roman" w:cs="Times New Roman" w:eastAsia="Times New Roman" w:hAnsi="Times New Roman"/>
          <w:sz w:val="21"/>
          <w:szCs w:val="21"/>
          <w:color w:val="auto"/>
        </w:rPr>
        <w:t>,” and subject to the last sentence of the definition of “Class,” any Extended Term Loan shall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separate tranche of Term Loans from the tranche of Term Loans from which they were converted), so long as the following terms are satisfied:</w:t>
      </w:r>
    </w:p>
    <w:p>
      <w:pPr>
        <w:spacing w:after="0" w:line="158" w:lineRule="exact"/>
        <w:rPr>
          <w:sz w:val="20"/>
          <w:szCs w:val="20"/>
          <w:color w:val="auto"/>
        </w:rPr>
      </w:pPr>
    </w:p>
    <w:p>
      <w:pPr>
        <w:ind w:left="660" w:right="20" w:firstLine="644"/>
        <w:spacing w:after="0" w:line="284" w:lineRule="auto"/>
        <w:tabs>
          <w:tab w:leader="none" w:pos="1733"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pursuant to Section 7.01(b), (e)(B), (f) or (g) shall have occurred and be continuing at the time the offering document in respect of a Term Loan Extension Offer is delivered to the applicable Term Lenders;</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799"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 Amendment (an “</w:t>
      </w:r>
      <w:r>
        <w:rPr>
          <w:rFonts w:ascii="Times New Roman" w:cs="Times New Roman" w:eastAsia="Times New Roman" w:hAnsi="Times New Roman"/>
          <w:sz w:val="21"/>
          <w:szCs w:val="21"/>
          <w:i w:val="1"/>
          <w:iCs w:val="1"/>
          <w:color w:val="auto"/>
        </w:rPr>
        <w:t>Extended Term Loan</w:t>
      </w:r>
      <w:r>
        <w:rPr>
          <w:rFonts w:ascii="Times New Roman" w:cs="Times New Roman" w:eastAsia="Times New Roman" w:hAnsi="Times New Roman"/>
          <w:sz w:val="21"/>
          <w:szCs w:val="21"/>
          <w:color w:val="auto"/>
        </w:rPr>
        <w:t xml:space="preserve">”), shall be a Term Loan with the same terms as the original Class of Term Loans being extended;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w:t>
      </w:r>
    </w:p>
    <w:p>
      <w:pPr>
        <w:spacing w:after="0" w:line="182"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Term Loan Extension shall be consistent with the foregoing;</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8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amend, revoke or replace a Term Loan Extension Offer at any time prior to the date on which Lenders under the tranche of Term Loans are requested to respond to the offer;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200" w:lineRule="exact"/>
        <w:rPr>
          <w:sz w:val="20"/>
          <w:szCs w:val="20"/>
          <w:color w:val="auto"/>
        </w:rPr>
      </w:pPr>
    </w:p>
    <w:p>
      <w:pPr>
        <w:spacing w:after="0" w:line="322" w:lineRule="exact"/>
        <w:rPr>
          <w:sz w:val="20"/>
          <w:szCs w:val="20"/>
          <w:color w:val="auto"/>
        </w:rPr>
      </w:pPr>
    </w:p>
    <w:p>
      <w:pPr>
        <w:ind w:left="660" w:right="20" w:firstLine="644"/>
        <w:spacing w:after="0" w:line="271" w:lineRule="auto"/>
        <w:tabs>
          <w:tab w:leader="none" w:pos="188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Term Lender shall be obligated to accept any Term Loan Extension Offer.</w:t>
      </w:r>
    </w:p>
    <w:p>
      <w:pPr>
        <w:spacing w:after="0" w:line="154" w:lineRule="exact"/>
        <w:rPr>
          <w:sz w:val="20"/>
          <w:szCs w:val="20"/>
          <w:color w:val="auto"/>
        </w:rPr>
      </w:pPr>
    </w:p>
    <w:p>
      <w:pPr>
        <w:jc w:val="both"/>
        <w:ind w:firstLine="1304"/>
        <w:spacing w:after="0" w:line="261" w:lineRule="auto"/>
        <w:tabs>
          <w:tab w:leader="none" w:pos="1777"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Extension of the Revolving Facility</w:t>
      </w:r>
      <w:r>
        <w:rPr>
          <w:rFonts w:ascii="Times New Roman" w:cs="Times New Roman" w:eastAsia="Times New Roman" w:hAnsi="Times New Roman"/>
          <w:sz w:val="21"/>
          <w:szCs w:val="21"/>
          <w:color w:val="auto"/>
        </w:rPr>
        <w:t>. Notwithstanding anything to the contrary in this Agreement,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one or more offers (each, a “</w:t>
      </w:r>
      <w:r>
        <w:rPr>
          <w:rFonts w:ascii="Times New Roman" w:cs="Times New Roman" w:eastAsia="Times New Roman" w:hAnsi="Times New Roman"/>
          <w:sz w:val="21"/>
          <w:szCs w:val="21"/>
          <w:i w:val="1"/>
          <w:iCs w:val="1"/>
          <w:color w:val="auto"/>
        </w:rPr>
        <w:t>Revolver Extension Offer</w:t>
      </w:r>
      <w:r>
        <w:rPr>
          <w:rFonts w:ascii="Times New Roman" w:cs="Times New Roman" w:eastAsia="Times New Roman" w:hAnsi="Times New Roman"/>
          <w:sz w:val="21"/>
          <w:szCs w:val="21"/>
          <w:color w:val="auto"/>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all or a portion of each such Revolving Lender’s Revolving Commitments and otherwise modify the terms of such Revolving Commitments pursuant to the terms of the relevant Revolver Extension Offer (including, without limitation, by the changing interest rate or fees payable in respect of such Revolving Commitments (and related outstandings)) (each, a “</w:t>
      </w:r>
      <w:r>
        <w:rPr>
          <w:rFonts w:ascii="Times New Roman" w:cs="Times New Roman" w:eastAsia="Times New Roman" w:hAnsi="Times New Roman"/>
          <w:sz w:val="21"/>
          <w:szCs w:val="21"/>
          <w:i w:val="1"/>
          <w:iCs w:val="1"/>
          <w:color w:val="auto"/>
        </w:rPr>
        <w:t>Revolver Extension</w:t>
      </w:r>
      <w:r>
        <w:rPr>
          <w:rFonts w:ascii="Times New Roman" w:cs="Times New Roman" w:eastAsia="Times New Roman" w:hAnsi="Times New Roman"/>
          <w:sz w:val="21"/>
          <w:szCs w:val="21"/>
          <w:color w:val="auto"/>
        </w:rPr>
        <w:t>,” and each group of Revolving Commitments, as so extended, as well as the original Revolving Commitments not so extended, being a “</w:t>
      </w:r>
      <w:r>
        <w:rPr>
          <w:rFonts w:ascii="Times New Roman" w:cs="Times New Roman" w:eastAsia="Times New Roman" w:hAnsi="Times New Roman"/>
          <w:sz w:val="21"/>
          <w:szCs w:val="21"/>
          <w:i w:val="1"/>
          <w:iCs w:val="1"/>
          <w:color w:val="auto"/>
        </w:rPr>
        <w:t>tranche of Revolving Loans</w:t>
      </w:r>
      <w:r>
        <w:rPr>
          <w:rFonts w:ascii="Times New Roman" w:cs="Times New Roman" w:eastAsia="Times New Roman" w:hAnsi="Times New Roman"/>
          <w:sz w:val="21"/>
          <w:szCs w:val="21"/>
          <w:color w:val="auto"/>
        </w:rPr>
        <w:t>,” and any, subject to the last sentence of the definition of “Class,” Extended Revolving Commitments shall constitute a separate tranche of Revolving Commitments from the tranche of Revolving Commitments from which they were converted), so long as the following terms are satisfied:</w:t>
      </w:r>
    </w:p>
    <w:p>
      <w:pPr>
        <w:spacing w:after="0" w:line="187" w:lineRule="exact"/>
        <w:rPr>
          <w:sz w:val="20"/>
          <w:szCs w:val="20"/>
          <w:color w:val="auto"/>
        </w:rPr>
      </w:pPr>
    </w:p>
    <w:p>
      <w:pPr>
        <w:jc w:val="both"/>
        <w:ind w:left="660" w:right="20" w:firstLine="644"/>
        <w:spacing w:after="0" w:line="257" w:lineRule="auto"/>
        <w:tabs>
          <w:tab w:leader="none" w:pos="178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pursuant to Section 7.01(b), (e)(B), (f) or (g) shall have occurred and be continuing at the time the offering document in respect of a Revolver Extension Offer is delivered to the applicable Revolving Lenders (the “</w:t>
      </w:r>
      <w:r>
        <w:rPr>
          <w:rFonts w:ascii="Times New Roman" w:cs="Times New Roman" w:eastAsia="Times New Roman" w:hAnsi="Times New Roman"/>
          <w:sz w:val="22"/>
          <w:szCs w:val="22"/>
          <w:i w:val="1"/>
          <w:iCs w:val="1"/>
          <w:color w:val="auto"/>
        </w:rPr>
        <w:t>Revolver Extension Offer Date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793"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 w:cs="Times New Roman" w:eastAsia="Times New Roman" w:hAnsi="Times New Roman"/>
          <w:sz w:val="21"/>
          <w:szCs w:val="21"/>
          <w:i w:val="1"/>
          <w:iCs w:val="1"/>
          <w:color w:val="auto"/>
        </w:rPr>
        <w:t>Extended Revolving Commitment</w:t>
      </w:r>
      <w:r>
        <w:rPr>
          <w:rFonts w:ascii="Times New Roman" w:cs="Times New Roman" w:eastAsia="Times New Roman" w:hAnsi="Times New Roman"/>
          <w:sz w:val="21"/>
          <w:szCs w:val="21"/>
          <w:color w:val="auto"/>
        </w:rPr>
        <w:t xml:space="preserve">”), and the related outstandings, shall be a Revolving Commitment (or related outstandings, as the case may be) with the same terms as the original Class of Revolving Commitments being extended (and related outstandings);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 (a) prepayments of Revolving Loans other than in connection with a termination of commitments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200" w:lineRule="exact"/>
        <w:rPr>
          <w:sz w:val="20"/>
          <w:szCs w:val="20"/>
          <w:color w:val="auto"/>
        </w:rPr>
      </w:pPr>
    </w:p>
    <w:p>
      <w:pPr>
        <w:spacing w:after="0" w:line="322"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not be required to be on a pro rata basis and (b) the Borrower shall be permitted to permanently repay and terminate commitments of any such tranche of Revolving Loans on a better than pro rata basis as compared to any other tranche of Revolving 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w:t>
      </w:r>
    </w:p>
    <w:p>
      <w:pPr>
        <w:spacing w:after="0" w:line="195" w:lineRule="exact"/>
        <w:rPr>
          <w:sz w:val="20"/>
          <w:szCs w:val="20"/>
          <w:color w:val="auto"/>
        </w:rPr>
      </w:pPr>
    </w:p>
    <w:p>
      <w:pPr>
        <w:jc w:val="both"/>
        <w:ind w:left="660" w:firstLine="644"/>
        <w:spacing w:after="0" w:line="248" w:lineRule="auto"/>
        <w:tabs>
          <w:tab w:leader="none" w:pos="189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8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 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each Revolving Lender that does not respond affirmatively by the deadline set forth in the Revolver Extension Offer shall be deemed not to have accepted such Revolver Extension 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to this Section 2.28(b)(iv), if applicable) or the Borrower (in the case of all other amounts), (3) the processing and recordation fee specified in Section 10.02(b)(ii)(D) shall be paid by the Borrower or such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00" w:lineRule="exact"/>
        <w:rPr>
          <w:sz w:val="20"/>
          <w:szCs w:val="20"/>
          <w:color w:val="auto"/>
        </w:rPr>
      </w:pPr>
    </w:p>
    <w:p>
      <w:pPr>
        <w:spacing w:after="0" w:line="322"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and (4) the assigning Revolving Lender shall continue to be entitled to the rights under Section 10.04 for any period prior to the effectiveness of such assignment;</w:t>
      </w:r>
    </w:p>
    <w:p>
      <w:pPr>
        <w:spacing w:after="0" w:line="158" w:lineRule="exact"/>
        <w:rPr>
          <w:sz w:val="20"/>
          <w:szCs w:val="20"/>
          <w:color w:val="auto"/>
        </w:rPr>
      </w:pPr>
    </w:p>
    <w:p>
      <w:pPr>
        <w:ind w:left="660" w:firstLine="644"/>
        <w:spacing w:after="0" w:line="284" w:lineRule="auto"/>
        <w:tabs>
          <w:tab w:leader="none" w:pos="19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Revolver Extension shall be consistent with the foregoing unless otherwise agreed by the Administrative Agent and the Borrower;</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1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amend, revoke or replace a Revolver Extension Offer at any time prior to the date on which Lenders under the tranche of Revolving Loans are requested to respond to the offer;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82"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Revolving Lender shall be obligated to accept any Revolver Extension Offer.</w:t>
      </w:r>
    </w:p>
    <w:p>
      <w:pPr>
        <w:spacing w:after="0" w:line="167" w:lineRule="exact"/>
        <w:rPr>
          <w:sz w:val="20"/>
          <w:szCs w:val="20"/>
          <w:color w:val="auto"/>
        </w:rPr>
      </w:pPr>
    </w:p>
    <w:p>
      <w:pPr>
        <w:jc w:val="both"/>
        <w:ind w:firstLine="1304"/>
        <w:spacing w:after="0" w:line="248" w:lineRule="auto"/>
        <w:tabs>
          <w:tab w:leader="none" w:pos="1752"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With respect to all Extensions consummated by the Borrower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2.28, (i) such 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w:t>
      </w:r>
    </w:p>
    <w:p>
      <w:pPr>
        <w:spacing w:after="0" w:line="180"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8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Extension Amendment</w:t>
      </w:r>
      <w:r>
        <w:rPr>
          <w:rFonts w:ascii="Times New Roman" w:cs="Times New Roman" w:eastAsia="Times New Roman" w:hAnsi="Times New Roman"/>
          <w:sz w:val="21"/>
          <w:szCs w:val="21"/>
          <w:color w:val="auto"/>
        </w:rPr>
        <w:t>. The consent of the Administrative Agent shall be required to effectuate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Extension, such consent not to be unreasonably withheld. No consent of any Lender shall be required to effectuate any Extension, other than (A) in the case of a Revolver Extension, (i) the consent of each Lender agreeing to such Extension with respect to all or any portion of 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 (B) in the case of a Term Loan Extension, the consent of each Lender agreeing to such Extension with respect to all or any portion of its Term Loans, as applicable. All Extended Term Loans and Extended Revolving Commitments and all obligations in respect thereof shall be Obligations under this Agreement and the other Loan Documents that are secured by the Collateral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all other applicable Obligations under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Notwithstanding anything else to the contrary set forth in this Agreement or the other Loan Documents, the Lenders hereby irrevocably authorize each Agent to enter into amendments to this Agreement and the other Loan Documents (each, an “</w:t>
      </w:r>
      <w:r>
        <w:rPr>
          <w:rFonts w:ascii="Times New Roman" w:cs="Times New Roman" w:eastAsia="Times New Roman" w:hAnsi="Times New Roman"/>
          <w:sz w:val="21"/>
          <w:szCs w:val="21"/>
          <w:i w:val="1"/>
          <w:iCs w:val="1"/>
          <w:color w:val="auto"/>
        </w:rPr>
        <w:t>Extension Amendment</w:t>
      </w:r>
      <w:r>
        <w:rPr>
          <w:rFonts w:ascii="Times New Roman" w:cs="Times New Roman" w:eastAsia="Times New Roman" w:hAnsi="Times New Roman"/>
          <w:sz w:val="21"/>
          <w:szCs w:val="21"/>
          <w:color w:val="auto"/>
        </w:rPr>
        <w:t xml:space="preserve">”) with the Borrower 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 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w:t>
      </w:r>
    </w:p>
    <w:p>
      <w:pPr>
        <w:spacing w:after="0" w:line="183" w:lineRule="exact"/>
        <w:rPr>
          <w:sz w:val="20"/>
          <w:szCs w:val="20"/>
          <w:color w:val="auto"/>
        </w:rPr>
      </w:pPr>
    </w:p>
    <w:p>
      <w:pPr>
        <w:jc w:val="both"/>
        <w:ind w:firstLine="1304"/>
        <w:spacing w:after="0" w:line="253" w:lineRule="auto"/>
        <w:tabs>
          <w:tab w:leader="none" w:pos="186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00" w:lineRule="exact"/>
        <w:rPr>
          <w:sz w:val="20"/>
          <w:szCs w:val="20"/>
          <w:color w:val="auto"/>
        </w:rPr>
      </w:pPr>
    </w:p>
    <w:p>
      <w:pPr>
        <w:spacing w:after="0" w:line="32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and Authority</w:t>
      </w:r>
      <w:r>
        <w:rPr>
          <w:rFonts w:ascii="Times New Roman" w:cs="Times New Roman" w:eastAsia="Times New Roman" w:hAnsi="Times New Roman"/>
          <w:sz w:val="22"/>
          <w:szCs w:val="22"/>
          <w:color w:val="auto"/>
        </w:rPr>
        <w:t>.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Air Carrier Status</w:t>
      </w:r>
      <w:r>
        <w:rPr>
          <w:rFonts w:ascii="Times New Roman" w:cs="Times New Roman" w:eastAsia="Times New Roman" w:hAnsi="Times New Roman"/>
          <w:sz w:val="22"/>
          <w:szCs w:val="22"/>
          <w:color w:val="auto"/>
        </w:rPr>
        <w:t>. As of the date hereof, the Borrower is an “air carrier” within the meaning of Section 40102 of Title 49 and holds a certificate under Section 41102 of Title 49. The Borrower 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Times New Roman" w:cs="Times New Roman" w:eastAsia="Times New Roman" w:hAnsi="Times New Roman"/>
          <w:sz w:val="22"/>
          <w:szCs w:val="22"/>
          <w:i w:val="1"/>
          <w:iCs w:val="1"/>
          <w:color w:val="auto"/>
        </w:rPr>
        <w:t>United States Citizen</w:t>
      </w:r>
      <w:r>
        <w:rPr>
          <w:rFonts w:ascii="Times New Roman" w:cs="Times New Roman" w:eastAsia="Times New Roman" w:hAnsi="Times New Roman"/>
          <w:sz w:val="22"/>
          <w:szCs w:val="22"/>
          <w:color w:val="auto"/>
        </w:rPr>
        <w:t>”). The Borrower 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w:t>
      </w:r>
    </w:p>
    <w:p>
      <w:pPr>
        <w:spacing w:after="0" w:line="19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Due Execution</w:t>
      </w:r>
      <w:r>
        <w:rPr>
          <w:rFonts w:ascii="Times New Roman" w:cs="Times New Roman" w:eastAsia="Times New Roman" w:hAnsi="Times New Roman"/>
          <w:sz w:val="22"/>
          <w:szCs w:val="22"/>
          <w:color w:val="auto"/>
        </w:rPr>
        <w:t>.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 Documents and (b)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00" w:lineRule="exact"/>
        <w:rPr>
          <w:sz w:val="20"/>
          <w:szCs w:val="20"/>
          <w:color w:val="auto"/>
        </w:rPr>
      </w:pPr>
    </w:p>
    <w:p>
      <w:pPr>
        <w:spacing w:after="0" w:line="3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Collateral Documents,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Statements Made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81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2012 of Parent filed with the SEC and all Quarterly Reports on Form 10-Q or Current Reports on Form 8-K that have been filed after December 31, 2012,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w:t>
      </w:r>
    </w:p>
    <w:p>
      <w:pPr>
        <w:spacing w:after="0" w:line="19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2"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on Form 10-K of Parent most recently filed with the SEC, and each Quarterly Report on Form 10- 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Financial Statements; Material Adverse Change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868"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audited consolidated financial statements of Parent and its Subsidiaries for the fiscal year ended December 31, 2012, included in Parent’s Annual Report on Form 10-K for 2012 filed with the SEC, as amended and (ii) the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consolidated financial statement of Parent and its Subsidiaries for the fiscal quarter ending March 31, 2013, each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w:t>
      </w:r>
    </w:p>
    <w:p>
      <w:pPr>
        <w:spacing w:after="0" w:line="176" w:lineRule="exact"/>
        <w:rPr>
          <w:sz w:val="20"/>
          <w:szCs w:val="20"/>
          <w:color w:val="auto"/>
        </w:rPr>
      </w:pPr>
    </w:p>
    <w:p>
      <w:pPr>
        <w:ind w:firstLine="1304"/>
        <w:spacing w:after="0" w:line="271" w:lineRule="auto"/>
        <w:tabs>
          <w:tab w:leader="none" w:pos="1856"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Parent’s Annual Report on Form 10-K for 2012 or any subsequent report filed by Parent on Form 10-Q or Form 8-K with the SEC, since December 31, 2012, there has been no Material Adverse Change.</w:t>
      </w:r>
    </w:p>
    <w:p>
      <w:pPr>
        <w:spacing w:after="0" w:line="158" w:lineRule="exact"/>
        <w:rPr>
          <w:sz w:val="20"/>
          <w:szCs w:val="20"/>
          <w:color w:val="auto"/>
        </w:rPr>
      </w:pPr>
    </w:p>
    <w:p>
      <w:pPr>
        <w:ind w:left="1300"/>
        <w:spacing w:after="0"/>
        <w:tabs>
          <w:tab w:leader="none" w:pos="298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As of the Closing Date, other than as set forth on Schedule 3.06,</w:t>
      </w:r>
    </w:p>
    <w:p>
      <w:pPr>
        <w:spacing w:after="0" w:line="28" w:lineRule="exact"/>
        <w:rPr>
          <w:sz w:val="20"/>
          <w:szCs w:val="20"/>
          <w:color w:val="auto"/>
        </w:rPr>
      </w:pPr>
    </w:p>
    <w:p>
      <w:pPr>
        <w:ind w:firstLine="8"/>
        <w:spacing w:after="0" w:line="261" w:lineRule="auto"/>
        <w:tabs>
          <w:tab w:leader="none" w:pos="29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Persons listed on Schedule 3.06 is a wholly-owned, direct or indirect Subsidiary of Parent and (b) Parent owns no other Subsidiaries (other than Immaterial Subsidiaries), whether directly or indirectly.</w:t>
      </w:r>
    </w:p>
    <w:p>
      <w:pPr>
        <w:spacing w:after="0" w:line="168" w:lineRule="exact"/>
        <w:rPr>
          <w:sz w:val="20"/>
          <w:szCs w:val="20"/>
          <w:color w:val="auto"/>
        </w:rPr>
      </w:pPr>
    </w:p>
    <w:p>
      <w:pPr>
        <w:ind w:left="1300"/>
        <w:spacing w:after="0"/>
        <w:tabs>
          <w:tab w:leader="none" w:pos="302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There are no Liens of any nature whatsoever on any Collateral, except for Permitted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Liens.</w:t>
      </w:r>
    </w:p>
    <w:p>
      <w:pPr>
        <w:spacing w:after="0" w:line="196"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and the Letters of Credit, shall be used for general corporate purposes.</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3.09.</w:t>
      </w:r>
      <w:r>
        <w:rPr>
          <w:sz w:val="20"/>
          <w:szCs w:val="20"/>
          <w:color w:val="auto"/>
        </w:rPr>
        <w:tab/>
      </w:r>
      <w:r>
        <w:rPr>
          <w:rFonts w:ascii="Times New Roman" w:cs="Times New Roman" w:eastAsia="Times New Roman" w:hAnsi="Times New Roman"/>
          <w:sz w:val="21"/>
          <w:szCs w:val="21"/>
          <w:u w:val="single" w:color="auto"/>
          <w:color w:val="auto"/>
        </w:rPr>
        <w:t>Litigation and Compliance with Laws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0" w:lineRule="auto"/>
        <w:tabs>
          <w:tab w:leader="none" w:pos="184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Parent’s Annual Report on Form 10-K for 2012 or any subsequent report filed by Parent on Form 10-Q or Form 8-K with the SEC since December 31, 2012,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00" w:lineRule="exact"/>
        <w:rPr>
          <w:sz w:val="20"/>
          <w:szCs w:val="20"/>
          <w:color w:val="auto"/>
        </w:rPr>
      </w:pPr>
    </w:p>
    <w:p>
      <w:pPr>
        <w:spacing w:after="0" w:line="32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Slots</w:t>
      </w:r>
      <w:r>
        <w:rPr>
          <w:rFonts w:ascii="Times New Roman" w:cs="Times New Roman" w:eastAsia="Times New Roman" w:hAnsi="Times New Roman"/>
          <w:sz w:val="22"/>
          <w:szCs w:val="22"/>
          <w:color w:val="auto"/>
        </w:rPr>
        <w:t>.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Routes</w:t>
      </w:r>
      <w:r>
        <w:rPr>
          <w:rFonts w:ascii="Times New Roman" w:cs="Times New Roman" w:eastAsia="Times New Roman" w:hAnsi="Times New Roman"/>
          <w:sz w:val="22"/>
          <w:szCs w:val="22"/>
          <w:color w:val="auto"/>
        </w:rPr>
        <w:t>. With respect to the Pledged Route Authorities relating to the Scheduled Services, each applicable Grantor 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Margin Regulations; Investment Company Act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1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Guarantor is engaged, principally or as one of its important activities, in the business of purchasing or carrying margin stock (within the meaning of Regulation U issued by the Board, “</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or extending credit for the purpose of purchasing or carrying Margin Stock, and no proceeds of any Loans will be used to purchase or carry any Margin Stock or to extend credit to others for the purpose of purchasing or carrying any Margin Stock in violation of Regulation U.</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838"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Guarantor is, or after the making of the Loans will be, or is required to be, registered as an “investment company” under the Investment Company Act of 1940, as amended.</w:t>
      </w:r>
    </w:p>
    <w:p>
      <w:pPr>
        <w:spacing w:after="0" w:line="171"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Holding of Collateral</w:t>
      </w:r>
      <w:r>
        <w:rPr>
          <w:rFonts w:ascii="Times New Roman" w:cs="Times New Roman" w:eastAsia="Times New Roman" w:hAnsi="Times New Roman"/>
          <w:sz w:val="22"/>
          <w:szCs w:val="22"/>
          <w:color w:val="auto"/>
        </w:rPr>
        <w:t>. Each applicable Grantor is, and as to Collateral acquired by it from time to time after the date hereof each Grantor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00" w:lineRule="exact"/>
        <w:rPr>
          <w:sz w:val="20"/>
          <w:szCs w:val="20"/>
          <w:color w:val="auto"/>
        </w:rPr>
      </w:pPr>
    </w:p>
    <w:p>
      <w:pPr>
        <w:spacing w:after="0" w:line="32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holder of all such Collateral free from any Lien except for (1) the Lien and security interest created by the Collateral Documents and (2) Permitted Liens.</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Perfected Security Interests</w:t>
      </w:r>
      <w:r>
        <w:rPr>
          <w:rFonts w:ascii="Times New Roman" w:cs="Times New Roman" w:eastAsia="Times New Roman" w:hAnsi="Times New Roman"/>
          <w:sz w:val="22"/>
          <w:szCs w:val="22"/>
          <w:color w:val="auto"/>
        </w:rPr>
        <w:t>. All UCC filings necessary or reasonably requested by the Collateral Agent to create, preserve, protect and perfect the security interests granted by the Borrower or any Guarantor, as applicable, to the Collateral Agent for the 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 before the date hereof by execution and delivery of the Account Control Agreement. Subject to any Intercreditor Agreement and any Other Intercreditor Agreement, the security interests granted to the Collateral Agent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Agent is entitled with respect to such perfected security interest to all the rights, priorities and benefits afforded by the UCC to perfected security interests.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No Unlawful Payments.</w:t>
      </w:r>
      <w:r>
        <w:rPr>
          <w:rFonts w:ascii="Times New Roman" w:cs="Times New Roman" w:eastAsia="Times New Roman" w:hAnsi="Times New Roman"/>
          <w:sz w:val="22"/>
          <w:szCs w:val="22"/>
          <w:color w:val="auto"/>
        </w:rPr>
        <w:t xml:space="preserve">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Borrower and each Guarantor has implemented compliance programs for purposes of (a) informing the appropriate officers and employees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200" w:lineRule="exact"/>
        <w:rPr>
          <w:sz w:val="20"/>
          <w:szCs w:val="20"/>
          <w:color w:val="auto"/>
        </w:rPr>
      </w:pPr>
    </w:p>
    <w:p>
      <w:pPr>
        <w:spacing w:after="0" w:line="3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Borrower, such Guarantor 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any purpose in breach of any laws described in clause (1) – (4) above.</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3.17. </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xml:space="preserve">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target of any U.S. sanctions administered by the U.S. federal government (including the Office of Foreign Assets Control of the U.S. Treasury Department (“</w:t>
      </w:r>
      <w:r>
        <w:rPr>
          <w:rFonts w:ascii="Times New Roman" w:cs="Times New Roman" w:eastAsia="Times New Roman" w:hAnsi="Times New Roman"/>
          <w:sz w:val="21"/>
          <w:szCs w:val="21"/>
          <w:i w:val="1"/>
          <w:iCs w:val="1"/>
          <w:color w:val="auto"/>
        </w:rPr>
        <w:t>OFAC</w:t>
      </w:r>
      <w:r>
        <w:rPr>
          <w:rFonts w:ascii="Times New Roman" w:cs="Times New Roman" w:eastAsia="Times New Roman" w:hAnsi="Times New Roman"/>
          <w:sz w:val="21"/>
          <w:szCs w:val="21"/>
          <w:color w:val="auto"/>
        </w:rPr>
        <w:t>”)); and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the purpose of financing the activities of any person (individual or entity) or in any country, region or territory, that is at the time of such financing the target of any U.S. sanctions administered by the U.S. federal government (including OFAC) in any manner that would result in the violation of any U.S. sanctions applicable to any party hereto.</w:t>
      </w:r>
    </w:p>
    <w:p>
      <w:pPr>
        <w:spacing w:after="0" w:line="17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xml:space="preserve"> The operations of the Borrower, the Guarantors and their respective subsidiaries are and have been conducted at all times in material compliance with all applicable financial recordkeeping and reporting requirements, including those of the Bank Secrecy Act, as amended by the Patriot Act, and the applicable anti-money laundering statutes of jurisdictions where the Borrower, the Guarantors and their respective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Borrower, the Guarantors or any of their respective subsidiaries with respect to the Anti-Money Laundering Laws is pending or, to the best knowledge of the Borrower and the Guarantors,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00" w:lineRule="exact"/>
        <w:rPr>
          <w:sz w:val="20"/>
          <w:szCs w:val="20"/>
          <w:color w:val="auto"/>
        </w:rPr>
      </w:pPr>
    </w:p>
    <w:p>
      <w:pPr>
        <w:spacing w:after="0" w:line="32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October 6, 2014, after giving effect to the Loans made on such date and the payment of all costs and expenses in connection therewith, the Borrower and the Guarantors, taken as a whole, are Solvent.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OF LENDING</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u w:val="single" w:color="auto"/>
          <w:color w:val="auto"/>
        </w:rPr>
        <w:t>Conditions Precedent to Each Loan and Each Letter of Credit</w:t>
      </w:r>
      <w:r>
        <w:rPr>
          <w:rFonts w:ascii="Times New Roman" w:cs="Times New Roman" w:eastAsia="Times New Roman" w:hAnsi="Times New Roman"/>
          <w:sz w:val="21"/>
          <w:szCs w:val="21"/>
          <w:color w:val="auto"/>
        </w:rPr>
        <w:t>. The obligation of the Lenders to make each Loan and of the Issuing Lenders to issue each Letter of Credit, including the initial Loans and the initial Letters of Credit, is subject to the satisfaction (or waiver in accordance with Section 10.08) of the following conditions precedent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condition precedent to drawing of a Revolving Loan may be waived only by the Required Revolving Lenders):</w:t>
      </w:r>
    </w:p>
    <w:p>
      <w:pPr>
        <w:spacing w:after="0" w:line="157" w:lineRule="exact"/>
        <w:rPr>
          <w:sz w:val="20"/>
          <w:szCs w:val="20"/>
          <w:color w:val="auto"/>
        </w:rPr>
      </w:pPr>
    </w:p>
    <w:p>
      <w:pPr>
        <w:jc w:val="both"/>
        <w:ind w:left="660" w:firstLine="644"/>
        <w:spacing w:after="0" w:line="259" w:lineRule="auto"/>
        <w:tabs>
          <w:tab w:leader="none" w:pos="179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The Administrative Agent shall have received a Loan Request pursuant to Section 2.03 with respect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such borrowing or a Letter of Credit Request for issuance of such Letter of Credit pursuant to Section 2.02, as the case may be.</w:t>
      </w:r>
    </w:p>
    <w:p>
      <w:pPr>
        <w:spacing w:after="0" w:line="166"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84"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All representations and warranties contained in this Agreement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 Loan Documents (other than in the case of each Borrowing Date after the Closing Date, the representations and warranties set forth in Sections 3.05(b), 3.06, 3.09(a) and 3.19) shall be true and correct in all material respects on and as of the date of such Loan or the issuance of such Letter of Credit hereunder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such Loan or the issuance of such Letter of Credit hereunder.</w:t>
      </w:r>
    </w:p>
    <w:p>
      <w:pPr>
        <w:spacing w:after="0" w:line="177"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845"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On the date of such Loan or the issuance of such Letter of Credit hereunder, no (i) Event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 or (ii) Default with respect to Section 7.01(b), (e), (f) or (g) shall have occurred and be continuing nor shall any such Default or Event of Default, as the case may be, occur by reason of the making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200" w:lineRule="exact"/>
        <w:rPr>
          <w:sz w:val="20"/>
          <w:szCs w:val="20"/>
          <w:color w:val="auto"/>
        </w:rPr>
      </w:pPr>
    </w:p>
    <w:p>
      <w:pPr>
        <w:spacing w:after="0" w:line="322"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requested Borrowing or the issuance of the requested Letter of Credit and, in the case of each Loan, the application of proceeds thereof.</w:t>
      </w:r>
    </w:p>
    <w:p>
      <w:pPr>
        <w:spacing w:after="0" w:line="154" w:lineRule="exact"/>
        <w:rPr>
          <w:sz w:val="20"/>
          <w:szCs w:val="20"/>
          <w:color w:val="auto"/>
        </w:rPr>
      </w:pPr>
    </w:p>
    <w:p>
      <w:pPr>
        <w:jc w:val="both"/>
        <w:ind w:left="660" w:firstLine="644"/>
        <w:spacing w:after="0" w:line="265" w:lineRule="auto"/>
        <w:tabs>
          <w:tab w:leader="none" w:pos="1789"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 On the date of such Loan or the issuance of such Letter of Credit hereunder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giving pro forma effect thereto), the Collateral Coverage Ratio shall not be less than 1.6 to 1.0 as evidenced by the delivery of a Collateral Coverage Ratio Certificate to the Administrative Agent demonstrating such compliance.</w:t>
      </w:r>
    </w:p>
    <w:p>
      <w:pPr>
        <w:spacing w:after="0" w:line="161"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9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Going Concern Qualification</w:t>
      </w:r>
      <w:r>
        <w:rPr>
          <w:rFonts w:ascii="Times New Roman" w:cs="Times New Roman" w:eastAsia="Times New Roman" w:hAnsi="Times New Roman"/>
          <w:sz w:val="22"/>
          <w:szCs w:val="22"/>
          <w:color w:val="auto"/>
        </w:rPr>
        <w:t>. For any Loan made or Letter of Credit issued after the filing by Parent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Annual Report on Form 10-K for the fiscal year ended on December 31, 2014, on the date of such Loan or the issuance of such Letter of Credit hereunder,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18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acceptance by the Borrower of each Extension of Credit hereunder shall be deemed to be a representation and warranty by the Borrower that the conditions specified in this Section 4.02 have been satisfied at that time.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22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6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Reports, etc</w:t>
      </w:r>
      <w:r>
        <w:rPr>
          <w:rFonts w:ascii="Times New Roman" w:cs="Times New Roman" w:eastAsia="Times New Roman" w:hAnsi="Times New Roman"/>
          <w:sz w:val="22"/>
          <w:szCs w:val="22"/>
          <w:color w:val="auto"/>
        </w:rPr>
        <w:t>. The Borrower shall deliver to the Administrative Agent on behalf of the Lenders:</w:t>
      </w:r>
    </w:p>
    <w:p>
      <w:pPr>
        <w:spacing w:after="0" w:line="158" w:lineRule="exact"/>
        <w:rPr>
          <w:sz w:val="20"/>
          <w:szCs w:val="20"/>
          <w:color w:val="auto"/>
        </w:rPr>
      </w:pPr>
    </w:p>
    <w:p>
      <w:pPr>
        <w:jc w:val="both"/>
        <w:ind w:left="660" w:firstLine="644"/>
        <w:spacing w:after="0" w:line="263" w:lineRule="auto"/>
        <w:tabs>
          <w:tab w:leader="none" w:pos="1872"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200" w:lineRule="exact"/>
        <w:rPr>
          <w:sz w:val="20"/>
          <w:szCs w:val="20"/>
          <w:color w:val="auto"/>
        </w:rPr>
      </w:pPr>
    </w:p>
    <w:p>
      <w:pPr>
        <w:spacing w:after="0" w:line="322"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Parent shall have filed with the SEC its Annual Report on Form 10-K for such fiscal year, which is available to the public via EDGAR or any similar successor system;</w:t>
      </w:r>
    </w:p>
    <w:p>
      <w:pPr>
        <w:spacing w:after="0" w:line="180" w:lineRule="exact"/>
        <w:rPr>
          <w:sz w:val="20"/>
          <w:szCs w:val="20"/>
          <w:color w:val="auto"/>
        </w:rPr>
      </w:pPr>
    </w:p>
    <w:p>
      <w:pPr>
        <w:jc w:val="both"/>
        <w:ind w:left="660" w:firstLine="644"/>
        <w:spacing w:after="0" w:line="250" w:lineRule="auto"/>
        <w:tabs>
          <w:tab w:leader="none" w:pos="1813"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Parent shall have filed with the SEC its Quarterly Report on Form 10-Q for such fiscal quarter, which is available to the public via EDGAR or any similar successor system;</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69"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14"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under (a) and (b) of this Section 5.01, an Officer’s Certificate demonstrating in reasonable detail compliance with Section 6.08 as of the end of the preceding fiscal quarter;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77"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thereof, written notice of the termination of a Plan of the Borrower or an ERISA Affiliate pursuant to Section 4042 of ERISA, to the extent such termination would constitute an Event of Default under Section 7.01(j);</w:t>
      </w:r>
    </w:p>
    <w:p>
      <w:pPr>
        <w:spacing w:after="0" w:line="16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Collateral Coverage Ratio Certificate, as and when required under Section 6.09(a);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6" w:lineRule="auto"/>
        <w:tabs>
          <w:tab w:leader="none" w:pos="188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Commitment, Loan or Letter of Credit is outstanding, promptly after the Chief Financial Officer or the Treasurer of Parent becoming aware of the occurrence of a Default or an Event of Default that is continuing, an Officer’s Certificate specifying such Default or Event of Default and what action Parent and its Subsidiaries are taking or propose to take with respect thereto;</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0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Company or the Parent in a current report on Form 8-k filed with the SEC), (b) or (c) of the definition thereof;</w:t>
      </w:r>
    </w:p>
    <w:p>
      <w:pPr>
        <w:spacing w:after="0" w:line="17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Collateral Coverage Ratio Certificate as and when required under Section 6.04(ii)(D);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Any certificate to be delivered under this Section 5.01 may, at the Borrower’s option, be combined with any other certificate to be delivered under this Section 5.01 within the same time period.</w:t>
      </w:r>
    </w:p>
    <w:p>
      <w:pPr>
        <w:spacing w:after="0" w:line="14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Subject to the next succeeding sentence, information delivered pursuant to this Section 5.01 to the Administrative Agent may be made available by the Administrative Agent to the Lenders by posting such information on the SyndTrak website or other lender site maintained by the Administrative Agent. Information required to be delivered pursuant to this Section 5.01 by the Borrower (and solely in the case of Section 5.01(a) or (b) above to the extent not made available on EDGAR) shall be delivered pursuant to Section 10.01 or as set forth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200" w:lineRule="exact"/>
        <w:rPr>
          <w:sz w:val="20"/>
          <w:szCs w:val="20"/>
          <w:color w:val="auto"/>
        </w:rPr>
      </w:pPr>
    </w:p>
    <w:p>
      <w:pPr>
        <w:spacing w:after="0" w:line="32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w:t>
      </w:r>
    </w:p>
    <w:p>
      <w:pPr>
        <w:spacing w:after="0" w:line="2" w:lineRule="exact"/>
        <w:rPr>
          <w:sz w:val="20"/>
          <w:szCs w:val="20"/>
          <w:color w:val="auto"/>
        </w:rPr>
      </w:pPr>
    </w:p>
    <w:p>
      <w:pPr>
        <w:ind w:right="20" w:firstLine="8"/>
        <w:spacing w:after="0" w:line="259" w:lineRule="auto"/>
        <w:tabs>
          <w:tab w:leader="none" w:pos="415"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or communication has been posted on the Borrower’s general commercial website on the Internet, as such website may be specified by the Borrower to the Administrative Agent from time to time.</w:t>
      </w:r>
    </w:p>
    <w:p>
      <w:pPr>
        <w:spacing w:after="0" w:line="17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Parent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 on Parent.</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Parent shall do or cause to be done all things reasonably necessary to preserve and keep in full force and effect:</w:t>
      </w:r>
    </w:p>
    <w:p>
      <w:pPr>
        <w:spacing w:after="0" w:line="158" w:lineRule="exact"/>
        <w:rPr>
          <w:sz w:val="20"/>
          <w:szCs w:val="20"/>
          <w:color w:val="auto"/>
        </w:rPr>
      </w:pPr>
    </w:p>
    <w:p>
      <w:pPr>
        <w:jc w:val="both"/>
        <w:ind w:left="660" w:firstLine="644"/>
        <w:spacing w:after="0" w:line="263" w:lineRule="auto"/>
        <w:tabs>
          <w:tab w:leader="none" w:pos="203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corporate existence, and the corporate, partnership or other existence of each of its Restricted Subsidiaries, in accordance with the respective organizational documents (as the same may be amended from time to time) of Parent or any such Restricted Subsidiary;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(charter and statutory) and material franchises of Parent and its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the avoidance of doubt, this Section 5.03 shall not prohibit any actions permitted by Section 6.10 or described in Section 6.10(b).</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200" w:lineRule="exact"/>
        <w:rPr>
          <w:sz w:val="20"/>
          <w:szCs w:val="20"/>
          <w:color w:val="auto"/>
        </w:rPr>
      </w:pPr>
    </w:p>
    <w:p>
      <w:pPr>
        <w:spacing w:after="0" w:line="32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or its property, except where such noncompliance, individually or in the aggregate, could not reasonably be expected to result in a Material Adverse Effect.</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Designation of Restricted and Unrestricted Subsidiaries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0" w:lineRule="auto"/>
        <w:tabs>
          <w:tab w:leader="none" w:pos="1925"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w:t>
      </w:r>
    </w:p>
    <w:p>
      <w:pPr>
        <w:spacing w:after="0" w:line="18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12"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may at any time designate any Unrestricted Subsidiary to be a Restricted Subsidiary of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will be permitted only if no Default or Event of Default would be in existence following such designation.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Delivery of Appraisals</w:t>
      </w:r>
      <w:r>
        <w:rPr>
          <w:rFonts w:ascii="Times New Roman" w:cs="Times New Roman" w:eastAsia="Times New Roman" w:hAnsi="Times New Roman"/>
          <w:sz w:val="21"/>
          <w:szCs w:val="21"/>
          <w:color w:val="auto"/>
        </w:rPr>
        <w:t>. No later than:</w:t>
      </w:r>
    </w:p>
    <w:p>
      <w:pPr>
        <w:spacing w:after="0" w:line="220" w:lineRule="exact"/>
        <w:rPr>
          <w:sz w:val="20"/>
          <w:szCs w:val="20"/>
          <w:color w:val="auto"/>
        </w:rPr>
      </w:pPr>
    </w:p>
    <w:p>
      <w:pPr>
        <w:jc w:val="both"/>
        <w:ind w:left="660" w:firstLine="644"/>
        <w:spacing w:after="0" w:line="263" w:lineRule="auto"/>
        <w:tabs>
          <w:tab w:leader="none" w:pos="1776"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(x) June 30 of each year and (y) a date to be selected by the Borrower from time to time between July 1 and December 31 of each year, but in any event, no earlier than five (5) months after the delivery of the appraisal set forth in clause (x) for such year; and</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45-day period following a request by the Administrative Agent if an Event of Default has occurred and is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Borrower will deliver to the Administrative Agent one or more Appraisals establishing the Appraised Value of the Collateral (other than any cash or Cash Equivalents in the Collateral).</w:t>
      </w:r>
    </w:p>
    <w:p>
      <w:pPr>
        <w:spacing w:after="0" w:line="171"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For the avoidance of doubt, the Appraised Value of any Qualified Replacement Assets or Additional Collateral (other than any cash or Cash Equivalents) pledged by the Borrower or another Grantor that has not previously been included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200" w:lineRule="exact"/>
        <w:rPr>
          <w:sz w:val="20"/>
          <w:szCs w:val="20"/>
          <w:color w:val="auto"/>
        </w:rPr>
      </w:pPr>
    </w:p>
    <w:p>
      <w:pPr>
        <w:spacing w:after="0" w:line="3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Appraisal shall be deemed to be zero until an Appraisal of such Qualified Replacement Assets or Additional Collateral has been delivered to the Administrative Agent.</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Subject to the next succeeding sentence, the Borrower shall deliver the Appraisals described above to the Administrative Agent and the Administrative Agent shall make such Appraisals available to the Lenders by posting such information on the confidential, non-public portion of SyndTrak website or other lender site maintained by the Administrative Agent, which other lender site the Administrative Agent identifies to the Borrower in writing. Information required to be delivered pursuant to this Section 5.06 by the Borrower shall be delivered pursuant to Section 10.01 and shall be deemed to contain material non-public information.</w:t>
      </w:r>
    </w:p>
    <w:p>
      <w:pPr>
        <w:spacing w:after="0" w:line="19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u w:val="single" w:color="auto"/>
          <w:color w:val="auto"/>
        </w:rPr>
        <w:t>Regulatory Matters; Utilization; Reporting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Borrower will:</w:t>
      </w:r>
    </w:p>
    <w:p>
      <w:pPr>
        <w:spacing w:after="0" w:line="220" w:lineRule="exact"/>
        <w:rPr>
          <w:sz w:val="20"/>
          <w:szCs w:val="20"/>
          <w:color w:val="auto"/>
        </w:rPr>
      </w:pPr>
    </w:p>
    <w:p>
      <w:pPr>
        <w:ind w:left="660" w:firstLine="644"/>
        <w:spacing w:after="0" w:line="271" w:lineRule="auto"/>
        <w:tabs>
          <w:tab w:leader="none" w:pos="182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as an “air carrier” within the meaning of Section 40102(a)(2) of Title 49 and hold or co-hold a certificate under Section 41102(a)(1) of Title 49;</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at the FAA as an “air carrier” and hold or co-hold an air carrier operating certificate under Section 44705 of Title 49 and operations specifications issued by the FAA pursuant to Parts 119 and 121 of Title 14;</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0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the Scheduled Services, except to the extent that any failure to possess or maintain would not reasonably be expected to result in a Material Adverse Effect;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7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the extent that any failure to utilize would not reasonably be expected to result in a Material Adverse Effect;</w:t>
      </w:r>
    </w:p>
    <w:p>
      <w:pPr>
        <w:spacing w:after="0" w:line="220" w:lineRule="exact"/>
        <w:rPr>
          <w:sz w:val="20"/>
          <w:szCs w:val="20"/>
          <w:color w:val="auto"/>
        </w:rPr>
      </w:pPr>
    </w:p>
    <w:p>
      <w:pPr>
        <w:jc w:val="both"/>
        <w:ind w:left="660" w:firstLine="644"/>
        <w:spacing w:after="0" w:line="263" w:lineRule="auto"/>
        <w:tabs>
          <w:tab w:leader="none" w:pos="178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3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done all things reasonably necessary to preserve and keep in full force and effect its authority to operate the Scheduled Services, except to the extent that any failure to do so would not reasonably be expected to result in a Material Adverse Effect.</w:t>
      </w:r>
    </w:p>
    <w:p>
      <w:pPr>
        <w:spacing w:after="0" w:line="173" w:lineRule="exact"/>
        <w:rPr>
          <w:sz w:val="20"/>
          <w:szCs w:val="20"/>
          <w:color w:val="auto"/>
        </w:rPr>
      </w:pPr>
    </w:p>
    <w:p>
      <w:pPr>
        <w:jc w:val="both"/>
        <w:ind w:firstLine="1304"/>
        <w:spacing w:after="0" w:line="250" w:lineRule="auto"/>
        <w:tabs>
          <w:tab w:leader="none" w:pos="1878"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modification, substitution or exchange)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Maintenance of Ratings</w:t>
      </w:r>
      <w:r>
        <w:rPr>
          <w:rFonts w:ascii="Times New Roman" w:cs="Times New Roman" w:eastAsia="Times New Roman" w:hAnsi="Times New Roman"/>
          <w:sz w:val="22"/>
          <w:szCs w:val="22"/>
          <w:color w:val="auto"/>
        </w:rPr>
        <w:t>. The Borrower will use commercially reasonable efforts to maintain a rating of the Facilities by each of S&amp;P and Moody’s after such ratings are obtained (but not to obtain or maintain a specific rating).</w:t>
      </w:r>
    </w:p>
    <w:p>
      <w:pPr>
        <w:spacing w:after="0" w:line="17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u w:val="single" w:color="auto"/>
          <w:color w:val="auto"/>
        </w:rPr>
        <w:t>Additional Guarantors; Additional Collateral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9" w:lineRule="auto"/>
        <w:tabs>
          <w:tab w:leader="none" w:pos="181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Domestic Subsidiary that constitutes an Immaterial Subsidiary, a Receivables Subsidiary or an Excluded Subsidiary need not become a Guarantor unless and until 30 Business Days after such time as it ceases to be (and is no longer any of) an Immaterial Subsidiary, a Receivables Subsidiary or an Excluded Subsidiary or such time as it guarantees, or pledges any property or assets to secure, any other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 30 Business Days after such time as it ceases to be (and is no longer) an Immaterial Subsidiary, a Receivables Subsidiary or an Excluded Subsidiary or such time as it guarantees, or pledges any property or assets to secure, any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200" w:lineRule="exact"/>
        <w:rPr>
          <w:sz w:val="20"/>
          <w:szCs w:val="20"/>
          <w:color w:val="auto"/>
        </w:rPr>
      </w:pPr>
    </w:p>
    <w:p>
      <w:pPr>
        <w:spacing w:after="0" w:line="322" w:lineRule="exact"/>
        <w:rPr>
          <w:sz w:val="20"/>
          <w:szCs w:val="20"/>
          <w:color w:val="auto"/>
        </w:rPr>
      </w:pPr>
    </w:p>
    <w:p>
      <w:pPr>
        <w:jc w:val="both"/>
        <w:ind w:firstLine="1304"/>
        <w:spacing w:after="0" w:line="257" w:lineRule="auto"/>
        <w:tabs>
          <w:tab w:leader="none" w:pos="1881"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in Section 5.09(a) and 5.09(b), no Regional Airline shall be required to become a Guarantor hereunder at any time, provided however that a Regional Airline may become a Guarantor at the sole discretion of the Borrower.</w:t>
      </w:r>
    </w:p>
    <w:p>
      <w:pPr>
        <w:spacing w:after="0" w:line="186" w:lineRule="exact"/>
        <w:rPr>
          <w:rFonts w:ascii="Times New Roman" w:cs="Times New Roman" w:eastAsia="Times New Roman" w:hAnsi="Times New Roman"/>
          <w:sz w:val="22"/>
          <w:szCs w:val="22"/>
          <w:color w:val="auto"/>
        </w:rPr>
      </w:pPr>
    </w:p>
    <w:p>
      <w:pPr>
        <w:ind w:right="20" w:firstLine="1304"/>
        <w:spacing w:after="0" w:line="271" w:lineRule="auto"/>
        <w:tabs>
          <w:tab w:leader="none" w:pos="1819"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with prior written notice to the Administrative Agent and the Collateral Agent, the Borrower may, and may cause any other Guarantor to, at its sole discretion, pledge additional assets as Additional Collateral.</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5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Collateral transferred to a Subsidiary of Parent pursuant to any transaction or Disposition (other than a Permitted Disposition), and to the extent that such Collateral constituted Core Collateral immediately prior to such transaction or Disposition, Parent and the Borrower shall, upon consummation of such transaction or Disposition, cause such Subsidiary to become (i) a Guarantor by executing an Instrument of Assumption and Joinder substantially in the form attached hereto as Exhibit B and (ii) a Grantor with respect to such assets.</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Access to Books and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1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w:t>
      </w:r>
    </w:p>
    <w:p>
      <w:pPr>
        <w:spacing w:after="0" w:line="176"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14"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with respect to Collateral and matters relating thereto, the rights of Administrative Agent and the Lenders under this Section 5.10 shall be limited to the following: upon the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to (i) the existence of such Collateral, (ii) 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w:t>
      </w:r>
    </w:p>
    <w:p>
      <w:pPr>
        <w:spacing w:after="0" w:line="195" w:lineRule="exact"/>
        <w:rPr>
          <w:sz w:val="20"/>
          <w:szCs w:val="20"/>
          <w:color w:val="auto"/>
        </w:rPr>
      </w:pPr>
    </w:p>
    <w:p>
      <w:pPr>
        <w:ind w:left="130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91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Pledged Route Authorities, Pledged Slots, Pledged Foreign Gate Leaseholds, and any Additional Route Authorities or Gate Leaseholds otherwise constituting Collateral, upon the reasonable request of the Collateral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such SGR Security Agreement or other applicable Collateral Document is in effect, the perfection of the security interests created by such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Collateral Agent will furnish the Collateral Agent, together with such financing statements and continuation statements, as may be required to enable the Collateral Agent to take such action.</w:t>
      </w:r>
    </w:p>
    <w:p>
      <w:pPr>
        <w:spacing w:after="0" w:line="20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7"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constituting aircraft or spare engines, each of the applicable Aircraft Security Agreements will provide that the Borrower or the applicable Grantor shall take, or cause to be taken, upon the reasonable request of the Collateral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trustee appointed pursuant to Section 8.01(d) will furnish such trustee with such instruments, in execution form, and such other information, as may be required to enable such trustee to take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200" w:lineRule="exact"/>
        <w:rPr>
          <w:sz w:val="20"/>
          <w:szCs w:val="20"/>
          <w:color w:val="auto"/>
        </w:rPr>
      </w:pPr>
    </w:p>
    <w:p>
      <w:pPr>
        <w:spacing w:after="0" w:line="322" w:lineRule="exact"/>
        <w:rPr>
          <w:sz w:val="20"/>
          <w:szCs w:val="20"/>
          <w:color w:val="auto"/>
        </w:rPr>
      </w:pPr>
    </w:p>
    <w:p>
      <w:pPr>
        <w:jc w:val="both"/>
        <w:ind w:firstLine="1304"/>
        <w:spacing w:after="0" w:line="249" w:lineRule="auto"/>
        <w:tabs>
          <w:tab w:leader="none" w:pos="1837"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constituting Real Property Assets, each of the applicable Collateral Documents relating to such Collateral will provide that the Borrower or the applicable Grantor shall provide, or cause to be provided to the Collateral Agent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Administrative Agent for such title insurer to deliver endorsements to such title insurance as reasonably requested by the Administrative Agent), environmental assessments, flood certifications and flood insurance (if applicable) and reports and evidence regarding recording and payment of fees, insurance premium and taxes) that the Administrative Agent may reasonably request, to create, register, perfect, maintain, evidence the existence, substance, form or validity of or enforce a valid lien on such parcel of or leasehold interest in real property subject only to Permitted Liens.</w:t>
      </w:r>
    </w:p>
    <w:p>
      <w:pPr>
        <w:spacing w:after="0" w:line="18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25"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other than Pledged Route Authorities, Pledged Slots, Pledged Foreign Gate Leaseholds, Additional Route Authorities, Gate Leaseholds, aircraft or spare engines, each of the applicable Collateral Documents relating to such Collateral will provide that the Borrower or the applicable Grantor shall take, or cause to be taken, upon the reasonable request of the Collateral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Agent, will furnish the Collateral Agent with such instruments, in execution form, and such other information, as may be required to enable the Collateral Agent to take such action.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AND FINANCIAL COVENANTS</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Parent will not, and will not permit any of its Restricted Subsidiaries to,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65" w:lineRule="auto"/>
        <w:tabs>
          <w:tab w:leader="none" w:pos="1787"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w:t>
      </w:r>
    </w:p>
    <w:p>
      <w:pPr>
        <w:spacing w:after="0" w:line="168"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redeem or otherwise acquire or retire for value any Equity Interests of Parent;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35"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 on or with respect to, or purchase, redeem, defease or otherwise acquire or retire for value (collectively for purposes of this clause (iii), a “</w:t>
      </w:r>
      <w:r>
        <w:rPr>
          <w:rFonts w:ascii="Times New Roman" w:cs="Times New Roman" w:eastAsia="Times New Roman" w:hAnsi="Times New Roman"/>
          <w:sz w:val="22"/>
          <w:szCs w:val="22"/>
          <w:i w:val="1"/>
          <w:iCs w:val="1"/>
          <w:color w:val="auto"/>
        </w:rPr>
        <w:t>purchase</w:t>
      </w:r>
      <w:r>
        <w:rPr>
          <w:rFonts w:ascii="Times New Roman" w:cs="Times New Roman" w:eastAsia="Times New Roman" w:hAnsi="Times New Roman"/>
          <w:sz w:val="22"/>
          <w:szCs w:val="22"/>
          <w:color w:val="auto"/>
        </w:rPr>
        <w:t>”)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w:t>
      </w:r>
    </w:p>
    <w:p>
      <w:pPr>
        <w:spacing w:after="0" w:line="17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Restricted Investment (all such payments and other actions set forth in these clauses (i) through</w:t>
      </w:r>
    </w:p>
    <w:p>
      <w:pPr>
        <w:spacing w:after="0" w:line="2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being collectively referred to as “</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at the time of and after giving effect to such Restricted Payment:</w:t>
      </w:r>
    </w:p>
    <w:p>
      <w:pPr>
        <w:spacing w:after="0" w:line="220" w:lineRule="exact"/>
        <w:rPr>
          <w:sz w:val="20"/>
          <w:szCs w:val="20"/>
          <w:color w:val="auto"/>
        </w:rPr>
      </w:pPr>
    </w:p>
    <w:p>
      <w:pPr>
        <w:jc w:val="both"/>
        <w:ind w:firstLine="8"/>
        <w:spacing w:after="0" w:line="252" w:lineRule="auto"/>
        <w:tabs>
          <w:tab w:leader="none" w:pos="49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$4,200,000,000, or</w:t>
      </w:r>
    </w:p>
    <w:p>
      <w:pPr>
        <w:spacing w:after="0" w:line="192" w:lineRule="exact"/>
        <w:rPr>
          <w:rFonts w:ascii="Times New Roman" w:cs="Times New Roman" w:eastAsia="Times New Roman" w:hAnsi="Times New Roman"/>
          <w:sz w:val="22"/>
          <w:szCs w:val="22"/>
          <w:color w:val="auto"/>
        </w:rPr>
      </w:pPr>
    </w:p>
    <w:p>
      <w:pPr>
        <w:jc w:val="both"/>
        <w:ind w:firstLine="8"/>
        <w:spacing w:after="0" w:line="252" w:lineRule="auto"/>
        <w:tabs>
          <w:tab w:leader="none" w:pos="539"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26"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Consolidated Net Income of Parent for the period (taken as one accounting period) from June 30, 2013 to the end of Parent’s most recently ended fiscal quarter for which internal financial statements are available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200" w:lineRule="exact"/>
        <w:rPr>
          <w:sz w:val="20"/>
          <w:szCs w:val="20"/>
          <w:color w:val="auto"/>
        </w:rPr>
      </w:pPr>
    </w:p>
    <w:p>
      <w:pPr>
        <w:spacing w:after="0" w:line="322"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21"/>
          <w:szCs w:val="21"/>
          <w:color w:val="auto"/>
        </w:rPr>
        <w:t>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w:t>
      </w:r>
    </w:p>
    <w:p>
      <w:pPr>
        <w:spacing w:after="0" w:line="161" w:lineRule="exact"/>
        <w:rPr>
          <w:sz w:val="20"/>
          <w:szCs w:val="20"/>
          <w:color w:val="auto"/>
        </w:rPr>
      </w:pPr>
    </w:p>
    <w:p>
      <w:pPr>
        <w:jc w:val="both"/>
        <w:ind w:left="660" w:firstLine="644"/>
        <w:spacing w:after="0" w:line="252" w:lineRule="auto"/>
        <w:tabs>
          <w:tab w:leader="none" w:pos="186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55"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w:t>
      </w:r>
    </w:p>
    <w:p>
      <w:pPr>
        <w:spacing w:after="0" w:line="19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2"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Restricted Investment that was made after the Closing Date is (i) sold for cash or otherwise cancelled, liquidated or repaid for cash or (ii) made in an entity that subsequently becomes a Restricted Subsidiary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initial amount of such Restricted Investment (or, if less, the amount of cash received upon repayment or sale); plus</w:t>
      </w:r>
    </w:p>
    <w:p>
      <w:pPr>
        <w:spacing w:after="0" w:line="220" w:lineRule="exact"/>
        <w:rPr>
          <w:sz w:val="20"/>
          <w:szCs w:val="20"/>
          <w:color w:val="auto"/>
        </w:rPr>
      </w:pPr>
    </w:p>
    <w:p>
      <w:pPr>
        <w:jc w:val="both"/>
        <w:ind w:left="660" w:firstLine="644"/>
        <w:spacing w:after="0" w:line="268" w:lineRule="auto"/>
        <w:tabs>
          <w:tab w:leader="none" w:pos="1931"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795"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w:t>
      </w:r>
    </w:p>
    <w:p>
      <w:pPr>
        <w:spacing w:after="0" w:line="17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provisions of Section 6.01(a) will not prohibit:</w:t>
      </w:r>
    </w:p>
    <w:p>
      <w:pPr>
        <w:spacing w:after="0" w:line="220" w:lineRule="exact"/>
        <w:rPr>
          <w:sz w:val="20"/>
          <w:szCs w:val="20"/>
          <w:color w:val="auto"/>
        </w:rPr>
      </w:pPr>
    </w:p>
    <w:p>
      <w:pPr>
        <w:jc w:val="both"/>
        <w:ind w:left="660" w:firstLine="644"/>
        <w:spacing w:after="0" w:line="256" w:lineRule="auto"/>
        <w:tabs>
          <w:tab w:leader="none" w:pos="1899"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14"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74"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in the case of any partnership or limited liability company, any similar distribution), distribution or payment by a Restricted Subsidiary of Parent to the holders of its Equity Interests on a pro rata basis;</w:t>
      </w:r>
    </w:p>
    <w:p>
      <w:pPr>
        <w:spacing w:after="0" w:line="172"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54"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redemption, defeasance or other acquisition or retirement for value of Indebtedness of the Borrower or any Guarantor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200" w:lineRule="exact"/>
        <w:rPr>
          <w:sz w:val="20"/>
          <w:szCs w:val="20"/>
          <w:color w:val="auto"/>
        </w:rPr>
      </w:pPr>
    </w:p>
    <w:p>
      <w:pPr>
        <w:spacing w:after="0" w:line="322"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contractually subordinated in right of payment to the Loans with the net cash proceeds from an incurrence of Permitted Refinancing Indebtedness;</w:t>
      </w:r>
    </w:p>
    <w:p>
      <w:pPr>
        <w:spacing w:after="0" w:line="158" w:lineRule="exact"/>
        <w:rPr>
          <w:sz w:val="20"/>
          <w:szCs w:val="20"/>
          <w:color w:val="auto"/>
        </w:rPr>
      </w:pPr>
    </w:p>
    <w:p>
      <w:pPr>
        <w:jc w:val="both"/>
        <w:ind w:left="660" w:firstLine="644"/>
        <w:spacing w:after="0" w:line="248" w:lineRule="auto"/>
        <w:tabs>
          <w:tab w:leader="none" w:pos="190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w:t>
      </w:r>
    </w:p>
    <w:p>
      <w:pPr>
        <w:spacing w:after="0" w:line="19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89"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80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cash, dividends, distributions, advances, common stock or other Restricted Payments by Parent or any of its Restricted Subsidiaries to allow the payment of cash in lieu of the issuance of fractional shares;</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0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and payment of dividends to holders of any class or series of Disqualified Stock of Parent or any Disqualified Stock or preferred stock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200" w:lineRule="exact"/>
        <w:rPr>
          <w:sz w:val="20"/>
          <w:szCs w:val="20"/>
          <w:color w:val="auto"/>
        </w:rPr>
      </w:pPr>
    </w:p>
    <w:p>
      <w:pPr>
        <w:spacing w:after="0" w:line="322"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any Restricted Subsidiary of Parent to the extent such dividends are included in the definition of “Fixed Charges” for such Person;</w:t>
      </w:r>
    </w:p>
    <w:p>
      <w:pPr>
        <w:spacing w:after="0" w:line="158" w:lineRule="exact"/>
        <w:rPr>
          <w:sz w:val="20"/>
          <w:szCs w:val="20"/>
          <w:color w:val="auto"/>
        </w:rPr>
      </w:pPr>
    </w:p>
    <w:p>
      <w:pPr>
        <w:ind w:left="1880" w:hanging="576"/>
        <w:spacing w:after="0"/>
        <w:tabs>
          <w:tab w:leader="none" w:pos="188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with Excluded Contributions;</w:t>
      </w:r>
    </w:p>
    <w:p>
      <w:pPr>
        <w:spacing w:after="0" w:line="23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83"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as a dividend or otherwise, of shares of Capital Stock of, or Indebtedness owed to Parent or any of its Restricted Subsidiaries by, any Unrestricted Subsidiary;</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74"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Payment in connection with any full or partial “spin-off” of a Subsidiary or similar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or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assets distributed or dividended do not include, directly or indirectly, any property or asset that constitutes Collateral;</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35"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distribution or dividend of assets or Capital Stock of any Person in connection with any full or partial “spin-off” of a Subsidiary or similar transactions having an aggregate Fair Market Value not to exceed $600,000,000 since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assets distributed or dividended do not include, directly or indirectly, any property or asset that constitutes Collateral;</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896"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Default or Event of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958"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207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1968"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payments in connection with a Permitted Bond Hedge Transaction and (b) the settlement of any related Permitted Warrant Transaction (i) by delivery of shares of Parent’s common stock upon settlement thereof or</w:t>
      </w:r>
    </w:p>
    <w:p>
      <w:pPr>
        <w:spacing w:after="0" w:line="1" w:lineRule="exact"/>
        <w:rPr>
          <w:rFonts w:ascii="Times New Roman" w:cs="Times New Roman" w:eastAsia="Times New Roman" w:hAnsi="Times New Roman"/>
          <w:sz w:val="22"/>
          <w:szCs w:val="22"/>
          <w:color w:val="auto"/>
        </w:rPr>
      </w:pPr>
    </w:p>
    <w:p>
      <w:pPr>
        <w:ind w:left="660" w:right="20" w:hanging="4"/>
        <w:spacing w:after="0" w:line="259" w:lineRule="auto"/>
        <w:tabs>
          <w:tab w:leader="none" w:pos="991"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set-off against the related Permitted Bond Hedge Transaction or (B) payment of an early termination amount thereof upon any early termination thereof in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200" w:lineRule="exact"/>
        <w:rPr>
          <w:sz w:val="20"/>
          <w:szCs w:val="20"/>
          <w:color w:val="auto"/>
        </w:rPr>
      </w:pPr>
    </w:p>
    <w:p>
      <w:pPr>
        <w:spacing w:after="0" w:line="32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stock or, in the case of a nationalization, insolvency, merger event (as a result of which holders of such common stock are entitled to receive cash or other consideration for their shares of such common stock) or similar transaction with respect to Parent or such common stock, cash and/or other property;</w:t>
      </w:r>
    </w:p>
    <w:p>
      <w:pPr>
        <w:spacing w:after="0" w:line="186" w:lineRule="exact"/>
        <w:rPr>
          <w:sz w:val="20"/>
          <w:szCs w:val="20"/>
          <w:color w:val="auto"/>
        </w:rPr>
      </w:pPr>
    </w:p>
    <w:p>
      <w:pPr>
        <w:ind w:left="1880" w:hanging="576"/>
        <w:spacing w:after="0"/>
        <w:tabs>
          <w:tab w:leader="none" w:pos="18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has occurred and is continuing, Restricted Payments (i) made to purchase or redeem Equity Interests of Parent or (ii) consisting of payments in respect of any Indebtedness (whether for purchase or prepayment thereof or otherwise);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04"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w:t>
      </w:r>
    </w:p>
    <w:p>
      <w:pPr>
        <w:spacing w:after="0" w:line="163"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repurchase of Accounts and/or related assets pursuant to a Receivables Repurchase Obligation.</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For purposes of determining compliance with this Section 6.01, if a proposed Restricted Payment (or portion thereof) meets the criteria of more than one of the categories of Restricted Payments described in clauses (1) through (22) of subparagraph (b)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Section 6.01, or is entitled to be made pursuant to subparagraph (a) of this Section 6.01, Parent will be entitled to classify on the date of its payment or later reclassify such Restricted Payment (or portion thereof) in any manner that complies with this Section 6.01.</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179" w:lineRule="exact"/>
        <w:rPr>
          <w:sz w:val="20"/>
          <w:szCs w:val="20"/>
          <w:color w:val="auto"/>
        </w:rPr>
      </w:pPr>
    </w:p>
    <w:p>
      <w:pPr>
        <w:jc w:val="right"/>
        <w:spacing w:after="0"/>
        <w:tabs>
          <w:tab w:leader="none" w:pos="820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2"/>
          <w:szCs w:val="22"/>
          <w:u w:val="single" w:color="auto"/>
          <w:color w:val="auto"/>
        </w:rPr>
        <w:t>Restrictions on Ability of Restricted Subsidiaries to Pay Dividends and Make Certain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1304"/>
        <w:spacing w:after="0" w:line="257" w:lineRule="auto"/>
        <w:tabs>
          <w:tab w:leader="none" w:pos="1789"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will not, and will not permit any of its Restricted Subsidiaries other than the Borrower to, directly or indirectly, create or permit to exist or become effective any consensual encumbrance or restriction on the ability of any such Restricted Subsidiary to:</w:t>
      </w:r>
    </w:p>
    <w:p>
      <w:pPr>
        <w:spacing w:after="0" w:line="173" w:lineRule="exact"/>
        <w:rPr>
          <w:sz w:val="20"/>
          <w:szCs w:val="20"/>
          <w:color w:val="auto"/>
        </w:rPr>
      </w:pPr>
    </w:p>
    <w:p>
      <w:pPr>
        <w:jc w:val="both"/>
        <w:ind w:left="660" w:firstLine="644"/>
        <w:spacing w:after="0" w:line="263" w:lineRule="auto"/>
        <w:tabs>
          <w:tab w:leader="none" w:pos="1948"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on its Capital Stock to Parent or any of its Restricted Subsidiaries or with respect to any other interest or participation in the profits of such Restricted Subsidiary, or measured by the profits of such Restricted Subsidiary;</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Indebtedness owed to Parent or any of its Restricted Subsidiaries;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loans or advances to Parent or any of its Restricted Subsidiaries;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or transfer any of its properties or assets to Parent or any of its Restricted Subsidiaries.</w:t>
      </w:r>
    </w:p>
    <w:p>
      <w:pPr>
        <w:spacing w:after="0" w:line="220" w:lineRule="exact"/>
        <w:rPr>
          <w:sz w:val="20"/>
          <w:szCs w:val="20"/>
          <w:color w:val="auto"/>
        </w:rPr>
      </w:pPr>
    </w:p>
    <w:p>
      <w:pPr>
        <w:ind w:left="1780" w:hanging="476"/>
        <w:spacing w:after="0"/>
        <w:tabs>
          <w:tab w:leader="none" w:pos="178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restrictions in Section 6.02(a) will not apply to encumbrances or restrictions existing under or by reason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7" w:lineRule="auto"/>
        <w:tabs>
          <w:tab w:leader="none" w:pos="180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(A) governing Existing Indebtedness, Credit Facilities and any other obligations, in each case as in effect on (or required by agreements in effect on) the Closing Date, (B) in effect on the Closing Date or (C) of US Airways Group, Inc. and any of its Subsidiaries in effect on the date of the AMR/US Airways Merger;</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975"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Collateral Documents, including any Intercreditor Agreement and any Other Intercreditor Agreement;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0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agreements governing other Indebtedness or shares of preferred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 or any reimbursement obligation with respect to LC Disbursements;</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 rule, regulation or order;</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3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181" w:lineRule="exact"/>
        <w:rPr>
          <w:rFonts w:ascii="Times New Roman" w:cs="Times New Roman" w:eastAsia="Times New Roman" w:hAnsi="Times New Roman"/>
          <w:sz w:val="22"/>
          <w:szCs w:val="22"/>
          <w:color w:val="auto"/>
        </w:rPr>
      </w:pPr>
    </w:p>
    <w:p>
      <w:pPr>
        <w:ind w:left="660" w:firstLine="644"/>
        <w:spacing w:after="0" w:line="284" w:lineRule="auto"/>
        <w:tabs>
          <w:tab w:leader="none" w:pos="186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contracts, licenses, leases and asset sale agreements entered into in the Ordinary Course of Business;</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75"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obligations for property acquired in the Ordinary Course of Business and Capital Lease Obligations that impose restrictions on the property (or proceeds thereof) purchased or leased of the nature described in clause (4) of Section 6.02(a);</w:t>
      </w:r>
    </w:p>
    <w:p>
      <w:pPr>
        <w:spacing w:after="0" w:line="172"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9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agreement for the sale or other disposition of a Restricted Subsidiary that restricts distributions, asset sales or loans by that Restricted Subsidiary pending its sale or other disposition;</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9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Refinancing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modification, restatement, renewal, extension, increase, supplement, refunding,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200" w:lineRule="exact"/>
        <w:rPr>
          <w:sz w:val="20"/>
          <w:szCs w:val="20"/>
          <w:color w:val="auto"/>
        </w:rPr>
      </w:pPr>
    </w:p>
    <w:p>
      <w:pPr>
        <w:spacing w:after="0" w:line="32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21"/>
          <w:szCs w:val="21"/>
          <w:color w:val="auto"/>
        </w:rPr>
        <w:t>replacement or refinancing is, in the good faith judgment of a senior financial officer of the Borrower, taken together as a whole, not materially more restrictive with respect to such dividend and other payment restrictions than those contained in</w:t>
      </w:r>
    </w:p>
    <w:p>
      <w:pPr>
        <w:spacing w:after="0" w:line="2" w:lineRule="exact"/>
        <w:rPr>
          <w:sz w:val="20"/>
          <w:szCs w:val="20"/>
          <w:color w:val="auto"/>
        </w:rPr>
      </w:pPr>
    </w:p>
    <w:p>
      <w:pPr>
        <w:ind w:left="660" w:right="20" w:hanging="4"/>
        <w:spacing w:after="0" w:line="261" w:lineRule="auto"/>
        <w:tabs>
          <w:tab w:leader="none" w:pos="1035"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or other payment restrictions prior to such amendment, modification, restatement, renewal, extension, increase, supplement, refunding, replacement or refinancing or (B) this Agreement;</w:t>
      </w:r>
    </w:p>
    <w:p>
      <w:pPr>
        <w:spacing w:after="0" w:line="16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 and Liens that limit the right of the debtor to dispose of the assets subject to such Liens;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97"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902"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cash or other deposits or net worth imposed by customers under contracts entered into in the Ordinary Course of Business;</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99"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or agreement entered into in connection with (or in anticipation of) any full or partial “spin-off” or similar transactions;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8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144"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existing under or by reason of Indebtedness or other contractual requirements of a Receivables Subsidiary or any Standard Securitization Undertaking, in each case, in connection with a Qualified Receivables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apply only to such Receivables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200" w:lineRule="exact"/>
        <w:rPr>
          <w:sz w:val="20"/>
          <w:szCs w:val="20"/>
          <w:color w:val="auto"/>
        </w:rPr>
      </w:pPr>
    </w:p>
    <w:p>
      <w:pPr>
        <w:spacing w:after="0" w:line="32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Reserved</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Disposition of Collateral</w:t>
      </w:r>
      <w:r>
        <w:rPr>
          <w:rFonts w:ascii="Times New Roman" w:cs="Times New Roman" w:eastAsia="Times New Roman" w:hAnsi="Times New Roman"/>
          <w:sz w:val="21"/>
          <w:szCs w:val="21"/>
          <w:color w:val="auto"/>
        </w:rPr>
        <w:t>. 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 (A) upon consummation of any such Disposition, no Event of Default shall have occurred and be continuing, (B) either (I) there is (1) no Collateral Coverage Ratio Failure after giving effect to such Disposition (including any deposit of any Net Proceeds received upon consummation thereof in the Collateral Proceeds Account subject to an Account Control Agreement) and (2) no Core Collateral Failure after giving effect to such Disposition;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w:t>
      </w:r>
    </w:p>
    <w:p>
      <w:pPr>
        <w:spacing w:after="0" w:line="5" w:lineRule="exact"/>
        <w:rPr>
          <w:sz w:val="20"/>
          <w:szCs w:val="20"/>
          <w:color w:val="auto"/>
        </w:rPr>
      </w:pPr>
    </w:p>
    <w:p>
      <w:pPr>
        <w:jc w:val="both"/>
        <w:ind w:firstLine="8"/>
        <w:spacing w:after="0" w:line="257" w:lineRule="auto"/>
        <w:tabs>
          <w:tab w:leader="none" w:pos="306"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less than 1.6 to 1.0 and (y) no Core Collateral Failure shall have occurred as a result of such Disposition;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Disposition that is not a voluntary Disposition of Collateral by the Borrower or such Grantor, the Borrower shall have up to 45 days after such Disposition to accomplish the actions contemplated by this clause (II); or (III) (1) the Borrower shall comply with its obligations set forth in Section 2.12(a), (2) no Collateral Coverage Ratio Failure has occurred and is continuing after giving effect to such Disposition and any prepayments or deposits made pursuant to Section 2.12(a) and (3) no Core Collateral Failure has occurred and is continuing after giving effect to such Disposition and any prepayments or deposits made pursuant to Section 2.12(a), (C) such sale or other Disposition, if to any other Person that is not a Subsidiary of the Borrower, is an arms’ length Disposition and</w:t>
      </w:r>
    </w:p>
    <w:p>
      <w:pPr>
        <w:spacing w:after="0" w:line="6" w:lineRule="exact"/>
        <w:rPr>
          <w:rFonts w:ascii="Times New Roman" w:cs="Times New Roman" w:eastAsia="Times New Roman" w:hAnsi="Times New Roman"/>
          <w:sz w:val="21"/>
          <w:szCs w:val="21"/>
          <w:color w:val="auto"/>
        </w:rPr>
      </w:pPr>
    </w:p>
    <w:p>
      <w:pPr>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the Borrower shall promptly provide to the Administrative Agent a Collateral Coverage Ratio Certificate calculating the Collateral Coverage Ratio and certifying that no Core Collateral Failure shall have occurred as a result of such Disposition.</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For the avoidance of doubt, none of (v) the reduction of the frequency of flight operations over any Scheduled Service, (w) 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 Leasehold constituting Collateral, as 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or Gate Leasehold otherwise constituting Collateral, as applicable, shall constitute a Disposition nor, solely with respect to this clause (y), result in the automatic release of such Collateral.</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8" w:lineRule="auto"/>
        <w:tabs>
          <w:tab w:leader="none" w:pos="1782"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 w:cs="Times New Roman" w:eastAsia="Times New Roman" w:hAnsi="Times New Roman"/>
          <w:sz w:val="21"/>
          <w:szCs w:val="21"/>
          <w:i w:val="1"/>
          <w:iCs w:val="1"/>
          <w:color w:val="auto"/>
        </w:rPr>
        <w:t>Affiliate Transaction</w:t>
      </w:r>
      <w:r>
        <w:rPr>
          <w:rFonts w:ascii="Times New Roman" w:cs="Times New Roman" w:eastAsia="Times New Roman" w:hAnsi="Times New Roman"/>
          <w:sz w:val="21"/>
          <w:szCs w:val="21"/>
          <w:color w:val="auto"/>
        </w:rPr>
        <w:t>”) involving aggregate payments or consideration in excess of $60,000,000, unless:</w:t>
      </w:r>
    </w:p>
    <w:p>
      <w:pPr>
        <w:spacing w:after="0" w:line="163" w:lineRule="exact"/>
        <w:rPr>
          <w:sz w:val="20"/>
          <w:szCs w:val="20"/>
          <w:color w:val="auto"/>
        </w:rPr>
      </w:pPr>
    </w:p>
    <w:p>
      <w:pPr>
        <w:jc w:val="both"/>
        <w:ind w:left="660" w:firstLine="644"/>
        <w:spacing w:after="0" w:line="256" w:lineRule="auto"/>
        <w:tabs>
          <w:tab w:leader="none" w:pos="179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delivers to the Administrative Agent: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666"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Affiliate Transaction or series of related Affiliate Transactions involving aggregate consideration in excess of $150,000,000, an Officer’s Certificate certifying that such Affiliate Transaction complies with clause (1) of this Section 6.05(a); and</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658"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w:t>
      </w:r>
    </w:p>
    <w:p>
      <w:pPr>
        <w:spacing w:after="0" w:line="193" w:lineRule="exact"/>
        <w:rPr>
          <w:sz w:val="20"/>
          <w:szCs w:val="20"/>
          <w:color w:val="auto"/>
        </w:rPr>
      </w:pPr>
    </w:p>
    <w:p>
      <w:pPr>
        <w:ind w:firstLine="1304"/>
        <w:spacing w:after="0" w:line="271" w:lineRule="auto"/>
        <w:tabs>
          <w:tab w:leader="none" w:pos="178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items will not be deemed to be Affiliate Transactions and, therefore, will not be subject to the provisions of Section 6.05(a):</w:t>
      </w:r>
    </w:p>
    <w:p>
      <w:pPr>
        <w:spacing w:after="0" w:line="158" w:lineRule="exact"/>
        <w:rPr>
          <w:sz w:val="20"/>
          <w:szCs w:val="20"/>
          <w:color w:val="auto"/>
        </w:rPr>
      </w:pPr>
    </w:p>
    <w:p>
      <w:pPr>
        <w:jc w:val="both"/>
        <w:ind w:left="660" w:firstLine="644"/>
        <w:spacing w:after="0" w:line="256" w:lineRule="auto"/>
        <w:tabs>
          <w:tab w:leader="none" w:pos="2068"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200" w:lineRule="exact"/>
        <w:rPr>
          <w:sz w:val="20"/>
          <w:szCs w:val="20"/>
          <w:color w:val="auto"/>
        </w:rPr>
      </w:pPr>
    </w:p>
    <w:p>
      <w:pPr>
        <w:spacing w:after="0" w:line="322" w:lineRule="exact"/>
        <w:rPr>
          <w:sz w:val="20"/>
          <w:szCs w:val="20"/>
          <w:color w:val="auto"/>
        </w:rPr>
      </w:pPr>
    </w:p>
    <w:p>
      <w:pPr>
        <w:ind w:left="660" w:firstLine="644"/>
        <w:spacing w:after="0" w:line="271" w:lineRule="auto"/>
        <w:tabs>
          <w:tab w:leader="none" w:pos="180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Restricted Subsidiaries (including without limitation in connection with (or in anticipation of) any full or partial “spin-off” or similar transactions);</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73"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a Person (other than an Unrestricted Subsidiary of Parent) that is an Affiliate of Parent solely because Parent owns, directly or through a Restricted Subsidiary, an Equity Interest in, or controls, such Person;</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7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issuance of Qualifying Equity Interests or any increase in the liquidation preference of preferred stock of</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Parent;</w:t>
      </w:r>
    </w:p>
    <w:p>
      <w:pPr>
        <w:spacing w:after="0" w:line="207"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3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and Restricted Payments that do not violate Section 6.01;</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92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employees in the Ordinary Course of Business not to exceed $30,000,000 in the aggregate at any one time outstanding;</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6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200" w:lineRule="exact"/>
        <w:rPr>
          <w:sz w:val="20"/>
          <w:szCs w:val="20"/>
          <w:color w:val="auto"/>
        </w:rPr>
      </w:pPr>
    </w:p>
    <w:p>
      <w:pPr>
        <w:spacing w:after="0" w:line="322" w:lineRule="exact"/>
        <w:rPr>
          <w:sz w:val="20"/>
          <w:szCs w:val="20"/>
          <w:color w:val="auto"/>
        </w:rPr>
      </w:pPr>
    </w:p>
    <w:p>
      <w:pPr>
        <w:ind w:left="660" w:right="20" w:firstLine="644"/>
        <w:spacing w:after="0" w:line="271" w:lineRule="auto"/>
        <w:tabs>
          <w:tab w:leader="none" w:pos="1917"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Subsidiaries or transactions between a Receivables Subsidiary and any Person in which the Receivables Subsidiary has an Investment;</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effected as part of a Qualified Receivables Transaction;</w:t>
      </w:r>
    </w:p>
    <w:p>
      <w:pPr>
        <w:spacing w:after="0" w:line="233" w:lineRule="exact"/>
        <w:rPr>
          <w:rFonts w:ascii="Times New Roman" w:cs="Times New Roman" w:eastAsia="Times New Roman" w:hAnsi="Times New Roman"/>
          <w:sz w:val="22"/>
          <w:szCs w:val="22"/>
          <w:color w:val="auto"/>
        </w:rPr>
      </w:pPr>
    </w:p>
    <w:p>
      <w:pPr>
        <w:ind w:left="660" w:firstLine="644"/>
        <w:spacing w:after="0" w:line="271" w:lineRule="auto"/>
        <w:tabs>
          <w:tab w:leader="none" w:pos="200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by Parent’s Affiliates of Indebtedness of Parent or any of its Restricted Subsidiaries, the majority of which Indebtedness is offered to Persons who are not Affiliates of Parent;</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contemplated by the Marketing and Service Agreements;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38"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Parent or any of its Restricted Subsidiaries with any employee labor unions or other employee groups of Parent or such Restricted Subsidiary provided such transactions are not otherwise prohibited by this Agreement;</w:t>
      </w:r>
    </w:p>
    <w:p>
      <w:pPr>
        <w:spacing w:after="0" w:line="16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captive insurance companies of Parent or any of its Restricted Subsidiaries;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2052"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Subsidiaries or transactions between a Non-Recourse Financing Subsidiary and any Person in which the Non-Recourse Financing Subsidiary has an Investment.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Parent will not, and will not permit any of its Restricted Subsidiaries to, directly or indirectly, create, incur, assume or suffer to exist any Lien of any kind on any property or asset that constitutes Collateral, except Permitted Liens.</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Business Activities</w:t>
      </w:r>
      <w:r>
        <w:rPr>
          <w:rFonts w:ascii="Times New Roman" w:cs="Times New Roman" w:eastAsia="Times New Roman" w:hAnsi="Times New Roman"/>
          <w:sz w:val="22"/>
          <w:szCs w:val="22"/>
          <w:color w:val="auto"/>
        </w:rPr>
        <w:t>. Parent will not, and will not permit any of its Restricted Subsidiaries to, engage in any business other than Permitted Businesses, except to such extent as would not be material to Parent and its Restricted Subsidiaries taken as a whole.</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Parent will not permit the aggregate amount of Liquidity at the close of any Business Day to be less than $2,200,000,000.</w:t>
      </w:r>
    </w:p>
    <w:p>
      <w:pPr>
        <w:spacing w:after="0" w:line="14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6.09.</w:t>
      </w:r>
      <w:r>
        <w:rPr>
          <w:sz w:val="20"/>
          <w:szCs w:val="20"/>
          <w:color w:val="auto"/>
        </w:rPr>
        <w:tab/>
      </w:r>
      <w:r>
        <w:rPr>
          <w:rFonts w:ascii="Times New Roman" w:cs="Times New Roman" w:eastAsia="Times New Roman" w:hAnsi="Times New Roman"/>
          <w:sz w:val="21"/>
          <w:szCs w:val="21"/>
          <w:u w:val="single" w:color="auto"/>
          <w:color w:val="auto"/>
        </w:rPr>
        <w:t>Collateral Coverage Ratio</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7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the delivery of an Appraisal pursuant to Section 5.06(1) (each such day, a “</w:t>
      </w:r>
      <w:r>
        <w:rPr>
          <w:rFonts w:ascii="Times New Roman" w:cs="Times New Roman" w:eastAsia="Times New Roman" w:hAnsi="Times New Roman"/>
          <w:sz w:val="22"/>
          <w:szCs w:val="22"/>
          <w:i w:val="1"/>
          <w:iCs w:val="1"/>
          <w:color w:val="auto"/>
        </w:rPr>
        <w:t>Reference Date</w:t>
      </w:r>
      <w:r>
        <w:rPr>
          <w:rFonts w:ascii="Times New Roman" w:cs="Times New Roman" w:eastAsia="Times New Roman" w:hAnsi="Times New Roman"/>
          <w:sz w:val="22"/>
          <w:szCs w:val="22"/>
          <w:color w:val="auto"/>
        </w:rPr>
        <w:t>,” and the tenth Business Day after a Reference Date, the “</w:t>
      </w:r>
      <w:r>
        <w:rPr>
          <w:rFonts w:ascii="Times New Roman" w:cs="Times New Roman" w:eastAsia="Times New Roman" w:hAnsi="Times New Roman"/>
          <w:sz w:val="22"/>
          <w:szCs w:val="22"/>
          <w:i w:val="1"/>
          <w:iCs w:val="1"/>
          <w:color w:val="auto"/>
        </w:rPr>
        <w:t>Certificate Delivery Date</w:t>
      </w:r>
      <w:r>
        <w:rPr>
          <w:rFonts w:ascii="Times New Roman" w:cs="Times New Roman" w:eastAsia="Times New Roman" w:hAnsi="Times New Roman"/>
          <w:sz w:val="22"/>
          <w:szCs w:val="22"/>
          <w:color w:val="auto"/>
        </w:rPr>
        <w:t>”), the Borrower will deliver to the Administrative Agent a Collateral Coverage Ratio Certificate (i) calculating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Coverage Ratio with respect to such Reference Date and (ii) for each Certificate Delivery Date, no Core Collateral Failure has occurred.</w:t>
      </w:r>
    </w:p>
    <w:p>
      <w:pPr>
        <w:spacing w:after="0" w:line="158" w:lineRule="exact"/>
        <w:rPr>
          <w:sz w:val="20"/>
          <w:szCs w:val="20"/>
          <w:color w:val="auto"/>
        </w:rPr>
      </w:pPr>
    </w:p>
    <w:p>
      <w:pPr>
        <w:jc w:val="both"/>
        <w:ind w:firstLine="1304"/>
        <w:spacing w:after="0" w:line="261" w:lineRule="auto"/>
        <w:tabs>
          <w:tab w:leader="none" w:pos="1794"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If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or (y) if at any time, it is determined that a Core Collateral Failure has occurred, the Borrower shall, no later than forty-five</w:t>
      </w:r>
    </w:p>
    <w:p>
      <w:pPr>
        <w:spacing w:after="0" w:line="2" w:lineRule="exact"/>
        <w:rPr>
          <w:rFonts w:ascii="Times New Roman" w:cs="Times New Roman" w:eastAsia="Times New Roman" w:hAnsi="Times New Roman"/>
          <w:sz w:val="21"/>
          <w:szCs w:val="21"/>
          <w:color w:val="auto"/>
        </w:rPr>
      </w:pPr>
    </w:p>
    <w:p>
      <w:pPr>
        <w:jc w:val="both"/>
        <w:ind w:firstLine="8"/>
        <w:spacing w:after="0" w:line="245" w:lineRule="auto"/>
        <w:tabs>
          <w:tab w:leader="none" w:pos="415"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of such determination, either (A) grant (or cause another Grantor to grant) a security interest in Additional Collateral such that following such grant, the Collateral shall include Core Collateral or (B) prepay the Loans in full in accordance with Section 2.12(h).</w:t>
      </w:r>
    </w:p>
    <w:p>
      <w:pPr>
        <w:spacing w:after="0" w:line="18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65"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in each case, that the following conditions are satisfied or waived: (A) no Event of Default shall have occurred and be continuing, (B) either (x) after giving effect to such release, the Collateral Coverage Ratio is not less than 1.6 to 1.0 or (y)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(C) no Core Collateral Failure shall have occurred as a result of such Borrower Release and (D) the Borrower shall deliver an Officer’s Certificate and a Collateral Coverage Ratio Certificate (which may be delivered in a combined certificate) demonstrating compliance with this Section 6.09(c) following such release. In connection herewith, the Collateral Agent agrees to promptly provide any documents or releases reasonably requested by the Borrower to evidence such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200" w:lineRule="exact"/>
        <w:rPr>
          <w:sz w:val="20"/>
          <w:szCs w:val="20"/>
          <w:color w:val="auto"/>
        </w:rPr>
      </w:pPr>
    </w:p>
    <w:p>
      <w:pPr>
        <w:spacing w:after="0" w:line="32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6.10.</w:t>
      </w:r>
      <w:r>
        <w:rPr>
          <w:sz w:val="20"/>
          <w:szCs w:val="20"/>
          <w:color w:val="auto"/>
        </w:rPr>
        <w:tab/>
      </w:r>
      <w:r>
        <w:rPr>
          <w:rFonts w:ascii="Times New Roman" w:cs="Times New Roman" w:eastAsia="Times New Roman" w:hAnsi="Times New Roman"/>
          <w:sz w:val="21"/>
          <w:szCs w:val="21"/>
          <w:u w:val="single" w:color="auto"/>
          <w:color w:val="auto"/>
        </w:rPr>
        <w:t>Merger, Consolidation, or Sale of Assets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980" w:hanging="676"/>
        <w:spacing w:after="0"/>
        <w:tabs>
          <w:tab w:leader="none" w:pos="198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Parent nor the Borrower (whichever is applicable, the “</w:t>
      </w:r>
      <w:r>
        <w:rPr>
          <w:rFonts w:ascii="Times New Roman" w:cs="Times New Roman" w:eastAsia="Times New Roman" w:hAnsi="Times New Roman"/>
          <w:sz w:val="22"/>
          <w:szCs w:val="22"/>
          <w:i w:val="1"/>
          <w:iCs w:val="1"/>
          <w:color w:val="auto"/>
        </w:rPr>
        <w:t>Subject Company</w:t>
      </w:r>
      <w:r>
        <w:rPr>
          <w:rFonts w:ascii="Times New Roman" w:cs="Times New Roman" w:eastAsia="Times New Roman" w:hAnsi="Times New Roman"/>
          <w:sz w:val="22"/>
          <w:szCs w:val="22"/>
          <w:color w:val="auto"/>
        </w:rPr>
        <w:t>”) shall directly or</w:t>
      </w:r>
    </w:p>
    <w:p>
      <w:pPr>
        <w:spacing w:after="0" w:line="31" w:lineRule="exact"/>
        <w:rPr>
          <w:rFonts w:ascii="Times New Roman" w:cs="Times New Roman" w:eastAsia="Times New Roman" w:hAnsi="Times New Roman"/>
          <w:sz w:val="22"/>
          <w:szCs w:val="22"/>
          <w:color w:val="auto"/>
        </w:rPr>
      </w:pPr>
    </w:p>
    <w:p>
      <w:pPr>
        <w:jc w:val="both"/>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w:t>
      </w:r>
    </w:p>
    <w:p>
      <w:pPr>
        <w:spacing w:after="0" w:line="178" w:lineRule="exact"/>
        <w:rPr>
          <w:sz w:val="20"/>
          <w:szCs w:val="20"/>
          <w:color w:val="auto"/>
        </w:rPr>
      </w:pPr>
    </w:p>
    <w:p>
      <w:pPr>
        <w:ind w:left="1780" w:hanging="476"/>
        <w:spacing w:after="0"/>
        <w:tabs>
          <w:tab w:leader="none" w:pos="17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1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Company is the surviving corporation; or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97"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9"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such transaction, no Event of Default exists;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42"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Company shall have delivered to the Administrative Agent an Officer’s Certificate stating that such consolidation, merger or transfer complies with this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167" w:lineRule="exact"/>
        <w:rPr>
          <w:sz w:val="20"/>
          <w:szCs w:val="20"/>
          <w:color w:val="auto"/>
        </w:rPr>
      </w:pPr>
    </w:p>
    <w:p>
      <w:pPr>
        <w:ind w:right="20" w:firstLine="1304"/>
        <w:spacing w:after="0" w:line="271" w:lineRule="auto"/>
        <w:tabs>
          <w:tab w:leader="none" w:pos="1855"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6.10(a) will not apply to any sale, assignment, transfer, conveyance, lease or other disposition of assets between or among Parent and/or its Restricted Subsidiaries.</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Clauses (3) and (4) of Section 6.10(a) will not apply to the AMR/US Airways Merger or any merger, consolidation or transfer of assets:</w:t>
      </w:r>
    </w:p>
    <w:p>
      <w:pPr>
        <w:spacing w:after="0" w:line="144"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between or among Parent and any of Parent’s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200" w:lineRule="exact"/>
        <w:rPr>
          <w:sz w:val="20"/>
          <w:szCs w:val="20"/>
          <w:color w:val="auto"/>
        </w:rPr>
      </w:pPr>
    </w:p>
    <w:p>
      <w:pPr>
        <w:spacing w:after="0" w:line="322" w:lineRule="exact"/>
        <w:rPr>
          <w:sz w:val="20"/>
          <w:szCs w:val="20"/>
          <w:color w:val="auto"/>
        </w:rPr>
      </w:pPr>
    </w:p>
    <w:p>
      <w:pPr>
        <w:ind w:left="1940" w:hanging="636"/>
        <w:spacing w:after="0"/>
        <w:tabs>
          <w:tab w:leader="none" w:pos="194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or among any of Parent’s Restricted Subsidiaries or by a Restricted Subsidiary that is not a</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or</w:t>
      </w:r>
    </w:p>
    <w:p>
      <w:pPr>
        <w:spacing w:after="0" w:line="19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or into an Affiliate solely for the purpose of reincorporating a Subject Company in another jurisdiction.</w:t>
      </w:r>
    </w:p>
    <w:p>
      <w:pPr>
        <w:spacing w:after="0" w:line="245" w:lineRule="exact"/>
        <w:rPr>
          <w:sz w:val="20"/>
          <w:szCs w:val="20"/>
          <w:color w:val="auto"/>
        </w:rPr>
      </w:pPr>
    </w:p>
    <w:p>
      <w:pPr>
        <w:jc w:val="both"/>
        <w:ind w:firstLine="1304"/>
        <w:spacing w:after="0" w:line="247" w:lineRule="auto"/>
        <w:tabs>
          <w:tab w:leader="none" w:pos="1752"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w:t>
      </w:r>
    </w:p>
    <w:p>
      <w:pPr>
        <w:spacing w:after="0" w:line="200" w:lineRule="exact"/>
        <w:rPr>
          <w:rFonts w:ascii="Times New Roman" w:cs="Times New Roman" w:eastAsia="Times New Roman" w:hAnsi="Times New Roman"/>
          <w:sz w:val="22"/>
          <w:szCs w:val="22"/>
          <w:color w:val="auto"/>
        </w:rPr>
      </w:pPr>
    </w:p>
    <w:p>
      <w:pPr>
        <w:ind w:right="20" w:firstLine="1304"/>
        <w:spacing w:after="0" w:line="295" w:lineRule="auto"/>
        <w:tabs>
          <w:tab w:leader="none" w:pos="1787"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merger of the Borrower with US Airways, where US Airways is the surviving entity, US Airways shall grant a security interest in, to and under all Collateral in which the Borrower had previously granted a security interest.</w:t>
      </w:r>
    </w:p>
    <w:p>
      <w:pPr>
        <w:spacing w:after="0" w:line="13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SECTION 6.11.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The Borrower will not, directly or indirectly, use the proceeds of the Loans or any Letter of Credit issued hereunder, or lend, contribute or otherwise make available such proceeds to any subsidiary, joint venture partner or other Person to fund any activities or business of or with any Person, or in any country or territory, that, at the time of such funding, is the subject of U.S. sanctions administered by the U.S. federal government (including OFAC), in any manner that would result in a violation of U.S. sanctions administered by the U.S. federal government (including OFAC)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Person (including any Person participating in the Loans, whether as Administrative Agent, arranger, Lender, underwriter, advisor, investor, or otherwise).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In the case of the happening of any of the following events and the continuance thereof beyond the applicable grace period if any (each, an “</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firstLine="644"/>
        <w:spacing w:after="0" w:line="253" w:lineRule="auto"/>
        <w:tabs>
          <w:tab w:leader="none" w:pos="1838"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03"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28"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17"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8"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Loan Document ceases to be in full force and effect (except as permitted by the terms of this Agreement or the Loan Documents or other than as a result of the action or inaction of any Agent) for a period of 60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200" w:lineRule="exact"/>
        <w:rPr>
          <w:sz w:val="20"/>
          <w:szCs w:val="20"/>
          <w:color w:val="auto"/>
        </w:rPr>
      </w:pPr>
    </w:p>
    <w:p>
      <w:pPr>
        <w:spacing w:after="0" w:line="322"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after the Borrower receives notice thereof or (B) any of the Collateral Documents ceases to give the Collateral Agent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w:t>
      </w:r>
    </w:p>
    <w:p>
      <w:pPr>
        <w:spacing w:after="0" w:line="195" w:lineRule="exact"/>
        <w:rPr>
          <w:sz w:val="20"/>
          <w:szCs w:val="20"/>
          <w:color w:val="auto"/>
        </w:rPr>
      </w:pPr>
    </w:p>
    <w:p>
      <w:pPr>
        <w:ind w:left="660" w:firstLine="644"/>
        <w:spacing w:after="0" w:line="271" w:lineRule="auto"/>
        <w:tabs>
          <w:tab w:leader="none" w:pos="190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any Significant Subsidiary or any group of Restricted Subsidiaries of Parent that, taken together, would constitute a Significant Subsidiary pursuant to or within the meaning of Bankruptcy Law:</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all or substantially all of its property,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 or</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admits in writing its inability generally to pay its debts;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554"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Parent, the Borrower, any Significant Subsidiary or any group of Restricted Subsidiaries of Parent that, taken together, would constitute a Significant Subsidiary in an involuntary case;</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7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200" w:lineRule="exact"/>
        <w:rPr>
          <w:sz w:val="20"/>
          <w:szCs w:val="20"/>
          <w:color w:val="auto"/>
        </w:rPr>
      </w:pPr>
    </w:p>
    <w:p>
      <w:pPr>
        <w:spacing w:after="0" w:line="322" w:lineRule="exact"/>
        <w:rPr>
          <w:sz w:val="20"/>
          <w:szCs w:val="20"/>
          <w:color w:val="auto"/>
        </w:rPr>
      </w:pPr>
    </w:p>
    <w:p>
      <w:pPr>
        <w:ind w:left="1300" w:firstLine="652"/>
        <w:spacing w:after="0" w:line="271" w:lineRule="auto"/>
        <w:tabs>
          <w:tab w:leader="none" w:pos="2452"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liquidation of Parent, the Borrower, any Significant Subsidiary or any group of Restricted Subsidiaries of Parent that, taken together, would constitute a Significant Subsidiary;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 in each case the order or decree remains unstayed and in effect for sixty (60) consecutive days; or</w:t>
      </w:r>
    </w:p>
    <w:p>
      <w:pPr>
        <w:spacing w:after="0" w:line="233" w:lineRule="exact"/>
        <w:rPr>
          <w:sz w:val="20"/>
          <w:szCs w:val="20"/>
          <w:color w:val="auto"/>
        </w:rPr>
      </w:pPr>
    </w:p>
    <w:p>
      <w:pPr>
        <w:jc w:val="both"/>
        <w:ind w:left="660" w:firstLine="644"/>
        <w:spacing w:after="0" w:line="250" w:lineRule="auto"/>
        <w:tabs>
          <w:tab w:leader="none" w:pos="179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 or</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882"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w:t>
      </w:r>
    </w:p>
    <w:p>
      <w:pPr>
        <w:spacing w:after="0" w:line="178" w:lineRule="exact"/>
        <w:rPr>
          <w:rFonts w:ascii="Times New Roman" w:cs="Times New Roman" w:eastAsia="Times New Roman" w:hAnsi="Times New Roman"/>
          <w:sz w:val="21"/>
          <w:szCs w:val="21"/>
          <w:color w:val="auto"/>
        </w:rPr>
      </w:pPr>
    </w:p>
    <w:p>
      <w:pPr>
        <w:ind w:left="660" w:right="20" w:firstLine="644"/>
        <w:spacing w:after="0" w:line="284" w:lineRule="auto"/>
        <w:tabs>
          <w:tab w:leader="none" w:pos="1765"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a Plan of the Borrower or an ERISA Affiliate pursuant to Section 4042 of ERISA and such termination would reasonably be expected to result in a Material Adverse Effect;</w:t>
      </w:r>
    </w:p>
    <w:p>
      <w:pPr>
        <w:spacing w:after="0" w:line="14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w:t>
      </w:r>
    </w:p>
    <w:p>
      <w:pPr>
        <w:spacing w:after="0" w:line="173"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terminate forthwith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1" w:lineRule="auto"/>
        <w:tabs>
          <w:tab w:leader="none" w:pos="185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1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6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72"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and all remedies under the Loan Documents and under applicable law available to the Administrative Agent and the Lenders.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THE AGENTS</w:t>
      </w:r>
    </w:p>
    <w:p>
      <w:pPr>
        <w:spacing w:after="0" w:line="23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Administration by Agents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71" w:lineRule="auto"/>
        <w:tabs>
          <w:tab w:leader="none" w:pos="1892"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irrevocably appoints each Agent as its agent and irrevocably authorizes such Agent, in such capacity,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w:t>
      </w:r>
    </w:p>
    <w:p>
      <w:pPr>
        <w:spacing w:after="0" w:line="176" w:lineRule="exact"/>
        <w:rPr>
          <w:sz w:val="20"/>
          <w:szCs w:val="20"/>
          <w:color w:val="auto"/>
        </w:rPr>
      </w:pPr>
    </w:p>
    <w:p>
      <w:pPr>
        <w:ind w:right="20" w:firstLine="1304"/>
        <w:spacing w:after="0" w:line="271" w:lineRule="auto"/>
        <w:tabs>
          <w:tab w:leader="none" w:pos="1837"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authorizes each of the Administrative Agent and the Collateral Agent, in its sole discretion, where applicable:</w:t>
      </w:r>
    </w:p>
    <w:p>
      <w:pPr>
        <w:spacing w:after="0" w:line="158" w:lineRule="exact"/>
        <w:rPr>
          <w:sz w:val="20"/>
          <w:szCs w:val="20"/>
          <w:color w:val="auto"/>
        </w:rPr>
      </w:pPr>
    </w:p>
    <w:p>
      <w:pPr>
        <w:jc w:val="both"/>
        <w:ind w:left="660" w:firstLine="644"/>
        <w:spacing w:after="0" w:line="263" w:lineRule="auto"/>
        <w:tabs>
          <w:tab w:leader="none" w:pos="175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Agent,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 or (z) as otherwise may be expressly provided in the relevant Collateral Documents, to release a Lien granted to the Collateral Agent, for the benefit of the Secured Parties, on any asset that is part of the Collateral of the Borrower or any other Grantor, as the case may be;</w:t>
      </w:r>
    </w:p>
    <w:p>
      <w:pPr>
        <w:spacing w:after="0" w:line="169"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797"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Agent, for the benefit of the Secured Parties;</w:t>
      </w:r>
    </w:p>
    <w:p>
      <w:pPr>
        <w:spacing w:after="0" w:line="192" w:lineRule="exact"/>
        <w:rPr>
          <w:rFonts w:ascii="Times New Roman" w:cs="Times New Roman" w:eastAsia="Times New Roman" w:hAnsi="Times New Roman"/>
          <w:sz w:val="22"/>
          <w:szCs w:val="22"/>
          <w:color w:val="auto"/>
        </w:rPr>
      </w:pPr>
    </w:p>
    <w:p>
      <w:pPr>
        <w:ind w:left="660" w:firstLine="644"/>
        <w:spacing w:after="0" w:line="271" w:lineRule="auto"/>
        <w:tabs>
          <w:tab w:leader="none" w:pos="1907"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other Loan Documents on terms acceptable to the Administrative Agent or the Collateral Agent, as applicable, and to perform its respective obligations thereunder;</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84"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any documents or instruments necessary to release any Guarantor from the guarantees provided herein pursuant to Section 9.05;</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4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Collateral Documents, any Intercreditor Agreement or any Other Intercreditor Agreement (and/or subordination agreements on terms reasonably acceptable to the Collateral Agent and the Administrative Agent) and in each case to perform its obligations thereunder and to take such action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exercise the powers, rights and remedies granted to it thereunder and with respect thereto; and</w:t>
      </w:r>
    </w:p>
    <w:p>
      <w:pPr>
        <w:spacing w:after="0" w:line="220" w:lineRule="exact"/>
        <w:rPr>
          <w:sz w:val="20"/>
          <w:szCs w:val="20"/>
          <w:color w:val="auto"/>
        </w:rPr>
      </w:pPr>
    </w:p>
    <w:p>
      <w:pPr>
        <w:jc w:val="both"/>
        <w:ind w:left="660" w:firstLine="644"/>
        <w:spacing w:after="0" w:line="263" w:lineRule="auto"/>
        <w:tabs>
          <w:tab w:leader="none" w:pos="1859"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any other agreements in the forms contemplated hereby or otherwise reasonably satisfactory to the Administrative Agent granting Liens to the Collateral Agent, for the benefit of the Secured Parties, on any assets of the Borrower or any other Grantor to secure the Obligations.</w:t>
      </w:r>
    </w:p>
    <w:p>
      <w:pPr>
        <w:spacing w:after="0" w:line="167" w:lineRule="exact"/>
        <w:rPr>
          <w:sz w:val="20"/>
          <w:szCs w:val="20"/>
          <w:color w:val="auto"/>
        </w:rPr>
      </w:pPr>
    </w:p>
    <w:p>
      <w:pPr>
        <w:jc w:val="both"/>
        <w:ind w:firstLine="1304"/>
        <w:spacing w:after="0" w:line="257" w:lineRule="auto"/>
        <w:tabs>
          <w:tab w:leader="none" w:pos="1848"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may appoint the Administrative Agent as its agent for the purposes of holding any Collateral and/or perfecting the Collateral Agent’s security interest therein and for the purpose of taking such other action with respect to the Collateral as such Agents may from time to time agree.</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property described in clause (d) of the definition of “Additional Collateral” is to be pledged by the Borrower or any other Grantor as Additional Collateral, the Collateral Agent will appoint Wilmington Trust Company or another trustee designated by the Borrower and reasonably acceptable to the Collateral Agent to serve as the security trustee under the applicable Aircraft Security Agreement with respect to such Additional Collateral, and in such event, references herein to the “Collateral Agent” with respect to such Additional Collateral and such Aircraft Security Agreement, as the context requires, shall be deemed to refer to such security trustee. The Collateral Agent will cause such trustee to join any Intercreditor Agreements and/or any Other Intercreditor Agreements.</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Rights of Agents</w:t>
      </w:r>
      <w:r>
        <w:rPr>
          <w:rFonts w:ascii="Times New Roman" w:cs="Times New Roman" w:eastAsia="Times New Roman" w:hAnsi="Times New Roman"/>
          <w:sz w:val="22"/>
          <w:szCs w:val="22"/>
          <w:color w:val="auto"/>
        </w:rPr>
        <w:t>.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w:t>
      </w:r>
    </w:p>
    <w:p>
      <w:pPr>
        <w:spacing w:after="0" w:line="19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Liability of Agents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798"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disclose, and shall not be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200" w:lineRule="exact"/>
        <w:rPr>
          <w:sz w:val="20"/>
          <w:szCs w:val="20"/>
          <w:color w:val="auto"/>
        </w:rPr>
      </w:pPr>
    </w:p>
    <w:p>
      <w:pPr>
        <w:spacing w:after="0" w:line="3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w:t>
      </w:r>
    </w:p>
    <w:p>
      <w:pPr>
        <w:spacing w:after="0" w:line="187" w:lineRule="exact"/>
        <w:rPr>
          <w:sz w:val="20"/>
          <w:szCs w:val="20"/>
          <w:color w:val="auto"/>
        </w:rPr>
      </w:pPr>
    </w:p>
    <w:p>
      <w:pPr>
        <w:jc w:val="both"/>
        <w:ind w:firstLine="1304"/>
        <w:spacing w:after="0" w:line="265" w:lineRule="auto"/>
        <w:tabs>
          <w:tab w:leader="none" w:pos="1874"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w:t>
      </w:r>
    </w:p>
    <w:p>
      <w:pPr>
        <w:spacing w:after="0" w:line="182"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6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may perform any and all of its duties and exercise its rights and powers by or through any one or more sub-agents appointed by it (including the Collateral Agent, in the case of the Administrative Agent). Each Agent and any such sub-agent may perform any and all of its duties and exercise its rights and powers through its Related Parties. The exculpatory provisions of the preceding paragraphs shall apply to any such sub-agent and to the Related Parties of each Agent and any such sub-agent,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apply to their respective activities in connection with the syndication of the credit facilities provided for herein as well as activities as Administrative Agent or Collateral Agent.</w:t>
      </w:r>
    </w:p>
    <w:p>
      <w:pPr>
        <w:spacing w:after="0" w:line="158" w:lineRule="exact"/>
        <w:rPr>
          <w:sz w:val="20"/>
          <w:szCs w:val="20"/>
          <w:color w:val="auto"/>
        </w:rPr>
      </w:pPr>
    </w:p>
    <w:p>
      <w:pPr>
        <w:jc w:val="both"/>
        <w:ind w:firstLine="1304"/>
        <w:spacing w:after="0" w:line="256" w:lineRule="auto"/>
        <w:tabs>
          <w:tab w:leader="none" w:pos="1779"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herein to the contrary notwithstanding, none of the Joint Structuring Agents, Joint Lead Arrangers and Bookrunners or the Joint Bookrunners listed on the cover page hereof shall have any powers, duties or responsibilities under this Agreement or any of the other Loan Documents, except in its capacity, as applicable, as the Administrative Agent, Collateral Agent, a Lender or the Issuing Lender.</w:t>
      </w:r>
    </w:p>
    <w:p>
      <w:pPr>
        <w:spacing w:after="0" w:line="17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62"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have any obligation whatsoever to the Lenders or to any other Person to assure that the Collateral exists or is owned by the applicable Grantor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 it being understood and agreed that (as between the Collateral Agent and the Lenders)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in a final non-appealable judgment by a court of competent jurisdiction.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9"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assignor of a Loan or seller of a participation hereunder shall be entitled to rely conclusively on a representation of the assignee Lender or Participant in the relevant Assignment and Acceptance or participation agreement, as applicable, that such assignee Lender or Participant is not a Disqualified Institution. No Agent shall have any responsibility or liability for monitoring the list or identities of, or enforcing provisions relating to, Disqualified Institutions.</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Reimbursement and Indemnification</w:t>
      </w:r>
      <w:r>
        <w:rPr>
          <w:rFonts w:ascii="Times New Roman" w:cs="Times New Roman" w:eastAsia="Times New Roman" w:hAnsi="Times New Roman"/>
          <w:sz w:val="22"/>
          <w:szCs w:val="22"/>
          <w:color w:val="auto"/>
        </w:rPr>
        <w:t>.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the Collateral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w:t>
      </w:r>
    </w:p>
    <w:p>
      <w:pPr>
        <w:spacing w:after="0" w:line="19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Successor Agents</w:t>
      </w:r>
      <w:r>
        <w:rPr>
          <w:rFonts w:ascii="Times New Roman" w:cs="Times New Roman" w:eastAsia="Times New Roman" w:hAnsi="Times New Roman"/>
          <w:sz w:val="22"/>
          <w:szCs w:val="22"/>
          <w:color w:val="auto"/>
        </w:rPr>
        <w:t>. Subject to the appointment and acceptance of a successor agent as provided in this paragraph, (i) each Agent may be removed by the Borrower or the Required Lenders if such Agent or a controlling affiliate of such Agent is a Defaulting Lender and (ii) any Agent may resign upon ten (10) days’ notice to the Lenders, the Issuing Lenders and the Borrower. Upon any such removal or resignation by any Agent, the Required Lenders shall appoint, with the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 days after the retiring Agent gives notice of its resignation, then the retiring Agent may, with the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Independent Lenders</w:t>
      </w:r>
      <w:r>
        <w:rPr>
          <w:rFonts w:ascii="Times New Roman" w:cs="Times New Roman" w:eastAsia="Times New Roman" w:hAnsi="Times New Roman"/>
          <w:sz w:val="22"/>
          <w:szCs w:val="22"/>
          <w:color w:val="auto"/>
        </w:rPr>
        <w:t>.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200" w:lineRule="exact"/>
        <w:rPr>
          <w:sz w:val="20"/>
          <w:szCs w:val="20"/>
          <w:color w:val="auto"/>
        </w:rPr>
      </w:pPr>
    </w:p>
    <w:p>
      <w:pPr>
        <w:spacing w:after="0" w:line="32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3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Advances and 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1" w:lineRule="auto"/>
        <w:tabs>
          <w:tab w:leader="none" w:pos="1808"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4"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received by the Administrative Agent in connection with this Agreement (other than amounts to which the Administrative Agent is entitled pursuant to Sections 2.19, 2.20(a),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spacing w:after="0" w:line="18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Sharing of Setoffs</w:t>
      </w:r>
      <w:r>
        <w:rPr>
          <w:rFonts w:ascii="Times New Roman" w:cs="Times New Roman" w:eastAsia="Times New Roman" w:hAnsi="Times New Roman"/>
          <w:sz w:val="22"/>
          <w:szCs w:val="22"/>
          <w:color w:val="auto"/>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200" w:lineRule="exact"/>
        <w:rPr>
          <w:sz w:val="20"/>
          <w:szCs w:val="20"/>
          <w:color w:val="auto"/>
        </w:rPr>
      </w:pPr>
    </w:p>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8.09.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including any penalties or interest and together with any expenses incurred.</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Appointment by Secured Parties</w:t>
      </w:r>
      <w:r>
        <w:rPr>
          <w:rFonts w:ascii="Times New Roman" w:cs="Times New Roman" w:eastAsia="Times New Roman" w:hAnsi="Times New Roman"/>
          <w:sz w:val="22"/>
          <w:szCs w:val="22"/>
          <w:color w:val="auto"/>
        </w:rPr>
        <w:t xml:space="preserve">. Each Secured Party that is not a party to this Agreement shall be deemed to have appointed each of the Administrative Agent and the Collateral Agent as its agent under the Loan Documents in accordance with the terms of this Article VIII and to have acknowledged that the provisions of this Article VIII apply to such Secured Party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as though it were a party hereto (and any acceptance by such Secured Party of the benefits of this Agreement or any other Loan Document shall be deemed an acknowledgment of the foregoing).</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Delivery of Information</w:t>
      </w:r>
      <w:r>
        <w:rPr>
          <w:rFonts w:ascii="Times New Roman" w:cs="Times New Roman" w:eastAsia="Times New Roman" w:hAnsi="Times New Roman"/>
          <w:sz w:val="22"/>
          <w:szCs w:val="22"/>
          <w:color w:val="auto"/>
        </w:rPr>
        <w:t>.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304"/>
        <w:spacing w:after="0" w:line="271" w:lineRule="auto"/>
        <w:tabs>
          <w:tab w:leader="none" w:pos="1811"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each Issuing Lender (and each Participant of any of the foregoing, by its acceptance of a Participation) hereby acknowledges and agrees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200" w:lineRule="exact"/>
        <w:rPr>
          <w:sz w:val="20"/>
          <w:szCs w:val="20"/>
          <w:color w:val="auto"/>
        </w:rPr>
      </w:pPr>
    </w:p>
    <w:p>
      <w:pPr>
        <w:spacing w:after="0" w:line="3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Administrative Agent notifies such Lender or Issuing Lender that the Administrative Agent has determined in its sole discretion that any funds (or any portion thereof) received by such Lender or Issuing Lender (any of the foregoing,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from the Administrative Agent (or any of its Affiliates) were erroneously transmitted to, or otherwise erroneously or mistakenly received by, such Payment Recipient (whether or not known to such Payment Recipient) (whether as a payment, prepayment or repayment of principal, interest, fees or otherwise; individually and collectively,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and demands the return of such Payment, such Payment Recipient shall promptly, but in no event later than one Business Day thereafter, return to the Administrative Agent the amount of any such Payment as to which such a demand was made. A notice of the Administrative Agent to any Payment Recipient under this Section shall be conclusive, absent manifest error.</w:t>
      </w:r>
    </w:p>
    <w:p>
      <w:pPr>
        <w:spacing w:after="0" w:line="195" w:lineRule="exact"/>
        <w:rPr>
          <w:sz w:val="20"/>
          <w:szCs w:val="20"/>
          <w:color w:val="auto"/>
        </w:rPr>
      </w:pPr>
    </w:p>
    <w:p>
      <w:pPr>
        <w:jc w:val="both"/>
        <w:ind w:firstLine="1304"/>
        <w:spacing w:after="0" w:line="247" w:lineRule="auto"/>
        <w:tabs>
          <w:tab w:leader="none" w:pos="1777"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clause (a) above, each Payment Recipient further acknowledges and agrees that if such Payment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(y) that was not preceded or accompanied by a Payment Notice, or (z) that such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Payment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190" w:lineRule="exact"/>
        <w:rPr>
          <w:rFonts w:ascii="Times New Roman" w:cs="Times New Roman" w:eastAsia="Times New Roman" w:hAnsi="Times New Roman"/>
          <w:sz w:val="22"/>
          <w:szCs w:val="22"/>
          <w:color w:val="auto"/>
        </w:rPr>
      </w:pPr>
    </w:p>
    <w:p>
      <w:pPr>
        <w:jc w:val="both"/>
        <w:ind w:firstLine="1304"/>
        <w:spacing w:after="0" w:line="264" w:lineRule="auto"/>
        <w:tabs>
          <w:tab w:leader="none" w:pos="1778"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required to be returned by a Payment Recipient under this Section shall be made in same-day funds in the currency so received, together with interest thereon in respect of each day from and including the date such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 Each Payment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6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7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Guarantor hereby agrees that (x) in the event an erroneous Payment (or portion thereof) is not recovered from any Lender that has received such Payment (or portion thereof) for any reason, the Administrative Agent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subrogated to all the rights of such Lender with respect to such amount and (y) an erroneous Payment shall not pay, prepay, repay, discharge or otherwise satisfy any Obligations owed by the Borrower or any Guarantor except, in each case, to the extent such erroneous Payment is, and with respect to the amount of such erroneous Payment that is, comprised of funds of the Borrower or any Guarantor.</w:t>
      </w:r>
    </w:p>
    <w:p>
      <w:pPr>
        <w:spacing w:after="0" w:line="176" w:lineRule="exact"/>
        <w:rPr>
          <w:sz w:val="20"/>
          <w:szCs w:val="20"/>
          <w:color w:val="auto"/>
        </w:rPr>
      </w:pPr>
    </w:p>
    <w:p>
      <w:pPr>
        <w:jc w:val="both"/>
        <w:ind w:firstLine="1304"/>
        <w:spacing w:after="0" w:line="252" w:lineRule="auto"/>
        <w:tabs>
          <w:tab w:leader="none" w:pos="185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 xml:space="preserve">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Loan Document.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GUARANTY</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854"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cs="Times New Roman" w:eastAsia="Times New Roman" w:hAnsi="Times New Roman"/>
          <w:sz w:val="21"/>
          <w:szCs w:val="21"/>
          <w:i w:val="1"/>
          <w:iCs w:val="1"/>
          <w:color w:val="auto"/>
        </w:rPr>
        <w:t>Guaranteed Obligations</w:t>
      </w:r>
      <w:r>
        <w:rPr>
          <w:rFonts w:ascii="Times New Roman" w:cs="Times New Roman" w:eastAsia="Times New Roman" w:hAnsi="Times New Roman"/>
          <w:sz w:val="21"/>
          <w:szCs w:val="21"/>
          <w:color w:val="auto"/>
        </w:rPr>
        <w:t>” and the obligations of each Guarantor in respect thereof, its “</w:t>
      </w:r>
      <w:r>
        <w:rPr>
          <w:rFonts w:ascii="Times New Roman" w:cs="Times New Roman" w:eastAsia="Times New Roman" w:hAnsi="Times New Roman"/>
          <w:sz w:val="21"/>
          <w:szCs w:val="21"/>
          <w:i w:val="1"/>
          <w:iCs w:val="1"/>
          <w:color w:val="auto"/>
        </w:rPr>
        <w:t>Guaranty Obligations</w:t>
      </w:r>
      <w:r>
        <w:rPr>
          <w:rFonts w:ascii="Times New Roman" w:cs="Times New Roman" w:eastAsia="Times New Roman" w:hAnsi="Times New Roman"/>
          <w:sz w:val="21"/>
          <w:szCs w:val="21"/>
          <w:color w:val="auto"/>
        </w:rPr>
        <w:t>”). Each of the Guarantors further agrees that, to the extent permitted by applicable law, the Obligations may be extended or renewed, in whole or in part, without notice to or further assent from such Guarantor,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w:t>
      </w:r>
    </w:p>
    <w:p>
      <w:pPr>
        <w:spacing w:after="0" w:line="186"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09"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herein or in any other Loan Document to the contrary notwithstanding,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7"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200" w:lineRule="exact"/>
        <w:rPr>
          <w:sz w:val="20"/>
          <w:szCs w:val="20"/>
          <w:color w:val="auto"/>
        </w:rPr>
      </w:pPr>
    </w:p>
    <w:p>
      <w:pPr>
        <w:spacing w:after="0" w:line="322" w:lineRule="exact"/>
        <w:rPr>
          <w:sz w:val="20"/>
          <w:szCs w:val="20"/>
          <w:color w:val="auto"/>
        </w:rPr>
      </w:pPr>
    </w:p>
    <w:p>
      <w:pPr>
        <w:jc w:val="both"/>
        <w:ind w:firstLine="8"/>
        <w:spacing w:after="0" w:line="249" w:lineRule="auto"/>
        <w:tabs>
          <w:tab w:leader="none" w:pos="265"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other than pursuant to a written agreement in compliance with Section 10.08; (iv) the release, exchange, waiver or foreclosure of any security held by the Collateral Agent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24" w:val="left"/>
        </w:tabs>
        <w:numPr>
          <w:ilvl w:val="1"/>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w:t>
      </w:r>
    </w:p>
    <w:p>
      <w:pPr>
        <w:spacing w:after="0" w:line="163"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87"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87"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the Obligations becoming due and payable (by acceleration or otherwise), the Lenders shall be entitled to prompt and complete payment of such Obligations by the Guarantors upon written demand by the Administrative Agent.</w:t>
      </w:r>
    </w:p>
    <w:p>
      <w:pPr>
        <w:spacing w:after="0" w:line="167"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Right of Contribution</w:t>
      </w:r>
      <w:r>
        <w:rPr>
          <w:rFonts w:ascii="Times New Roman" w:cs="Times New Roman" w:eastAsia="Times New Roman" w:hAnsi="Times New Roman"/>
          <w:sz w:val="22"/>
          <w:szCs w:val="22"/>
          <w:color w:val="auto"/>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200" w:lineRule="exact"/>
        <w:rPr>
          <w:sz w:val="20"/>
          <w:szCs w:val="20"/>
          <w:color w:val="auto"/>
        </w:rPr>
      </w:pPr>
    </w:p>
    <w:p>
      <w:pPr>
        <w:spacing w:after="0" w:line="3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Times New Roman" w:cs="Times New Roman" w:eastAsia="Times New Roman" w:hAnsi="Times New Roman"/>
          <w:sz w:val="22"/>
          <w:szCs w:val="22"/>
          <w:i w:val="1"/>
          <w:iCs w:val="1"/>
          <w:color w:val="auto"/>
        </w:rPr>
        <w:t>Adjusted Net Worth</w:t>
      </w:r>
      <w:r>
        <w:rPr>
          <w:rFonts w:ascii="Times New Roman" w:cs="Times New Roman" w:eastAsia="Times New Roman" w:hAnsi="Times New Roman"/>
          <w:sz w:val="22"/>
          <w:szCs w:val="22"/>
          <w:color w:val="auto"/>
        </w:rPr>
        <w:t>” of any Guarantor shall mean at any time, the greater of (x) $0 and (y) the amount by which the fair saleable value of such Guarantor’s assets on the date of the respective payment hereunder exceeds its debts and other liabilities (including contingent liabilities, but without giving effect to any of its obligations under this Agreement or any other Loan Documents) on such date.</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Continuation and Reinstatement, etc</w:t>
      </w:r>
      <w:r>
        <w:rPr>
          <w:rFonts w:ascii="Times New Roman" w:cs="Times New Roman" w:eastAsia="Times New Roman" w:hAnsi="Times New Roman"/>
          <w:sz w:val="22"/>
          <w:szCs w:val="22"/>
          <w:color w:val="auto"/>
        </w:rPr>
        <w:t>.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9.05.</w:t>
      </w:r>
      <w:r>
        <w:rPr>
          <w:sz w:val="20"/>
          <w:szCs w:val="20"/>
          <w:color w:val="auto"/>
        </w:rPr>
        <w:tab/>
      </w:r>
      <w:r>
        <w:rPr>
          <w:rFonts w:ascii="Times New Roman" w:cs="Times New Roman" w:eastAsia="Times New Roman" w:hAnsi="Times New Roman"/>
          <w:sz w:val="21"/>
          <w:szCs w:val="21"/>
          <w:u w:val="single" w:color="auto"/>
          <w:color w:val="auto"/>
        </w:rPr>
        <w:t>Discharge of Guaranty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12"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disposition of all or substantially all of the assets of such Guarantor) will be automatically released and relieved of any obligations under its Guarantee of the Guaranteed Obligations.</w:t>
      </w:r>
    </w:p>
    <w:p>
      <w:pPr>
        <w:spacing w:after="0" w:line="158" w:lineRule="exact"/>
        <w:rPr>
          <w:sz w:val="20"/>
          <w:szCs w:val="20"/>
          <w:color w:val="auto"/>
        </w:rPr>
      </w:pPr>
    </w:p>
    <w:p>
      <w:pPr>
        <w:jc w:val="both"/>
        <w:ind w:firstLine="1304"/>
        <w:spacing w:after="0" w:line="262" w:lineRule="auto"/>
        <w:tabs>
          <w:tab w:leader="none" w:pos="1906"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Junior Secured Debt shall be irrevocably released and discharged substantially simultaneously with the release of such guarantee hereunder.</w:t>
      </w:r>
    </w:p>
    <w:p>
      <w:pPr>
        <w:spacing w:after="0" w:line="171" w:lineRule="exact"/>
        <w:rPr>
          <w:rFonts w:ascii="Times New Roman" w:cs="Times New Roman" w:eastAsia="Times New Roman" w:hAnsi="Times New Roman"/>
          <w:sz w:val="21"/>
          <w:szCs w:val="21"/>
          <w:color w:val="auto"/>
        </w:rPr>
      </w:pPr>
    </w:p>
    <w:p>
      <w:pPr>
        <w:jc w:val="both"/>
        <w:ind w:firstLine="1304"/>
        <w:spacing w:after="0" w:line="263" w:lineRule="auto"/>
        <w:tabs>
          <w:tab w:leader="none" w:pos="175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use commercially reasonable efforts to execute and deliver, at the Borrower’s expense, such documents as the Borrower or any such Guarantor may reasonably request to evidence the release of the guaranty of such Guarantor provided herein.</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5"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will be automatically released and relieved of any obligations under its Guarantee of the Guaranteed Obligations upon the first date on which all of the Loans and Obligations (other than any Obligations owing to a Non-Lender Secured Party) then due and owing shall have been satisfied by payment in full in cash, no Letter of Credit shall be outstanding (except for Letters of Credit that have been Cash Collateralized or otherwise provided for in a manner reasonably satisfactory to the Administrative Agent) and the Commitments shall be terminated.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11"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or sent by facsimile,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6" w:lineRule="auto"/>
        <w:tabs>
          <w:tab w:leader="none" w:pos="182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or any Guarantor, to it at American Airlines, Inc., 4333 Amon Carter Boulevard, Mail Drop 5662, Fort Worth, TX 76155, facsimile: ###; Attention: Treasurer and, in respect of notices of proposed assignments of Loans or Commitments to the Borrower by email at ### (which shall not constitute notice); with copies to: Latham &amp; Watkins LLP, 140 Scott Drive, Menlo Park, CA 94025, email: ###; Attention: Tony Richmond;</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to it at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745 7th 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Wendar Chen</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 ###</w:t>
      </w:r>
    </w:p>
    <w:p>
      <w:pPr>
        <w:spacing w:after="0" w:line="19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1"/>
          <w:szCs w:val="21"/>
          <w:color w:val="auto"/>
        </w:rPr>
        <w:t>if to the Collateral Agent, to it at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745 7th Avenue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Wendar Chen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 ###</w:t>
      </w:r>
    </w:p>
    <w:p>
      <w:pPr>
        <w:spacing w:after="0" w:line="196" w:lineRule="exact"/>
        <w:rPr>
          <w:sz w:val="20"/>
          <w:szCs w:val="20"/>
          <w:color w:val="auto"/>
        </w:rPr>
      </w:pPr>
    </w:p>
    <w:p>
      <w:pPr>
        <w:jc w:val="both"/>
        <w:ind w:left="660" w:firstLine="644"/>
        <w:spacing w:after="0" w:line="256" w:lineRule="auto"/>
        <w:tabs>
          <w:tab w:leader="none" w:pos="1871"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8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telecopy number) set forth in Annex A hereto or, if subsequently delivered, an Assignment and Acceptance.</w:t>
      </w:r>
    </w:p>
    <w:p>
      <w:pPr>
        <w:spacing w:after="0" w:line="171" w:lineRule="exact"/>
        <w:rPr>
          <w:sz w:val="20"/>
          <w:szCs w:val="20"/>
          <w:color w:val="auto"/>
        </w:rPr>
      </w:pPr>
    </w:p>
    <w:p>
      <w:pPr>
        <w:jc w:val="both"/>
        <w:ind w:firstLine="1304"/>
        <w:spacing w:after="0" w:line="265" w:lineRule="auto"/>
        <w:tabs>
          <w:tab w:leader="none" w:pos="1860"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approval of such procedures may be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particular notices or communications;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approval shall be required for any notice delivered to the Administrative Agent by electronic mail pursuant to Section 2.05(b) or Section 2.13(a).</w:t>
      </w:r>
    </w:p>
    <w:p>
      <w:pPr>
        <w:spacing w:after="0" w:line="158" w:lineRule="exact"/>
        <w:rPr>
          <w:sz w:val="20"/>
          <w:szCs w:val="20"/>
          <w:color w:val="auto"/>
        </w:rPr>
      </w:pPr>
    </w:p>
    <w:p>
      <w:pPr>
        <w:jc w:val="both"/>
        <w:ind w:firstLine="1304"/>
        <w:spacing w:after="0" w:line="263" w:lineRule="auto"/>
        <w:tabs>
          <w:tab w:leader="none" w:pos="1932"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7"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4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w:t>
      </w:r>
    </w:p>
    <w:p>
      <w:pPr>
        <w:spacing w:after="0" w:line="18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93"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 Commitment and the Loans at the time owing to it), pursuant to an Assignment and Acceptance with the prior written consent (such consent not to be unreasonably withheld or delayed) of:</w:t>
      </w:r>
    </w:p>
    <w:p>
      <w:pPr>
        <w:spacing w:after="0" w:line="179" w:lineRule="exact"/>
        <w:rPr>
          <w:sz w:val="20"/>
          <w:szCs w:val="20"/>
          <w:color w:val="auto"/>
        </w:rPr>
      </w:pPr>
    </w:p>
    <w:p>
      <w:pPr>
        <w:jc w:val="both"/>
        <w:ind w:left="660" w:firstLine="644"/>
        <w:spacing w:after="0" w:line="256" w:lineRule="auto"/>
        <w:tabs>
          <w:tab w:leader="none" w:pos="191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 pursuant to Section 10.02(g) and (III) of Loans made pursuant to Section 2.18(b) or 2.26(a);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0" w:lineRule="auto"/>
        <w:tabs>
          <w:tab w:leader="none" w:pos="1875"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(a) in the case of Term Loans, if the assignee is a Lender, an Affiliate of a Lender or an Approved Fund of a Lender, in each case so long as such assignee is an Eligible Assignee and (b) in the case of Revolving Commitments or Revolving Loans, if the assignee is a Revolving Lender, an Affiliate of a Revolving Lender or an Approved Fund of a Revolving Lender, in each case so long as such assignee is an Eligible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Borrower’s consent will be deemed given with respect to a proposed assignment if no response is received within ten (10) Business Days after having received a written request from such Lender pursuant to this Section 10.02(b)(i)(B); and</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3"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any Issuing Lender shall be required for an assignment of all or any portion of a Term Loan.</w:t>
      </w:r>
    </w:p>
    <w:p>
      <w:pPr>
        <w:spacing w:after="0" w:line="158"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Assignments shall be subject to the following additional conditions:</w:t>
      </w:r>
    </w:p>
    <w:p>
      <w:pPr>
        <w:spacing w:after="0" w:line="220" w:lineRule="exact"/>
        <w:rPr>
          <w:sz w:val="20"/>
          <w:szCs w:val="20"/>
          <w:color w:val="auto"/>
        </w:rPr>
      </w:pPr>
    </w:p>
    <w:p>
      <w:pPr>
        <w:ind w:left="660" w:firstLine="644"/>
        <w:spacing w:after="0" w:line="271" w:lineRule="auto"/>
        <w:tabs>
          <w:tab w:leader="none" w:pos="191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any portion of the Total Revolving Commitment, Revolving Loans, LC Exposure and Term Loans shall be made to an Eligible Assignee;</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814"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the case of an assignment to a Lender, an Affiliate of a Lender or an Approved Fund of a Lender or an assignment of the entire remaining amount of the assigning Lender’s Revolving Commitment or Loans, the amount of such Commitment or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Borrower shall be required with respect to such assignment if an Event of Default has occurred and is continuing;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any such assignment shall be in increments of $500,000 in excess of the minimum amount described above;</w:t>
      </w:r>
    </w:p>
    <w:p>
      <w:pPr>
        <w:spacing w:after="0" w:line="174" w:lineRule="exact"/>
        <w:rPr>
          <w:rFonts w:ascii="Times New Roman" w:cs="Times New Roman" w:eastAsia="Times New Roman" w:hAnsi="Times New Roman"/>
          <w:sz w:val="21"/>
          <w:szCs w:val="21"/>
          <w:color w:val="auto"/>
        </w:rPr>
      </w:pPr>
    </w:p>
    <w:p>
      <w:pPr>
        <w:ind w:left="660" w:firstLine="644"/>
        <w:spacing w:after="0" w:line="284" w:lineRule="auto"/>
        <w:tabs>
          <w:tab w:leader="none" w:pos="183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3" w:lineRule="auto"/>
        <w:tabs>
          <w:tab w:leader="none" w:pos="191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concurrent assignments to two or more Approved Funds such assignment fee shall be required to be paid only once in respect of and at the time of such assignment;</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13"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was not a Lender immediately prior to such assignment, shall deliver to the Administrative Agent an administrative questionnaire in a form as the Administrative Agent may require; and</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01"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any assignment of any Term Loans to the Borrower shall be subject to the requirements of Section 10.02(g).</w:t>
      </w:r>
    </w:p>
    <w:p>
      <w:pPr>
        <w:spacing w:after="0" w:line="14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For the purposes of this Section 10.02(b), the term “</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except to the extent the Borrower, the Administrative Agent and each Issuing Lender have consented to such assignment in writing (in which case such Lender will not be considered a Defaulting Lender, Disqualified Institution or natural person solely for that particular assignment).</w:t>
      </w:r>
    </w:p>
    <w:p>
      <w:pPr>
        <w:spacing w:after="0" w:line="186" w:lineRule="exact"/>
        <w:rPr>
          <w:sz w:val="20"/>
          <w:szCs w:val="20"/>
          <w:color w:val="auto"/>
        </w:rPr>
      </w:pPr>
    </w:p>
    <w:p>
      <w:pPr>
        <w:jc w:val="both"/>
        <w:ind w:firstLine="1304"/>
        <w:spacing w:after="0" w:line="249" w:lineRule="auto"/>
        <w:tabs>
          <w:tab w:leader="none" w:pos="190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200" w:lineRule="exact"/>
        <w:rPr>
          <w:sz w:val="20"/>
          <w:szCs w:val="20"/>
          <w:color w:val="auto"/>
        </w:rPr>
      </w:pPr>
    </w:p>
    <w:p>
      <w:pPr>
        <w:spacing w:after="0" w:line="322" w:lineRule="exact"/>
        <w:rPr>
          <w:sz w:val="20"/>
          <w:szCs w:val="20"/>
          <w:color w:val="auto"/>
        </w:rPr>
      </w:pPr>
    </w:p>
    <w:p>
      <w:pPr>
        <w:jc w:val="both"/>
        <w:ind w:firstLine="1304"/>
        <w:spacing w:after="0" w:line="249" w:lineRule="auto"/>
        <w:tabs>
          <w:tab w:leader="none" w:pos="1837"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at its offices a copy of each Assignment and Acceptance delivered to it and a register for the recordation of the names and addresses of the Lenders, and the Commitments of, and principal amount of (and stated interest on) the Loans and LC Disbursements owing to, each Lender pursuant to the terms hereof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54"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w:t>
      </w:r>
    </w:p>
    <w:p>
      <w:pPr>
        <w:spacing w:after="0" w:line="200"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89"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93" w:lineRule="exact"/>
        <w:rPr>
          <w:sz w:val="20"/>
          <w:szCs w:val="20"/>
          <w:color w:val="auto"/>
        </w:rPr>
      </w:pPr>
    </w:p>
    <w:p>
      <w:pPr>
        <w:ind w:firstLine="1304"/>
        <w:spacing w:after="0" w:line="271" w:lineRule="auto"/>
        <w:tabs>
          <w:tab w:leader="none" w:pos="181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 duly completed Assignment and Acceptance executed by an assigning Lender and an assignee, the assignee’s completed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177</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200" w:lineRule="exact"/>
        <w:rPr>
          <w:sz w:val="20"/>
          <w:szCs w:val="20"/>
          <w:color w:val="auto"/>
        </w:rPr>
      </w:pPr>
    </w:p>
    <w:p>
      <w:pPr>
        <w:spacing w:after="0" w:line="3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either the assigning Lender or the assignee shall have failed to make any payment required to be made by it pursuant to Section 2.02(d) or (e), 2.04(a) or (b),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6" w:lineRule="exact"/>
        <w:rPr>
          <w:sz w:val="20"/>
          <w:szCs w:val="20"/>
          <w:color w:val="auto"/>
        </w:rPr>
      </w:pPr>
    </w:p>
    <w:p>
      <w:pPr>
        <w:jc w:val="both"/>
        <w:ind w:firstLine="1304"/>
        <w:spacing w:after="0" w:line="246" w:lineRule="auto"/>
        <w:tabs>
          <w:tab w:leader="none" w:pos="1807"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may, without the consent of the Borrower, the Administrative Agent or any Issuing Lender, sell participations (other than to any Defaulting Lender, Disqualified Institution or natural person) to one or more banks or other entities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of (and stated interest on) each Participant’s interest in the Loans or other obligations under this Agreement (the “</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Lender shall have any obligation to disclose all or any portion of the Participant Register to any Person (including the identity of any Participant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178</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200" w:lineRule="exact"/>
        <w:rPr>
          <w:sz w:val="20"/>
          <w:szCs w:val="20"/>
          <w:color w:val="auto"/>
        </w:rPr>
      </w:pPr>
    </w:p>
    <w:p>
      <w:pPr>
        <w:spacing w:after="0" w:line="3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and Section 1.163-5(b) of the proposed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w:t>
      </w:r>
    </w:p>
    <w:p>
      <w:pPr>
        <w:spacing w:after="0" w:line="189" w:lineRule="exact"/>
        <w:rPr>
          <w:sz w:val="20"/>
          <w:szCs w:val="20"/>
          <w:color w:val="auto"/>
        </w:rPr>
      </w:pPr>
    </w:p>
    <w:p>
      <w:pPr>
        <w:jc w:val="both"/>
        <w:ind w:firstLine="1304"/>
        <w:spacing w:after="0" w:line="250" w:lineRule="auto"/>
        <w:tabs>
          <w:tab w:leader="none" w:pos="1908"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 (it being understood that the documentation required under Sections 2.16(f) and 2.16(g) shall be delivered to the participating Lender).</w:t>
      </w:r>
    </w:p>
    <w:p>
      <w:pPr>
        <w:spacing w:after="0" w:line="180" w:lineRule="exact"/>
        <w:rPr>
          <w:sz w:val="20"/>
          <w:szCs w:val="20"/>
          <w:color w:val="auto"/>
        </w:rPr>
      </w:pPr>
    </w:p>
    <w:p>
      <w:pPr>
        <w:jc w:val="both"/>
        <w:ind w:firstLine="1304"/>
        <w:spacing w:after="0" w:line="253" w:lineRule="auto"/>
        <w:tabs>
          <w:tab w:leader="none" w:pos="17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37"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any such disclosure, each such assignee or participant or proposed assignee or participant provides to the Administrative Agent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200" w:lineRule="exact"/>
        <w:rPr>
          <w:sz w:val="20"/>
          <w:szCs w:val="20"/>
          <w:color w:val="auto"/>
        </w:rPr>
      </w:pPr>
    </w:p>
    <w:p>
      <w:pPr>
        <w:spacing w:after="0" w:line="32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agreement in writing to be bound for the benefit of the Borrower by either the provisions of Section 10.03 or other provisions at least as restrictive as Section 10.03.</w:t>
      </w:r>
    </w:p>
    <w:p>
      <w:pPr>
        <w:spacing w:after="0" w:line="158" w:lineRule="exact"/>
        <w:rPr>
          <w:sz w:val="20"/>
          <w:szCs w:val="20"/>
          <w:color w:val="auto"/>
        </w:rPr>
      </w:pPr>
    </w:p>
    <w:p>
      <w:pPr>
        <w:jc w:val="both"/>
        <w:ind w:firstLine="1304"/>
        <w:spacing w:after="0" w:line="263" w:lineRule="auto"/>
        <w:tabs>
          <w:tab w:leader="none" w:pos="1815"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67" w:lineRule="exact"/>
        <w:rPr>
          <w:sz w:val="20"/>
          <w:szCs w:val="20"/>
          <w:color w:val="auto"/>
        </w:rPr>
      </w:pPr>
    </w:p>
    <w:p>
      <w:pPr>
        <w:ind w:left="660" w:right="20" w:firstLine="644"/>
        <w:spacing w:after="0" w:line="271" w:lineRule="auto"/>
        <w:tabs>
          <w:tab w:leader="none" w:pos="180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assigning Lender and the Borrower purchasing such Lender’s Term Loans, as applicable, shall execute and deliver to the Administrative Agent an Assignment and Acceptance;</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44"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 Loans assigned to the Borrower shall be automatically and permanently cancelled upon the effectiveness of such assignment and will thereafter no longer be outstanding for any purpose hereunder;</w:t>
      </w:r>
    </w:p>
    <w:p>
      <w:pPr>
        <w:spacing w:after="0" w:line="14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has occurred or is continuing;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2015"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Times New Roman" w:cs="Times New Roman" w:eastAsia="Times New Roman" w:hAnsi="Times New Roman"/>
          <w:sz w:val="22"/>
          <w:szCs w:val="22"/>
          <w:i w:val="1"/>
          <w:iCs w:val="1"/>
          <w:color w:val="auto"/>
        </w:rPr>
        <w:t>Excluded Information</w:t>
      </w:r>
      <w:r>
        <w:rPr>
          <w:rFonts w:ascii="Times New Roman" w:cs="Times New Roman" w:eastAsia="Times New Roman" w:hAnsi="Times New Roman"/>
          <w:sz w:val="22"/>
          <w:szCs w:val="22"/>
          <w:color w:val="auto"/>
        </w:rPr>
        <w:t>”),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200" w:lineRule="exact"/>
        <w:rPr>
          <w:sz w:val="20"/>
          <w:szCs w:val="20"/>
          <w:color w:val="auto"/>
        </w:rPr>
      </w:pPr>
    </w:p>
    <w:p>
      <w:pPr>
        <w:spacing w:after="0" w:line="322" w:lineRule="exact"/>
        <w:rPr>
          <w:sz w:val="20"/>
          <w:szCs w:val="20"/>
          <w:color w:val="auto"/>
        </w:rPr>
      </w:pPr>
    </w:p>
    <w:p>
      <w:pPr>
        <w:jc w:val="both"/>
        <w:ind w:firstLine="1304"/>
        <w:spacing w:after="0" w:line="251" w:lineRule="auto"/>
        <w:tabs>
          <w:tab w:leader="none" w:pos="1766"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26"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w:t>
      </w:r>
    </w:p>
    <w:p>
      <w:pPr>
        <w:spacing w:after="0" w:line="18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24"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replacement of a Lender pursuant to Section 2.18, 2.26(a), 10.08(b) or other provision hereof (collectively, a “</w:t>
      </w:r>
      <w:r>
        <w:rPr>
          <w:rFonts w:ascii="Times New Roman" w:cs="Times New Roman" w:eastAsia="Times New Roman" w:hAnsi="Times New Roman"/>
          <w:sz w:val="22"/>
          <w:szCs w:val="22"/>
          <w:i w:val="1"/>
          <w:iCs w:val="1"/>
          <w:color w:val="auto"/>
        </w:rPr>
        <w:t>Replaceable Lender</w:t>
      </w:r>
      <w:r>
        <w:rPr>
          <w:rFonts w:ascii="Times New Roman" w:cs="Times New Roman" w:eastAsia="Times New Roman" w:hAnsi="Times New Roman"/>
          <w:sz w:val="22"/>
          <w:szCs w:val="22"/>
          <w:color w:val="auto"/>
        </w:rPr>
        <w:t>”),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w:t>
      </w:r>
    </w:p>
    <w:p>
      <w:pPr>
        <w:spacing w:after="0" w:line="195" w:lineRule="exact"/>
        <w:rPr>
          <w:sz w:val="20"/>
          <w:szCs w:val="20"/>
          <w:color w:val="auto"/>
        </w:rPr>
      </w:pPr>
    </w:p>
    <w:p>
      <w:pPr>
        <w:ind w:left="130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Agent and each Lender agrees to keep confidential any information</w:t>
      </w:r>
    </w:p>
    <w:p>
      <w:pPr>
        <w:spacing w:after="0" w:line="28" w:lineRule="exact"/>
        <w:rPr>
          <w:sz w:val="20"/>
          <w:szCs w:val="20"/>
          <w:color w:val="auto"/>
        </w:rPr>
      </w:pPr>
    </w:p>
    <w:p>
      <w:pPr>
        <w:ind w:left="300" w:hanging="292"/>
        <w:spacing w:after="0"/>
        <w:tabs>
          <w:tab w:leader="none" w:pos="30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or made available by Parent, the Borrower or any of the Guarantors or any of their respective Subsidiaries or</w:t>
      </w:r>
    </w:p>
    <w:p>
      <w:pPr>
        <w:spacing w:after="0" w:line="3" w:lineRule="exact"/>
        <w:rPr>
          <w:rFonts w:ascii="Times New Roman" w:cs="Times New Roman" w:eastAsia="Times New Roman" w:hAnsi="Times New Roman"/>
          <w:sz w:val="22"/>
          <w:szCs w:val="22"/>
          <w:color w:val="auto"/>
        </w:rPr>
      </w:pPr>
    </w:p>
    <w:p>
      <w:pPr>
        <w:jc w:val="both"/>
        <w:ind w:firstLine="8"/>
        <w:spacing w:after="0" w:line="245" w:lineRule="auto"/>
        <w:tabs>
          <w:tab w:leader="none" w:pos="328"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200" w:lineRule="exact"/>
        <w:rPr>
          <w:sz w:val="20"/>
          <w:szCs w:val="20"/>
          <w:color w:val="auto"/>
        </w:rPr>
      </w:pP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prevent any Agent or any Lender from disclosing such information (a) to any of its Affiliates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 (f)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w:t>
      </w:r>
    </w:p>
    <w:p>
      <w:pPr>
        <w:spacing w:after="0" w:line="12" w:lineRule="exact"/>
        <w:rPr>
          <w:sz w:val="20"/>
          <w:szCs w:val="20"/>
          <w:color w:val="auto"/>
        </w:rPr>
      </w:pPr>
    </w:p>
    <w:p>
      <w:pPr>
        <w:jc w:val="both"/>
        <w:ind w:firstLine="8"/>
        <w:spacing w:after="0" w:line="249" w:lineRule="auto"/>
        <w:tabs>
          <w:tab w:leader="none" w:pos="308"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w:t>
      </w:r>
    </w:p>
    <w:p>
      <w:pPr>
        <w:spacing w:after="0" w:line="182"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u w:val="single" w:color="auto"/>
          <w:color w:val="auto"/>
        </w:rPr>
        <w:t>Expenses; Indemnity; Damage 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49"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Borrower shall pay or reimburse: (A) all reasonable fees and reasonable and documented out-of-pocket expenses of each Agent, each Joint Structuring Agent and each Joint Lead Arranger and Bookrunner (including the reasonable fees, disbursements and other charges of Milbank LLP, special counsel to the Agents) associated with the syndication of the credit 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200" w:lineRule="exact"/>
        <w:rPr>
          <w:sz w:val="20"/>
          <w:szCs w:val="20"/>
          <w:color w:val="auto"/>
        </w:rPr>
      </w:pPr>
    </w:p>
    <w:p>
      <w:pPr>
        <w:spacing w:after="0" w:line="3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connection with any enforcement of the Loan Documents, all fees and documented out-of-pocket expenses of each Agent and any trustee appointed pursuant to Section 8.01(d) (including the reasonable fees, disbursements and other charges of counsel for the Agents and such trustee and one local counsel for each relevant jurisdiction, and, in each case, if necessary in the case of an actual conflict of interest, an additional counsel in each such applicable jurisdiction) and each Lender (including the reasonable fees, disbursements and other charges of counsel for such Lender) incurred during the continuance of a Default and (C) all reasonable, documented, out-of-pocket costs, expenses, taxes, assessments and other charges (including the reasonable fees, disbursements and other charges of counsel for the Collateral Agent) incurred by the Collateral Agent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 long as no Event of Default shall have occurred and be continuing, the Borrower shall not, in connection with this Section 10.04(a), be responsible hereunder for the reasonable fees and expenses of more than one such firm of separate counsel, in addition to any local counsel.</w:t>
      </w:r>
    </w:p>
    <w:p>
      <w:pPr>
        <w:spacing w:after="0" w:line="184" w:lineRule="exact"/>
        <w:rPr>
          <w:sz w:val="20"/>
          <w:szCs w:val="20"/>
          <w:color w:val="auto"/>
        </w:rPr>
      </w:pPr>
    </w:p>
    <w:p>
      <w:pPr>
        <w:ind w:firstLine="1304"/>
        <w:spacing w:after="0" w:line="271" w:lineRule="auto"/>
        <w:tabs>
          <w:tab w:leader="none" w:pos="1799"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or reimbursements pursuant to the foregoing clause (a)(i) shall be paid within thirty (30) days of written demand together with back-up documentation supporting such reimbursement request.</w:t>
      </w:r>
    </w:p>
    <w:p>
      <w:pPr>
        <w:spacing w:after="0" w:line="171" w:lineRule="exact"/>
        <w:rPr>
          <w:sz w:val="20"/>
          <w:szCs w:val="20"/>
          <w:color w:val="auto"/>
        </w:rPr>
      </w:pPr>
    </w:p>
    <w:p>
      <w:pPr>
        <w:jc w:val="both"/>
        <w:ind w:firstLine="1304"/>
        <w:spacing w:after="0" w:line="246" w:lineRule="auto"/>
        <w:tabs>
          <w:tab w:leader="none" w:pos="185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each Agent, any trustee appointed pursuant to Section 8.01(d), the Issuing Lenders and each Lender, and each Related Party of any of the foregoing Persons (each such Person being called an “</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against, and hold each Indemnitee harmless from, any and all losses, claims, damages, liabilities and related expenses, including the reasonable fees, charges and disbursements of one firm counsel for all Indemnitees and, if necessary, one firm of local counsel in each appropriate jurisdiction,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Parent or any of its Subsidiaries, or any Environmental Liability related in any way to, or asserted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200" w:lineRule="exact"/>
        <w:rPr>
          <w:sz w:val="20"/>
          <w:szCs w:val="20"/>
          <w:color w:val="auto"/>
        </w:rPr>
      </w:pPr>
    </w:p>
    <w:p>
      <w:pPr>
        <w:spacing w:after="0" w:line="3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Parent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the Borrower or its Affiliates (other than claims against any Indemnitee in its capacity or in fulfilling its role as an Agent, a trustee, a Joint Structuring Agent, a Joint Lead Arranger and Bookrunner or any other similar role under the Facilities (excluding its role as a Lender)). This Section 10.04(b) shall not apply with respect to Taxes other than Taxes that represent losses or damages arising from any non-Tax claim. Neither the Borrower nor any Indemnitee shall be liable for any indirect, special, punitive or consequential damages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w:t>
      </w:r>
    </w:p>
    <w:p>
      <w:pPr>
        <w:spacing w:after="0" w:line="183" w:lineRule="exact"/>
        <w:rPr>
          <w:sz w:val="20"/>
          <w:szCs w:val="20"/>
          <w:color w:val="auto"/>
        </w:rPr>
      </w:pPr>
    </w:p>
    <w:p>
      <w:pPr>
        <w:jc w:val="both"/>
        <w:ind w:firstLine="1304"/>
        <w:spacing w:after="0" w:line="259" w:lineRule="auto"/>
        <w:tabs>
          <w:tab w:leader="none" w:pos="1865" w:val="left"/>
        </w:tabs>
        <w:numPr>
          <w:ilvl w:val="1"/>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such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w:t>
      </w:r>
    </w:p>
    <w:p>
      <w:pPr>
        <w:spacing w:after="0" w:line="1" w:lineRule="exact"/>
        <w:rPr>
          <w:rFonts w:ascii="Times New Roman" w:cs="Times New Roman" w:eastAsia="Times New Roman" w:hAnsi="Times New Roman"/>
          <w:sz w:val="21"/>
          <w:szCs w:val="21"/>
          <w:color w:val="auto"/>
        </w:rPr>
      </w:pPr>
    </w:p>
    <w:p>
      <w:pPr>
        <w:ind w:firstLine="8"/>
        <w:spacing w:after="0" w:line="271" w:lineRule="auto"/>
        <w:tabs>
          <w:tab w:leader="none" w:pos="326"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Indemnitees shall have been advised in writing by counsel that under prevailing ethical standards there may be a conflict between the positions of the Borrower and the Indemnitees in conducting the defense of such action or proceeding or that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200" w:lineRule="exact"/>
        <w:rPr>
          <w:sz w:val="20"/>
          <w:szCs w:val="20"/>
          <w:color w:val="auto"/>
        </w:rPr>
      </w:pPr>
    </w:p>
    <w:p>
      <w:pPr>
        <w:spacing w:after="0" w:line="3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w:t>
      </w:r>
    </w:p>
    <w:p>
      <w:pPr>
        <w:spacing w:after="0" w:line="186" w:lineRule="exact"/>
        <w:rPr>
          <w:sz w:val="20"/>
          <w:szCs w:val="20"/>
          <w:color w:val="auto"/>
        </w:rPr>
      </w:pPr>
    </w:p>
    <w:p>
      <w:pPr>
        <w:jc w:val="both"/>
        <w:ind w:firstLine="1304"/>
        <w:spacing w:after="0" w:line="248" w:lineRule="auto"/>
        <w:tabs>
          <w:tab w:leader="none" w:pos="187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applicable Issuing Lender in its capacity as such.</w:t>
      </w:r>
    </w:p>
    <w:p>
      <w:pPr>
        <w:spacing w:after="0" w:line="20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7"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79"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946"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AND OBLIGATIONS OF THE PARTIES UNDER THIS AGREEMENT SHALL BE GOVERNED BY, AND CONSTRUED AND INTERPRETED IN ACCORDANCE WITH, THE LAWS OF THE STATE OF NEW YORK.</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8"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76" w:lineRule="exact"/>
        <w:rPr>
          <w:sz w:val="20"/>
          <w:szCs w:val="20"/>
          <w:color w:val="auto"/>
        </w:rPr>
      </w:pPr>
    </w:p>
    <w:p>
      <w:pPr>
        <w:jc w:val="both"/>
        <w:ind w:firstLine="1304"/>
        <w:spacing w:after="0" w:line="253" w:lineRule="auto"/>
        <w:tabs>
          <w:tab w:leader="none" w:pos="1848"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2"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consents to service of process in the manner provided for notices in Section 10.01. Nothing in this Agreement will affect the right of any party to this Agreement to serve process in any other manner permitted by law.</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Extension of Maturity</w:t>
      </w:r>
      <w:r>
        <w:rPr>
          <w:rFonts w:ascii="Times New Roman" w:cs="Times New Roman" w:eastAsia="Times New Roman" w:hAnsi="Times New Roman"/>
          <w:sz w:val="22"/>
          <w:szCs w:val="22"/>
          <w:color w:val="auto"/>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76"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10.08.</w:t>
      </w:r>
      <w:r>
        <w:rPr>
          <w:sz w:val="20"/>
          <w:szCs w:val="20"/>
          <w:color w:val="auto"/>
        </w:rPr>
        <w:tab/>
      </w:r>
      <w:r>
        <w:rPr>
          <w:rFonts w:ascii="Times New Roman" w:cs="Times New Roman" w:eastAsia="Times New Roman" w:hAnsi="Times New Roman"/>
          <w:sz w:val="21"/>
          <w:szCs w:val="21"/>
          <w:u w:val="single" w:color="auto"/>
          <w:color w:val="auto"/>
        </w:rPr>
        <w:t>Amendments, etc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1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Required Class Lenders (as applicable) (or signed by the Administrative Agent with the consent of the Required Lenders), and then such waiver or consent shall be effective only in the specific instance and for the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modification or amendment shall without the prior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200" w:lineRule="exact"/>
        <w:rPr>
          <w:sz w:val="20"/>
          <w:szCs w:val="20"/>
          <w:color w:val="auto"/>
        </w:rPr>
      </w:pPr>
    </w:p>
    <w:p>
      <w:pPr>
        <w:spacing w:after="0" w:line="322" w:lineRule="exact"/>
        <w:rPr>
          <w:sz w:val="20"/>
          <w:szCs w:val="20"/>
          <w:color w:val="auto"/>
        </w:rPr>
      </w:pPr>
    </w:p>
    <w:p>
      <w:pPr>
        <w:jc w:val="both"/>
        <w:ind w:left="660" w:firstLine="644"/>
        <w:spacing w:after="0" w:line="259" w:lineRule="auto"/>
        <w:tabs>
          <w:tab w:leader="none" w:pos="1779"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or (B) reduce the principal amount of any Loan, any reimbursement obligation in respect of any Letter of Credit, or the rate of interest payable on any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w:t>
      </w:r>
      <w:r>
        <w:rPr>
          <w:rFonts w:ascii="Times New Roman" w:cs="Times New Roman" w:eastAsia="Times New Roman" w:hAnsi="Times New Roman"/>
          <w:sz w:val="21"/>
          <w:szCs w:val="21"/>
          <w:b w:val="1"/>
          <w:bCs w:val="1"/>
          <w:color w:val="FF0000"/>
          <w:strike w:val="1"/>
        </w:rPr>
        <w:t>or</w:t>
      </w:r>
      <w:r>
        <w:rPr>
          <w:rFonts w:ascii="Times New Roman" w:cs="Times New Roman" w:eastAsia="Times New Roman" w:hAnsi="Times New Roman"/>
          <w:sz w:val="21"/>
          <w:szCs w:val="21"/>
          <w:color w:val="auto"/>
        </w:rPr>
        <w:t xml:space="preserve"> (D) amend or modify the terms of Section 2.17(e) in any manner that would alter the pro rata sharing of payments required thereby</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or (E) other than in connection with any debtor-in-possession financing or use of the</w:t>
      </w:r>
    </w:p>
    <w:p>
      <w:pPr>
        <w:spacing w:after="0" w:line="10" w:lineRule="exact"/>
        <w:rPr>
          <w:rFonts w:ascii="Times New Roman" w:cs="Times New Roman" w:eastAsia="Times New Roman" w:hAnsi="Times New Roman"/>
          <w:sz w:val="21"/>
          <w:szCs w:val="21"/>
          <w:color w:val="auto"/>
        </w:rPr>
      </w:pPr>
    </w:p>
    <w:p>
      <w:pPr>
        <w:jc w:val="both"/>
        <w:ind w:left="66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0000FF"/>
        </w:rPr>
        <w:t>Collateral in any insolvency proceeding, subordinate, or have the effect of subordinating the Obligations (or any portion thereof) or the Liens securing the Obligations (or any portion thereof) to any other Indebtedness, unless such affected Lender has been offered a bona fide opportunity to fund or otherwise provide its pro rata share (based on the amount of obligations under the Facility that are adversely affected thereby held by such Lender) of such other Indebtedness on the same terms (other than bona fide backstop fees, any arrangement or restructuring fees and reimbursement of counsel fees and other expenses in connection with the negotiation of the terms of such transaction; such fees and expenses, as offered to all other providers (or their Affiliates) of such other Indebtedness pursuant to a written offer made to such Lender describing the material terms of the arrangements pursuant to which such other Indebtedness is to be provided, which offer shall remain open to such Lenders for a period of not less than ten (10) Business Days;</w:t>
      </w:r>
    </w:p>
    <w:p>
      <w:pPr>
        <w:spacing w:after="0" w:line="190" w:lineRule="exact"/>
        <w:rPr>
          <w:rFonts w:ascii="Times New Roman" w:cs="Times New Roman" w:eastAsia="Times New Roman" w:hAnsi="Times New Roman"/>
          <w:sz w:val="21"/>
          <w:szCs w:val="21"/>
          <w:color w:val="auto"/>
        </w:rPr>
      </w:pPr>
    </w:p>
    <w:p>
      <w:pPr>
        <w:jc w:val="both"/>
        <w:ind w:left="660" w:firstLine="644"/>
        <w:spacing w:after="0" w:line="253" w:lineRule="auto"/>
        <w:tabs>
          <w:tab w:leader="none" w:pos="1811"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Lenders, (A) amend or modify any provision of this Agreement which provides for the unanimous consent or approval of the Lenders, (B) release all or substantially all of the Liens granted to the Collateral Agent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 and</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854"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Revolving Lenders, change the definition of the term “Required Revolving Lenders” or the percentage of Lenders which shall be required for Revolving Lenders to take any action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200" w:lineRule="exact"/>
        <w:rPr>
          <w:sz w:val="20"/>
          <w:szCs w:val="20"/>
          <w:color w:val="auto"/>
        </w:rPr>
      </w:pPr>
    </w:p>
    <w:p>
      <w:pPr>
        <w:spacing w:after="0" w:line="322" w:lineRule="exact"/>
        <w:rPr>
          <w:sz w:val="20"/>
          <w:szCs w:val="20"/>
          <w:color w:val="auto"/>
        </w:rPr>
      </w:pPr>
    </w:p>
    <w:p>
      <w:pPr>
        <w:ind w:firstLine="1304"/>
        <w:spacing w:after="0" w:line="271" w:lineRule="auto"/>
        <w:tabs>
          <w:tab w:leader="none" w:pos="1824"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or modification shall adversely affect the rights and obligations of the Administrative Agent or any Issuing Lender hereunder without its prior written consent.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3"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w:t>
      </w:r>
    </w:p>
    <w:p>
      <w:pPr>
        <w:spacing w:after="0" w:line="17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38"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 (A) may replace any non-consenting Lender with respect to all or a portion of its Loans or Commitments, as applicable, in accordance with Section 10.02;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amendment or modification can be effected as a result of 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non-consenting Lender in whole or in part, without premium or penalty, subject to Sections 2.13(d) and 10.04(b) and reallocate the LC Exposure of such non-consenting Lender under Section 2.26(d) (as if such Lender were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such termination of Commitments shall be permitted 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188</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200" w:lineRule="exact"/>
        <w:rPr>
          <w:sz w:val="20"/>
          <w:szCs w:val="20"/>
          <w:color w:val="auto"/>
        </w:rPr>
      </w:pPr>
    </w:p>
    <w:p>
      <w:pPr>
        <w:spacing w:after="0" w:line="3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held or deemed held by any Defaulting Lender shall be excluded for a vote of the Lenders hereunder requiring any consent of the Lenders); (iii) 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spacing w:after="0" w:line="180" w:lineRule="exact"/>
        <w:rPr>
          <w:sz w:val="20"/>
          <w:szCs w:val="20"/>
          <w:color w:val="auto"/>
        </w:rPr>
      </w:pPr>
    </w:p>
    <w:p>
      <w:pPr>
        <w:jc w:val="both"/>
        <w:ind w:firstLine="1304"/>
        <w:spacing w:after="0" w:line="246" w:lineRule="auto"/>
        <w:tabs>
          <w:tab w:leader="none" w:pos="1783"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Times New Roman" w:cs="Times New Roman" w:eastAsia="Times New Roman" w:hAnsi="Times New Roman"/>
          <w:sz w:val="22"/>
          <w:szCs w:val="22"/>
          <w:i w:val="1"/>
          <w:iCs w:val="1"/>
          <w:color w:val="auto"/>
        </w:rPr>
        <w:t>Refinanced Term Loans</w:t>
      </w:r>
      <w:r>
        <w:rPr>
          <w:rFonts w:ascii="Times New Roman" w:cs="Times New Roman" w:eastAsia="Times New Roman" w:hAnsi="Times New Roman"/>
          <w:sz w:val="22"/>
          <w:szCs w:val="22"/>
          <w:color w:val="auto"/>
        </w:rPr>
        <w:t>”) with a replacement term loan tranche (“</w:t>
      </w:r>
      <w:r>
        <w:rPr>
          <w:rFonts w:ascii="Times New Roman" w:cs="Times New Roman" w:eastAsia="Times New Roman" w:hAnsi="Times New Roman"/>
          <w:sz w:val="22"/>
          <w:szCs w:val="22"/>
          <w:i w:val="1"/>
          <w:iCs w:val="1"/>
          <w:color w:val="auto"/>
        </w:rPr>
        <w:t>Replacement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or the refinancing, replacement or modification of all or a portion of the outstanding Revolving Loans of any tranche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Revolving Loans</w:t>
      </w:r>
      <w:r>
        <w:rPr>
          <w:rFonts w:ascii="Times New Roman" w:cs="Times New Roman" w:eastAsia="Times New Roman" w:hAnsi="Times New Roman"/>
          <w:sz w:val="22"/>
          <w:szCs w:val="22"/>
          <w:color w:val="auto"/>
        </w:rPr>
        <w:t>” and, together with the Refinanced Term Loans, the “</w:t>
      </w:r>
      <w:r>
        <w:rPr>
          <w:rFonts w:ascii="Times New Roman" w:cs="Times New Roman" w:eastAsia="Times New Roman" w:hAnsi="Times New Roman"/>
          <w:sz w:val="22"/>
          <w:szCs w:val="22"/>
          <w:i w:val="1"/>
          <w:iCs w:val="1"/>
          <w:color w:val="auto"/>
        </w:rPr>
        <w:t>Refinanced Loans</w:t>
      </w:r>
      <w:r>
        <w:rPr>
          <w:rFonts w:ascii="Times New Roman" w:cs="Times New Roman" w:eastAsia="Times New Roman" w:hAnsi="Times New Roman"/>
          <w:sz w:val="22"/>
          <w:szCs w:val="22"/>
          <w:color w:val="auto"/>
        </w:rPr>
        <w:t>”) with a replacement revolving loan tranche (“</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and, together with the “</w:t>
      </w:r>
      <w:r>
        <w:rPr>
          <w:rFonts w:ascii="Times New Roman" w:cs="Times New Roman" w:eastAsia="Times New Roman" w:hAnsi="Times New Roman"/>
          <w:sz w:val="22"/>
          <w:szCs w:val="22"/>
          <w:i w:val="1"/>
          <w:iCs w:val="1"/>
          <w:color w:val="auto"/>
        </w:rPr>
        <w:t>Replacement Term Loans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i w:val="1"/>
          <w:iCs w:val="1"/>
          <w:color w:val="auto"/>
        </w:rPr>
        <w:t>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hereunder and (y) to include appropriately the Lenders holding such credit facilities in any determination of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Lenders, Required Class Lenders, Required Term Lenders in Required Revolving Lenders,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w:t>
      </w:r>
    </w:p>
    <w:p>
      <w:pPr>
        <w:spacing w:after="0" w:line="186" w:lineRule="exact"/>
        <w:rPr>
          <w:sz w:val="20"/>
          <w:szCs w:val="20"/>
          <w:color w:val="auto"/>
        </w:rPr>
      </w:pPr>
    </w:p>
    <w:p>
      <w:pPr>
        <w:jc w:val="both"/>
        <w:ind w:firstLine="1304"/>
        <w:spacing w:after="0" w:line="249" w:lineRule="auto"/>
        <w:tabs>
          <w:tab w:leader="none" w:pos="1766"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7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Times New Roman" w:cs="Times New Roman" w:eastAsia="Times New Roman" w:hAnsi="Times New Roman"/>
          <w:sz w:val="22"/>
          <w:szCs w:val="22"/>
          <w:i w:val="1"/>
          <w:iCs w:val="1"/>
          <w:color w:val="auto"/>
        </w:rPr>
        <w:t>Non-Extending Lender</w:t>
      </w:r>
      <w:r>
        <w:rPr>
          <w:rFonts w:ascii="Times New Roman" w:cs="Times New Roman" w:eastAsia="Times New Roman" w:hAnsi="Times New Roman"/>
          <w:sz w:val="22"/>
          <w:szCs w:val="22"/>
          <w:color w:val="auto"/>
        </w:rPr>
        <w:t>”)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9"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the amendment provisions of this Section 10.08 shall not apply to extensions of the Revolving Facility Maturity Date, the Term Loan Maturity Date or the maturity date of any tranche of Revolving Commitments, in each case, made in accordance with Section 2.28.</w:t>
      </w:r>
    </w:p>
    <w:p>
      <w:pPr>
        <w:spacing w:after="0" w:line="17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7"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Agent to such collateral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200" w:lineRule="exact"/>
        <w:rPr>
          <w:sz w:val="20"/>
          <w:szCs w:val="20"/>
          <w:color w:val="auto"/>
        </w:rPr>
      </w:pPr>
    </w:p>
    <w:p>
      <w:pPr>
        <w:spacing w:after="0" w:line="322" w:lineRule="exact"/>
        <w:rPr>
          <w:sz w:val="20"/>
          <w:szCs w:val="20"/>
          <w:color w:val="auto"/>
        </w:rPr>
      </w:pPr>
    </w:p>
    <w:p>
      <w:pPr>
        <w:jc w:val="both"/>
        <w:ind w:firstLine="1304"/>
        <w:spacing w:after="0" w:line="251" w:lineRule="auto"/>
        <w:tabs>
          <w:tab w:leader="none" w:pos="1808"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after-acquired assets of that type or category) from the Collateral covered by such Collateral Document to the extent the release thereof is permitted by Section 6.09(c) or constitutes a Permitted Disposition.</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used herein are for convenience only and are not to affect the construction of or be taken into consideration in interpreting this Agreement.</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Letters of Credit and the Commitments, or the termination of this Agreement or any provision hereof.</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Execution in Counterparts; Integration; Effectiveness</w:t>
      </w:r>
      <w:r>
        <w:rPr>
          <w:rFonts w:ascii="Times New Roman" w:cs="Times New Roman" w:eastAsia="Times New Roman" w:hAnsi="Times New Roman"/>
          <w:sz w:val="22"/>
          <w:szCs w:val="22"/>
          <w:color w:val="auto"/>
        </w:rPr>
        <w:t>.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w:t>
      </w:r>
    </w:p>
    <w:p>
      <w:pPr>
        <w:spacing w:after="0" w:line="17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New Value</w:t>
      </w:r>
      <w:r>
        <w:rPr>
          <w:rFonts w:ascii="Times New Roman" w:cs="Times New Roman" w:eastAsia="Times New Roman" w:hAnsi="Times New Roman"/>
          <w:sz w:val="21"/>
          <w:szCs w:val="21"/>
          <w:color w:val="auto"/>
        </w:rPr>
        <w:t>.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w:t>
      </w:r>
    </w:p>
    <w:p>
      <w:pPr>
        <w:spacing w:after="0" w:line="15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jc w:val="both"/>
        <w:ind w:firstLine="8"/>
        <w:spacing w:after="0" w:line="251" w:lineRule="auto"/>
        <w:tabs>
          <w:tab w:leader="none" w:pos="344"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BY, AMONG OTHER THINGS, THE MUTUAL WAIVERS AND CERTIFICATIONS IN THIS SECTION 10.15.</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No Fiduciary Duty</w:t>
      </w:r>
      <w:r>
        <w:rPr>
          <w:rFonts w:ascii="Times New Roman" w:cs="Times New Roman" w:eastAsia="Times New Roman" w:hAnsi="Times New Roman"/>
          <w:sz w:val="22"/>
          <w:szCs w:val="22"/>
          <w:color w:val="auto"/>
        </w:rPr>
        <w:t>. Each Agent, each Lender and their Affiliates (collectively, solely for purposes of this paragraph,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Lender Action</w:t>
      </w:r>
      <w:r>
        <w:rPr>
          <w:rFonts w:ascii="Times New Roman" w:cs="Times New Roman" w:eastAsia="Times New Roman" w:hAnsi="Times New Roman"/>
          <w:sz w:val="22"/>
          <w:szCs w:val="22"/>
          <w:color w:val="auto"/>
        </w:rPr>
        <w:t>.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w:t>
      </w:r>
    </w:p>
    <w:p>
      <w:pPr>
        <w:spacing w:after="0" w:line="19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Intercreditor Agreements</w:t>
      </w:r>
      <w:r>
        <w:rPr>
          <w:rFonts w:ascii="Times New Roman" w:cs="Times New Roman" w:eastAsia="Times New Roman" w:hAnsi="Times New Roman"/>
          <w:sz w:val="22"/>
          <w:szCs w:val="22"/>
          <w:color w:val="auto"/>
        </w:rPr>
        <w:t>. Notwithstanding anything to the contrary contained in this Agreement, if at any time the Administrative Agent or the Collateral Agent shall enter into any Intercreditor Agreement, pursuant to and as permitted by the terms of this Agreement or any Other Intercreditor Agreement and such Intercreditor Agreement or such Other Intercreditor Agreement shall remain outstanding, the rights granted to the Secured Parties hereunder and under the other Loan Documents, the Liens and security interest granted to the Collateral Agent pursuant to this Agreement or any other Loan Document and the exercise of any right or remedy by any Agent hereunder or under any other Loan Document shall be subject to the terms and conditions of such Intercreditor Agreement or such Other Intercreditor Agreement. In the event of any conflict between the terms of this Agreement, any other Loan Document and such Intercreditor Agreement or such Other Intercreditor Agreements, the terms of such Intercreditor Agreement or such Other Intercreditor Agreement shall govern and control with respect to any right or remedy, and no right, power or remedy granted to any Agent hereunder or under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200" w:lineRule="exact"/>
        <w:rPr>
          <w:sz w:val="20"/>
          <w:szCs w:val="20"/>
          <w:color w:val="auto"/>
        </w:rPr>
      </w:pPr>
    </w:p>
    <w:p>
      <w:pPr>
        <w:spacing w:after="0" w:line="32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Document shall be exercised by such Agent, and no direction shall be given by such Agent, in contravention of such Intercreditor Agreement or such Other Intercreditor Agreement.</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ind w:firstLine="1304"/>
        <w:spacing w:after="0" w:line="284" w:lineRule="auto"/>
        <w:tabs>
          <w:tab w:leader="none" w:pos="1830"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20" w:lineRule="exact"/>
        <w:rPr>
          <w:sz w:val="20"/>
          <w:szCs w:val="20"/>
          <w:color w:val="auto"/>
        </w:rPr>
      </w:pPr>
    </w:p>
    <w:p>
      <w:pPr>
        <w:ind w:left="1720" w:hanging="416"/>
        <w:spacing w:after="0"/>
        <w:tabs>
          <w:tab w:leader="none" w:pos="172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91"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54"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10.20.</w:t>
      </w:r>
      <w:r>
        <w:rPr>
          <w:sz w:val="20"/>
          <w:szCs w:val="20"/>
          <w:color w:val="auto"/>
        </w:rPr>
        <w:tab/>
      </w:r>
      <w:r>
        <w:rPr>
          <w:rFonts w:ascii="Times New Roman" w:cs="Times New Roman" w:eastAsia="Times New Roman" w:hAnsi="Times New Roman"/>
          <w:sz w:val="21"/>
          <w:szCs w:val="21"/>
          <w:u w:val="single" w:color="auto"/>
          <w:color w:val="auto"/>
        </w:rPr>
        <w:t>Acknowledgement Regarding Any Supported QFCs.</w:t>
      </w:r>
    </w:p>
    <w:p>
      <w:pPr>
        <w:spacing w:after="0" w:line="220" w:lineRule="exact"/>
        <w:rPr>
          <w:sz w:val="20"/>
          <w:szCs w:val="20"/>
          <w:color w:val="auto"/>
        </w:rPr>
      </w:pPr>
    </w:p>
    <w:p>
      <w:pPr>
        <w:jc w:val="both"/>
        <w:ind w:left="260" w:firstLine="1044"/>
        <w:spacing w:after="0" w:line="250" w:lineRule="auto"/>
        <w:tabs>
          <w:tab w:leader="none" w:pos="1947"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Loan Documents provide support, through a guarantee or otherwise, for Swap Contracts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200" w:lineRule="exact"/>
        <w:rPr>
          <w:sz w:val="20"/>
          <w:szCs w:val="20"/>
          <w:color w:val="auto"/>
        </w:rPr>
      </w:pPr>
    </w:p>
    <w:p>
      <w:pPr>
        <w:spacing w:after="0" w:line="322" w:lineRule="exact"/>
        <w:rPr>
          <w:sz w:val="20"/>
          <w:szCs w:val="20"/>
          <w:color w:val="auto"/>
        </w:rPr>
      </w:pPr>
    </w:p>
    <w:p>
      <w:pPr>
        <w:jc w:val="both"/>
        <w:ind w:left="260" w:firstLine="1044"/>
        <w:spacing w:after="0" w:line="261" w:lineRule="auto"/>
        <w:tabs>
          <w:tab w:leader="none" w:pos="1795"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75" w:lineRule="exact"/>
        <w:rPr>
          <w:rFonts w:ascii="Times New Roman" w:cs="Times New Roman" w:eastAsia="Times New Roman" w:hAnsi="Times New Roman"/>
          <w:sz w:val="21"/>
          <w:szCs w:val="21"/>
          <w:color w:val="auto"/>
        </w:rPr>
      </w:pPr>
    </w:p>
    <w:p>
      <w:pPr>
        <w:ind w:left="1740" w:hanging="436"/>
        <w:spacing w:after="0"/>
        <w:tabs>
          <w:tab w:leader="none" w:pos="174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10.20, the following terms have the following meanings:</w:t>
      </w:r>
    </w:p>
    <w:p>
      <w:pPr>
        <w:spacing w:after="0" w:line="216" w:lineRule="exact"/>
        <w:rPr>
          <w:sz w:val="20"/>
          <w:szCs w:val="20"/>
          <w:color w:val="auto"/>
        </w:rPr>
      </w:pPr>
    </w:p>
    <w:p>
      <w:pPr>
        <w:ind w:left="130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Entity</w:t>
      </w:r>
      <w:r>
        <w:rPr>
          <w:rFonts w:ascii="Times New Roman" w:cs="Times New Roman" w:eastAsia="Times New Roman" w:hAnsi="Times New Roman"/>
          <w:sz w:val="22"/>
          <w:szCs w:val="22"/>
          <w:color w:val="auto"/>
        </w:rPr>
        <w:t>” means any of the following:</w:t>
      </w:r>
    </w:p>
    <w:p>
      <w:pPr>
        <w:spacing w:after="0" w:line="224" w:lineRule="exact"/>
        <w:rPr>
          <w:sz w:val="20"/>
          <w:szCs w:val="20"/>
          <w:color w:val="auto"/>
        </w:rPr>
      </w:pPr>
    </w:p>
    <w:p>
      <w:pPr>
        <w:ind w:left="2600" w:hanging="648"/>
        <w:spacing w:after="0" w:line="271" w:lineRule="auto"/>
        <w:tabs>
          <w:tab w:leader="none" w:pos="2595"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157" w:lineRule="exact"/>
        <w:rPr>
          <w:rFonts w:ascii="Times New Roman" w:cs="Times New Roman" w:eastAsia="Times New Roman" w:hAnsi="Times New Roman"/>
          <w:sz w:val="22"/>
          <w:szCs w:val="22"/>
          <w:color w:val="auto"/>
        </w:rPr>
      </w:pPr>
    </w:p>
    <w:p>
      <w:pPr>
        <w:ind w:left="2600" w:hanging="648"/>
        <w:spacing w:after="0" w:line="271" w:lineRule="auto"/>
        <w:tabs>
          <w:tab w:leader="none" w:pos="2458"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17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16" w:lineRule="exact"/>
        <w:rPr>
          <w:sz w:val="20"/>
          <w:szCs w:val="20"/>
          <w:color w:val="auto"/>
        </w:rPr>
      </w:pPr>
    </w:p>
    <w:p>
      <w:pPr>
        <w:ind w:left="130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49" w:lineRule="exact"/>
        <w:rPr>
          <w:sz w:val="20"/>
          <w:szCs w:val="20"/>
          <w:color w:val="auto"/>
        </w:rPr>
      </w:pPr>
    </w:p>
    <w:p>
      <w:pPr>
        <w:ind w:left="130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(South America) - Exhibit A to Ninth Amendment (Conformed Credit Agreement)</w:t>
      </w:r>
      <w:r>
        <w:rPr>
          <w:rFonts w:ascii="Times New Roman" w:cs="Times New Roman" w:eastAsia="Times New Roman" w:hAnsi="Times New Roman"/>
          <w:sz w:val="16"/>
          <w:szCs w:val="16"/>
          <w:b w:val="1"/>
          <w:bCs w:val="1"/>
          <w:u w:val="single" w:color="auto"/>
          <w:color w:val="0000FF"/>
        </w:rPr>
        <w:t>#4866-6658-3746v3</w:t>
      </w:r>
    </w:p>
    <w:p>
      <w:pPr>
        <w:sectPr>
          <w:pgSz w:w="11900" w:h="16838" w:orient="portrait"/>
          <w:cols w:equalWidth="0" w:num="1">
            <w:col w:w="11240"/>
          </w:cols>
          <w:pgMar w:left="320" w:top="1440" w:right="339" w:bottom="1440" w:gutter="0" w:footer="0" w:header="0"/>
        </w:sectPr>
      </w:pPr>
    </w:p>
    <w:bookmarkStart w:id="342" w:name="page343"/>
    <w:bookmarkEnd w:id="342"/>
    <w:p>
      <w:pPr>
        <w:ind w:left="10180"/>
        <w:spacing w:after="0"/>
        <w:rPr>
          <w:sz w:val="20"/>
          <w:szCs w:val="20"/>
          <w:color w:val="auto"/>
        </w:rPr>
      </w:pPr>
      <w:r>
        <w:rPr>
          <w:rFonts w:ascii="Times New Roman" w:cs="Times New Roman" w:eastAsia="Times New Roman" w:hAnsi="Times New Roman"/>
          <w:sz w:val="21"/>
          <w:szCs w:val="2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35560</wp:posOffset>
            </wp:positionV>
            <wp:extent cx="6711950" cy="377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11950" cy="377190"/>
                    </a:xfrm>
                    <a:prstGeom prst="rect">
                      <a:avLst/>
                    </a:prstGeom>
                    <a:noFill/>
                  </pic:spPr>
                </pic:pic>
              </a:graphicData>
            </a:graphic>
          </wp:anchor>
        </w:drawing>
      </w:r>
    </w:p>
    <w:p>
      <w:pPr>
        <w:spacing w:after="0" w:line="59" w:lineRule="exact"/>
        <w:rPr>
          <w:sz w:val="20"/>
          <w:szCs w:val="20"/>
          <w:color w:val="auto"/>
        </w:rPr>
      </w:pPr>
    </w:p>
    <w:p>
      <w:pPr>
        <w:ind w:left="380" w:right="580"/>
        <w:spacing w:after="0" w:line="275" w:lineRule="auto"/>
        <w:rPr>
          <w:sz w:val="20"/>
          <w:szCs w:val="20"/>
          <w:color w:val="auto"/>
        </w:rPr>
      </w:pPr>
      <w:r>
        <w:rPr>
          <w:rFonts w:ascii="Times New Roman" w:cs="Times New Roman" w:eastAsia="Times New Roman" w:hAnsi="Times New Roman"/>
          <w:sz w:val="22"/>
          <w:szCs w:val="22"/>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TENTH AMENDMENT TO AMENDED AND RESTATED CREDIT AND GUARANTY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TENTH AMENDMENT TO AMENDED AND RESTATED CREDIT AND GUARANTY AGREEMENT (this “</w:t>
      </w:r>
      <w:r>
        <w:rPr>
          <w:rFonts w:ascii="Times New Roman" w:cs="Times New Roman" w:eastAsia="Times New Roman" w:hAnsi="Times New Roman"/>
          <w:sz w:val="22"/>
          <w:szCs w:val="22"/>
          <w:i w:val="1"/>
          <w:iCs w:val="1"/>
          <w:color w:val="auto"/>
        </w:rPr>
        <w:t>Tenth Amendment</w:t>
      </w:r>
      <w:r>
        <w:rPr>
          <w:rFonts w:ascii="Times New Roman" w:cs="Times New Roman" w:eastAsia="Times New Roman" w:hAnsi="Times New Roman"/>
          <w:sz w:val="22"/>
          <w:szCs w:val="22"/>
          <w:color w:val="auto"/>
        </w:rPr>
        <w:t>”), dated as of June 4, 2024, is entered into among American Airlines,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American Airlines Group Inc., a Delaware corporation (the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the Lenders party hereto as 2024 Incremental Revolving Lenders, the parties party hereto as Issuing Lenders (which, collectively, constitute the Required Lenders) and Citibank, N.A. (“</w:t>
      </w:r>
      <w:r>
        <w:rPr>
          <w:rFonts w:ascii="Times New Roman" w:cs="Times New Roman" w:eastAsia="Times New Roman" w:hAnsi="Times New Roman"/>
          <w:sz w:val="22"/>
          <w:szCs w:val="22"/>
          <w:i w:val="1"/>
          <w:iCs w:val="1"/>
          <w:color w:val="auto"/>
        </w:rPr>
        <w:t>Citi</w:t>
      </w:r>
      <w:r>
        <w:rPr>
          <w:rFonts w:ascii="Times New Roman" w:cs="Times New Roman" w:eastAsia="Times New Roman" w:hAnsi="Times New Roman"/>
          <w:sz w:val="22"/>
          <w:szCs w:val="22"/>
          <w:color w:val="auto"/>
        </w:rPr>
        <w:t>”), as administrative agent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Unless otherwise indicated, all capitalized terms used herein and not otherwise defined shall have the respective meanings provided to such terms in the Credit Agreement referred to below.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June 14, 2017, as further amended by that certain Fourth Amendment to Amended and Restated Credit and Guaranty Agreement, dated August 21, 2017, as further amended by that certain Fifth Amendment to Amended and Restated Credit and Guaranty Agreement, dated September 17, 2018, as further amended by that certain Sixth Amendment to Amended and Restated Credit and Guaranty Agreement, dated December 10, 2018, as further amended by that certain Seventh Amendment to Amended and Restated Credit and Guaranty Agreement, dated November 8, 2019, as further amended by that certain Eighth Amendment to Amended and Restated Credit and Guaranty Agreement, dated January 29, 2020, as further amended by that certain Ninth Amendment to Amended and Restated Credit and Guaranty Agreement, dated March 13, 2023, and as further amended, amended and restated, supplemented or otherwise modified up to, but not including the Tenth Amendment Effective Date (as defined below),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as of the date hereof immediately prior to giving effect to this Tenth Amendment, there are no Revolving Loans outstanding under the existing Revolving Commitments (such existing Revolving Commitments in effect on the date hereof immediately prior to giving effect to this Tenth Amendment, the “</w:t>
      </w:r>
      <w:r>
        <w:rPr>
          <w:rFonts w:ascii="Times New Roman" w:cs="Times New Roman" w:eastAsia="Times New Roman" w:hAnsi="Times New Roman"/>
          <w:sz w:val="22"/>
          <w:szCs w:val="22"/>
          <w:i w:val="1"/>
          <w:iCs w:val="1"/>
          <w:color w:val="auto"/>
        </w:rPr>
        <w:t>Existing Revolving Commitments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WHEREAS, pursuant to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 xml:space="preserve"> of the Credit Agreement, the Borrower may request the establishment of Incremental Revolving Commitments, subject to and on the terms and conditions provided therein;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Borrower hereby notifies the Administrative Agent:</w:t>
      </w:r>
    </w:p>
    <w:p>
      <w:pPr>
        <w:sectPr>
          <w:pgSz w:w="11900" w:h="16838" w:orient="portrait"/>
          <w:cols w:equalWidth="0" w:num="1">
            <w:col w:w="11240"/>
          </w:cols>
          <w:pgMar w:left="320" w:top="126" w:right="339" w:bottom="1440" w:gutter="0" w:footer="0" w:header="0"/>
        </w:sectPr>
      </w:pPr>
    </w:p>
    <w:bookmarkStart w:id="343" w:name="page344"/>
    <w:bookmarkEnd w:id="343"/>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300" w:firstLine="490"/>
        <w:spacing w:after="0" w:line="257" w:lineRule="auto"/>
        <w:tabs>
          <w:tab w:leader="none" w:pos="2164"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the Borrower intends to terminate the Existing Revolving Commitments and existing LC Commitments in full on the Tenth Amendment Effective Date,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the Credit Agreement (the “</w:t>
      </w:r>
      <w:r>
        <w:rPr>
          <w:rFonts w:ascii="Times New Roman" w:cs="Times New Roman" w:eastAsia="Times New Roman" w:hAnsi="Times New Roman"/>
          <w:sz w:val="22"/>
          <w:szCs w:val="22"/>
          <w:i w:val="1"/>
          <w:iCs w:val="1"/>
          <w:color w:val="auto"/>
        </w:rPr>
        <w:t>Commitment Termination</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1300" w:firstLine="490"/>
        <w:spacing w:after="0" w:line="250" w:lineRule="auto"/>
        <w:tabs>
          <w:tab w:leader="none" w:pos="2093"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Borrower’s request for (i) new Incremental Revolving Commitments to be established on the Tenth Amendment Effective Date in an aggregate amount of $1,500,000,000 (the “</w:t>
      </w:r>
      <w:r>
        <w:rPr>
          <w:rFonts w:ascii="Times New Roman" w:cs="Times New Roman" w:eastAsia="Times New Roman" w:hAnsi="Times New Roman"/>
          <w:sz w:val="22"/>
          <w:szCs w:val="22"/>
          <w:i w:val="1"/>
          <w:iCs w:val="1"/>
          <w:color w:val="auto"/>
        </w:rPr>
        <w:t>2024 Incremental 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Commitments</w:t>
      </w:r>
      <w:r>
        <w:rPr>
          <w:rFonts w:ascii="Times New Roman" w:cs="Times New Roman" w:eastAsia="Times New Roman" w:hAnsi="Times New Roman"/>
          <w:sz w:val="22"/>
          <w:szCs w:val="22"/>
          <w:color w:val="auto"/>
        </w:rPr>
        <w:t>”), to be made available by the Revolving Lenders specified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hereto as holding 2024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Incremental Revolving Commitments (such Revolving Lenders, the “</w:t>
      </w:r>
      <w:r>
        <w:rPr>
          <w:rFonts w:ascii="Times New Roman" w:cs="Times New Roman" w:eastAsia="Times New Roman" w:hAnsi="Times New Roman"/>
          <w:sz w:val="22"/>
          <w:szCs w:val="22"/>
          <w:i w:val="1"/>
          <w:iCs w:val="1"/>
          <w:color w:val="auto"/>
        </w:rPr>
        <w:t>2024 Incremental Revolving Lenders</w:t>
      </w:r>
      <w:r>
        <w:rPr>
          <w:rFonts w:ascii="Times New Roman" w:cs="Times New Roman" w:eastAsia="Times New Roman" w:hAnsi="Times New Roman"/>
          <w:sz w:val="22"/>
          <w:szCs w:val="22"/>
          <w:color w:val="auto"/>
        </w:rPr>
        <w:t xml:space="preserve">”) in the amounts specified therefor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and</w:t>
      </w:r>
    </w:p>
    <w:p>
      <w:pPr>
        <w:spacing w:after="0" w:line="194" w:lineRule="exact"/>
        <w:rPr>
          <w:rFonts w:ascii="Times New Roman" w:cs="Times New Roman" w:eastAsia="Times New Roman" w:hAnsi="Times New Roman"/>
          <w:sz w:val="22"/>
          <w:szCs w:val="22"/>
          <w:color w:val="auto"/>
        </w:rPr>
      </w:pPr>
    </w:p>
    <w:p>
      <w:pPr>
        <w:jc w:val="both"/>
        <w:ind w:left="1300" w:firstLine="490"/>
        <w:spacing w:after="0" w:line="252" w:lineRule="auto"/>
        <w:tabs>
          <w:tab w:leader="none" w:pos="208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Borrower’s request for new LC Commitments to be established on the Tenth Amendment Effective Date in an aggregate amount of $200,000,000.00, to be made available by the 2024 Incremental Revolving Lenders specified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(each, an “</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xml:space="preserve">”) as holding an LC Commitment in the amount specified therefor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WHEREAS, each 2024 Incremental Revolving Lender is willing to provide its 2024 Incremental Revolving Commitment in the amount set forth opposite its name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subject to and on the terms and conditions set forth herein and in the Credit Agreement;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WHEREAS, each Issuing Lender is willing to provide its LC Commitment in the amount set forth opposite its name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subject to and on the terms and conditions set forth herein and in the Credit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Borrower wishes to (a) incur the 2024 Incremental Revolving Commitments, (b) incur the LC Commitments and (c) make certain amendments to the Credit Agreement to provide for, among other things, the incurrence of the 2024 Incremental Revolving Commitments and the LC Commitments, in each case, on the terms and subject to the conditions set forth herein; and</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ONE - Credit Agreement Amendments</w:t>
      </w:r>
      <w:r>
        <w:rPr>
          <w:rFonts w:ascii="Times New Roman" w:cs="Times New Roman" w:eastAsia="Times New Roman" w:hAnsi="Times New Roman"/>
          <w:sz w:val="22"/>
          <w:szCs w:val="22"/>
          <w:color w:val="auto"/>
        </w:rPr>
        <w:t>. Effective as of the Tenth Amendment Effective Date (as defined below):</w:t>
      </w:r>
    </w:p>
    <w:p>
      <w:pPr>
        <w:spacing w:after="0" w:line="144" w:lineRule="exact"/>
        <w:rPr>
          <w:sz w:val="20"/>
          <w:szCs w:val="20"/>
          <w:color w:val="auto"/>
        </w:rPr>
      </w:pPr>
    </w:p>
    <w:p>
      <w:pPr>
        <w:jc w:val="both"/>
        <w:ind w:firstLine="1304"/>
        <w:spacing w:after="0" w:line="250" w:lineRule="auto"/>
        <w:tabs>
          <w:tab w:leader="none" w:pos="1834"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Tenth Amendment Effective Date, the Borrower, the Administrative Agent, each 2024 Incremental Revolving Lender and each Issuing Lender (which, for the avoidance of doubt, collectively constitute the Required Lenders) agree that the Credit Agreement is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bolded, underlined text (indicated textually in the same manner as the following example: </w:t>
      </w:r>
      <w:r>
        <w:rPr>
          <w:rFonts w:ascii="Times New Roman" w:cs="Times New Roman" w:eastAsia="Times New Roman" w:hAnsi="Times New Roman"/>
          <w:sz w:val="22"/>
          <w:szCs w:val="22"/>
          <w:b w:val="1"/>
          <w:bCs w:val="1"/>
          <w:u w:val="single" w:color="auto"/>
          <w:color w:val="0000FF"/>
        </w:rPr>
        <w:t>underlined text</w:t>
      </w:r>
      <w:r>
        <w:rPr>
          <w:rFonts w:ascii="Times New Roman" w:cs="Times New Roman" w:eastAsia="Times New Roman" w:hAnsi="Times New Roman"/>
          <w:sz w:val="22"/>
          <w:szCs w:val="22"/>
          <w:color w:val="000000"/>
        </w:rPr>
        <w:t>) as set forth in the pages of the Credit Agreement attached as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u w:val="single" w:color="auto"/>
          <w:color w:val="000000"/>
        </w:rPr>
        <w:t>Exhibit A</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hereto; and</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98" w:lineRule="exact"/>
        <w:rPr>
          <w:sz w:val="20"/>
          <w:szCs w:val="20"/>
          <w:color w:val="auto"/>
        </w:rPr>
      </w:pPr>
    </w:p>
    <w:p>
      <w:pPr>
        <w:jc w:val="both"/>
        <w:ind w:firstLine="1304"/>
        <w:spacing w:after="0" w:line="257" w:lineRule="auto"/>
        <w:tabs>
          <w:tab w:leader="none" w:pos="177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“Annex A” of the Credit Agreement is hereby amended to delete the heading "Revolving Commitments" and the text thereunder, and the heading "LC Commitments" and the text thereunder, and to replace such items with the headings and table attached hereto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86"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confirms that it has received (a) at least one (1) business day written notice pursuant to the requirements of </w:t>
      </w:r>
      <w:r>
        <w:rPr>
          <w:rFonts w:ascii="Times New Roman" w:cs="Times New Roman" w:eastAsia="Times New Roman" w:hAnsi="Times New Roman"/>
          <w:sz w:val="22"/>
          <w:szCs w:val="22"/>
          <w:u w:val="single" w:color="auto"/>
          <w:color w:val="auto"/>
        </w:rPr>
        <w:t>Sections 2.11</w:t>
      </w:r>
      <w:r>
        <w:rPr>
          <w:rFonts w:ascii="Times New Roman" w:cs="Times New Roman" w:eastAsia="Times New Roman" w:hAnsi="Times New Roman"/>
          <w:sz w:val="22"/>
          <w:szCs w:val="22"/>
          <w:color w:val="auto"/>
        </w:rPr>
        <w:t xml:space="preserve"> of the Credit Agreement in connection with the Commitment Termination and (b) at least ten (10) business days written notice pursuant to the requirements of </w:t>
      </w:r>
      <w:r>
        <w:rPr>
          <w:rFonts w:ascii="Times New Roman" w:cs="Times New Roman" w:eastAsia="Times New Roman" w:hAnsi="Times New Roman"/>
          <w:sz w:val="22"/>
          <w:szCs w:val="22"/>
          <w:u w:val="single" w:color="auto"/>
          <w:color w:val="auto"/>
        </w:rPr>
        <w:t>2.27(a)(i)</w:t>
      </w:r>
      <w:r>
        <w:rPr>
          <w:rFonts w:ascii="Times New Roman" w:cs="Times New Roman" w:eastAsia="Times New Roman" w:hAnsi="Times New Roman"/>
          <w:sz w:val="22"/>
          <w:szCs w:val="22"/>
          <w:color w:val="auto"/>
        </w:rPr>
        <w:t xml:space="preserve"> of the Credit Agreement in connection with the establishment of the 2024 Incremental Revolving Commitments.</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TWO - Titles and Roles</w:t>
      </w:r>
      <w:r>
        <w:rPr>
          <w:rFonts w:ascii="Times New Roman" w:cs="Times New Roman" w:eastAsia="Times New Roman" w:hAnsi="Times New Roman"/>
          <w:sz w:val="22"/>
          <w:szCs w:val="22"/>
          <w:color w:val="auto"/>
        </w:rPr>
        <w:t>. The parties hereto agree that, as of the Tenth Amendment Effective Date (as defined below) and in connection with the Tenth Amendment: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Citibank, N.A. (“</w:t>
      </w:r>
      <w:r>
        <w:rPr>
          <w:rFonts w:ascii="Times New Roman" w:cs="Times New Roman" w:eastAsia="Times New Roman" w:hAnsi="Times New Roman"/>
          <w:sz w:val="22"/>
          <w:szCs w:val="22"/>
          <w:i w:val="1"/>
          <w:iCs w:val="1"/>
          <w:color w:val="auto"/>
        </w:rPr>
        <w:t>Citi</w:t>
      </w:r>
      <w:r>
        <w:rPr>
          <w:rFonts w:ascii="Times New Roman" w:cs="Times New Roman" w:eastAsia="Times New Roman" w:hAnsi="Times New Roman"/>
          <w:sz w:val="22"/>
          <w:szCs w:val="22"/>
          <w:color w:val="auto"/>
        </w:rPr>
        <w:t>”) shall be designated as, and perform the roles associated with, a lead arranger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bookrunner.</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THREE - Conditions to Effectiveness</w:t>
      </w:r>
      <w:r>
        <w:rPr>
          <w:rFonts w:ascii="Times New Roman" w:cs="Times New Roman" w:eastAsia="Times New Roman" w:hAnsi="Times New Roman"/>
          <w:sz w:val="22"/>
          <w:szCs w:val="22"/>
          <w:color w:val="auto"/>
        </w:rPr>
        <w:t>. The provisions of Section One of this Tenth Amendment shall become effective on the date (the “</w:t>
      </w:r>
      <w:r>
        <w:rPr>
          <w:rFonts w:ascii="Times New Roman" w:cs="Times New Roman" w:eastAsia="Times New Roman" w:hAnsi="Times New Roman"/>
          <w:sz w:val="22"/>
          <w:szCs w:val="22"/>
          <w:i w:val="1"/>
          <w:iCs w:val="1"/>
          <w:color w:val="auto"/>
        </w:rPr>
        <w:t>Tenth Amendment Effective Date</w:t>
      </w:r>
      <w:r>
        <w:rPr>
          <w:rFonts w:ascii="Times New Roman" w:cs="Times New Roman" w:eastAsia="Times New Roman" w:hAnsi="Times New Roman"/>
          <w:sz w:val="22"/>
          <w:szCs w:val="22"/>
          <w:color w:val="auto"/>
        </w:rPr>
        <w:t>”) when each of the following conditions specified below shall have been satisfied:</w:t>
      </w:r>
    </w:p>
    <w:p>
      <w:pPr>
        <w:spacing w:after="0" w:line="186" w:lineRule="exact"/>
        <w:rPr>
          <w:sz w:val="20"/>
          <w:szCs w:val="20"/>
          <w:color w:val="auto"/>
        </w:rPr>
      </w:pPr>
    </w:p>
    <w:p>
      <w:pPr>
        <w:ind w:right="20" w:firstLine="1304"/>
        <w:spacing w:after="0" w:line="271" w:lineRule="auto"/>
        <w:tabs>
          <w:tab w:leader="none" w:pos="1869"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 the Administrative Agent, each Issuing Lender and each 2024 Incremental Revolving Lender shall have signed a counterpart hereof (whether the same or different counterparts);</w:t>
      </w:r>
    </w:p>
    <w:p>
      <w:pPr>
        <w:spacing w:after="0" w:line="157"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8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reasonable invoiced out-of-pocket expenses incurred by the 2024 Incremental Revolving Lenders and the Administrative Agent pursuant to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of the Credit Agreement (including the reasonable and documented fees, charges and disbursements of counsel) and all accrued and unpaid fees, owing and payable under the Credit Agreement (including any fees agreed to in connection with this Tenth Amendment) shall have been paid to the extent invoiced at least two (2) Business Days prior to the Tenth Amendment Effective Date (or such shorter period as may be agreed by the Borrower);</w:t>
      </w:r>
    </w:p>
    <w:p>
      <w:pPr>
        <w:spacing w:after="0" w:line="163"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37"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(or caused to be paid), for the account of each 2024 Incremental Revolving Lender, a one-time, non-refundable fee equal to the amount set forth in that certain fee letter, among the 2024 Incremental Revolving Lenders and the Borrower, dated as of the Tenth Amendment Effective Date;</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paid to the Administrative Agent (for the account of the Existing Revolving Lenders) all fees and interest accrued pursuant to </w:t>
      </w:r>
      <w:r>
        <w:rPr>
          <w:rFonts w:ascii="Times New Roman" w:cs="Times New Roman" w:eastAsia="Times New Roman" w:hAnsi="Times New Roman"/>
          <w:sz w:val="22"/>
          <w:szCs w:val="22"/>
          <w:u w:val="single" w:color="auto"/>
          <w:color w:val="auto"/>
        </w:rPr>
        <w:t>Sections 2.07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2.21</w:t>
      </w:r>
      <w:r>
        <w:rPr>
          <w:rFonts w:ascii="Times New Roman" w:cs="Times New Roman" w:eastAsia="Times New Roman" w:hAnsi="Times New Roman"/>
          <w:sz w:val="22"/>
          <w:szCs w:val="22"/>
          <w:color w:val="auto"/>
        </w:rPr>
        <w:t xml:space="preserve"> of the Credit Agreement in respect of the Existing Revolving Loans to, and including, the Tenth Amendment Effective Date, whether or not then due and payable under the terms of the Credit Agreement;</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767"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an Officer’s Certificate certifying as to the Collateral Coverage Ratio and Liquidity in accordance with </w:t>
      </w:r>
      <w:r>
        <w:rPr>
          <w:rFonts w:ascii="Times New Roman" w:cs="Times New Roman" w:eastAsia="Times New Roman" w:hAnsi="Times New Roman"/>
          <w:sz w:val="22"/>
          <w:szCs w:val="22"/>
          <w:u w:val="single" w:color="auto"/>
          <w:color w:val="auto"/>
        </w:rPr>
        <w:t>Section 2.27(b)(iii)</w:t>
      </w:r>
      <w:r>
        <w:rPr>
          <w:rFonts w:ascii="Times New Roman" w:cs="Times New Roman" w:eastAsia="Times New Roman" w:hAnsi="Times New Roman"/>
          <w:sz w:val="22"/>
          <w:szCs w:val="22"/>
          <w:color w:val="auto"/>
        </w:rPr>
        <w:t xml:space="preserve"> of the Credit Agreement;</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98" w:lineRule="exact"/>
        <w:rPr>
          <w:sz w:val="20"/>
          <w:szCs w:val="20"/>
          <w:color w:val="auto"/>
        </w:rPr>
      </w:pPr>
    </w:p>
    <w:p>
      <w:pPr>
        <w:jc w:val="both"/>
        <w:ind w:left="-1120" w:firstLine="1304"/>
        <w:spacing w:after="0" w:line="257" w:lineRule="auto"/>
        <w:tabs>
          <w:tab w:leader="none" w:pos="622"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customary written opinion of Latham &amp; Watkins LLP, special counsel for the Borrower and the Guarantor addressed to the Administrative Agent, the 2024 Incremental Revolving Lenders, dated the Tenth Amendment Effective Date;</w:t>
      </w:r>
    </w:p>
    <w:p>
      <w:pPr>
        <w:spacing w:after="0" w:line="186" w:lineRule="exact"/>
        <w:rPr>
          <w:rFonts w:ascii="Times New Roman" w:cs="Times New Roman" w:eastAsia="Times New Roman" w:hAnsi="Times New Roman"/>
          <w:sz w:val="22"/>
          <w:szCs w:val="22"/>
          <w:color w:val="auto"/>
        </w:rPr>
      </w:pPr>
    </w:p>
    <w:p>
      <w:pPr>
        <w:jc w:val="both"/>
        <w:ind w:left="-1120" w:firstLine="1304"/>
        <w:spacing w:after="0" w:line="247" w:lineRule="auto"/>
        <w:tabs>
          <w:tab w:leader="none" w:pos="678"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the Secretary or Assistant Secretary (or similar Responsible Officer), dated the Tenth Amendment Effective Date (i) certifying as to the incumbency and specimen signature of each Responsible Officer of the Borrower and the Guarantor executing this Tenth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Tenth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0" w:lineRule="exact"/>
        <w:rPr>
          <w:rFonts w:ascii="Times New Roman" w:cs="Times New Roman" w:eastAsia="Times New Roman" w:hAnsi="Times New Roman"/>
          <w:sz w:val="22"/>
          <w:szCs w:val="22"/>
          <w:color w:val="auto"/>
        </w:rPr>
      </w:pPr>
    </w:p>
    <w:p>
      <w:pPr>
        <w:jc w:val="both"/>
        <w:ind w:left="-1120" w:firstLine="1304"/>
        <w:spacing w:after="0" w:line="259" w:lineRule="auto"/>
        <w:tabs>
          <w:tab w:leader="none" w:pos="692"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w:t>
      </w:r>
      <w:r>
        <w:rPr>
          <w:rFonts w:ascii="Times New Roman" w:cs="Times New Roman" w:eastAsia="Times New Roman" w:hAnsi="Times New Roman"/>
          <w:sz w:val="21"/>
          <w:szCs w:val="21"/>
          <w:u w:val="single" w:color="auto"/>
          <w:color w:val="auto"/>
        </w:rPr>
        <w:t>Sections 3.05(b)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3.09(a)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3.19</w:t>
      </w:r>
      <w:r>
        <w:rPr>
          <w:rFonts w:ascii="Times New Roman" w:cs="Times New Roman" w:eastAsia="Times New Roman" w:hAnsi="Times New Roman"/>
          <w:sz w:val="21"/>
          <w:szCs w:val="21"/>
          <w:color w:val="auto"/>
        </w:rPr>
        <w:t xml:space="preserve"> of the Credit Agreement) as though made on the date hereof, or, in the case of any such representation and warranty that relates to a specified date, as though made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for purposes of this clause (h), the representations and warranties contained in </w:t>
      </w:r>
      <w:r>
        <w:rPr>
          <w:rFonts w:ascii="Times New Roman" w:cs="Times New Roman" w:eastAsia="Times New Roman" w:hAnsi="Times New Roman"/>
          <w:sz w:val="21"/>
          <w:szCs w:val="21"/>
          <w:u w:val="single" w:color="auto"/>
          <w:color w:val="auto"/>
        </w:rPr>
        <w:t>Sections 3.04(a)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3.05(a)</w:t>
      </w:r>
      <w:r>
        <w:rPr>
          <w:rFonts w:ascii="Times New Roman" w:cs="Times New Roman" w:eastAsia="Times New Roman" w:hAnsi="Times New Roman"/>
          <w:sz w:val="21"/>
          <w:szCs w:val="21"/>
          <w:color w:val="auto"/>
        </w:rPr>
        <w:t xml:space="preserve"> of the Credit Agreement shall be deemed to refer to the audited consolidated financial statements of Parent and its Subsidiaries for the fiscal year ended December 31, 2023, included in Parent’s Annual Report on Form 10-K for 2023 (as amended) and the unaudited consolidated financial statements of Parent and its Subsidiaries for the fiscal quarter ended March 31, 2024, Annual Report on Form 10-K for 2023 and Quarterly Reports on Form 10-Q, or Current Reports on Form 8-K that have been filed after December 31, 2023 by Parent with the SEC) shall be true and correct in all respects as of the applicable date, before and after giving effect to this Tenth Amendment and (B) as to the absence of any event occurring and continuing, or resulting from this Tenth Amendment on, the Tenth Amendment Effective Date, that constitutes a Default or Event of Default;</w:t>
      </w:r>
    </w:p>
    <w:p>
      <w:pPr>
        <w:spacing w:after="0" w:line="181" w:lineRule="exact"/>
        <w:rPr>
          <w:rFonts w:ascii="Times New Roman" w:cs="Times New Roman" w:eastAsia="Times New Roman" w:hAnsi="Times New Roman"/>
          <w:sz w:val="21"/>
          <w:szCs w:val="21"/>
          <w:color w:val="auto"/>
        </w:rPr>
      </w:pPr>
    </w:p>
    <w:p>
      <w:pPr>
        <w:ind w:left="-1120" w:firstLine="1304"/>
        <w:spacing w:after="0" w:line="284" w:lineRule="auto"/>
        <w:tabs>
          <w:tab w:leader="none" w:pos="647"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to the establishment of the 2024 Incremental Revolving Commitments pursuant to this Tenth Amendment set forth in </w:t>
      </w:r>
      <w:r>
        <w:rPr>
          <w:rFonts w:ascii="Times New Roman" w:cs="Times New Roman" w:eastAsia="Times New Roman" w:hAnsi="Times New Roman"/>
          <w:sz w:val="22"/>
          <w:szCs w:val="22"/>
          <w:u w:val="single" w:color="auto"/>
          <w:color w:val="auto"/>
        </w:rPr>
        <w:t>Section 2.27(b)(i)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the Credit Agreement shall have been satisfied; and</w:t>
      </w:r>
    </w:p>
    <w:p>
      <w:pPr>
        <w:spacing w:after="0" w:line="143" w:lineRule="exact"/>
        <w:rPr>
          <w:rFonts w:ascii="Times New Roman" w:cs="Times New Roman" w:eastAsia="Times New Roman" w:hAnsi="Times New Roman"/>
          <w:sz w:val="22"/>
          <w:szCs w:val="22"/>
          <w:color w:val="auto"/>
        </w:rPr>
      </w:pPr>
    </w:p>
    <w:p>
      <w:pPr>
        <w:ind w:left="-1120" w:firstLine="1304"/>
        <w:spacing w:after="0" w:line="271" w:lineRule="auto"/>
        <w:tabs>
          <w:tab w:leader="none" w:pos="791"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that (1) the Ninth Amendment to that certain Amended and Restated Credit and Guaranty Agreement dated as of May</w:t>
      </w:r>
    </w:p>
    <w:p>
      <w:pPr>
        <w:sectPr>
          <w:pgSz w:w="11900" w:h="16838" w:orient="portrait"/>
          <w:cols w:equalWidth="0" w:num="1">
            <w:col w:w="10120"/>
          </w:cols>
          <w:pgMar w:left="1440" w:top="1440" w:right="339" w:bottom="1440" w:gutter="0" w:footer="0" w:header="0"/>
        </w:sectPr>
      </w:pPr>
    </w:p>
    <w:bookmarkStart w:id="346" w:name="page347"/>
    <w:bookmarkEnd w:id="346"/>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21, 2015,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Barclays Bank PLC, as administrative agent, (2) the First Amendment to that certain Credit and Guaranty Agreement, dated as of December 4, 2023,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Citibank, N.A. as administrative agent and (3) the termination of the revolving commitments under that certain Credit and Guaranty Agreement, dated as of April 29, 2016,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the Borrower and Barclays Bank PLC as administrative agent, have, or will contemporaneously with the Tenth Amendment Effective Date, become effective.</w:t>
      </w:r>
    </w:p>
    <w:p>
      <w:pPr>
        <w:spacing w:after="0" w:line="17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FOUR - No Default; Representations and Warranties</w:t>
      </w:r>
      <w:r>
        <w:rPr>
          <w:rFonts w:ascii="Times New Roman" w:cs="Times New Roman" w:eastAsia="Times New Roman" w:hAnsi="Times New Roman"/>
          <w:sz w:val="21"/>
          <w:szCs w:val="21"/>
          <w:color w:val="auto"/>
        </w:rPr>
        <w:t xml:space="preserve">. In order to induce the 2024 Incremental Revolving Lenders, the Issuing Lenders, and the Administrative Agent to enter into this Tenth Amendment, the Borrower represents and warrants to the 2024 Incremental Revolving Lenders, the Issuing Lenders and the Administrative Agent that, on and as of the date hereof after giving effect to this Tenth Amendment, (i) no Default or Event of Default has occurred and is continuing or would result from giving effect to this Tenth Amendment and (ii) the representations and warranties contained in the Credit Agreement and the other Loan Documents (other than representations and warranties set forth in </w:t>
      </w:r>
      <w:r>
        <w:rPr>
          <w:rFonts w:ascii="Times New Roman" w:cs="Times New Roman" w:eastAsia="Times New Roman" w:hAnsi="Times New Roman"/>
          <w:sz w:val="21"/>
          <w:szCs w:val="21"/>
          <w:u w:val="single" w:color="auto"/>
          <w:color w:val="auto"/>
        </w:rPr>
        <w:t>Sections 3.05(b)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3.09(a)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3.19</w:t>
      </w:r>
      <w:r>
        <w:rPr>
          <w:rFonts w:ascii="Times New Roman" w:cs="Times New Roman" w:eastAsia="Times New Roman" w:hAnsi="Times New Roman"/>
          <w:sz w:val="21"/>
          <w:szCs w:val="21"/>
          <w:color w:val="auto"/>
        </w:rPr>
        <w:t xml:space="preserve">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for purposes of this Section Four, the representations and warranties contained in </w:t>
      </w:r>
      <w:r>
        <w:rPr>
          <w:rFonts w:ascii="Times New Roman" w:cs="Times New Roman" w:eastAsia="Times New Roman" w:hAnsi="Times New Roman"/>
          <w:sz w:val="21"/>
          <w:szCs w:val="21"/>
          <w:u w:val="single" w:color="auto"/>
          <w:color w:val="auto"/>
        </w:rPr>
        <w:t>Sections 3.04(a)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3.05(a)</w:t>
      </w:r>
      <w:r>
        <w:rPr>
          <w:rFonts w:ascii="Times New Roman" w:cs="Times New Roman" w:eastAsia="Times New Roman" w:hAnsi="Times New Roman"/>
          <w:sz w:val="21"/>
          <w:szCs w:val="21"/>
          <w:color w:val="auto"/>
        </w:rPr>
        <w:t xml:space="preserve"> of the Credit Agreement shall be deemed to refer to the audited consolidated financial statements of Parent and its Subsidiaries for the fiscal year ended December 31, 2023, included in Parent’s Annual Report on Form 10-K (as amended) and the unaudited consolidated financial statements of Parent and its Subsidiaries for the fiscal quarter ended March 31, 2024, Annual Report on Form 10-K for 2023 and Quarterly Reports on Form 10-Q, or Current Reports on Form 8-K that have been filed after December 31, 2023 by Parent with the SEC) shall be true and correct in all respects as of the applicable date, before and after giving effect to this Tenth Amendment.</w:t>
      </w:r>
    </w:p>
    <w:p>
      <w:pPr>
        <w:spacing w:after="0" w:line="183" w:lineRule="exact"/>
        <w:rPr>
          <w:sz w:val="20"/>
          <w:szCs w:val="20"/>
          <w:color w:val="auto"/>
        </w:rPr>
      </w:pPr>
    </w:p>
    <w:p>
      <w:pPr>
        <w:jc w:val="both"/>
        <w:ind w:left="80" w:firstLine="1296"/>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FIVE - Confirmation</w:t>
      </w:r>
      <w:r>
        <w:rPr>
          <w:rFonts w:ascii="Times New Roman" w:cs="Times New Roman" w:eastAsia="Times New Roman" w:hAnsi="Times New Roman"/>
          <w:sz w:val="22"/>
          <w:szCs w:val="22"/>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2024 Incremental Revolving Commitments (after giving effect to this Tenth Amendment) and all obligations of the Guarantor with respect to the guarantee of such obligations, and (ii) reaffirm the grant of Liens on the Collateral to secure the Obligations (including the Obligations under the Revolving Loans incurred pursuant to this Tenth Amendment) pursuant to the Collateral Documents.</w:t>
      </w:r>
    </w:p>
    <w:p>
      <w:pPr>
        <w:spacing w:after="0" w:line="194" w:lineRule="exact"/>
        <w:rPr>
          <w:sz w:val="20"/>
          <w:szCs w:val="20"/>
          <w:color w:val="auto"/>
        </w:rPr>
      </w:pPr>
    </w:p>
    <w:p>
      <w:pPr>
        <w:jc w:val="both"/>
        <w:ind w:left="80" w:firstLine="1296"/>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SIX - Reference to and Effect on the Credit Agreement</w:t>
      </w:r>
      <w:r>
        <w:rPr>
          <w:rFonts w:ascii="Times New Roman" w:cs="Times New Roman" w:eastAsia="Times New Roman" w:hAnsi="Times New Roman"/>
          <w:sz w:val="22"/>
          <w:szCs w:val="22"/>
          <w:color w:val="auto"/>
        </w:rPr>
        <w:t>. On and after the Tenth Amendment Effective Date, each reference in the Credit Agreement to “this Agreement,” “hereunder,” “hereof” or words of like import referring to the Credit Agreement, shall mean and be a reference to the Credit Agreement as amended by this Tenth Amendment. The Credit Agreement and</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98" w:lineRule="exact"/>
        <w:rPr>
          <w:sz w:val="20"/>
          <w:szCs w:val="20"/>
          <w:color w:val="auto"/>
        </w:rPr>
      </w:pPr>
    </w:p>
    <w:p>
      <w:pPr>
        <w:jc w:val="both"/>
        <w:ind w:left="80"/>
        <w:spacing w:after="0" w:line="251" w:lineRule="auto"/>
        <w:rPr>
          <w:sz w:val="20"/>
          <w:szCs w:val="20"/>
          <w:color w:val="auto"/>
        </w:rPr>
      </w:pPr>
      <w:r>
        <w:rPr>
          <w:rFonts w:ascii="Times New Roman" w:cs="Times New Roman" w:eastAsia="Times New Roman" w:hAnsi="Times New Roman"/>
          <w:sz w:val="22"/>
          <w:szCs w:val="22"/>
          <w:color w:val="auto"/>
        </w:rPr>
        <w:t>each of the other Loan Documents, as specifically amended by this Tenth Amendment, are and shall continue to be in full force and effect and are hereby in all respects ratified and confirmed. This Tenth Amendment shall be deemed to be a “Loan Document” for all purposes of the Credit Agreement (as amended hereby) and the other Loan Documents. The execution, delivery and effectiveness of this Tenth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8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SECTION SEVEN - Execution in Counterparts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3" w:lineRule="auto"/>
        <w:tabs>
          <w:tab w:leader="none" w:pos="1925"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Tenth Amendment may be executed in counterparts (and by different parties hereto on different counterparts), each of which shall constitute an original, but all of which when taken together shall constitute a single contract. This Tenth Amendment shall be binding upon and inure to the benefit of the parties hereto and their respective successors and assigns. Delivery of an executed counterpart of a signature page of this Tenth Amendment by facsimile or electronic (e.g., “pdf” or “tif) format shall be effective as delivery of a manually executed counterpart of this Tenth Amendment.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28"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“execution,” “signed,” “signature,” and words of like import in this Tenth Amendment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both"/>
        <w:ind w:left="80" w:firstLine="1296"/>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EIGHT - Governing Law</w:t>
      </w:r>
      <w:r>
        <w:rPr>
          <w:rFonts w:ascii="Times New Roman" w:cs="Times New Roman" w:eastAsia="Times New Roman" w:hAnsi="Times New Roman"/>
          <w:sz w:val="22"/>
          <w:szCs w:val="22"/>
          <w:color w:val="auto"/>
        </w:rPr>
        <w:t>. THIS TENTH AMENDMENT AND THE RIGHTS AND OBLIGATIONS OF THE PARTIES UNDER THIS TENTH AMENDMENT (</w:t>
      </w:r>
      <w:r>
        <w:rPr>
          <w:rFonts w:ascii="Times New Roman" w:cs="Times New Roman" w:eastAsia="Times New Roman" w:hAnsi="Times New Roman"/>
          <w:sz w:val="22"/>
          <w:szCs w:val="22"/>
          <w:u w:val="single" w:color="auto"/>
          <w:color w:val="auto"/>
        </w:rPr>
        <w:t>WHETHER IN CONTRACT, TORT OR OTHERWISE AND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LAW OR EQUITY)</w:t>
      </w:r>
      <w:r>
        <w:rPr>
          <w:rFonts w:ascii="Times New Roman" w:cs="Times New Roman" w:eastAsia="Times New Roman" w:hAnsi="Times New Roman"/>
          <w:sz w:val="22"/>
          <w:szCs w:val="22"/>
          <w:color w:val="auto"/>
        </w:rPr>
        <w:t xml:space="preserve"> SHALL BE GOVERNED BY, AND CONSTRUED AND INTERPRETED IN ACCORDANCE WITH, THE LAWS OF THE STATE OF NEW YORK.</w:t>
      </w:r>
    </w:p>
    <w:p>
      <w:pPr>
        <w:spacing w:after="0" w:line="176" w:lineRule="exact"/>
        <w:rPr>
          <w:sz w:val="20"/>
          <w:szCs w:val="20"/>
          <w:color w:val="auto"/>
        </w:rPr>
      </w:pPr>
    </w:p>
    <w:p>
      <w:pPr>
        <w:jc w:val="both"/>
        <w:ind w:left="80" w:firstLine="1296"/>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NINE - Miscellaneous</w:t>
      </w:r>
      <w:r>
        <w:rPr>
          <w:rFonts w:ascii="Times New Roman" w:cs="Times New Roman" w:eastAsia="Times New Roman" w:hAnsi="Times New Roman"/>
          <w:sz w:val="22"/>
          <w:szCs w:val="22"/>
          <w:color w:val="auto"/>
        </w:rPr>
        <w:t xml:space="preserve">. The provisions set forth in </w:t>
      </w:r>
      <w:r>
        <w:rPr>
          <w:rFonts w:ascii="Times New Roman" w:cs="Times New Roman" w:eastAsia="Times New Roman" w:hAnsi="Times New Roman"/>
          <w:sz w:val="22"/>
          <w:szCs w:val="22"/>
          <w:u w:val="single" w:color="auto"/>
          <w:color w:val="auto"/>
        </w:rPr>
        <w:t>Sections 10.03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10.05(b)-(d)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10.17</w:t>
      </w:r>
      <w:r>
        <w:rPr>
          <w:rFonts w:ascii="Times New Roman" w:cs="Times New Roman" w:eastAsia="Times New Roman" w:hAnsi="Times New Roman"/>
          <w:sz w:val="22"/>
          <w:szCs w:val="22"/>
          <w:color w:val="auto"/>
        </w:rPr>
        <w:t xml:space="preserve"> of the Credit Agreement are hereby incorporated mutatis mutandis herein by reference thereto as fully and to the same extent as if set forth herein.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IS LEFT BLANK INTENTIONALLY]</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9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Tenth Amendment to be duly executed and delivered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Meghan Montana</w:t>
      </w:r>
      <w:r>
        <w:rPr>
          <w:rFonts w:ascii="Times New Roman" w:cs="Times New Roman" w:eastAsia="Times New Roman" w:hAnsi="Times New Roman"/>
          <w:sz w:val="22"/>
          <w:szCs w:val="22"/>
          <w:color w:val="auto"/>
        </w:rPr>
        <w:t>____________________</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Meghan Montana</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Meghan Montana</w:t>
      </w:r>
      <w:r>
        <w:rPr>
          <w:rFonts w:ascii="Times New Roman" w:cs="Times New Roman" w:eastAsia="Times New Roman" w:hAnsi="Times New Roman"/>
          <w:sz w:val="22"/>
          <w:szCs w:val="22"/>
          <w:color w:val="auto"/>
        </w:rPr>
        <w:t>____________________</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Meghan Montana</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Tenth Amendment to Amended and Restated Credit and Guaranty Agreement</w:t>
      </w:r>
      <w:r>
        <w:rPr>
          <w:rFonts w:ascii="Times New Roman" w:cs="Times New Roman" w:eastAsia="Times New Roman" w:hAnsi="Times New Roman"/>
          <w:sz w:val="18"/>
          <w:szCs w:val="18"/>
          <w:color w:val="auto"/>
        </w:rPr>
        <w:t>]</w:t>
      </w:r>
    </w:p>
    <w:p>
      <w:pPr>
        <w:sectPr>
          <w:pgSz w:w="11900" w:h="16838" w:orient="portrait"/>
          <w:cols w:equalWidth="0" w:num="1">
            <w:col w:w="10440"/>
          </w:cols>
          <w:pgMar w:left="320" w:top="1440" w:right="1139" w:bottom="1440" w:gutter="0" w:footer="0" w:header="0"/>
        </w:sectPr>
      </w:pPr>
    </w:p>
    <w:bookmarkStart w:id="349" w:name="page350"/>
    <w:bookmarkEnd w:id="349"/>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CITIBANK,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Michael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85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Michael Leonard</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Tenth Amendment to Amended and Restated Credit and Guaranty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350" w:name="page351"/>
    <w:bookmarkEnd w:id="350"/>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 </w:t>
      </w:r>
      <w:r>
        <w:rPr>
          <w:sz w:val="1"/>
          <w:szCs w:val="1"/>
          <w:color w:val="auto"/>
        </w:rPr>
        <w:drawing>
          <wp:inline distT="0" distB="0" distL="0" distR="0">
            <wp:extent cx="94615" cy="9398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as a [ </w:t>
      </w:r>
      <w:r>
        <w:rPr>
          <w:sz w:val="1"/>
          <w:szCs w:val="1"/>
          <w:color w:val="auto"/>
        </w:rPr>
        <w:drawing>
          <wp:inline distT="0" distB="0" distL="0" distR="0">
            <wp:extent cx="94615" cy="9398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274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Tenth Amendment to Amended and Restated Credit and Guaranty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351" w:name="page352"/>
    <w:bookmarkEnd w:id="351"/>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Schedule 1</w:t>
      </w:r>
    </w:p>
    <w:p>
      <w:pPr>
        <w:spacing w:after="0" w:line="200" w:lineRule="exact"/>
        <w:rPr>
          <w:sz w:val="20"/>
          <w:szCs w:val="20"/>
          <w:color w:val="auto"/>
        </w:rPr>
      </w:pPr>
    </w:p>
    <w:p>
      <w:pPr>
        <w:spacing w:after="0" w:line="23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u w:val="single" w:color="auto"/>
          <w:color w:val="auto"/>
        </w:rPr>
        <w:t>Revolving Commitments</w:t>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80" w:type="dxa"/>
            <w:vAlign w:val="bottom"/>
            <w:tcBorders>
              <w:top w:val="single" w:sz="8" w:color="auto"/>
              <w:left w:val="single" w:sz="8" w:color="auto"/>
              <w:right w:val="single" w:sz="8" w:color="auto"/>
            </w:tcBorders>
            <w:shd w:val="clear" w:color="auto" w:fill="DBDBDB"/>
          </w:tcPr>
          <w:p>
            <w:pPr>
              <w:ind w:left="320"/>
              <w:spacing w:after="0" w:line="216" w:lineRule="exact"/>
              <w:rPr>
                <w:sz w:val="20"/>
                <w:szCs w:val="20"/>
                <w:color w:val="auto"/>
              </w:rPr>
            </w:pPr>
            <w:r>
              <w:rPr>
                <w:rFonts w:ascii="Times New Roman" w:cs="Times New Roman" w:eastAsia="Times New Roman" w:hAnsi="Times New Roman"/>
                <w:sz w:val="22"/>
                <w:szCs w:val="22"/>
                <w:b w:val="1"/>
                <w:bCs w:val="1"/>
                <w:color w:val="auto"/>
              </w:rPr>
              <w:t>Name of 2024 Incremental Revolving</w:t>
            </w:r>
          </w:p>
        </w:tc>
        <w:tc>
          <w:tcPr>
            <w:tcW w:w="2660" w:type="dxa"/>
            <w:vAlign w:val="bottom"/>
            <w:tcBorders>
              <w:top w:val="single" w:sz="8" w:color="auto"/>
              <w:right w:val="single" w:sz="8" w:color="auto"/>
            </w:tcBorders>
            <w:shd w:val="clear" w:color="auto" w:fill="DBDBDB"/>
          </w:tcPr>
          <w:p>
            <w:pPr>
              <w:ind w:left="20"/>
              <w:spacing w:after="0" w:line="216" w:lineRule="exact"/>
              <w:rPr>
                <w:sz w:val="20"/>
                <w:szCs w:val="20"/>
                <w:color w:val="auto"/>
              </w:rPr>
            </w:pPr>
            <w:r>
              <w:rPr>
                <w:rFonts w:ascii="Times New Roman" w:cs="Times New Roman" w:eastAsia="Times New Roman" w:hAnsi="Times New Roman"/>
                <w:sz w:val="22"/>
                <w:szCs w:val="22"/>
                <w:b w:val="1"/>
                <w:bCs w:val="1"/>
                <w:color w:val="auto"/>
                <w:w w:val="98"/>
              </w:rPr>
              <w:t>2024 Incremental Revolving</w:t>
            </w:r>
          </w:p>
        </w:tc>
        <w:tc>
          <w:tcPr>
            <w:tcW w:w="2260" w:type="dxa"/>
            <w:vAlign w:val="bottom"/>
            <w:tcBorders>
              <w:top w:val="single" w:sz="8" w:color="auto"/>
              <w:right w:val="single" w:sz="8" w:color="auto"/>
            </w:tcBorders>
            <w:vMerge w:val="restart"/>
            <w:shd w:val="clear" w:color="auto" w:fill="DBDBDB"/>
          </w:tcPr>
          <w:p>
            <w:pPr>
              <w:ind w:left="320"/>
              <w:spacing w:after="0"/>
              <w:rPr>
                <w:sz w:val="20"/>
                <w:szCs w:val="20"/>
                <w:color w:val="auto"/>
              </w:rPr>
            </w:pPr>
            <w:r>
              <w:rPr>
                <w:rFonts w:ascii="Times New Roman" w:cs="Times New Roman" w:eastAsia="Times New Roman" w:hAnsi="Times New Roman"/>
                <w:sz w:val="22"/>
                <w:szCs w:val="22"/>
                <w:b w:val="1"/>
                <w:bCs w:val="1"/>
                <w:color w:val="auto"/>
              </w:rPr>
              <w:t>LC Commitment</w:t>
            </w:r>
          </w:p>
        </w:tc>
        <w:tc>
          <w:tcPr>
            <w:tcW w:w="0" w:type="dxa"/>
            <w:vAlign w:val="bottom"/>
          </w:tcPr>
          <w:p>
            <w:pPr>
              <w:spacing w:after="0"/>
              <w:rPr>
                <w:sz w:val="1"/>
                <w:szCs w:val="1"/>
                <w:color w:val="auto"/>
              </w:rPr>
            </w:pPr>
          </w:p>
        </w:tc>
      </w:tr>
      <w:tr>
        <w:trPr>
          <w:trHeight w:val="174"/>
        </w:trPr>
        <w:tc>
          <w:tcPr>
            <w:tcW w:w="4080" w:type="dxa"/>
            <w:vAlign w:val="bottom"/>
            <w:tcBorders>
              <w:left w:val="single" w:sz="8" w:color="auto"/>
              <w:right w:val="single" w:sz="8" w:color="auto"/>
            </w:tcBorders>
            <w:vMerge w:val="restart"/>
            <w:shd w:val="clear" w:color="auto" w:fill="DBDBDB"/>
          </w:tcPr>
          <w:p>
            <w:pPr>
              <w:ind w:left="1700"/>
              <w:spacing w:after="0"/>
              <w:rPr>
                <w:sz w:val="20"/>
                <w:szCs w:val="20"/>
                <w:color w:val="auto"/>
              </w:rPr>
            </w:pPr>
            <w:r>
              <w:rPr>
                <w:rFonts w:ascii="Times New Roman" w:cs="Times New Roman" w:eastAsia="Times New Roman" w:hAnsi="Times New Roman"/>
                <w:sz w:val="22"/>
                <w:szCs w:val="22"/>
                <w:b w:val="1"/>
                <w:bCs w:val="1"/>
                <w:color w:val="auto"/>
              </w:rPr>
              <w:t>Lender</w:t>
            </w:r>
          </w:p>
        </w:tc>
        <w:tc>
          <w:tcPr>
            <w:tcW w:w="2660" w:type="dxa"/>
            <w:vAlign w:val="bottom"/>
            <w:tcBorders>
              <w:right w:val="single" w:sz="8" w:color="auto"/>
            </w:tcBorders>
            <w:vMerge w:val="restart"/>
            <w:shd w:val="clear" w:color="auto" w:fill="DBDBDB"/>
          </w:tcPr>
          <w:p>
            <w:pPr>
              <w:ind w:left="660"/>
              <w:spacing w:after="0"/>
              <w:rPr>
                <w:sz w:val="20"/>
                <w:szCs w:val="20"/>
                <w:color w:val="auto"/>
              </w:rPr>
            </w:pPr>
            <w:r>
              <w:rPr>
                <w:rFonts w:ascii="Times New Roman" w:cs="Times New Roman" w:eastAsia="Times New Roman" w:hAnsi="Times New Roman"/>
                <w:sz w:val="22"/>
                <w:szCs w:val="22"/>
                <w:b w:val="1"/>
                <w:bCs w:val="1"/>
                <w:color w:val="auto"/>
              </w:rPr>
              <w:t>Commitments</w:t>
            </w:r>
          </w:p>
        </w:tc>
        <w:tc>
          <w:tcPr>
            <w:tcW w:w="2260" w:type="dxa"/>
            <w:vAlign w:val="bottom"/>
            <w:tcBorders>
              <w:right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80" w:type="dxa"/>
            <w:vAlign w:val="bottom"/>
            <w:tcBorders>
              <w:left w:val="single" w:sz="8" w:color="auto"/>
              <w:bottom w:val="single" w:sz="8" w:color="auto"/>
              <w:right w:val="single" w:sz="8" w:color="auto"/>
            </w:tcBorders>
            <w:vMerge w:val="continue"/>
            <w:shd w:val="clear" w:color="auto" w:fill="DBDBDB"/>
          </w:tcPr>
          <w:p>
            <w:pPr>
              <w:spacing w:after="0"/>
              <w:rPr>
                <w:sz w:val="9"/>
                <w:szCs w:val="9"/>
                <w:color w:val="auto"/>
              </w:rPr>
            </w:pPr>
          </w:p>
        </w:tc>
        <w:tc>
          <w:tcPr>
            <w:tcW w:w="2660" w:type="dxa"/>
            <w:vAlign w:val="bottom"/>
            <w:tcBorders>
              <w:bottom w:val="single" w:sz="8" w:color="auto"/>
              <w:right w:val="single" w:sz="8" w:color="auto"/>
            </w:tcBorders>
            <w:vMerge w:val="continue"/>
            <w:shd w:val="clear" w:color="auto" w:fill="DBDBDB"/>
          </w:tcPr>
          <w:p>
            <w:pPr>
              <w:spacing w:after="0"/>
              <w:rPr>
                <w:sz w:val="9"/>
                <w:szCs w:val="9"/>
                <w:color w:val="auto"/>
              </w:rPr>
            </w:pPr>
          </w:p>
        </w:tc>
        <w:tc>
          <w:tcPr>
            <w:tcW w:w="226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4"/>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0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2660" w:type="dxa"/>
            <w:vAlign w:val="bottom"/>
            <w:tcBorders>
              <w:bottom w:val="single" w:sz="8" w:color="auto"/>
              <w:right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22"/>
                <w:szCs w:val="22"/>
                <w:b w:val="1"/>
                <w:bCs w:val="1"/>
                <w:color w:val="auto"/>
              </w:rPr>
              <w:t>$1,500,000,000.00</w:t>
            </w:r>
          </w:p>
        </w:tc>
        <w:tc>
          <w:tcPr>
            <w:tcW w:w="2260" w:type="dxa"/>
            <w:vAlign w:val="bottom"/>
            <w:tcBorders>
              <w:bottom w:val="single" w:sz="8" w:color="auto"/>
              <w:right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22"/>
                <w:szCs w:val="22"/>
                <w:b w:val="1"/>
                <w:bCs w:val="1"/>
                <w:color w:val="auto"/>
              </w:rPr>
              <w:t>$200,000,000.00</w:t>
            </w:r>
          </w:p>
        </w:tc>
        <w:tc>
          <w:tcPr>
            <w:tcW w:w="0" w:type="dxa"/>
            <w:vAlign w:val="bottom"/>
          </w:tcPr>
          <w:p>
            <w:pPr>
              <w:spacing w:after="0"/>
              <w:rPr>
                <w:sz w:val="1"/>
                <w:szCs w:val="1"/>
                <w:color w:val="auto"/>
              </w:rPr>
            </w:pPr>
          </w:p>
        </w:tc>
      </w:tr>
    </w:tbl>
    <w:p>
      <w:pPr>
        <w:sectPr>
          <w:pgSz w:w="11900" w:h="16838" w:orient="portrait"/>
          <w:cols w:equalWidth="0" w:num="1">
            <w:col w:w="10580"/>
          </w:cols>
          <w:pgMar w:left="980" w:top="1440" w:right="3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A TO </w:t>
      </w:r>
      <w:r>
        <w:rPr>
          <w:rFonts w:ascii="Times New Roman" w:cs="Times New Roman" w:eastAsia="Times New Roman" w:hAnsi="Times New Roman"/>
          <w:sz w:val="18"/>
          <w:szCs w:val="18"/>
          <w:b w:val="1"/>
          <w:bCs w:val="1"/>
          <w:color w:val="FF0000"/>
          <w:strike w:val="1"/>
        </w:rPr>
        <w:t>NINTH</w:t>
      </w:r>
      <w:r>
        <w:rPr>
          <w:rFonts w:ascii="Times New Roman" w:cs="Times New Roman" w:eastAsia="Times New Roman" w:hAnsi="Times New Roman"/>
          <w:sz w:val="18"/>
          <w:szCs w:val="18"/>
          <w:b w:val="1"/>
          <w:bCs w:val="1"/>
          <w:u w:val="single" w:color="auto"/>
          <w:color w:val="0000FF"/>
        </w:rPr>
        <w:t>TENTH</w:t>
      </w:r>
      <w:r>
        <w:rPr>
          <w:rFonts w:ascii="Times New Roman" w:cs="Times New Roman" w:eastAsia="Times New Roman" w:hAnsi="Times New Roman"/>
          <w:sz w:val="18"/>
          <w:szCs w:val="18"/>
          <w:b w:val="1"/>
          <w:bCs w:val="1"/>
          <w:color w:val="auto"/>
        </w:rPr>
        <w:t xml:space="preser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CREDIT AND GUARANTY AGREEMENT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April 20, 2015</w:t>
      </w:r>
    </w:p>
    <w:p>
      <w:pPr>
        <w:spacing w:after="0" w:line="19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19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as Parent and a Guarantor,</w:t>
      </w:r>
    </w:p>
    <w:p>
      <w:pPr>
        <w:spacing w:after="0" w:line="2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US AIRWAYS GROUP, INC. AND US AIRWAYS, INC.,</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as Guarantors,</w:t>
      </w:r>
    </w:p>
    <w:p>
      <w:pPr>
        <w:spacing w:after="0" w:line="19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CITIBANK, N.A.,</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20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CITIBANK, N.A.,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Left Lead Arranger for the Term Loan Facility and Revolving Facility,</w:t>
      </w:r>
    </w:p>
    <w:p>
      <w:pPr>
        <w:spacing w:after="0" w:line="196" w:lineRule="exact"/>
        <w:rPr>
          <w:sz w:val="20"/>
          <w:szCs w:val="20"/>
          <w:color w:val="auto"/>
        </w:rPr>
      </w:pPr>
    </w:p>
    <w:p>
      <w:pPr>
        <w:jc w:val="center"/>
        <w:spacing w:after="0" w:line="248" w:lineRule="auto"/>
        <w:rPr>
          <w:sz w:val="20"/>
          <w:szCs w:val="20"/>
          <w:color w:val="auto"/>
        </w:rPr>
      </w:pPr>
      <w:r>
        <w:rPr>
          <w:rFonts w:ascii="Times New Roman" w:cs="Times New Roman" w:eastAsia="Times New Roman" w:hAnsi="Times New Roman"/>
          <w:sz w:val="22"/>
          <w:szCs w:val="22"/>
          <w:color w:val="auto"/>
        </w:rPr>
        <w:t>CITIBANK, N.A., BARCLAYS BANK PLC, CREDIT SUISSE LOAN FUNDING LLC, DEUTSCHE BANK SECURITIES INC., GOLDMAN SACHS LENDING PARTNERS LLC, INDUSTRIAL AND COMMERCIAL BANK OF CHINA LIMITED, NEW YORK BRANCH, JPMORGAN CHASE BANK, N.A., MERRILL LYNCH, PIERCE, FENNER &amp; SMITH INCORPORATED, MORGAN STANLEY SENIOR FUNDING, INC., SUMITOMO MITSUI BANKING CORPORATION, BNP PARIBAS SECURITIES CORP., CREDIT AGRICOLE CORPORATE AND INVESTMENT BANK, HSBC BANK USA, N.A., MUFG BANK, LTD., STANDARD CHARTERED BANK, U.S. BANK NATIONAL ASSOCIATION AND BOKF, NA DBA BANK OF TEXAS,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Lead Arrangers and Bookrunners,</w:t>
      </w:r>
    </w:p>
    <w:p>
      <w:pPr>
        <w:spacing w:after="0" w:line="209" w:lineRule="exact"/>
        <w:rPr>
          <w:sz w:val="20"/>
          <w:szCs w:val="20"/>
          <w:color w:val="auto"/>
        </w:rPr>
      </w:pPr>
    </w:p>
    <w:p>
      <w:pPr>
        <w:jc w:val="center"/>
        <w:ind w:left="340" w:right="360"/>
        <w:spacing w:after="0" w:line="254" w:lineRule="auto"/>
        <w:rPr>
          <w:sz w:val="20"/>
          <w:szCs w:val="20"/>
          <w:color w:val="auto"/>
        </w:rPr>
      </w:pPr>
      <w:r>
        <w:rPr>
          <w:rFonts w:ascii="Times New Roman" w:cs="Times New Roman" w:eastAsia="Times New Roman" w:hAnsi="Times New Roman"/>
          <w:sz w:val="22"/>
          <w:szCs w:val="22"/>
          <w:color w:val="auto"/>
        </w:rPr>
        <w:t>CITIGROUP GLOBAL MARKETS INC., BANK OF AMERICA, N.A., BARCLAYS BANK PLC, CREDIT SUISSE SECURITIES (USA) LLC, DEUTSCHE BANK SECURITIES INC., GOLDMAN SACHS BANK USA, J.P. MORGAN SECURITIES LLC AND MORGAN STANLEY SENIOR FUNDING, INC., as Syndication Agents,</w:t>
      </w:r>
    </w:p>
    <w:p>
      <w:pPr>
        <w:spacing w:after="0" w:line="200" w:lineRule="exact"/>
        <w:rPr>
          <w:sz w:val="20"/>
          <w:szCs w:val="20"/>
          <w:color w:val="auto"/>
        </w:rPr>
      </w:pP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CREDIT AGRICOLE CORPORATE AND INVESTMENT BANK AND BNP PARIBAS SECURITIES CORP.</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17" w:right="339" w:bottom="1440" w:gutter="0" w:footer="0" w:header="0"/>
        </w:sectPr>
      </w:pPr>
    </w:p>
    <w:bookmarkStart w:id="353" w:name="page354"/>
    <w:bookmarkEnd w:id="353"/>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1720" w:type="dxa"/>
            <w:vAlign w:val="bottom"/>
          </w:tcPr>
          <w:p>
            <w:pPr>
              <w:spacing w:after="0"/>
              <w:rPr>
                <w:sz w:val="24"/>
                <w:szCs w:val="24"/>
                <w:color w:val="auto"/>
              </w:rPr>
            </w:pPr>
          </w:p>
        </w:tc>
        <w:tc>
          <w:tcPr>
            <w:tcW w:w="882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440" w:type="dxa"/>
            <w:vAlign w:val="bottom"/>
          </w:tcPr>
          <w:p>
            <w:pPr>
              <w:spacing w:after="0"/>
              <w:rPr>
                <w:sz w:val="24"/>
                <w:szCs w:val="24"/>
                <w:color w:val="auto"/>
              </w:rPr>
            </w:pPr>
          </w:p>
        </w:tc>
      </w:tr>
      <w:tr>
        <w:trPr>
          <w:trHeight w:val="447"/>
        </w:trPr>
        <w:tc>
          <w:tcPr>
            <w:tcW w:w="17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18"/>
        </w:trPr>
        <w:tc>
          <w:tcPr>
            <w:tcW w:w="1720" w:type="dxa"/>
            <w:vAlign w:val="bottom"/>
          </w:tcPr>
          <w:p>
            <w:pPr>
              <w:spacing w:after="0"/>
              <w:rPr>
                <w:sz w:val="24"/>
                <w:szCs w:val="24"/>
                <w:color w:val="auto"/>
              </w:rPr>
            </w:pPr>
          </w:p>
        </w:tc>
        <w:tc>
          <w:tcPr>
            <w:tcW w:w="8820" w:type="dxa"/>
            <w:vAlign w:val="bottom"/>
          </w:tcPr>
          <w:p>
            <w:pPr>
              <w:jc w:val="center"/>
              <w:ind w:right="952"/>
              <w:spacing w:after="0"/>
              <w:rPr>
                <w:sz w:val="20"/>
                <w:szCs w:val="20"/>
                <w:color w:val="auto"/>
              </w:rPr>
            </w:pPr>
            <w:r>
              <w:rPr>
                <w:rFonts w:ascii="Times New Roman" w:cs="Times New Roman" w:eastAsia="Times New Roman" w:hAnsi="Times New Roman"/>
                <w:sz w:val="22"/>
                <w:szCs w:val="22"/>
                <w:color w:val="auto"/>
                <w:w w:val="97"/>
              </w:rPr>
              <w:t>Article I</w:t>
            </w:r>
          </w:p>
        </w:tc>
        <w:tc>
          <w:tcPr>
            <w:tcW w:w="44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88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7"/>
              </w:rPr>
              <w:t>DEFINITIONS</w:t>
            </w:r>
          </w:p>
        </w:tc>
        <w:tc>
          <w:tcPr>
            <w:tcW w:w="44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Defined Terms.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Terms Generally.</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Accounting Terms; GAAP.</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Effect of Restatement.</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64</w:t>
            </w:r>
          </w:p>
        </w:tc>
      </w:tr>
      <w:tr>
        <w:trPr>
          <w:trHeight w:val="486"/>
        </w:trPr>
        <w:tc>
          <w:tcPr>
            <w:tcW w:w="1720" w:type="dxa"/>
            <w:vAlign w:val="bottom"/>
          </w:tcPr>
          <w:p>
            <w:pPr>
              <w:spacing w:after="0"/>
              <w:rPr>
                <w:sz w:val="24"/>
                <w:szCs w:val="24"/>
                <w:color w:val="auto"/>
              </w:rPr>
            </w:pPr>
          </w:p>
        </w:tc>
        <w:tc>
          <w:tcPr>
            <w:tcW w:w="8820" w:type="dxa"/>
            <w:vAlign w:val="bottom"/>
          </w:tcPr>
          <w:p>
            <w:pPr>
              <w:jc w:val="center"/>
              <w:ind w:right="952"/>
              <w:spacing w:after="0"/>
              <w:rPr>
                <w:sz w:val="20"/>
                <w:szCs w:val="20"/>
                <w:color w:val="auto"/>
              </w:rPr>
            </w:pPr>
            <w:r>
              <w:rPr>
                <w:rFonts w:ascii="Times New Roman" w:cs="Times New Roman" w:eastAsia="Times New Roman" w:hAnsi="Times New Roman"/>
                <w:sz w:val="22"/>
                <w:szCs w:val="22"/>
                <w:color w:val="auto"/>
                <w:w w:val="98"/>
              </w:rPr>
              <w:t>Article II</w:t>
            </w:r>
          </w:p>
        </w:tc>
        <w:tc>
          <w:tcPr>
            <w:tcW w:w="44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8820" w:type="dxa"/>
            <w:vAlign w:val="bottom"/>
          </w:tcPr>
          <w:p>
            <w:pPr>
              <w:jc w:val="center"/>
              <w:ind w:right="952"/>
              <w:spacing w:after="0"/>
              <w:rPr>
                <w:sz w:val="20"/>
                <w:szCs w:val="20"/>
                <w:color w:val="auto"/>
              </w:rPr>
            </w:pPr>
            <w:r>
              <w:rPr>
                <w:rFonts w:ascii="Times New Roman" w:cs="Times New Roman" w:eastAsia="Times New Roman" w:hAnsi="Times New Roman"/>
                <w:sz w:val="22"/>
                <w:szCs w:val="22"/>
                <w:color w:val="auto"/>
                <w:w w:val="97"/>
              </w:rPr>
              <w:t>AMOUNT AND TERMS OF CREDIT</w:t>
            </w:r>
          </w:p>
        </w:tc>
        <w:tc>
          <w:tcPr>
            <w:tcW w:w="44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Commitments of the Lenders; Term Loans.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Letters of Credit.</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Requests for Loans.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Funding of Loans.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2.05.</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Interest Elections.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Limitation on Eurodollar Tranches.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2.07.</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Interest on Loans.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Default Interest.</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2.09.</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Alternate Rate of Interest.</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Amortization of Term Loans; Repayment of Loans; Evidence of Debt.</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Optional Termination or Reduction of Revolving Commitments.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Mandatory Prepayment of Loans; Commitment Termination.</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Optional Prepayment of Loans.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Increased Costs.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2.15.</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Break Funding Payments.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2.16.</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Taxes.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2.17.</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Payments Generally; Pro Rata Treatment.</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2.18.</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2.19.</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[Reserved].</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2.20.</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Commitment Fee.</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2.21.</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Letter of Credit Fees.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2.22.</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Nature of Fees.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2.23.</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Right of Set-Off.</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2.24.</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Security Interest in Letter of Credit Account.</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90</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2.25.</w:t>
            </w:r>
          </w:p>
        </w:tc>
        <w:tc>
          <w:tcPr>
            <w:tcW w:w="8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 of Obligations.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000"/>
          </w:cols>
          <w:pgMar w:left="320" w:top="1440" w:right="57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000"/>
          </w:cols>
          <w:pgMar w:left="320" w:top="1440" w:right="579" w:bottom="1440" w:gutter="0" w:footer="0" w:header="0"/>
          <w:type w:val="continuous"/>
        </w:sectPr>
      </w:pPr>
    </w:p>
    <w:bookmarkStart w:id="354" w:name="page355"/>
    <w:bookmarkEnd w:id="354"/>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2.26.</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Defaulting Lenders.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2.27.</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Increase in Commitment.</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94</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2.28.</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Extension of Term Loans; Extension of the Revolving Facility.</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w:t>
            </w:r>
          </w:p>
        </w:tc>
      </w:tr>
      <w:tr>
        <w:trPr>
          <w:trHeight w:val="474"/>
        </w:trPr>
        <w:tc>
          <w:tcPr>
            <w:tcW w:w="1720" w:type="dxa"/>
            <w:vAlign w:val="bottom"/>
          </w:tcPr>
          <w:p>
            <w:pPr>
              <w:spacing w:after="0"/>
              <w:rPr>
                <w:sz w:val="24"/>
                <w:szCs w:val="24"/>
                <w:color w:val="auto"/>
              </w:rPr>
            </w:pPr>
          </w:p>
        </w:tc>
        <w:tc>
          <w:tcPr>
            <w:tcW w:w="732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9"/>
              </w:rPr>
              <w:t>Article III</w:t>
            </w:r>
          </w:p>
        </w:tc>
        <w:tc>
          <w:tcPr>
            <w:tcW w:w="1820" w:type="dxa"/>
            <w:vAlign w:val="bottom"/>
          </w:tcPr>
          <w:p>
            <w:pPr>
              <w:spacing w:after="0"/>
              <w:rPr>
                <w:sz w:val="24"/>
                <w:szCs w:val="24"/>
                <w:color w:val="auto"/>
              </w:rPr>
            </w:pPr>
          </w:p>
        </w:tc>
      </w:tr>
      <w:tr>
        <w:trPr>
          <w:trHeight w:val="282"/>
        </w:trPr>
        <w:tc>
          <w:tcPr>
            <w:tcW w:w="1720" w:type="dxa"/>
            <w:vAlign w:val="bottom"/>
          </w:tcPr>
          <w:p>
            <w:pPr>
              <w:spacing w:after="0"/>
              <w:rPr>
                <w:sz w:val="24"/>
                <w:szCs w:val="24"/>
                <w:color w:val="auto"/>
              </w:rPr>
            </w:pPr>
          </w:p>
        </w:tc>
        <w:tc>
          <w:tcPr>
            <w:tcW w:w="732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6"/>
              </w:rPr>
              <w:t>REPRESENTATIONS AND WARRANTIES</w:t>
            </w:r>
          </w:p>
        </w:tc>
        <w:tc>
          <w:tcPr>
            <w:tcW w:w="182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Organization and Authority.</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3.02.</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Air Carrier Status.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Due Execution.</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Statements Made.</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Financial Statements; Material Adverse Change.</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Ownership of Subsidiaries.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Liens.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3.08.</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Use of Proceeds.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3.09.</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Litigation and Compliance with Laws.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Slots.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3.11.</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Routes.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3.12.</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Margin Regulations; Investment Company Act.</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3.13.</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Holding of Collateral.</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3.14.</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Perfected Security Interests.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3.15.</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 of Taxes.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3.16.</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No Unlawful Payments.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3.17.</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OFAC.</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3.18.</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Compliance with Anti-Money Laundering Laws.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106</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3.19.</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Solvency.</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107</w:t>
            </w:r>
          </w:p>
        </w:tc>
      </w:tr>
      <w:tr>
        <w:trPr>
          <w:trHeight w:val="486"/>
        </w:trPr>
        <w:tc>
          <w:tcPr>
            <w:tcW w:w="1720" w:type="dxa"/>
            <w:vAlign w:val="bottom"/>
          </w:tcPr>
          <w:p>
            <w:pPr>
              <w:spacing w:after="0"/>
              <w:rPr>
                <w:sz w:val="24"/>
                <w:szCs w:val="24"/>
                <w:color w:val="auto"/>
              </w:rPr>
            </w:pPr>
          </w:p>
        </w:tc>
        <w:tc>
          <w:tcPr>
            <w:tcW w:w="732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7"/>
              </w:rPr>
              <w:t>Article IV</w:t>
            </w:r>
          </w:p>
        </w:tc>
        <w:tc>
          <w:tcPr>
            <w:tcW w:w="182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320" w:type="dxa"/>
            <w:vAlign w:val="bottom"/>
          </w:tcPr>
          <w:p>
            <w:pPr>
              <w:jc w:val="center"/>
              <w:ind w:left="312"/>
              <w:spacing w:after="0"/>
              <w:rPr>
                <w:sz w:val="20"/>
                <w:szCs w:val="20"/>
                <w:color w:val="auto"/>
              </w:rPr>
            </w:pPr>
            <w:r>
              <w:rPr>
                <w:rFonts w:ascii="Times New Roman" w:cs="Times New Roman" w:eastAsia="Times New Roman" w:hAnsi="Times New Roman"/>
                <w:sz w:val="22"/>
                <w:szCs w:val="22"/>
                <w:color w:val="auto"/>
                <w:w w:val="98"/>
              </w:rPr>
              <w:t>CONDITIONS OF LENDING</w:t>
            </w:r>
          </w:p>
        </w:tc>
        <w:tc>
          <w:tcPr>
            <w:tcW w:w="182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Conditions Precedent to Closing.</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107</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4.02.</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Conditions Precedent to Each Loan and Each Letter of Credit.</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110</w:t>
            </w:r>
          </w:p>
        </w:tc>
      </w:tr>
      <w:tr>
        <w:trPr>
          <w:trHeight w:val="486"/>
        </w:trPr>
        <w:tc>
          <w:tcPr>
            <w:tcW w:w="1720" w:type="dxa"/>
            <w:vAlign w:val="bottom"/>
          </w:tcPr>
          <w:p>
            <w:pPr>
              <w:spacing w:after="0"/>
              <w:rPr>
                <w:sz w:val="24"/>
                <w:szCs w:val="24"/>
                <w:color w:val="auto"/>
              </w:rPr>
            </w:pPr>
          </w:p>
        </w:tc>
        <w:tc>
          <w:tcPr>
            <w:tcW w:w="732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6"/>
              </w:rPr>
              <w:t>Article V</w:t>
            </w:r>
          </w:p>
        </w:tc>
        <w:tc>
          <w:tcPr>
            <w:tcW w:w="182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32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7"/>
              </w:rPr>
              <w:t>AFFIRMATIVE COVENANTS</w:t>
            </w:r>
          </w:p>
        </w:tc>
        <w:tc>
          <w:tcPr>
            <w:tcW w:w="182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Financial Statements, Reports, etc.</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111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5.02.</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Taxes.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113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5.03.</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Corporate Existence.</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113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5.04.</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Compliance with Laws.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114</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5.05.</w:t>
            </w:r>
          </w:p>
        </w:tc>
        <w:tc>
          <w:tcPr>
            <w:tcW w:w="7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Designation of Restricted and Unrestricted Subsidiaries.</w:t>
            </w:r>
          </w:p>
        </w:tc>
        <w:tc>
          <w:tcPr>
            <w:tcW w:w="182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0"/>
              </w:rPr>
              <w:t>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880"/>
          </w:cols>
          <w:pgMar w:left="320" w:top="1440" w:right="69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0880"/>
          </w:cols>
          <w:pgMar w:left="320" w:top="1440" w:right="699" w:bottom="1440" w:gutter="0" w:footer="0" w:header="0"/>
          <w:type w:val="continuous"/>
        </w:sectPr>
      </w:pPr>
    </w:p>
    <w:bookmarkStart w:id="355" w:name="page356"/>
    <w:bookmarkEnd w:id="355"/>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5.06.</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Delivery of Appraisals.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114</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5.07.</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Regulatory Matters; Utilization; Reporting.</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115</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5.08.</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Maintenance of Ratings.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117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5.09.</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Additional Guarantors; Additional Collateral.</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117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Access to Books and Records.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117</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5.11.</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Further Assurances.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118</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520" w:type="dxa"/>
            <w:vAlign w:val="bottom"/>
          </w:tcPr>
          <w:p>
            <w:pPr>
              <w:jc w:val="center"/>
              <w:ind w:right="652"/>
              <w:spacing w:after="0"/>
              <w:rPr>
                <w:sz w:val="20"/>
                <w:szCs w:val="20"/>
                <w:color w:val="auto"/>
              </w:rPr>
            </w:pPr>
            <w:r>
              <w:rPr>
                <w:rFonts w:ascii="Times New Roman" w:cs="Times New Roman" w:eastAsia="Times New Roman" w:hAnsi="Times New Roman"/>
                <w:sz w:val="22"/>
                <w:szCs w:val="22"/>
                <w:color w:val="auto"/>
                <w:w w:val="97"/>
              </w:rPr>
              <w:t>Article VI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520" w:type="dxa"/>
            <w:vAlign w:val="bottom"/>
          </w:tcPr>
          <w:p>
            <w:pPr>
              <w:jc w:val="center"/>
              <w:ind w:right="652"/>
              <w:spacing w:after="0"/>
              <w:rPr>
                <w:sz w:val="20"/>
                <w:szCs w:val="20"/>
                <w:color w:val="auto"/>
              </w:rPr>
            </w:pPr>
            <w:r>
              <w:rPr>
                <w:rFonts w:ascii="Times New Roman" w:cs="Times New Roman" w:eastAsia="Times New Roman" w:hAnsi="Times New Roman"/>
                <w:sz w:val="22"/>
                <w:szCs w:val="22"/>
                <w:color w:val="auto"/>
                <w:w w:val="97"/>
              </w:rPr>
              <w:t>NEGATIVE AND FINANCIAL COVENANTS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Restricted Payments.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119</w:t>
            </w:r>
          </w:p>
        </w:tc>
        <w:tc>
          <w:tcPr>
            <w:tcW w:w="0" w:type="dxa"/>
            <w:vAlign w:val="bottom"/>
          </w:tcPr>
          <w:p>
            <w:pPr>
              <w:spacing w:after="0"/>
              <w:rPr>
                <w:sz w:val="1"/>
                <w:szCs w:val="1"/>
                <w:color w:val="auto"/>
              </w:rPr>
            </w:pPr>
          </w:p>
        </w:tc>
      </w:tr>
      <w:tr>
        <w:trPr>
          <w:trHeight w:val="216"/>
        </w:trPr>
        <w:tc>
          <w:tcPr>
            <w:tcW w:w="17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 6.02.</w:t>
            </w:r>
          </w:p>
        </w:tc>
        <w:tc>
          <w:tcPr>
            <w:tcW w:w="852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rPr>
              <w:t>Restrictions on Ability of Restricted Subsidiaries to Pay Dividends and Make Certain Other</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w w:val="90"/>
              </w:rPr>
              <w:t>125</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Payments.</w:t>
            </w:r>
          </w:p>
        </w:tc>
        <w:tc>
          <w:tcPr>
            <w:tcW w:w="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6.03.</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[Reserved].</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127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6.04.</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Disposition of Collateral.</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127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6.05.</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128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6.06.</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Liens.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6.07.</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Business Activities.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6.08.</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Liquidity.</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6.09.</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Collateral Coverage Ratio.</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Merger, Consolidation, or Sale of Assets.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131</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Sanctions.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133</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520" w:type="dxa"/>
            <w:vAlign w:val="bottom"/>
          </w:tcPr>
          <w:p>
            <w:pPr>
              <w:jc w:val="center"/>
              <w:ind w:right="652"/>
              <w:spacing w:after="0"/>
              <w:rPr>
                <w:sz w:val="20"/>
                <w:szCs w:val="20"/>
                <w:color w:val="auto"/>
              </w:rPr>
            </w:pPr>
            <w:r>
              <w:rPr>
                <w:rFonts w:ascii="Times New Roman" w:cs="Times New Roman" w:eastAsia="Times New Roman" w:hAnsi="Times New Roman"/>
                <w:sz w:val="22"/>
                <w:szCs w:val="22"/>
                <w:color w:val="auto"/>
                <w:w w:val="98"/>
              </w:rPr>
              <w:t>Article VII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520" w:type="dxa"/>
            <w:vAlign w:val="bottom"/>
          </w:tcPr>
          <w:p>
            <w:pPr>
              <w:jc w:val="center"/>
              <w:ind w:right="652"/>
              <w:spacing w:after="0"/>
              <w:rPr>
                <w:sz w:val="20"/>
                <w:szCs w:val="20"/>
                <w:color w:val="auto"/>
              </w:rPr>
            </w:pPr>
            <w:r>
              <w:rPr>
                <w:rFonts w:ascii="Times New Roman" w:cs="Times New Roman" w:eastAsia="Times New Roman" w:hAnsi="Times New Roman"/>
                <w:sz w:val="22"/>
                <w:szCs w:val="22"/>
                <w:color w:val="auto"/>
                <w:w w:val="96"/>
              </w:rPr>
              <w:t>EVENTS OF DEFAULT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Events of Default.</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133</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520" w:type="dxa"/>
            <w:vAlign w:val="bottom"/>
          </w:tcPr>
          <w:p>
            <w:pPr>
              <w:jc w:val="center"/>
              <w:ind w:right="652"/>
              <w:spacing w:after="0"/>
              <w:rPr>
                <w:sz w:val="20"/>
                <w:szCs w:val="20"/>
                <w:color w:val="auto"/>
              </w:rPr>
            </w:pPr>
            <w:r>
              <w:rPr>
                <w:rFonts w:ascii="Times New Roman" w:cs="Times New Roman" w:eastAsia="Times New Roman" w:hAnsi="Times New Roman"/>
                <w:sz w:val="22"/>
                <w:szCs w:val="22"/>
                <w:color w:val="auto"/>
                <w:w w:val="99"/>
              </w:rPr>
              <w:t>Article VIII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520" w:type="dxa"/>
            <w:vAlign w:val="bottom"/>
          </w:tcPr>
          <w:p>
            <w:pPr>
              <w:jc w:val="center"/>
              <w:ind w:right="652"/>
              <w:spacing w:after="0"/>
              <w:rPr>
                <w:sz w:val="20"/>
                <w:szCs w:val="20"/>
                <w:color w:val="auto"/>
              </w:rPr>
            </w:pPr>
            <w:r>
              <w:rPr>
                <w:rFonts w:ascii="Times New Roman" w:cs="Times New Roman" w:eastAsia="Times New Roman" w:hAnsi="Times New Roman"/>
                <w:sz w:val="22"/>
                <w:szCs w:val="22"/>
                <w:color w:val="auto"/>
                <w:w w:val="97"/>
              </w:rPr>
              <w:t>THE AGENTS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Administration by Agents.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136</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Rights of Agents.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8.03.</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Liability of Agents.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8.04.</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Reimbursement and Indemnification.</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139</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8.05.</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Successor Agents.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140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8.06.</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Independent Lenders.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140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8.07.</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Advances and Payments.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141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8.08.</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Sharing of Setoffs.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141</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8.09.</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Withholding Taxes.</w:t>
            </w:r>
          </w:p>
        </w:tc>
        <w:tc>
          <w:tcPr>
            <w:tcW w:w="62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0"/>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880"/>
          </w:cols>
          <w:pgMar w:left="320" w:top="1440" w:right="69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0880"/>
          </w:cols>
          <w:pgMar w:left="320" w:top="1440" w:right="699" w:bottom="1440" w:gutter="0" w:footer="0" w:header="0"/>
          <w:type w:val="continuous"/>
        </w:sectPr>
      </w:pPr>
    </w:p>
    <w:bookmarkStart w:id="356" w:name="page357"/>
    <w:bookmarkEnd w:id="356"/>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8.10.</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Appointment by Secured Parties.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8.11.</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Delivery of Information.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8.12.</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Erroneous Payments.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474"/>
        </w:trPr>
        <w:tc>
          <w:tcPr>
            <w:tcW w:w="1760" w:type="dxa"/>
            <w:vAlign w:val="bottom"/>
          </w:tcPr>
          <w:p>
            <w:pPr>
              <w:spacing w:after="0"/>
              <w:rPr>
                <w:sz w:val="24"/>
                <w:szCs w:val="24"/>
                <w:color w:val="auto"/>
              </w:rPr>
            </w:pPr>
          </w:p>
        </w:tc>
        <w:tc>
          <w:tcPr>
            <w:tcW w:w="7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IX</w:t>
            </w:r>
          </w:p>
        </w:tc>
        <w:tc>
          <w:tcPr>
            <w:tcW w:w="1320" w:type="dxa"/>
            <w:vAlign w:val="bottom"/>
          </w:tcPr>
          <w:p>
            <w:pPr>
              <w:spacing w:after="0"/>
              <w:rPr>
                <w:sz w:val="24"/>
                <w:szCs w:val="24"/>
                <w:color w:val="auto"/>
              </w:rPr>
            </w:pPr>
          </w:p>
        </w:tc>
      </w:tr>
      <w:tr>
        <w:trPr>
          <w:trHeight w:val="282"/>
        </w:trPr>
        <w:tc>
          <w:tcPr>
            <w:tcW w:w="1760" w:type="dxa"/>
            <w:vAlign w:val="bottom"/>
          </w:tcPr>
          <w:p>
            <w:pPr>
              <w:spacing w:after="0"/>
              <w:rPr>
                <w:sz w:val="24"/>
                <w:szCs w:val="24"/>
                <w:color w:val="auto"/>
              </w:rPr>
            </w:pPr>
          </w:p>
        </w:tc>
        <w:tc>
          <w:tcPr>
            <w:tcW w:w="7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GUARANTY</w:t>
            </w:r>
          </w:p>
        </w:tc>
        <w:tc>
          <w:tcPr>
            <w:tcW w:w="1320" w:type="dxa"/>
            <w:vAlign w:val="bottom"/>
          </w:tcPr>
          <w:p>
            <w:pPr>
              <w:spacing w:after="0"/>
              <w:rPr>
                <w:sz w:val="24"/>
                <w:szCs w:val="24"/>
                <w:color w:val="auto"/>
              </w:rPr>
            </w:pPr>
          </w:p>
        </w:tc>
      </w:tr>
      <w:tr>
        <w:trPr>
          <w:trHeight w:val="474"/>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Guaranty.</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Right of Contribution.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Continuation and Reinstatement, etc.</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9.04.</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Subrogation.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9.05.</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Guaranty.</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r>
      <w:tr>
        <w:trPr>
          <w:trHeight w:val="486"/>
        </w:trPr>
        <w:tc>
          <w:tcPr>
            <w:tcW w:w="1760" w:type="dxa"/>
            <w:vAlign w:val="bottom"/>
          </w:tcPr>
          <w:p>
            <w:pPr>
              <w:spacing w:after="0"/>
              <w:rPr>
                <w:sz w:val="24"/>
                <w:szCs w:val="24"/>
                <w:color w:val="auto"/>
              </w:rPr>
            </w:pPr>
          </w:p>
        </w:tc>
        <w:tc>
          <w:tcPr>
            <w:tcW w:w="7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Article X</w:t>
            </w:r>
          </w:p>
        </w:tc>
        <w:tc>
          <w:tcPr>
            <w:tcW w:w="1320" w:type="dxa"/>
            <w:vAlign w:val="bottom"/>
          </w:tcPr>
          <w:p>
            <w:pPr>
              <w:spacing w:after="0"/>
              <w:rPr>
                <w:sz w:val="24"/>
                <w:szCs w:val="24"/>
                <w:color w:val="auto"/>
              </w:rPr>
            </w:pPr>
          </w:p>
        </w:tc>
      </w:tr>
      <w:tr>
        <w:trPr>
          <w:trHeight w:val="486"/>
        </w:trPr>
        <w:tc>
          <w:tcPr>
            <w:tcW w:w="1760" w:type="dxa"/>
            <w:vAlign w:val="bottom"/>
          </w:tcPr>
          <w:p>
            <w:pPr>
              <w:spacing w:after="0"/>
              <w:rPr>
                <w:sz w:val="24"/>
                <w:szCs w:val="24"/>
                <w:color w:val="auto"/>
              </w:rPr>
            </w:pPr>
          </w:p>
        </w:tc>
        <w:tc>
          <w:tcPr>
            <w:tcW w:w="77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MISCELLANEOUS</w:t>
            </w:r>
          </w:p>
        </w:tc>
        <w:tc>
          <w:tcPr>
            <w:tcW w:w="1320" w:type="dxa"/>
            <w:vAlign w:val="bottom"/>
          </w:tcPr>
          <w:p>
            <w:pPr>
              <w:spacing w:after="0"/>
              <w:rPr>
                <w:sz w:val="24"/>
                <w:szCs w:val="24"/>
                <w:color w:val="auto"/>
              </w:rPr>
            </w:pPr>
          </w:p>
        </w:tc>
      </w:tr>
      <w:tr>
        <w:trPr>
          <w:trHeight w:val="474"/>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10.01.</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10.02.</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Successors and Assigns.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10.03.</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Confidentiality.</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10.04.</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Expenses; Indemnity; Damage Waiver.</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10.05.</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10.06.</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Waiver.</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10.07.</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Extension of Maturity.</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10.08.</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 etc.</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10.09.</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Severability.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10.10.</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Headings.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10.11.</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Survival.</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10.12.</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Execution in Counterparts; Integration; Effectiveness.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10.13.</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USA Patriot Act.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10.14.</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New Value.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10.15.</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10.16.</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Fiduciary Duty.</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10.17.</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Lender Action.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10.18.</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Intercreditor Agreements.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10.19.</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Acknowledgment and Consent to Bail-In of Affected Financial Institutions.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10.20.</w:t>
            </w:r>
          </w:p>
        </w:tc>
        <w:tc>
          <w:tcPr>
            <w:tcW w:w="7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iv</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0880"/>
          </w:cols>
          <w:pgMar w:left="320" w:top="1440" w:right="699" w:bottom="1440" w:gutter="0" w:footer="0" w:header="0"/>
        </w:sectPr>
      </w:pPr>
    </w:p>
    <w:bookmarkStart w:id="357" w:name="page358"/>
    <w:bookmarkEnd w:id="357"/>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INDEX OF APPENDICES</w:t>
      </w:r>
    </w:p>
    <w:p>
      <w:pPr>
        <w:sectPr>
          <w:pgSz w:w="11900" w:h="16838" w:orient="portrait"/>
          <w:cols w:equalWidth="0" w:num="1">
            <w:col w:w="10139"/>
          </w:cols>
          <w:pgMar w:left="320" w:top="1440" w:right="1440" w:bottom="1440" w:gutter="0" w:footer="0" w:header="0"/>
        </w:sectPr>
      </w:pPr>
    </w:p>
    <w:p>
      <w:pPr>
        <w:spacing w:after="0" w:line="2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ANNEX A –</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EXHIBIT A-1 –</w:t>
      </w:r>
    </w:p>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EXHIBIT A-2 –</w:t>
      </w:r>
    </w:p>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EXHIBIT B –</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EXHIBIT C –</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EXHIBIT D-1 –</w:t>
      </w:r>
    </w:p>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EXHIBIT D-2 –</w:t>
      </w:r>
    </w:p>
    <w:p>
      <w:pPr>
        <w:spacing w:after="0" w:line="2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EXHIBIT E –</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EXHIBIT F –</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EXHIBIT G –</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EXHIBIT H –</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EXHIBIT I –</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and Commitments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SGR Security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UK Debenture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Instrument of Assumption and Joinder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Assignment and Acceptance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Loan Request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Letter of Credit Request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Account Control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Aircraft Security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Description of Security Agreement for Spare Engines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Collateral Coverage Ratio Certificate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Intercreditor Agreement</w:t>
      </w:r>
    </w:p>
    <w:p>
      <w:pPr>
        <w:spacing w:after="0" w:line="200" w:lineRule="exact"/>
        <w:rPr>
          <w:sz w:val="20"/>
          <w:szCs w:val="20"/>
          <w:color w:val="auto"/>
        </w:rPr>
      </w:pPr>
    </w:p>
    <w:p>
      <w:pPr>
        <w:sectPr>
          <w:pgSz w:w="11900" w:h="16838" w:orient="portrait"/>
          <w:cols w:equalWidth="0" w:num="2">
            <w:col w:w="2520" w:space="720"/>
            <w:col w:w="6899"/>
          </w:cols>
          <w:pgMar w:left="320" w:top="1440" w:right="1440" w:bottom="1440" w:gutter="0" w:footer="0" w:header="0"/>
          <w:type w:val="continuous"/>
        </w:sectPr>
      </w:pPr>
    </w:p>
    <w:p>
      <w:pPr>
        <w:spacing w:after="0" w:line="35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1"/>
          <w:szCs w:val="21"/>
          <w:color w:val="auto"/>
        </w:rPr>
        <w:t>SCHEDULE 3.06</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Subsidiaries</w:t>
      </w:r>
    </w:p>
    <w:p>
      <w:pPr>
        <w:spacing w:after="0" w:line="200" w:lineRule="exact"/>
        <w:rPr>
          <w:sz w:val="20"/>
          <w:szCs w:val="20"/>
          <w:color w:val="auto"/>
        </w:rPr>
      </w:pPr>
    </w:p>
    <w:p>
      <w:pPr>
        <w:sectPr>
          <w:pgSz w:w="11900" w:h="16838" w:orient="portrait"/>
          <w:cols w:equalWidth="0" w:num="2">
            <w:col w:w="2520" w:space="720"/>
            <w:col w:w="689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v</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0139"/>
          </w:cols>
          <w:pgMar w:left="320" w:top="1440" w:right="1440" w:bottom="1440" w:gutter="0" w:footer="0" w:header="0"/>
          <w:type w:val="continuous"/>
        </w:sectPr>
      </w:pPr>
    </w:p>
    <w:bookmarkStart w:id="358" w:name="page359"/>
    <w:bookmarkEnd w:id="358"/>
    <w:p>
      <w:pPr>
        <w:spacing w:after="0" w:line="19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AMENDED AND RESTATED CREDIT AND GUARANTY AGREEMENT, dated as of April 20, 2015, amending and restating the Credit and Guaranty Agreement, dated October 10, 2014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in each case, by and among AMERICAN AIRLINES,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AMERICAN AIRLINES GROUP INC., a Delaware corporation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the direct and indirect Domestic Subsidiaries of Parent from time to time party hereto other than the Borrower, the Lenders (as defined below), CITIBANK, N.A., as administrative agent for the Lenders (together with its permitted successors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collateral agent (in such capacity, the “</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and as an issuing lender (in such capacity, an “</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CITIBANK, N.A., as left lead arranger for the Term Loan Facility and Revolving Facility (in such capacity, the “</w:t>
      </w:r>
      <w:r>
        <w:rPr>
          <w:rFonts w:ascii="Times New Roman" w:cs="Times New Roman" w:eastAsia="Times New Roman" w:hAnsi="Times New Roman"/>
          <w:sz w:val="22"/>
          <w:szCs w:val="22"/>
          <w:i w:val="1"/>
          <w:iCs w:val="1"/>
          <w:color w:val="auto"/>
        </w:rPr>
        <w:t>Left Lead Arranger</w:t>
      </w:r>
      <w:r>
        <w:rPr>
          <w:rFonts w:ascii="Times New Roman" w:cs="Times New Roman" w:eastAsia="Times New Roman" w:hAnsi="Times New Roman"/>
          <w:sz w:val="22"/>
          <w:szCs w:val="22"/>
          <w:color w:val="auto"/>
        </w:rPr>
        <w:t>”), CITIBANK, N.A., BARCLAYS BANK PLC, CREDIT SUISSE SECURITIES (USA) LLC, DEUTSCHE BANK SECURITIES INC., GOLDMAN SACHS BANK USA, J.P. MORGAN SECURITIES LLC, MERRILL LYNCH, PIERCE, FENNER &amp; SMITH INCORPORATED, MORGAN STANLEY SENIOR FUNDING, INC., BNP PARIBAS SECURITIES CORP. and CREDIT AGRICOLE CORPORATE AND INVESTMENT BANK, as joint lead arrangers and bookrunners (collectively, the “</w:t>
      </w:r>
      <w:r>
        <w:rPr>
          <w:rFonts w:ascii="Times New Roman" w:cs="Times New Roman" w:eastAsia="Times New Roman" w:hAnsi="Times New Roman"/>
          <w:sz w:val="22"/>
          <w:szCs w:val="22"/>
          <w:i w:val="1"/>
          <w:iCs w:val="1"/>
          <w:color w:val="auto"/>
        </w:rPr>
        <w:t>Joint Lead Arrangers and Bookrunners</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CITIGROUP GLOBAL MARKETS INC., BANK OF AMERICA, N.A., BARCLAYS BANK PLC, CREDIT SUISSE SECURITIES (USA) LLC, DEUTSCHE BANK SECURITIES INC., GOLDMAN SACHS BANK USA, J.P. MORGAN SECURITIES LLC AND MORGAN STANLEY SENIOR FUNDING, INC. as syndication agents (collectively, the “</w:t>
      </w:r>
      <w:r>
        <w:rPr>
          <w:rFonts w:ascii="Times New Roman" w:cs="Times New Roman" w:eastAsia="Times New Roman" w:hAnsi="Times New Roman"/>
          <w:sz w:val="22"/>
          <w:szCs w:val="22"/>
          <w:i w:val="1"/>
          <w:iCs w:val="1"/>
          <w:color w:val="auto"/>
        </w:rPr>
        <w:t>Syndication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Agents</w:t>
      </w:r>
      <w:r>
        <w:rPr>
          <w:rFonts w:ascii="Times New Roman" w:cs="Times New Roman" w:eastAsia="Times New Roman" w:hAnsi="Times New Roman"/>
          <w:sz w:val="22"/>
          <w:szCs w:val="22"/>
          <w:color w:val="auto"/>
        </w:rPr>
        <w:t>”), CREDIT AGRICOLE CORPORATE AND INVESTMENT BANK AND BNP PARIBAS SECURITIES CORP.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documentation agents (collectively, the “</w:t>
      </w:r>
      <w:r>
        <w:rPr>
          <w:rFonts w:ascii="Times New Roman" w:cs="Times New Roman" w:eastAsia="Times New Roman" w:hAnsi="Times New Roman"/>
          <w:sz w:val="22"/>
          <w:szCs w:val="22"/>
          <w:i w:val="1"/>
          <w:iCs w:val="1"/>
          <w:color w:val="auto"/>
        </w:rPr>
        <w:t>Documentation Agents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INTRODUCTORY STATEMENT</w:t>
      </w:r>
    </w:p>
    <w:p>
      <w:pPr>
        <w:spacing w:after="0" w:line="22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The Borrower, Parent and each other Guarantor, the Administrative Agent and Collateral Agent and the lenders party thereto were parties to the Credit Agreement.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Pursuant to the First Amendment and Restatement Agreement, the Credit Agreement was amended and restated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entirety.</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proceeds of the Loans may be used for general corporate purposes.</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w:t>
      </w:r>
    </w:p>
    <w:p>
      <w:pPr>
        <w:spacing w:after="0" w:line="176" w:lineRule="exact"/>
        <w:rPr>
          <w:sz w:val="20"/>
          <w:szCs w:val="20"/>
          <w:color w:val="auto"/>
        </w:rPr>
      </w:pPr>
    </w:p>
    <w:p>
      <w:pPr>
        <w:ind w:left="660" w:firstLine="644"/>
        <w:spacing w:after="0" w:line="271" w:lineRule="auto"/>
        <w:tabs>
          <w:tab w:leader="none" w:pos="1795"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guaranty from each Guarantor of the due and punctual payment and performance of the Obligations of the Borrower pursuant to Article IX; and</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12"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interest with respect to the Collateral from the Borrower and each other Grantor (if any) pursuant to the Collateral Documents.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(LHR) - Exhibit A to Tenth Amendment (Conformed Credit Agreement)||</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2020 Incremental Term Loan Commitment</w:t>
      </w:r>
      <w:r>
        <w:rPr>
          <w:rFonts w:ascii="Times New Roman" w:cs="Times New Roman" w:eastAsia="Times New Roman" w:hAnsi="Times New Roman"/>
          <w:sz w:val="22"/>
          <w:szCs w:val="22"/>
          <w:color w:val="auto"/>
        </w:rPr>
        <w:t>” shall mean the Term Loan Commitment of the 2020 Incremental Term Loan Lender to make the 2020 Incremental Term Loans.</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2020 Incremental Term Loan Commitment Schedule</w:t>
      </w:r>
      <w:r>
        <w:rPr>
          <w:rFonts w:ascii="Times New Roman" w:cs="Times New Roman" w:eastAsia="Times New Roman" w:hAnsi="Times New Roman"/>
          <w:sz w:val="22"/>
          <w:szCs w:val="22"/>
          <w:color w:val="auto"/>
        </w:rPr>
        <w:t>” shall mean the schedule of 2020 Incremental Term Loan Commitments of the 2020 Incremental Term Lender provided to the Borrower on the Eighth Amendment Effective Date by the Administrative Agent pursuant to the Eighth Amendment.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2020 Incremental Term Loan Lender</w:t>
      </w:r>
      <w:r>
        <w:rPr>
          <w:rFonts w:ascii="Times New Roman" w:cs="Times New Roman" w:eastAsia="Times New Roman" w:hAnsi="Times New Roman"/>
          <w:sz w:val="22"/>
          <w:szCs w:val="22"/>
          <w:color w:val="auto"/>
        </w:rPr>
        <w:t>” means Citibank, N.A.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2020 Incremental Term Loans</w:t>
      </w:r>
      <w:r>
        <w:rPr>
          <w:rFonts w:ascii="Times New Roman" w:cs="Times New Roman" w:eastAsia="Times New Roman" w:hAnsi="Times New Roman"/>
          <w:sz w:val="21"/>
          <w:szCs w:val="21"/>
          <w:color w:val="auto"/>
        </w:rPr>
        <w:t>” shall be the incremental Term Loans incurred pursuant to the Eighth Amendment.</w:t>
      </w:r>
    </w:p>
    <w:p>
      <w:pPr>
        <w:spacing w:after="0" w:line="23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2020 Replacement Term Lender</w:t>
      </w:r>
      <w:r>
        <w:rPr>
          <w:rFonts w:ascii="Times New Roman" w:cs="Times New Roman" w:eastAsia="Times New Roman" w:hAnsi="Times New Roman"/>
          <w:sz w:val="22"/>
          <w:szCs w:val="22"/>
          <w:color w:val="auto"/>
        </w:rPr>
        <w:t>” shall mean each Lender having a Term Loan Commitment to provide 2020 Replacement Term Loans or, as the case may be, with an outstanding 2020 Replacement Term Loan.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2020 Replacement Term Loans</w:t>
      </w:r>
      <w:r>
        <w:rPr>
          <w:rFonts w:ascii="Times New Roman" w:cs="Times New Roman" w:eastAsia="Times New Roman" w:hAnsi="Times New Roman"/>
          <w:sz w:val="22"/>
          <w:szCs w:val="22"/>
          <w:color w:val="auto"/>
        </w:rPr>
        <w:t>” shall be the Term Loans incurred pursuant to the Eighth Amendment.</w:t>
      </w:r>
    </w:p>
    <w:p>
      <w:pPr>
        <w:spacing w:after="0" w:line="220"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2020 Replacement Term Loan Commitment</w:t>
      </w:r>
      <w:r>
        <w:rPr>
          <w:rFonts w:ascii="Times New Roman" w:cs="Times New Roman" w:eastAsia="Times New Roman" w:hAnsi="Times New Roman"/>
          <w:sz w:val="22"/>
          <w:szCs w:val="22"/>
          <w:color w:val="auto"/>
        </w:rPr>
        <w:t>” shall mean the Term Loan Commitment of each 2020 Replacement Term Lender to make 2020 Replacement Term Loans pursuant to the Eighth Amendment.</w:t>
      </w:r>
    </w:p>
    <w:p>
      <w:pPr>
        <w:spacing w:after="0" w:line="137"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2020 Replacement Term Loan Commitment Schedule</w:t>
      </w:r>
      <w:r>
        <w:rPr>
          <w:rFonts w:ascii="Times New Roman" w:cs="Times New Roman" w:eastAsia="Times New Roman" w:hAnsi="Times New Roman"/>
          <w:sz w:val="22"/>
          <w:szCs w:val="22"/>
          <w:color w:val="auto"/>
        </w:rPr>
        <w:t>” shall mean the schedule of 2020 Replacement Term Loan Commitments of each 2020 Replacement Term Lender provided to the Borrower on the Eighth Amendment Effective Date by the Administrative Agent pursuant to the Eighth Amendment.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2020 Term Loans</w:t>
      </w:r>
      <w:r>
        <w:rPr>
          <w:rFonts w:ascii="Times New Roman" w:cs="Times New Roman" w:eastAsia="Times New Roman" w:hAnsi="Times New Roman"/>
          <w:sz w:val="22"/>
          <w:szCs w:val="22"/>
          <w:color w:val="auto"/>
        </w:rPr>
        <w:t>” shall mean, collectively, the 2020 Replacement Term Loans and the 2020 Incremental Term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w:t>
      </w:r>
    </w:p>
    <w:p>
      <w:pPr>
        <w:spacing w:after="0" w:line="20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FF0000"/>
          <w:strike w:val="1"/>
        </w:rPr>
        <w:t>2023</w:t>
      </w:r>
      <w:r>
        <w:rPr>
          <w:rFonts w:ascii="Times New Roman" w:cs="Times New Roman" w:eastAsia="Times New Roman" w:hAnsi="Times New Roman"/>
          <w:sz w:val="22"/>
          <w:szCs w:val="22"/>
          <w:b w:val="1"/>
          <w:bCs w:val="1"/>
          <w:i w:val="1"/>
          <w:iCs w:val="1"/>
          <w:u w:val="single" w:color="auto"/>
          <w:color w:val="0000FF"/>
        </w:rPr>
        <w:t>2024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Incremental Revolving Commitments</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b w:val="1"/>
          <w:bCs w:val="1"/>
          <w:color w:val="FF0000"/>
          <w:strike w:val="1"/>
        </w:rPr>
        <w:t>Revolving Commitments of the 2023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Incremental Revolving Lenders to make the Revolving Loans.</w:t>
      </w:r>
      <w:r>
        <w:rPr>
          <w:rFonts w:ascii="Times New Roman" w:cs="Times New Roman" w:eastAsia="Times New Roman" w:hAnsi="Times New Roman"/>
          <w:sz w:val="22"/>
          <w:szCs w:val="22"/>
          <w:b w:val="1"/>
          <w:bCs w:val="1"/>
          <w:u w:val="single" w:color="auto"/>
          <w:color w:val="0000FF"/>
          <w:strike w:val="1"/>
        </w:rPr>
        <w:t>commitment of each applicable Revolving Lender to make</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b w:val="1"/>
          <w:bCs w:val="1"/>
          <w:u w:val="single" w:color="auto"/>
          <w:color w:val="0000FF"/>
          <w:strike w:val="1"/>
        </w:rPr>
        <w:t>Revolving Loans and participate in Letters of Credit hereunder in an aggregate principal and/or face amount not to exceed the amount set forth under the heading “2024 Incremental Revolving Commitments” opposite its name in Annex A hereto or in the Assignment and Acceptance pursuant to which such Revolving Lender became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9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FF0000"/>
          <w:strike w:val="1"/>
        </w:rPr>
        <w:t>2023</w:t>
      </w:r>
      <w:r>
        <w:rPr>
          <w:rFonts w:ascii="Times New Roman" w:cs="Times New Roman" w:eastAsia="Times New Roman" w:hAnsi="Times New Roman"/>
          <w:sz w:val="21"/>
          <w:szCs w:val="21"/>
          <w:b w:val="1"/>
          <w:bCs w:val="1"/>
          <w:i w:val="1"/>
          <w:iCs w:val="1"/>
          <w:u w:val="single" w:color="auto"/>
          <w:color w:val="0000FF"/>
        </w:rPr>
        <w:t>2024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Incremental Revolving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FF0000"/>
          <w:strike w:val="1"/>
        </w:rPr>
        <w:t>Lender</w:t>
      </w:r>
      <w:r>
        <w:rPr>
          <w:rFonts w:ascii="Times New Roman" w:cs="Times New Roman" w:eastAsia="Times New Roman" w:hAnsi="Times New Roman"/>
          <w:sz w:val="21"/>
          <w:szCs w:val="21"/>
          <w:b w:val="1"/>
          <w:bCs w:val="1"/>
          <w:i w:val="1"/>
          <w:iCs w:val="1"/>
          <w:u w:val="single" w:color="auto"/>
          <w:color w:val="0000FF"/>
        </w:rPr>
        <w:t>Lenders</w:t>
      </w:r>
      <w:r>
        <w:rPr>
          <w:rFonts w:ascii="Times New Roman" w:cs="Times New Roman" w:eastAsia="Times New Roman" w:hAnsi="Times New Roman"/>
          <w:sz w:val="21"/>
          <w:szCs w:val="21"/>
          <w:color w:val="auto"/>
        </w:rPr>
        <w:t xml:space="preserve">” shall mean each Lender having a </w:t>
      </w:r>
      <w:r>
        <w:rPr>
          <w:rFonts w:ascii="Times New Roman" w:cs="Times New Roman" w:eastAsia="Times New Roman" w:hAnsi="Times New Roman"/>
          <w:sz w:val="21"/>
          <w:szCs w:val="21"/>
          <w:b w:val="1"/>
          <w:bCs w:val="1"/>
          <w:color w:val="FF0000"/>
          <w:strike w:val="1"/>
        </w:rPr>
        <w:t>2023</w:t>
      </w:r>
      <w:r>
        <w:rPr>
          <w:rFonts w:ascii="Times New Roman" w:cs="Times New Roman" w:eastAsia="Times New Roman" w:hAnsi="Times New Roman"/>
          <w:sz w:val="21"/>
          <w:szCs w:val="21"/>
          <w:b w:val="1"/>
          <w:bCs w:val="1"/>
          <w:u w:val="single" w:color="auto"/>
          <w:color w:val="0000FF"/>
        </w:rPr>
        <w:t>2024</w:t>
      </w:r>
      <w:r>
        <w:rPr>
          <w:rFonts w:ascii="Times New Roman" w:cs="Times New Roman" w:eastAsia="Times New Roman" w:hAnsi="Times New Roman"/>
          <w:sz w:val="21"/>
          <w:szCs w:val="21"/>
          <w:color w:val="auto"/>
        </w:rPr>
        <w:t xml:space="preserve"> Incremental Revolving Commitment</w:t>
      </w:r>
      <w:r>
        <w:rPr>
          <w:rFonts w:ascii="Times New Roman" w:cs="Times New Roman" w:eastAsia="Times New Roman" w:hAnsi="Times New Roman"/>
          <w:sz w:val="21"/>
          <w:szCs w:val="21"/>
          <w:b w:val="1"/>
          <w:bCs w:val="1"/>
          <w:color w:val="FF0000"/>
          <w:strike w:val="1"/>
        </w:rPr>
        <w:t>, including any Revolving Lender with Existing Revolving Commitments that has agreed after the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color w:val="FF0000"/>
          <w:strike w:val="1"/>
        </w:rPr>
        <w:t>Ninth Amendment Effective Date to become a “2023 Incremental Revolving Lender” (which agreement shall be in form and substance reasonably satisfactory to the Borrower and the Administrative Agent).</w:t>
      </w:r>
      <w:r>
        <w:rPr>
          <w:rFonts w:ascii="Times New Roman" w:cs="Times New Roman" w:eastAsia="Times New Roman" w:hAnsi="Times New Roman"/>
          <w:sz w:val="22"/>
          <w:szCs w:val="22"/>
          <w:b w:val="1"/>
          <w:bCs w:val="1"/>
          <w:u w:val="single" w:color="auto"/>
          <w:color w:val="0000FF"/>
          <w:strike w:val="1"/>
        </w:rPr>
        <w:t>.</w:t>
      </w:r>
    </w:p>
    <w:p>
      <w:pPr>
        <w:spacing w:after="0" w:line="16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 shall mean all “accounts” as defined in the UCC, and all rights to payment for interest (other than with respect to debt and credit card receivables).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 Collateral</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 Control Agreements</w:t>
      </w:r>
      <w:r>
        <w:rPr>
          <w:rFonts w:ascii="Times New Roman" w:cs="Times New Roman" w:eastAsia="Times New Roman" w:hAnsi="Times New Roman"/>
          <w:sz w:val="22"/>
          <w:szCs w:val="22"/>
          <w:color w:val="auto"/>
        </w:rPr>
        <w:t>” shall mean (a) an Account Control Agreement in the form of Exhibit E hereto with such changes as the Administrative Agent and the Borrower shall agree and (b) each other three-party security and control agreement entered into by any Grantor, the Collateral Agent and a financial institution which maintains one or more deposit accounts or securities accounts that have been pledged to the Collateral Agent as Collateral hereunder or under any other Loan Document, in each case giving the Collateral Agent exclusive control over the applicable account and in form and substance reasonably satisfactory to the Administrative Agent.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Appraisal</w:t>
      </w:r>
      <w:r>
        <w:rPr>
          <w:rFonts w:ascii="Times New Roman" w:cs="Times New Roman" w:eastAsia="Times New Roman" w:hAnsi="Times New Roman"/>
          <w:sz w:val="22"/>
          <w:szCs w:val="22"/>
          <w:color w:val="auto"/>
        </w:rPr>
        <w:t>” shall mean each Appraisal delivered pursuant to Section 5.06(1)(y) of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Appraisal Event of Default</w:t>
      </w:r>
      <w:r>
        <w:rPr>
          <w:rFonts w:ascii="Times New Roman" w:cs="Times New Roman" w:eastAsia="Times New Roman" w:hAnsi="Times New Roman"/>
          <w:sz w:val="22"/>
          <w:szCs w:val="22"/>
          <w:color w:val="auto"/>
        </w:rPr>
        <w:t>” shall have the meaning set forth in Section 7.01(d).</w:t>
      </w:r>
    </w:p>
    <w:p>
      <w:pPr>
        <w:spacing w:after="0" w:line="22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Additional Collateral</w:t>
      </w:r>
      <w:r>
        <w:rPr>
          <w:rFonts w:ascii="Times New Roman" w:cs="Times New Roman" w:eastAsia="Times New Roman" w:hAnsi="Times New Roman"/>
          <w:sz w:val="21"/>
          <w:szCs w:val="21"/>
          <w:color w:val="auto"/>
        </w:rPr>
        <w:t xml:space="preserve">” shall mean (a) cash or Cash Equivalents pledged to the Collateral Agent pursuant to the applicable Collateral Document, (b) additional Route Authorities, Slots and/or Foreign Gate Leaseholds pledged to the Collateral Agent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Agent pursuant to a security agreement that is usual and customary for a pledge of assets of such types and reasonably acceptable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except to the extent a change in law or circumstance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to any applicable category of collateral warrants a change in such security agreement, in the reasonable judgment of the Administrative Agent, (d) aircraft or spare engines pledged to a trustee as provided in Section 8.01(d) pursuant to Aircraft Security Agreement(s) or supplement(s) thereto, (e) Ground Service Equipment, Flight Simulators, Spare Parts, QEC Kits or Real Property Assets located in the United States pledged to the Collateral Agent pursuant to security agreement(s) (or mortgage(s) in the case of Real Property Assets) in a form reasonably satisfactory to the Administrative Agent and (f) any other assets acceptable to the Required Lenders that may be appraised pursuant to an Appraisal of the type set forth in clause (3) of the definition thereof pledged to the Collateral Agent pursuant to security agreement(s) or mortgage(s), as applicable, in a form reasonably satisfactory to the Administrative Agent.</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Route Authority</w:t>
      </w:r>
      <w:r>
        <w:rPr>
          <w:rFonts w:ascii="Times New Roman" w:cs="Times New Roman" w:eastAsia="Times New Roman" w:hAnsi="Times New Roman"/>
          <w:sz w:val="22"/>
          <w:szCs w:val="22"/>
          <w:color w:val="auto"/>
        </w:rPr>
        <w:t>”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Term SOFR</w:t>
      </w:r>
      <w:r>
        <w:rPr>
          <w:rFonts w:ascii="Times New Roman" w:cs="Times New Roman" w:eastAsia="Times New Roman" w:hAnsi="Times New Roman"/>
          <w:sz w:val="22"/>
          <w:szCs w:val="22"/>
          <w:color w:val="auto"/>
        </w:rPr>
        <w:t xml:space="preserve">” shall mean, for purposes of any calculation, the rate per annum equal to (a) Term SOFR for such calculation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w:t>
      </w:r>
      <w:r>
        <w:rPr>
          <w:rFonts w:ascii="Times New Roman" w:cs="Times New Roman" w:eastAsia="Times New Roman" w:hAnsi="Times New Roman"/>
          <w:sz w:val="22"/>
          <w:szCs w:val="22"/>
          <w:b w:val="1"/>
          <w:bCs w:val="1"/>
          <w:u w:val="single" w:color="auto"/>
          <w:color w:val="0000FF"/>
        </w:rPr>
        <w:t>solely in the case of the 2020 Term Loans,</w:t>
      </w:r>
      <w:r>
        <w:rPr>
          <w:rFonts w:ascii="Times New Roman" w:cs="Times New Roman" w:eastAsia="Times New Roman" w:hAnsi="Times New Roman"/>
          <w:sz w:val="22"/>
          <w:szCs w:val="22"/>
          <w:color w:val="auto"/>
        </w:rPr>
        <w:t xml:space="preserve"> the SOFR Adjustment; provided that if Adjusted Term SOFR as so determined shall ever be less than the Floor, then Adjusted Term SOFR shall be deemed to be the Floor.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 Fee Letter</w:t>
      </w:r>
      <w:r>
        <w:rPr>
          <w:rFonts w:ascii="Times New Roman" w:cs="Times New Roman" w:eastAsia="Times New Roman" w:hAnsi="Times New Roman"/>
          <w:sz w:val="22"/>
          <w:szCs w:val="22"/>
          <w:color w:val="auto"/>
        </w:rPr>
        <w:t>” shall have the meaning set forth in Section 2.19.</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 Transaction</w:t>
      </w:r>
      <w:r>
        <w:rPr>
          <w:rFonts w:ascii="Times New Roman" w:cs="Times New Roman" w:eastAsia="Times New Roman" w:hAnsi="Times New Roman"/>
          <w:sz w:val="22"/>
          <w:szCs w:val="22"/>
          <w:color w:val="auto"/>
        </w:rPr>
        <w:t>” shall have the meaning set forth in Section 6.05(a).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9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Agents</w:t>
      </w:r>
      <w:r>
        <w:rPr>
          <w:rFonts w:ascii="Times New Roman" w:cs="Times New Roman" w:eastAsia="Times New Roman" w:hAnsi="Times New Roman"/>
          <w:sz w:val="22"/>
          <w:szCs w:val="22"/>
          <w:color w:val="auto"/>
        </w:rPr>
        <w:t>” shall mean, collectively, the Administrative Agent and the Collateral Agent, and “</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shall mean either one of them.</w:t>
      </w:r>
    </w:p>
    <w:p>
      <w:pPr>
        <w:spacing w:after="0" w:line="14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Exposure</w:t>
      </w:r>
      <w:r>
        <w:rPr>
          <w:rFonts w:ascii="Times New Roman" w:cs="Times New Roman" w:eastAsia="Times New Roman" w:hAnsi="Times New Roman"/>
          <w:sz w:val="22"/>
          <w:szCs w:val="22"/>
          <w:color w:val="auto"/>
        </w:rPr>
        <w:t>”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Revolving Commitment then in effect or, if the Revolving Commitments have been terminated, the amount of such Lender’s Revolving Extensions of Credit then outstanding.</w:t>
      </w:r>
    </w:p>
    <w:p>
      <w:pPr>
        <w:spacing w:after="0" w:line="173"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Exposure Percentage</w:t>
      </w:r>
      <w:r>
        <w:rPr>
          <w:rFonts w:ascii="Times New Roman" w:cs="Times New Roman" w:eastAsia="Times New Roman" w:hAnsi="Times New Roman"/>
          <w:sz w:val="22"/>
          <w:szCs w:val="22"/>
          <w:color w:val="auto"/>
        </w:rPr>
        <w:t>” shall mean, with respect to any Lender at any time, the ratio (expressed as a percentage) of such Lender’s Aggregate Exposure at such time to the Aggregate Exposure of all Lenders at such time.</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shall mean this Amended and Restated Credit and Guaranty Agreement.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Aircraft Related Equipment</w:t>
      </w:r>
      <w:r>
        <w:rPr>
          <w:rFonts w:ascii="Times New Roman" w:cs="Times New Roman" w:eastAsia="Times New Roman" w:hAnsi="Times New Roman"/>
          <w:sz w:val="22"/>
          <w:szCs w:val="22"/>
          <w:color w:val="auto"/>
        </w:rPr>
        <w:t>” shall mean aircraft (including engines, airframes, propellers and appliances), engines, propellers, spare parts, aircraft parts, Flight Simulators and other training devices, QEC Kits, passenger loading bridges, other flight or Ground Service Equipment.</w:t>
      </w:r>
    </w:p>
    <w:p>
      <w:pPr>
        <w:spacing w:after="0" w:line="16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Aircraft Security Agreement</w:t>
      </w:r>
      <w:r>
        <w:rPr>
          <w:rFonts w:ascii="Times New Roman" w:cs="Times New Roman" w:eastAsia="Times New Roman" w:hAnsi="Times New Roman"/>
          <w:sz w:val="22"/>
          <w:szCs w:val="22"/>
          <w:color w:val="auto"/>
        </w:rPr>
        <w:t>”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 to conform such form of aircraft security agreement to the description of terms of the security agreement applicable to spare engines in Exhibit G and (y) such other changes proposed by the Borrower and reasonably acceptable to the Administrative Agent.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Airline/Parent Merger</w:t>
      </w:r>
      <w:r>
        <w:rPr>
          <w:rFonts w:ascii="Times New Roman" w:cs="Times New Roman" w:eastAsia="Times New Roman" w:hAnsi="Times New Roman"/>
          <w:sz w:val="22"/>
          <w:szCs w:val="22"/>
          <w:color w:val="auto"/>
        </w:rPr>
        <w:t>” shall mean the merger or consolidation, if any, of Parent with any Subsidiary of Parent.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Airlines Merger</w:t>
      </w:r>
      <w:r>
        <w:rPr>
          <w:rFonts w:ascii="Times New Roman" w:cs="Times New Roman" w:eastAsia="Times New Roman" w:hAnsi="Times New Roman"/>
          <w:sz w:val="22"/>
          <w:szCs w:val="22"/>
          <w:color w:val="auto"/>
        </w:rPr>
        <w:t>” shall mean the merger, asset transfer, consolidation or any similar transaction involving one or more airline Subsidiaries of Parent (including, without limitation, any such transaction that results in such Subsidiaries operating under a single operating certificate).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Airport Authority</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AISI”</w:t>
      </w:r>
      <w:r>
        <w:rPr>
          <w:rFonts w:ascii="Times New Roman" w:cs="Times New Roman" w:eastAsia="Times New Roman" w:hAnsi="Times New Roman"/>
          <w:sz w:val="22"/>
          <w:szCs w:val="22"/>
          <w:color w:val="auto"/>
        </w:rPr>
        <w:t xml:space="preserve"> shall mean Aircraft Information Services, Inc.</w:t>
      </w:r>
    </w:p>
    <w:p>
      <w:pPr>
        <w:spacing w:after="0" w:line="22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All-In Initial Yield</w:t>
      </w:r>
      <w:r>
        <w:rPr>
          <w:rFonts w:ascii="Times New Roman" w:cs="Times New Roman" w:eastAsia="Times New Roman" w:hAnsi="Times New Roman"/>
          <w:sz w:val="21"/>
          <w:szCs w:val="21"/>
          <w:color w:val="auto"/>
        </w:rPr>
        <w:t xml:space="preserve">” shall mean with respect to any Class, the initial yield on such Class payable or allocable to all Lenders as determined by the Administrative Agent to be equal to the sum of (x) the margin above </w:t>
      </w:r>
      <w:r>
        <w:rPr>
          <w:rFonts w:ascii="Times New Roman" w:cs="Times New Roman" w:eastAsia="Times New Roman" w:hAnsi="Times New Roman"/>
          <w:sz w:val="21"/>
          <w:szCs w:val="21"/>
          <w:b w:val="1"/>
          <w:bCs w:val="1"/>
          <w:color w:val="FF0000"/>
          <w:strike w:val="1"/>
        </w:rPr>
        <w:t>the</w:t>
      </w:r>
      <w:r>
        <w:rPr>
          <w:rFonts w:ascii="Times New Roman" w:cs="Times New Roman" w:eastAsia="Times New Roman" w:hAnsi="Times New Roman"/>
          <w:sz w:val="21"/>
          <w:szCs w:val="21"/>
          <w:color w:val="auto"/>
        </w:rPr>
        <w:t xml:space="preserv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on such Class, (y) the amount of any original issue discount or upfront or non-recurring similar fees with respect to such Class payable by the Borrower to the Lenders of such Class in the primary syndication thereof (excluding,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any arrangement, structuring, or other similar fees) (collectively, “</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xml:space="preserve">,” with such OID being equated to interest based on an assumed four-year life to maturity) and (z) with respect to any Class of Incremental Term Loans that contains an interest rate “floor” with respect to </w:t>
      </w:r>
      <w:r>
        <w:rPr>
          <w:rFonts w:ascii="Times New Roman" w:cs="Times New Roman" w:eastAsia="Times New Roman" w:hAnsi="Times New Roman"/>
          <w:sz w:val="22"/>
          <w:szCs w:val="22"/>
          <w:b w:val="1"/>
          <w:bCs w:val="1"/>
          <w:color w:val="FF0000"/>
          <w:strike w:val="1"/>
        </w:rPr>
        <w:t>the</w:t>
      </w:r>
      <w:r>
        <w:rPr>
          <w:rFonts w:ascii="Times New Roman" w:cs="Times New Roman" w:eastAsia="Times New Roman" w:hAnsi="Times New Roman"/>
          <w:sz w:val="22"/>
          <w:szCs w:val="22"/>
          <w:color w:val="auto"/>
        </w:rPr>
        <w:t xml:space="preserve">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the amount, if any, by which (1) such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floor exceeds (2) the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floor applicable to the Original Term Loans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provided an increase in such floor would cause an increase in the interest rate applicable to the Original Term Loans</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Alternate Base Rate</w:t>
      </w:r>
      <w:r>
        <w:rPr>
          <w:rFonts w:ascii="Times New Roman" w:cs="Times New Roman" w:eastAsia="Times New Roman" w:hAnsi="Times New Roman"/>
          <w:sz w:val="22"/>
          <w:szCs w:val="22"/>
          <w:color w:val="auto"/>
        </w:rPr>
        <w:t xml:space="preserve">” shall mean, for any day, a rate per annum equal to the greatest of (a) the Prime Rate in effect on such day, (b) the sum of the Federal Funds Effective Rate in effect on such day plus 1/2 of 1% and (c) the sum of </w:t>
      </w:r>
      <w:r>
        <w:rPr>
          <w:rFonts w:ascii="Times New Roman" w:cs="Times New Roman" w:eastAsia="Times New Roman" w:hAnsi="Times New Roman"/>
          <w:sz w:val="22"/>
          <w:szCs w:val="22"/>
          <w:b w:val="1"/>
          <w:bCs w:val="1"/>
          <w:color w:val="FF0000"/>
          <w:strike w:val="1"/>
        </w:rPr>
        <w:t>the</w:t>
      </w:r>
      <w:r>
        <w:rPr>
          <w:rFonts w:ascii="Times New Roman" w:cs="Times New Roman" w:eastAsia="Times New Roman" w:hAnsi="Times New Roman"/>
          <w:sz w:val="22"/>
          <w:szCs w:val="22"/>
          <w:color w:val="auto"/>
        </w:rPr>
        <w:t xml:space="preserve"> Adjusted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for an Interest Period of one month in effect on such day plus 1%. Any change in the Alternate Base Rate due to a change in the Prime Rate, the Federal Funds Effective Rate or </w:t>
      </w:r>
      <w:r>
        <w:rPr>
          <w:rFonts w:ascii="Times New Roman" w:cs="Times New Roman" w:eastAsia="Times New Roman" w:hAnsi="Times New Roman"/>
          <w:sz w:val="22"/>
          <w:szCs w:val="22"/>
          <w:b w:val="1"/>
          <w:bCs w:val="1"/>
          <w:color w:val="FF0000"/>
          <w:strike w:val="1"/>
        </w:rPr>
        <w:t>the</w:t>
      </w:r>
      <w:r>
        <w:rPr>
          <w:rFonts w:ascii="Times New Roman" w:cs="Times New Roman" w:eastAsia="Times New Roman" w:hAnsi="Times New Roman"/>
          <w:sz w:val="22"/>
          <w:szCs w:val="22"/>
          <w:color w:val="auto"/>
        </w:rPr>
        <w:t xml:space="preserve">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for an Interest Period of one month shall be effective from and including the effective date of such change in the Prime Rate or the Federal Funds Effective Rate or </w:t>
      </w:r>
      <w:r>
        <w:rPr>
          <w:rFonts w:ascii="Times New Roman" w:cs="Times New Roman" w:eastAsia="Times New Roman" w:hAnsi="Times New Roman"/>
          <w:sz w:val="22"/>
          <w:szCs w:val="22"/>
          <w:b w:val="1"/>
          <w:bCs w:val="1"/>
          <w:color w:val="FF0000"/>
          <w:strike w:val="1"/>
        </w:rPr>
        <w:t>the</w:t>
      </w:r>
      <w:r>
        <w:rPr>
          <w:rFonts w:ascii="Times New Roman" w:cs="Times New Roman" w:eastAsia="Times New Roman" w:hAnsi="Times New Roman"/>
          <w:sz w:val="22"/>
          <w:szCs w:val="22"/>
          <w:color w:val="auto"/>
        </w:rPr>
        <w:t xml:space="preserve">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for an Interest Period of one month, respectively. For the avoidance of doubt, if the Alternate Base Rate as determined pursuant to the foregoing definition shall be less than 1.00%, the Alternate Base Rate shall be deemed to be 1.00% for all purposes of this Agreement.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AMR/US Airways Merger</w:t>
      </w:r>
      <w:r>
        <w:rPr>
          <w:rFonts w:ascii="Times New Roman" w:cs="Times New Roman" w:eastAsia="Times New Roman" w:hAnsi="Times New Roman"/>
          <w:sz w:val="22"/>
          <w:szCs w:val="22"/>
          <w:color w:val="auto"/>
        </w:rPr>
        <w:t>” shall mean the merger contemplated by the AMR/US Airways Merger Agreement.</w:t>
      </w:r>
    </w:p>
    <w:p>
      <w:pPr>
        <w:spacing w:after="0" w:line="23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Merger Agreement</w:t>
      </w:r>
      <w:r>
        <w:rPr>
          <w:rFonts w:ascii="Times New Roman" w:cs="Times New Roman" w:eastAsia="Times New Roman" w:hAnsi="Times New Roman"/>
          <w:sz w:val="22"/>
          <w:szCs w:val="22"/>
          <w:color w:val="auto"/>
        </w:rPr>
        <w:t>” shall mean the Agreement and Plan of Merger, dated as of February 13, 2013, among Parent, AMR Merger Sub, Inc. and US Airways Group, Inc., as amended through December 9, 2013.</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shall have the meaning set forth in Section 3.18.</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shall mean (a) with respect to Revolving Loans, from time to time, the applicable rate per annum set forth in the below table based upon the public corporate rating of the Parent from Moody’s and S&amp;P and (b) with respect to 2020 Term Loans (i) that are Term SOFR Loans, 1.75% per annum and (ii) that are ABR Loans 0.75% per annum.</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720" w:type="dxa"/>
            <w:vAlign w:val="bottom"/>
            <w:tcBorders>
              <w:top w:val="single" w:sz="8" w:color="auto"/>
              <w:lef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gridSpan w:val="5"/>
            <w:vMerge w:val="restart"/>
          </w:tcPr>
          <w:p>
            <w:pPr>
              <w:jc w:val="center"/>
              <w:ind w:right="880"/>
              <w:spacing w:after="0"/>
              <w:rPr>
                <w:sz w:val="20"/>
                <w:szCs w:val="20"/>
                <w:color w:val="auto"/>
              </w:rPr>
            </w:pPr>
            <w:r>
              <w:rPr>
                <w:rFonts w:ascii="Times New Roman" w:cs="Times New Roman" w:eastAsia="Times New Roman" w:hAnsi="Times New Roman"/>
                <w:sz w:val="22"/>
                <w:szCs w:val="22"/>
                <w:b w:val="1"/>
                <w:bCs w:val="1"/>
                <w:color w:val="auto"/>
                <w:w w:val="99"/>
              </w:rPr>
              <w:t>Debt Ratings</w:t>
            </w:r>
          </w:p>
        </w:tc>
        <w:tc>
          <w:tcPr>
            <w:tcW w:w="1240" w:type="dxa"/>
            <w:vAlign w:val="bottom"/>
            <w:tcBorders>
              <w:top w:val="single" w:sz="8" w:color="auto"/>
              <w:bottom w:val="single" w:sz="8" w:color="auto"/>
            </w:tcBorders>
            <w:shd w:val="clear" w:color="auto" w:fill="A6A6A6"/>
          </w:tcPr>
          <w:p>
            <w:pPr>
              <w:spacing w:after="0"/>
              <w:rPr>
                <w:sz w:val="24"/>
                <w:szCs w:val="24"/>
                <w:color w:val="auto"/>
              </w:rPr>
            </w:pPr>
          </w:p>
        </w:tc>
        <w:tc>
          <w:tcPr>
            <w:tcW w:w="600" w:type="dxa"/>
            <w:vAlign w:val="bottom"/>
            <w:tcBorders>
              <w:top w:val="single" w:sz="8" w:color="auto"/>
              <w:bottom w:val="single" w:sz="8" w:color="auto"/>
            </w:tcBorders>
            <w:shd w:val="clear" w:color="auto" w:fill="A6A6A6"/>
          </w:tcPr>
          <w:p>
            <w:pPr>
              <w:spacing w:after="0"/>
              <w:rPr>
                <w:sz w:val="24"/>
                <w:szCs w:val="24"/>
                <w:color w:val="auto"/>
              </w:rPr>
            </w:pPr>
          </w:p>
        </w:tc>
        <w:tc>
          <w:tcPr>
            <w:tcW w:w="4220" w:type="dxa"/>
            <w:vAlign w:val="bottom"/>
            <w:tcBorders>
              <w:top w:val="single" w:sz="8" w:color="auto"/>
              <w:bottom w:val="single" w:sz="8" w:color="auto"/>
              <w:right w:val="single" w:sz="8" w:color="auto"/>
            </w:tcBorders>
            <w:gridSpan w:val="4"/>
            <w:shd w:val="clear" w:color="auto" w:fill="A6A6A6"/>
          </w:tcPr>
          <w:p>
            <w:pPr>
              <w:ind w:left="420"/>
              <w:spacing w:after="0"/>
              <w:rPr>
                <w:sz w:val="20"/>
                <w:szCs w:val="20"/>
                <w:color w:val="auto"/>
              </w:rPr>
            </w:pPr>
            <w:r>
              <w:rPr>
                <w:rFonts w:ascii="Times New Roman" w:cs="Times New Roman" w:eastAsia="Times New Roman" w:hAnsi="Times New Roman"/>
                <w:sz w:val="22"/>
                <w:szCs w:val="22"/>
                <w:b w:val="1"/>
                <w:bCs w:val="1"/>
                <w:color w:val="auto"/>
              </w:rPr>
              <w:t>Revolving Loans</w:t>
            </w:r>
          </w:p>
        </w:tc>
        <w:tc>
          <w:tcPr>
            <w:tcW w:w="0" w:type="dxa"/>
            <w:vAlign w:val="bottom"/>
          </w:tcPr>
          <w:p>
            <w:pPr>
              <w:spacing w:after="0"/>
              <w:rPr>
                <w:sz w:val="1"/>
                <w:szCs w:val="1"/>
                <w:color w:val="auto"/>
              </w:rPr>
            </w:pPr>
          </w:p>
        </w:tc>
      </w:tr>
      <w:tr>
        <w:trPr>
          <w:trHeight w:val="196"/>
        </w:trPr>
        <w:tc>
          <w:tcPr>
            <w:tcW w:w="7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right w:val="single" w:sz="8" w:color="auto"/>
            </w:tcBorders>
            <w:gridSpan w:val="5"/>
            <w:vMerge w:val="continue"/>
          </w:tcPr>
          <w:p>
            <w:pPr>
              <w:spacing w:after="0"/>
              <w:rPr>
                <w:sz w:val="17"/>
                <w:szCs w:val="17"/>
                <w:color w:val="auto"/>
              </w:rPr>
            </w:pPr>
          </w:p>
        </w:tc>
        <w:tc>
          <w:tcPr>
            <w:tcW w:w="3100" w:type="dxa"/>
            <w:vAlign w:val="bottom"/>
            <w:tcBorders>
              <w:right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7"/>
              </w:rPr>
              <w:t>Applicable Rate for Term SOFR</w:t>
            </w:r>
          </w:p>
        </w:tc>
        <w:tc>
          <w:tcPr>
            <w:tcW w:w="2960" w:type="dxa"/>
            <w:vAlign w:val="bottom"/>
            <w:tcBorders>
              <w:right w:val="single" w:sz="8" w:color="auto"/>
            </w:tcBorders>
            <w:gridSpan w:val="3"/>
          </w:tcPr>
          <w:p>
            <w:pPr>
              <w:jc w:val="center"/>
              <w:ind w:right="20"/>
              <w:spacing w:after="0" w:line="196" w:lineRule="exact"/>
              <w:rPr>
                <w:sz w:val="20"/>
                <w:szCs w:val="20"/>
                <w:color w:val="auto"/>
              </w:rPr>
            </w:pPr>
            <w:r>
              <w:rPr>
                <w:rFonts w:ascii="Times New Roman" w:cs="Times New Roman" w:eastAsia="Times New Roman" w:hAnsi="Times New Roman"/>
                <w:sz w:val="22"/>
                <w:szCs w:val="22"/>
                <w:b w:val="1"/>
                <w:bCs w:val="1"/>
                <w:color w:val="auto"/>
                <w:w w:val="98"/>
              </w:rPr>
              <w:t>Applicable Rate for Base Rate</w:t>
            </w:r>
          </w:p>
        </w:tc>
        <w:tc>
          <w:tcPr>
            <w:tcW w:w="0" w:type="dxa"/>
            <w:vAlign w:val="bottom"/>
          </w:tcPr>
          <w:p>
            <w:pPr>
              <w:spacing w:after="0"/>
              <w:rPr>
                <w:sz w:val="1"/>
                <w:szCs w:val="1"/>
                <w:color w:val="auto"/>
              </w:rPr>
            </w:pPr>
          </w:p>
        </w:tc>
      </w:tr>
      <w:tr>
        <w:trPr>
          <w:trHeight w:val="239"/>
        </w:trPr>
        <w:tc>
          <w:tcPr>
            <w:tcW w:w="72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Borders>
              <w:right w:val="single" w:sz="8" w:color="auto"/>
            </w:tcBorders>
            <w:gridSpan w:val="5"/>
          </w:tcPr>
          <w:p>
            <w:pPr>
              <w:jc w:val="center"/>
              <w:ind w:right="880"/>
              <w:spacing w:after="0" w:line="239" w:lineRule="exact"/>
              <w:rPr>
                <w:sz w:val="20"/>
                <w:szCs w:val="20"/>
                <w:color w:val="auto"/>
              </w:rPr>
            </w:pPr>
            <w:r>
              <w:rPr>
                <w:rFonts w:ascii="Times New Roman" w:cs="Times New Roman" w:eastAsia="Times New Roman" w:hAnsi="Times New Roman"/>
                <w:sz w:val="22"/>
                <w:szCs w:val="22"/>
                <w:b w:val="1"/>
                <w:bCs w:val="1"/>
                <w:color w:val="auto"/>
                <w:w w:val="98"/>
              </w:rPr>
              <w:t>(Moody’s/</w:t>
            </w:r>
          </w:p>
        </w:tc>
        <w:tc>
          <w:tcPr>
            <w:tcW w:w="1240" w:type="dxa"/>
            <w:vAlign w:val="bottom"/>
          </w:tcPr>
          <w:p>
            <w:pPr>
              <w:spacing w:after="0"/>
              <w:rPr>
                <w:sz w:val="20"/>
                <w:szCs w:val="20"/>
                <w:color w:val="auto"/>
              </w:rPr>
            </w:pPr>
          </w:p>
        </w:tc>
        <w:tc>
          <w:tcPr>
            <w:tcW w:w="1860" w:type="dxa"/>
            <w:vAlign w:val="bottom"/>
            <w:tcBorders>
              <w:right w:val="single" w:sz="8" w:color="auto"/>
            </w:tcBorders>
            <w:gridSpan w:val="2"/>
          </w:tcPr>
          <w:p>
            <w:pPr>
              <w:jc w:val="center"/>
              <w:ind w:right="1152"/>
              <w:spacing w:after="0" w:line="239" w:lineRule="exact"/>
              <w:rPr>
                <w:sz w:val="20"/>
                <w:szCs w:val="20"/>
                <w:color w:val="auto"/>
              </w:rPr>
            </w:pPr>
            <w:r>
              <w:rPr>
                <w:rFonts w:ascii="Times New Roman" w:cs="Times New Roman" w:eastAsia="Times New Roman" w:hAnsi="Times New Roman"/>
                <w:sz w:val="22"/>
                <w:szCs w:val="22"/>
                <w:b w:val="1"/>
                <w:bCs w:val="1"/>
                <w:color w:val="auto"/>
                <w:w w:val="97"/>
              </w:rPr>
              <w:t>Loans</w:t>
            </w:r>
          </w:p>
        </w:tc>
        <w:tc>
          <w:tcPr>
            <w:tcW w:w="1180" w:type="dxa"/>
            <w:vAlign w:val="bottom"/>
          </w:tcPr>
          <w:p>
            <w:pPr>
              <w:spacing w:after="0"/>
              <w:rPr>
                <w:sz w:val="20"/>
                <w:szCs w:val="20"/>
                <w:color w:val="auto"/>
              </w:rPr>
            </w:pPr>
          </w:p>
        </w:tc>
        <w:tc>
          <w:tcPr>
            <w:tcW w:w="1780" w:type="dxa"/>
            <w:vAlign w:val="bottom"/>
            <w:tcBorders>
              <w:right w:val="single" w:sz="8" w:color="auto"/>
            </w:tcBorders>
            <w:gridSpan w:val="2"/>
          </w:tcPr>
          <w:p>
            <w:pPr>
              <w:jc w:val="center"/>
              <w:ind w:right="1220"/>
              <w:spacing w:after="0" w:line="239" w:lineRule="exact"/>
              <w:rPr>
                <w:sz w:val="20"/>
                <w:szCs w:val="20"/>
                <w:color w:val="auto"/>
              </w:rPr>
            </w:pPr>
            <w:r>
              <w:rPr>
                <w:rFonts w:ascii="Times New Roman" w:cs="Times New Roman" w:eastAsia="Times New Roman" w:hAnsi="Times New Roman"/>
                <w:sz w:val="22"/>
                <w:szCs w:val="22"/>
                <w:b w:val="1"/>
                <w:bCs w:val="1"/>
                <w:color w:val="auto"/>
                <w:w w:val="97"/>
              </w:rPr>
              <w:t>Loans</w:t>
            </w:r>
          </w:p>
        </w:tc>
        <w:tc>
          <w:tcPr>
            <w:tcW w:w="0" w:type="dxa"/>
            <w:vAlign w:val="bottom"/>
          </w:tcPr>
          <w:p>
            <w:pPr>
              <w:spacing w:after="0"/>
              <w:rPr>
                <w:sz w:val="1"/>
                <w:szCs w:val="1"/>
                <w:color w:val="auto"/>
              </w:rPr>
            </w:pPr>
          </w:p>
        </w:tc>
      </w:tr>
      <w:tr>
        <w:trPr>
          <w:trHeight w:val="314"/>
        </w:trPr>
        <w:tc>
          <w:tcPr>
            <w:tcW w:w="1520" w:type="dxa"/>
            <w:vAlign w:val="bottom"/>
            <w:tcBorders>
              <w:left w:val="single" w:sz="8" w:color="auto"/>
              <w:bottom w:val="single" w:sz="8" w:color="auto"/>
              <w:right w:val="single" w:sz="8" w:color="auto"/>
            </w:tcBorders>
            <w:gridSpan w:val="5"/>
          </w:tcPr>
          <w:p>
            <w:pPr>
              <w:ind w:left="140"/>
              <w:spacing w:after="0"/>
              <w:rPr>
                <w:sz w:val="20"/>
                <w:szCs w:val="20"/>
                <w:color w:val="auto"/>
              </w:rPr>
            </w:pPr>
            <w:r>
              <w:rPr>
                <w:rFonts w:ascii="Times New Roman" w:cs="Times New Roman" w:eastAsia="Times New Roman" w:hAnsi="Times New Roman"/>
                <w:sz w:val="22"/>
                <w:szCs w:val="22"/>
                <w:b w:val="1"/>
                <w:bCs w:val="1"/>
                <w:color w:val="auto"/>
              </w:rPr>
              <w:t>Pricing Level</w:t>
            </w: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gridSpan w:val="5"/>
          </w:tcPr>
          <w:p>
            <w:pPr>
              <w:jc w:val="center"/>
              <w:ind w:right="880"/>
              <w:spacing w:after="0"/>
              <w:rPr>
                <w:sz w:val="20"/>
                <w:szCs w:val="20"/>
                <w:color w:val="auto"/>
              </w:rPr>
            </w:pPr>
            <w:r>
              <w:rPr>
                <w:rFonts w:ascii="Times New Roman" w:cs="Times New Roman" w:eastAsia="Times New Roman" w:hAnsi="Times New Roman"/>
                <w:sz w:val="22"/>
                <w:szCs w:val="22"/>
                <w:b w:val="1"/>
                <w:bCs w:val="1"/>
                <w:color w:val="auto"/>
                <w:w w:val="97"/>
              </w:rPr>
              <w:t>S&amp;P)</w:t>
            </w:r>
          </w:p>
        </w:tc>
        <w:tc>
          <w:tcPr>
            <w:tcW w:w="1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 w:type="dxa"/>
            <w:vAlign w:val="bottom"/>
            <w:tcBorders>
              <w:left w:val="single" w:sz="8" w:color="auto"/>
              <w:bottom w:val="single" w:sz="8" w:color="auto"/>
            </w:tcBorders>
            <w:shd w:val="clear" w:color="auto" w:fill="E6E6FA"/>
          </w:tcPr>
          <w:p>
            <w:pPr>
              <w:spacing w:after="0"/>
              <w:rPr>
                <w:sz w:val="22"/>
                <w:szCs w:val="22"/>
                <w:color w:val="auto"/>
              </w:rPr>
            </w:pPr>
          </w:p>
        </w:tc>
        <w:tc>
          <w:tcPr>
            <w:tcW w:w="800" w:type="dxa"/>
            <w:vAlign w:val="bottom"/>
            <w:tcBorders>
              <w:bottom w:val="single" w:sz="8" w:color="auto"/>
              <w:right w:val="single" w:sz="8" w:color="auto"/>
            </w:tcBorders>
            <w:gridSpan w:val="4"/>
            <w:shd w:val="clear" w:color="auto" w:fill="E6E6FA"/>
          </w:tcPr>
          <w:p>
            <w:pPr>
              <w:spacing w:after="0" w:line="210" w:lineRule="exact"/>
              <w:rPr>
                <w:sz w:val="20"/>
                <w:szCs w:val="20"/>
                <w:color w:val="auto"/>
              </w:rPr>
            </w:pPr>
            <w:r>
              <w:rPr>
                <w:rFonts w:ascii="Times New Roman" w:cs="Times New Roman" w:eastAsia="Times New Roman" w:hAnsi="Times New Roman"/>
                <w:sz w:val="22"/>
                <w:szCs w:val="22"/>
                <w:b w:val="1"/>
                <w:bCs w:val="1"/>
                <w:color w:val="0000FF"/>
              </w:rPr>
              <w:t>I</w:t>
            </w:r>
          </w:p>
        </w:tc>
        <w:tc>
          <w:tcPr>
            <w:tcW w:w="680" w:type="dxa"/>
            <w:vAlign w:val="bottom"/>
            <w:tcBorders>
              <w:bottom w:val="single" w:sz="8" w:color="auto"/>
            </w:tcBorders>
            <w:shd w:val="clear" w:color="auto" w:fill="E6E6FA"/>
          </w:tcPr>
          <w:p>
            <w:pPr>
              <w:spacing w:after="0"/>
              <w:rPr>
                <w:sz w:val="22"/>
                <w:szCs w:val="22"/>
                <w:color w:val="auto"/>
              </w:rPr>
            </w:pPr>
          </w:p>
        </w:tc>
        <w:tc>
          <w:tcPr>
            <w:tcW w:w="2400" w:type="dxa"/>
            <w:vAlign w:val="bottom"/>
            <w:tcBorders>
              <w:bottom w:val="single" w:sz="8" w:color="auto"/>
              <w:right w:val="single" w:sz="8" w:color="auto"/>
            </w:tcBorders>
            <w:gridSpan w:val="6"/>
            <w:shd w:val="clear" w:color="auto" w:fill="E6E6FA"/>
          </w:tcPr>
          <w:p>
            <w:pPr>
              <w:jc w:val="center"/>
              <w:ind w:right="700"/>
              <w:spacing w:after="0" w:line="210" w:lineRule="exact"/>
              <w:rPr>
                <w:sz w:val="20"/>
                <w:szCs w:val="20"/>
                <w:color w:val="auto"/>
              </w:rPr>
            </w:pPr>
            <w:r>
              <w:rPr>
                <w:rFonts w:ascii="Times New Roman" w:cs="Times New Roman" w:eastAsia="Times New Roman" w:hAnsi="Times New Roman"/>
                <w:sz w:val="22"/>
                <w:szCs w:val="22"/>
                <w:b w:val="1"/>
                <w:bCs w:val="1"/>
                <w:color w:val="0000FF"/>
                <w:w w:val="98"/>
              </w:rPr>
              <w:t>Ba3/BB- or higher</w:t>
            </w:r>
          </w:p>
        </w:tc>
        <w:tc>
          <w:tcPr>
            <w:tcW w:w="3100" w:type="dxa"/>
            <w:vAlign w:val="bottom"/>
            <w:tcBorders>
              <w:bottom w:val="single" w:sz="8" w:color="auto"/>
              <w:right w:val="single" w:sz="8" w:color="auto"/>
            </w:tcBorders>
            <w:gridSpan w:val="3"/>
            <w:shd w:val="clear" w:color="auto" w:fill="E6E6FA"/>
          </w:tcPr>
          <w:p>
            <w:pPr>
              <w:jc w:val="center"/>
              <w:spacing w:after="0" w:line="210" w:lineRule="exact"/>
              <w:rPr>
                <w:sz w:val="20"/>
                <w:szCs w:val="20"/>
                <w:color w:val="auto"/>
              </w:rPr>
            </w:pPr>
            <w:r>
              <w:rPr>
                <w:rFonts w:ascii="Times New Roman" w:cs="Times New Roman" w:eastAsia="Times New Roman" w:hAnsi="Times New Roman"/>
                <w:sz w:val="22"/>
                <w:szCs w:val="22"/>
                <w:b w:val="1"/>
                <w:bCs w:val="1"/>
                <w:color w:val="0000FF"/>
                <w:w w:val="99"/>
              </w:rPr>
              <w:t>3.00%</w:t>
            </w:r>
          </w:p>
        </w:tc>
        <w:tc>
          <w:tcPr>
            <w:tcW w:w="2960" w:type="dxa"/>
            <w:vAlign w:val="bottom"/>
            <w:tcBorders>
              <w:bottom w:val="single" w:sz="8" w:color="auto"/>
              <w:right w:val="single" w:sz="8" w:color="auto"/>
            </w:tcBorders>
            <w:gridSpan w:val="3"/>
            <w:shd w:val="clear" w:color="auto" w:fill="E6E6FA"/>
          </w:tcPr>
          <w:p>
            <w:pPr>
              <w:jc w:val="center"/>
              <w:ind w:right="20"/>
              <w:spacing w:after="0" w:line="210" w:lineRule="exact"/>
              <w:rPr>
                <w:sz w:val="20"/>
                <w:szCs w:val="20"/>
                <w:color w:val="auto"/>
              </w:rPr>
            </w:pPr>
            <w:r>
              <w:rPr>
                <w:rFonts w:ascii="Times New Roman" w:cs="Times New Roman" w:eastAsia="Times New Roman" w:hAnsi="Times New Roman"/>
                <w:sz w:val="22"/>
                <w:szCs w:val="22"/>
                <w:b w:val="1"/>
                <w:bCs w:val="1"/>
                <w:color w:val="0000FF"/>
                <w:w w:val="95"/>
              </w:rPr>
              <w:t>2.00%</w:t>
            </w:r>
          </w:p>
        </w:tc>
        <w:tc>
          <w:tcPr>
            <w:tcW w:w="0" w:type="dxa"/>
            <w:vAlign w:val="bottom"/>
          </w:tcPr>
          <w:p>
            <w:pPr>
              <w:spacing w:after="0"/>
              <w:rPr>
                <w:sz w:val="1"/>
                <w:szCs w:val="1"/>
                <w:color w:val="auto"/>
              </w:rPr>
            </w:pPr>
          </w:p>
        </w:tc>
      </w:tr>
      <w:tr>
        <w:trPr>
          <w:trHeight w:val="236"/>
        </w:trPr>
        <w:tc>
          <w:tcPr>
            <w:tcW w:w="720" w:type="dxa"/>
            <w:vAlign w:val="bottom"/>
            <w:tcBorders>
              <w:left w:val="single" w:sz="8" w:color="auto"/>
            </w:tcBorders>
          </w:tcPr>
          <w:p>
            <w:pPr>
              <w:ind w:left="640"/>
              <w:spacing w:after="0" w:line="237" w:lineRule="exact"/>
              <w:rPr>
                <w:sz w:val="20"/>
                <w:szCs w:val="20"/>
                <w:color w:val="auto"/>
              </w:rPr>
            </w:pPr>
            <w:r>
              <w:rPr>
                <w:rFonts w:ascii="Times New Roman" w:cs="Times New Roman" w:eastAsia="Times New Roman" w:hAnsi="Times New Roman"/>
                <w:sz w:val="21"/>
                <w:szCs w:val="21"/>
                <w:b w:val="1"/>
                <w:bCs w:val="1"/>
                <w:color w:val="FF0000"/>
                <w:strike w:val="1"/>
                <w:w w:val="72"/>
              </w:rPr>
              <w:t>I</w:t>
            </w:r>
          </w:p>
        </w:tc>
        <w:tc>
          <w:tcPr>
            <w:tcW w:w="80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II</w:t>
            </w:r>
          </w:p>
        </w:tc>
        <w:tc>
          <w:tcPr>
            <w:tcW w:w="680" w:type="dxa"/>
            <w:vAlign w:val="bottom"/>
          </w:tcPr>
          <w:p>
            <w:pPr>
              <w:spacing w:after="0"/>
              <w:rPr>
                <w:sz w:val="20"/>
                <w:szCs w:val="20"/>
                <w:color w:val="auto"/>
              </w:rPr>
            </w:pPr>
          </w:p>
        </w:tc>
        <w:tc>
          <w:tcPr>
            <w:tcW w:w="740" w:type="dxa"/>
            <w:vAlign w:val="bottom"/>
            <w:gridSpan w:val="3"/>
          </w:tcPr>
          <w:p>
            <w:pPr>
              <w:ind w:left="100"/>
              <w:spacing w:after="0" w:line="237" w:lineRule="exact"/>
              <w:rPr>
                <w:sz w:val="20"/>
                <w:szCs w:val="20"/>
                <w:color w:val="auto"/>
              </w:rPr>
            </w:pPr>
            <w:r>
              <w:rPr>
                <w:rFonts w:ascii="Times New Roman" w:cs="Times New Roman" w:eastAsia="Times New Roman" w:hAnsi="Times New Roman"/>
                <w:sz w:val="22"/>
                <w:szCs w:val="22"/>
                <w:color w:val="auto"/>
              </w:rPr>
              <w:t>B1/B+</w:t>
            </w:r>
          </w:p>
        </w:tc>
        <w:tc>
          <w:tcPr>
            <w:tcW w:w="9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b w:val="1"/>
                <w:bCs w:val="1"/>
                <w:color w:val="FF0000"/>
                <w:strike w:val="1"/>
              </w:rPr>
              <w:t>or higher</w:t>
            </w:r>
          </w:p>
        </w:tc>
        <w:tc>
          <w:tcPr>
            <w:tcW w:w="700" w:type="dxa"/>
            <w:vAlign w:val="bottom"/>
            <w:tcBorders>
              <w:right w:val="single" w:sz="8" w:color="auto"/>
            </w:tcBorders>
          </w:tcPr>
          <w:p>
            <w:pPr>
              <w:spacing w:after="0"/>
              <w:rPr>
                <w:sz w:val="20"/>
                <w:szCs w:val="20"/>
                <w:color w:val="auto"/>
              </w:rPr>
            </w:pPr>
          </w:p>
        </w:tc>
        <w:tc>
          <w:tcPr>
            <w:tcW w:w="1840" w:type="dxa"/>
            <w:vAlign w:val="bottom"/>
            <w:gridSpan w:val="2"/>
          </w:tcPr>
          <w:p>
            <w:pPr>
              <w:jc w:val="center"/>
              <w:ind w:left="1132"/>
              <w:spacing w:after="0" w:line="237" w:lineRule="exact"/>
              <w:rPr>
                <w:sz w:val="20"/>
                <w:szCs w:val="20"/>
                <w:color w:val="auto"/>
              </w:rPr>
            </w:pPr>
            <w:r>
              <w:rPr>
                <w:rFonts w:ascii="Times New Roman" w:cs="Times New Roman" w:eastAsia="Times New Roman" w:hAnsi="Times New Roman"/>
                <w:sz w:val="22"/>
                <w:szCs w:val="22"/>
                <w:color w:val="auto"/>
                <w:w w:val="98"/>
              </w:rPr>
              <w:t>3.25%</w:t>
            </w:r>
          </w:p>
        </w:tc>
        <w:tc>
          <w:tcPr>
            <w:tcW w:w="1260" w:type="dxa"/>
            <w:vAlign w:val="bottom"/>
            <w:tcBorders>
              <w:right w:val="single" w:sz="8" w:color="auto"/>
            </w:tcBorders>
          </w:tcPr>
          <w:p>
            <w:pPr>
              <w:spacing w:after="0"/>
              <w:rPr>
                <w:sz w:val="20"/>
                <w:szCs w:val="20"/>
                <w:color w:val="auto"/>
              </w:rPr>
            </w:pPr>
          </w:p>
        </w:tc>
        <w:tc>
          <w:tcPr>
            <w:tcW w:w="1760" w:type="dxa"/>
            <w:vAlign w:val="bottom"/>
            <w:gridSpan w:val="2"/>
          </w:tcPr>
          <w:p>
            <w:pPr>
              <w:jc w:val="center"/>
              <w:ind w:left="1052"/>
              <w:spacing w:after="0" w:line="237" w:lineRule="exact"/>
              <w:rPr>
                <w:sz w:val="20"/>
                <w:szCs w:val="20"/>
                <w:color w:val="auto"/>
              </w:rPr>
            </w:pPr>
            <w:r>
              <w:rPr>
                <w:rFonts w:ascii="Times New Roman" w:cs="Times New Roman" w:eastAsia="Times New Roman" w:hAnsi="Times New Roman"/>
                <w:sz w:val="22"/>
                <w:szCs w:val="22"/>
                <w:color w:val="auto"/>
                <w:w w:val="98"/>
              </w:rPr>
              <w:t>2.25%</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20" w:type="dxa"/>
            <w:vAlign w:val="bottom"/>
            <w:tcBorders>
              <w:left w:val="single" w:sz="8" w:color="auto"/>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ind w:left="560"/>
              <w:spacing w:after="0" w:line="237" w:lineRule="exact"/>
              <w:rPr>
                <w:sz w:val="20"/>
                <w:szCs w:val="20"/>
                <w:color w:val="auto"/>
              </w:rPr>
            </w:pPr>
            <w:r>
              <w:rPr>
                <w:rFonts w:ascii="Times New Roman" w:cs="Times New Roman" w:eastAsia="Times New Roman" w:hAnsi="Times New Roman"/>
                <w:sz w:val="22"/>
                <w:szCs w:val="22"/>
                <w:b w:val="1"/>
                <w:bCs w:val="1"/>
                <w:color w:val="FF0000"/>
                <w:strike w:val="1"/>
                <w:w w:val="81"/>
              </w:rPr>
              <w:t>II</w:t>
            </w:r>
          </w:p>
        </w:tc>
        <w:tc>
          <w:tcPr>
            <w:tcW w:w="800" w:type="dxa"/>
            <w:vAlign w:val="bottom"/>
            <w:tcBorders>
              <w:right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III</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Borders>
              <w:right w:val="single" w:sz="8" w:color="auto"/>
            </w:tcBorders>
            <w:gridSpan w:val="5"/>
          </w:tcPr>
          <w:p>
            <w:pPr>
              <w:jc w:val="center"/>
              <w:ind w:right="860"/>
              <w:spacing w:after="0" w:line="237" w:lineRule="exact"/>
              <w:rPr>
                <w:sz w:val="20"/>
                <w:szCs w:val="20"/>
                <w:color w:val="auto"/>
              </w:rPr>
            </w:pPr>
            <w:r>
              <w:rPr>
                <w:rFonts w:ascii="Times New Roman" w:cs="Times New Roman" w:eastAsia="Times New Roman" w:hAnsi="Times New Roman"/>
                <w:sz w:val="22"/>
                <w:szCs w:val="22"/>
                <w:color w:val="auto"/>
                <w:w w:val="97"/>
              </w:rPr>
              <w:t xml:space="preserve">B2/B </w:t>
            </w:r>
            <w:r>
              <w:rPr>
                <w:rFonts w:ascii="Times New Roman" w:cs="Times New Roman" w:eastAsia="Times New Roman" w:hAnsi="Times New Roman"/>
                <w:sz w:val="22"/>
                <w:szCs w:val="22"/>
                <w:b w:val="1"/>
                <w:bCs w:val="1"/>
                <w:color w:val="0000FF"/>
                <w:w w:val="97"/>
              </w:rPr>
              <w:t>or lower</w:t>
            </w:r>
          </w:p>
        </w:tc>
        <w:tc>
          <w:tcPr>
            <w:tcW w:w="1840" w:type="dxa"/>
            <w:vAlign w:val="bottom"/>
            <w:gridSpan w:val="2"/>
          </w:tcPr>
          <w:p>
            <w:pPr>
              <w:jc w:val="center"/>
              <w:ind w:left="1132"/>
              <w:spacing w:after="0" w:line="237" w:lineRule="exact"/>
              <w:rPr>
                <w:sz w:val="20"/>
                <w:szCs w:val="20"/>
                <w:color w:val="auto"/>
              </w:rPr>
            </w:pPr>
            <w:r>
              <w:rPr>
                <w:rFonts w:ascii="Times New Roman" w:cs="Times New Roman" w:eastAsia="Times New Roman" w:hAnsi="Times New Roman"/>
                <w:sz w:val="22"/>
                <w:szCs w:val="22"/>
                <w:color w:val="auto"/>
                <w:w w:val="98"/>
              </w:rPr>
              <w:t>3.50%</w:t>
            </w:r>
          </w:p>
        </w:tc>
        <w:tc>
          <w:tcPr>
            <w:tcW w:w="1260" w:type="dxa"/>
            <w:vAlign w:val="bottom"/>
            <w:tcBorders>
              <w:right w:val="single" w:sz="8" w:color="auto"/>
            </w:tcBorders>
          </w:tcPr>
          <w:p>
            <w:pPr>
              <w:spacing w:after="0"/>
              <w:rPr>
                <w:sz w:val="20"/>
                <w:szCs w:val="20"/>
                <w:color w:val="auto"/>
              </w:rPr>
            </w:pPr>
          </w:p>
        </w:tc>
        <w:tc>
          <w:tcPr>
            <w:tcW w:w="1760" w:type="dxa"/>
            <w:vAlign w:val="bottom"/>
            <w:gridSpan w:val="2"/>
          </w:tcPr>
          <w:p>
            <w:pPr>
              <w:jc w:val="center"/>
              <w:ind w:left="1052"/>
              <w:spacing w:after="0" w:line="237" w:lineRule="exact"/>
              <w:rPr>
                <w:sz w:val="20"/>
                <w:szCs w:val="20"/>
                <w:color w:val="auto"/>
              </w:rPr>
            </w:pPr>
            <w:r>
              <w:rPr>
                <w:rFonts w:ascii="Times New Roman" w:cs="Times New Roman" w:eastAsia="Times New Roman" w:hAnsi="Times New Roman"/>
                <w:sz w:val="22"/>
                <w:szCs w:val="22"/>
                <w:color w:val="auto"/>
                <w:w w:val="98"/>
              </w:rPr>
              <w:t>2.50%</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20" w:type="dxa"/>
            <w:vAlign w:val="bottom"/>
            <w:tcBorders>
              <w:left w:val="single" w:sz="8" w:color="auto"/>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80" w:type="dxa"/>
            <w:vAlign w:val="bottom"/>
            <w:tcBorders>
              <w:left w:val="single" w:sz="8" w:color="auto"/>
              <w:bottom w:val="single" w:sz="8" w:color="auto"/>
            </w:tcBorders>
            <w:gridSpan w:val="3"/>
            <w:shd w:val="clear" w:color="auto" w:fill="FFDEAD"/>
          </w:tcPr>
          <w:p>
            <w:pPr>
              <w:ind w:left="640"/>
              <w:spacing w:after="0"/>
              <w:rPr>
                <w:sz w:val="20"/>
                <w:szCs w:val="20"/>
                <w:color w:val="auto"/>
              </w:rPr>
            </w:pPr>
            <w:r>
              <w:rPr>
                <w:rFonts w:ascii="Times New Roman" w:cs="Times New Roman" w:eastAsia="Times New Roman" w:hAnsi="Times New Roman"/>
                <w:sz w:val="22"/>
                <w:szCs w:val="22"/>
                <w:b w:val="1"/>
                <w:bCs w:val="1"/>
                <w:color w:val="FF0000"/>
                <w:strike w:val="1"/>
                <w:w w:val="85"/>
              </w:rPr>
              <w:t>III</w:t>
            </w:r>
          </w:p>
        </w:tc>
        <w:tc>
          <w:tcPr>
            <w:tcW w:w="640" w:type="dxa"/>
            <w:vAlign w:val="bottom"/>
            <w:tcBorders>
              <w:bottom w:val="single" w:sz="8" w:color="auto"/>
              <w:right w:val="single" w:sz="8" w:color="auto"/>
            </w:tcBorders>
            <w:gridSpan w:val="2"/>
            <w:shd w:val="clear" w:color="auto" w:fill="FFDEAD"/>
          </w:tcPr>
          <w:p>
            <w:pPr>
              <w:spacing w:after="0"/>
              <w:rPr>
                <w:sz w:val="22"/>
                <w:szCs w:val="22"/>
                <w:color w:val="auto"/>
              </w:rPr>
            </w:pPr>
          </w:p>
        </w:tc>
        <w:tc>
          <w:tcPr>
            <w:tcW w:w="680" w:type="dxa"/>
            <w:vAlign w:val="bottom"/>
            <w:tcBorders>
              <w:bottom w:val="single" w:sz="8" w:color="auto"/>
            </w:tcBorders>
            <w:shd w:val="clear" w:color="auto" w:fill="FFDEAD"/>
          </w:tcPr>
          <w:p>
            <w:pPr>
              <w:spacing w:after="0"/>
              <w:rPr>
                <w:sz w:val="22"/>
                <w:szCs w:val="22"/>
                <w:color w:val="auto"/>
              </w:rPr>
            </w:pPr>
          </w:p>
        </w:tc>
        <w:tc>
          <w:tcPr>
            <w:tcW w:w="180" w:type="dxa"/>
            <w:vAlign w:val="bottom"/>
            <w:tcBorders>
              <w:bottom w:val="single" w:sz="8" w:color="auto"/>
            </w:tcBorders>
            <w:shd w:val="clear" w:color="auto" w:fill="FFDEAD"/>
          </w:tcPr>
          <w:p>
            <w:pPr>
              <w:spacing w:after="0"/>
              <w:rPr>
                <w:sz w:val="22"/>
                <w:szCs w:val="22"/>
                <w:color w:val="auto"/>
              </w:rPr>
            </w:pPr>
          </w:p>
        </w:tc>
        <w:tc>
          <w:tcPr>
            <w:tcW w:w="1520" w:type="dxa"/>
            <w:vAlign w:val="bottom"/>
            <w:tcBorders>
              <w:bottom w:val="single" w:sz="8" w:color="auto"/>
            </w:tcBorders>
            <w:gridSpan w:val="4"/>
            <w:shd w:val="clear" w:color="auto" w:fill="FFDEAD"/>
          </w:tcPr>
          <w:p>
            <w:pPr>
              <w:jc w:val="center"/>
              <w:ind w:right="180"/>
              <w:spacing w:after="0"/>
              <w:rPr>
                <w:sz w:val="20"/>
                <w:szCs w:val="20"/>
                <w:color w:val="auto"/>
              </w:rPr>
            </w:pPr>
            <w:r>
              <w:rPr>
                <w:rFonts w:ascii="Times New Roman" w:cs="Times New Roman" w:eastAsia="Times New Roman" w:hAnsi="Times New Roman"/>
                <w:sz w:val="22"/>
                <w:szCs w:val="22"/>
                <w:b w:val="1"/>
                <w:bCs w:val="1"/>
                <w:color w:val="FF0000"/>
                <w:strike w:val="1"/>
                <w:w w:val="96"/>
              </w:rPr>
              <w:t>B3/B- or lower</w:t>
            </w:r>
          </w:p>
        </w:tc>
        <w:tc>
          <w:tcPr>
            <w:tcW w:w="700" w:type="dxa"/>
            <w:vAlign w:val="bottom"/>
            <w:tcBorders>
              <w:bottom w:val="single" w:sz="8" w:color="auto"/>
              <w:right w:val="single" w:sz="8" w:color="auto"/>
            </w:tcBorders>
            <w:shd w:val="clear" w:color="auto" w:fill="FFDEAD"/>
          </w:tcPr>
          <w:p>
            <w:pPr>
              <w:spacing w:after="0"/>
              <w:rPr>
                <w:sz w:val="22"/>
                <w:szCs w:val="22"/>
                <w:color w:val="auto"/>
              </w:rPr>
            </w:pPr>
          </w:p>
        </w:tc>
        <w:tc>
          <w:tcPr>
            <w:tcW w:w="1240" w:type="dxa"/>
            <w:vAlign w:val="bottom"/>
            <w:tcBorders>
              <w:bottom w:val="single" w:sz="8" w:color="auto"/>
            </w:tcBorders>
            <w:shd w:val="clear" w:color="auto" w:fill="FFDEAD"/>
          </w:tcPr>
          <w:p>
            <w:pPr>
              <w:spacing w:after="0"/>
              <w:rPr>
                <w:sz w:val="22"/>
                <w:szCs w:val="22"/>
                <w:color w:val="auto"/>
              </w:rPr>
            </w:pPr>
          </w:p>
        </w:tc>
        <w:tc>
          <w:tcPr>
            <w:tcW w:w="600" w:type="dxa"/>
            <w:vAlign w:val="bottom"/>
            <w:tcBorders>
              <w:bottom w:val="single" w:sz="8" w:color="auto"/>
            </w:tcBorders>
            <w:shd w:val="clear" w:color="auto" w:fill="FFDEAD"/>
          </w:tcPr>
          <w:p>
            <w:pPr>
              <w:jc w:val="center"/>
              <w:spacing w:after="0"/>
              <w:rPr>
                <w:sz w:val="20"/>
                <w:szCs w:val="20"/>
                <w:color w:val="auto"/>
              </w:rPr>
            </w:pPr>
            <w:r>
              <w:rPr>
                <w:rFonts w:ascii="Times New Roman" w:cs="Times New Roman" w:eastAsia="Times New Roman" w:hAnsi="Times New Roman"/>
                <w:sz w:val="22"/>
                <w:szCs w:val="22"/>
                <w:b w:val="1"/>
                <w:bCs w:val="1"/>
                <w:color w:val="FF0000"/>
                <w:strike w:val="1"/>
                <w:w w:val="99"/>
              </w:rPr>
              <w:t>3.75%</w:t>
            </w:r>
          </w:p>
        </w:tc>
        <w:tc>
          <w:tcPr>
            <w:tcW w:w="1260" w:type="dxa"/>
            <w:vAlign w:val="bottom"/>
            <w:tcBorders>
              <w:bottom w:val="single" w:sz="8" w:color="auto"/>
              <w:right w:val="single" w:sz="8" w:color="auto"/>
            </w:tcBorders>
            <w:shd w:val="clear" w:color="auto" w:fill="FFDEAD"/>
          </w:tcPr>
          <w:p>
            <w:pPr>
              <w:spacing w:after="0"/>
              <w:rPr>
                <w:sz w:val="22"/>
                <w:szCs w:val="22"/>
                <w:color w:val="auto"/>
              </w:rPr>
            </w:pPr>
          </w:p>
        </w:tc>
        <w:tc>
          <w:tcPr>
            <w:tcW w:w="1180" w:type="dxa"/>
            <w:vAlign w:val="bottom"/>
            <w:tcBorders>
              <w:bottom w:val="single" w:sz="8" w:color="auto"/>
            </w:tcBorders>
            <w:shd w:val="clear" w:color="auto" w:fill="FFDEAD"/>
          </w:tcPr>
          <w:p>
            <w:pPr>
              <w:spacing w:after="0"/>
              <w:rPr>
                <w:sz w:val="22"/>
                <w:szCs w:val="22"/>
                <w:color w:val="auto"/>
              </w:rPr>
            </w:pPr>
          </w:p>
        </w:tc>
        <w:tc>
          <w:tcPr>
            <w:tcW w:w="580" w:type="dxa"/>
            <w:vAlign w:val="bottom"/>
            <w:tcBorders>
              <w:bottom w:val="single" w:sz="8" w:color="auto"/>
            </w:tcBorders>
            <w:shd w:val="clear" w:color="auto" w:fill="FFDEAD"/>
          </w:tcPr>
          <w:p>
            <w:pPr>
              <w:jc w:val="center"/>
              <w:spacing w:after="0"/>
              <w:rPr>
                <w:sz w:val="20"/>
                <w:szCs w:val="20"/>
                <w:color w:val="auto"/>
              </w:rPr>
            </w:pPr>
            <w:r>
              <w:rPr>
                <w:rFonts w:ascii="Times New Roman" w:cs="Times New Roman" w:eastAsia="Times New Roman" w:hAnsi="Times New Roman"/>
                <w:sz w:val="22"/>
                <w:szCs w:val="22"/>
                <w:b w:val="1"/>
                <w:bCs w:val="1"/>
                <w:color w:val="FF0000"/>
                <w:strike w:val="1"/>
                <w:w w:val="95"/>
              </w:rPr>
              <w:t>2.75%</w:t>
            </w:r>
          </w:p>
        </w:tc>
        <w:tc>
          <w:tcPr>
            <w:tcW w:w="1200" w:type="dxa"/>
            <w:vAlign w:val="bottom"/>
            <w:tcBorders>
              <w:bottom w:val="single" w:sz="8" w:color="auto"/>
              <w:right w:val="single" w:sz="8" w:color="auto"/>
            </w:tcBorders>
            <w:shd w:val="clear" w:color="auto" w:fill="FFDEAD"/>
          </w:tcPr>
          <w:p>
            <w:pPr>
              <w:spacing w:after="0"/>
              <w:rPr>
                <w:sz w:val="22"/>
                <w:szCs w:val="2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For the purposes of the foregoing, if there is only one credit rating with respect to Parent,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shall be determined with reference to the applicable row in the “Pricing Level” column above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(each such pricing level, a “</w:t>
      </w:r>
      <w:r>
        <w:rPr>
          <w:rFonts w:ascii="Times New Roman" w:cs="Times New Roman" w:eastAsia="Times New Roman" w:hAnsi="Times New Roman"/>
          <w:sz w:val="22"/>
          <w:szCs w:val="22"/>
          <w:u w:val="single" w:color="auto"/>
          <w:color w:val="000000"/>
        </w:rPr>
        <w:t>Level</w:t>
      </w:r>
      <w:r>
        <w:rPr>
          <w:rFonts w:ascii="Times New Roman" w:cs="Times New Roman" w:eastAsia="Times New Roman" w:hAnsi="Times New Roman"/>
          <w:sz w:val="22"/>
          <w:szCs w:val="22"/>
          <w:color w:val="000000"/>
        </w:rPr>
        <w:t>”) of such credit rating. In the event the credit ratings (each a “</w:t>
      </w:r>
      <w:r>
        <w:rPr>
          <w:rFonts w:ascii="Times New Roman" w:cs="Times New Roman" w:eastAsia="Times New Roman" w:hAnsi="Times New Roman"/>
          <w:sz w:val="22"/>
          <w:szCs w:val="22"/>
          <w:u w:val="single" w:color="auto"/>
          <w:color w:val="000000"/>
        </w:rPr>
        <w:t>Relevant Rating</w:t>
      </w:r>
      <w:r>
        <w:rPr>
          <w:rFonts w:ascii="Times New Roman" w:cs="Times New Roman" w:eastAsia="Times New Roman" w:hAnsi="Times New Roman"/>
          <w:sz w:val="22"/>
          <w:szCs w:val="22"/>
          <w:color w:val="000000"/>
        </w:rPr>
        <w:t>” and, together, “</w:t>
      </w:r>
      <w:r>
        <w:rPr>
          <w:rFonts w:ascii="Times New Roman" w:cs="Times New Roman" w:eastAsia="Times New Roman" w:hAnsi="Times New Roman"/>
          <w:sz w:val="22"/>
          <w:szCs w:val="22"/>
          <w:u w:val="single" w:color="auto"/>
          <w:color w:val="000000"/>
        </w:rPr>
        <w:t>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Ratings</w:t>
      </w:r>
      <w:r>
        <w:rPr>
          <w:rFonts w:ascii="Times New Roman" w:cs="Times New Roman" w:eastAsia="Times New Roman" w:hAnsi="Times New Roman"/>
          <w:sz w:val="22"/>
          <w:szCs w:val="22"/>
          <w:color w:val="auto"/>
        </w:rPr>
        <w:t xml:space="preserve">”) are different,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color w:val="auto"/>
        </w:rPr>
        <w:t xml:space="preserve"> shall be determined by (a) the higher of such Relevant Ratings, provided, however, the lower of such Relevant Ratings shall be no greater than one Level below the higher of such Relevant Ratings or (b) in the event the lower of such Relevant Ratings is greater than one Level below the higher of such Relevant Ratings,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color w:val="auto"/>
        </w:rPr>
        <w:t xml:space="preserve"> shall be determined based on the Relevant Rating which is one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or Moody’s shall have in effect a credit rating,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color w:val="auto"/>
        </w:rPr>
        <w:t xml:space="preserve"> shall be based on Level III. Each change in the Applicable Margin shall apply during the period commencing on the effective date of the applicable change in ratings and ending on the date immediately preceding the effective date of the next such change in ratings. Upon the occurrence and during the continuance of an Event of Default, the Applicable Margin </w:t>
      </w:r>
      <w:r>
        <w:rPr>
          <w:rFonts w:ascii="Times New Roman" w:cs="Times New Roman" w:eastAsia="Times New Roman" w:hAnsi="Times New Roman"/>
          <w:sz w:val="22"/>
          <w:szCs w:val="22"/>
          <w:b w:val="1"/>
          <w:bCs w:val="1"/>
          <w:u w:val="single" w:color="auto"/>
          <w:color w:val="0000FF"/>
        </w:rPr>
        <w:t>with respect to Revolving Loans</w:t>
      </w:r>
      <w:r>
        <w:rPr>
          <w:rFonts w:ascii="Times New Roman" w:cs="Times New Roman" w:eastAsia="Times New Roman" w:hAnsi="Times New Roman"/>
          <w:sz w:val="22"/>
          <w:szCs w:val="22"/>
          <w:color w:val="auto"/>
        </w:rPr>
        <w:t xml:space="preserve"> shall be based on Level III.</w:t>
      </w:r>
    </w:p>
    <w:p>
      <w:pPr>
        <w:spacing w:after="0" w:line="17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Appraisal</w:t>
      </w:r>
      <w:r>
        <w:rPr>
          <w:rFonts w:ascii="Times New Roman" w:cs="Times New Roman" w:eastAsia="Times New Roman" w:hAnsi="Times New Roman"/>
          <w:sz w:val="22"/>
          <w:szCs w:val="22"/>
          <w:color w:val="auto"/>
        </w:rPr>
        <w:t>” shall mean (i) the Initial Appraisal and (ii) any other appraisal, dated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w:t>
      </w:r>
    </w:p>
    <w:p>
      <w:pPr>
        <w:spacing w:after="0" w:line="197" w:lineRule="exact"/>
        <w:rPr>
          <w:sz w:val="20"/>
          <w:szCs w:val="20"/>
          <w:color w:val="auto"/>
        </w:rPr>
      </w:pPr>
    </w:p>
    <w:p>
      <w:pPr>
        <w:jc w:val="both"/>
        <w:ind w:left="660" w:firstLine="644"/>
        <w:spacing w:after="0" w:line="247" w:lineRule="auto"/>
        <w:tabs>
          <w:tab w:leader="none" w:pos="183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Route Authorities, Slots and/or Foreign Gate Leaseholds pledged pursuant to the SGR Security Agreement or a security agreement substantially similar thereto (A) shall have methodology, assumptions and form of presentation consistent in all material respects with the Initial Appraisal (including the utilization of a discount rate of 11.5% and a perpetuity growth rate of 1.5%, and, if, with respect to all of the Scheduled Services between the United States and a particular country, the Appraised Value of the related Route Authorities, Slots and Foreign Gate Leaseholds is a negative number, such Appraised Value shall be deemed to be zero);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Appraisals prepared from time to time are not prepared by the same firm of appraisers as the Initial Appraisal, such Appraisals may with the consent of the Administrative Agent (such consent not to be unreasonably withheld) have methodology, assumptions and form of presentation that differ from the Initial Appraisal if such differences are deemed appropriate by such appraiser and consistent with such appraiser’s customary practice as in effect on the date hereof and (B) to the extent such Appraisal is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-523240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historical data provided by the Borrower, shall generally be based on such data that is current as of a date no earlier than the date that is six months prior to the date of the delivery of such Appraisal;</w:t>
      </w:r>
    </w:p>
    <w:p>
      <w:pPr>
        <w:spacing w:after="0" w:line="158" w:lineRule="exact"/>
        <w:rPr>
          <w:sz w:val="20"/>
          <w:szCs w:val="20"/>
          <w:color w:val="auto"/>
        </w:rPr>
      </w:pPr>
    </w:p>
    <w:p>
      <w:pPr>
        <w:jc w:val="both"/>
        <w:ind w:left="660" w:firstLine="644"/>
        <w:spacing w:after="0" w:line="263" w:lineRule="auto"/>
        <w:tabs>
          <w:tab w:leader="none" w:pos="188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w:t>
      </w:r>
    </w:p>
    <w:p>
      <w:pPr>
        <w:spacing w:after="0" w:line="167"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872"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Route Authorities, FAA Slots, Foreign Slots and Gate Leaseholds not described in clause (1) above, any Spare Parts and any other type of property shall be based upon a methodology and assumptions deemed appropriate by the applicable appraisal firm.</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Appraised Value</w:t>
      </w:r>
      <w:r>
        <w:rPr>
          <w:rFonts w:ascii="Times New Roman" w:cs="Times New Roman" w:eastAsia="Times New Roman" w:hAnsi="Times New Roman"/>
          <w:sz w:val="21"/>
          <w:szCs w:val="21"/>
          <w:color w:val="auto"/>
        </w:rPr>
        <w:t xml:space="preserve">”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any Collateral consisting of property described in clause (z), (A) if no Appraisal relating to such Collateral has been delivered to the Administrative Agent prior to such date, the Appraised Value of such Collateral shall be deemed to be zero and</w:t>
      </w:r>
    </w:p>
    <w:p>
      <w:pPr>
        <w:spacing w:after="0" w:line="1" w:lineRule="exact"/>
        <w:rPr>
          <w:sz w:val="20"/>
          <w:szCs w:val="20"/>
          <w:color w:val="auto"/>
        </w:rPr>
      </w:pPr>
    </w:p>
    <w:p>
      <w:pPr>
        <w:jc w:val="both"/>
        <w:ind w:firstLine="8"/>
        <w:spacing w:after="0" w:line="247" w:lineRule="auto"/>
        <w:tabs>
          <w:tab w:leader="none" w:pos="345"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Appraisal relating to such Collateral has been delivered to the Administrative Agent prior to such date, but no Appraisal relating to such Collateral has been delivered to the Administrative Agent by the last day of the most recent period during which such Appraisal is required to be delivered pursuant to Section 5.06(1) (such last day, the “</w:t>
      </w:r>
      <w:r>
        <w:rPr>
          <w:rFonts w:ascii="Times New Roman" w:cs="Times New Roman" w:eastAsia="Times New Roman" w:hAnsi="Times New Roman"/>
          <w:sz w:val="22"/>
          <w:szCs w:val="22"/>
          <w:i w:val="1"/>
          <w:iCs w:val="1"/>
          <w:color w:val="auto"/>
        </w:rPr>
        <w:t>Required Appraisal Date</w:t>
      </w:r>
      <w:r>
        <w:rPr>
          <w:rFonts w:ascii="Times New Roman" w:cs="Times New Roman" w:eastAsia="Times New Roman" w:hAnsi="Times New Roman"/>
          <w:sz w:val="22"/>
          <w:szCs w:val="22"/>
          <w:color w:val="auto"/>
        </w:rPr>
        <w:t>”), then the Appraised Value of such Collateral shall be deemed to be zero for the period from such Required Appraisal Date to the date an Appraisal relating to such Collateral is delivered to the Administrative Agent.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shall have the meaning set forth in Section 10.02(b).</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ARB Indebtedness</w:t>
      </w:r>
      <w:r>
        <w:rPr>
          <w:rFonts w:ascii="Times New Roman" w:cs="Times New Roman" w:eastAsia="Times New Roman" w:hAnsi="Times New Roman"/>
          <w:sz w:val="22"/>
          <w:szCs w:val="22"/>
          <w:color w:val="auto"/>
        </w:rPr>
        <w:t>”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Ascend</w:t>
      </w:r>
      <w:r>
        <w:rPr>
          <w:rFonts w:ascii="Times New Roman" w:cs="Times New Roman" w:eastAsia="Times New Roman" w:hAnsi="Times New Roman"/>
          <w:sz w:val="22"/>
          <w:szCs w:val="22"/>
          <w:color w:val="auto"/>
        </w:rPr>
        <w:t>” shall mean Ascend Worldwide Limited.</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shall mean an assignment and acceptance entered into by a Lender and an assignee (with the consent of any party whose consent is required by Section 10.02), and accepted by the Administrative Agent, substantially in the form of Exhibit C.</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AVITAS</w:t>
      </w:r>
      <w:r>
        <w:rPr>
          <w:rFonts w:ascii="Times New Roman" w:cs="Times New Roman" w:eastAsia="Times New Roman" w:hAnsi="Times New Roman"/>
          <w:sz w:val="22"/>
          <w:szCs w:val="22"/>
          <w:color w:val="auto"/>
        </w:rPr>
        <w:t>” shall mean AVITAS,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9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w:t>
      </w:r>
      <w:r>
        <w:rPr>
          <w:rFonts w:ascii="Times New Roman" w:cs="Times New Roman" w:eastAsia="Times New Roman" w:hAnsi="Times New Roman"/>
          <w:sz w:val="22"/>
          <w:szCs w:val="22"/>
          <w:color w:val="auto"/>
        </w:rPr>
        <w:t>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Banking Product Obligations</w:t>
      </w:r>
      <w:r>
        <w:rPr>
          <w:rFonts w:ascii="Times New Roman" w:cs="Times New Roman" w:eastAsia="Times New Roman" w:hAnsi="Times New Roman"/>
          <w:sz w:val="22"/>
          <w:szCs w:val="22"/>
          <w:color w:val="auto"/>
        </w:rPr>
        <w:t>” 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Code</w:t>
      </w:r>
      <w:r>
        <w:rPr>
          <w:rFonts w:ascii="Times New Roman" w:cs="Times New Roman" w:eastAsia="Times New Roman" w:hAnsi="Times New Roman"/>
          <w:sz w:val="22"/>
          <w:szCs w:val="22"/>
          <w:color w:val="auto"/>
        </w:rPr>
        <w:t>” shall mean The Bankruptcy Reform Act of 1978, as heretofore and hereafter amended, and codified as 11 U.S.C. Section 101 et seq.</w:t>
      </w:r>
    </w:p>
    <w:p>
      <w:pPr>
        <w:spacing w:after="0" w:line="14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Event</w:t>
      </w:r>
      <w:r>
        <w:rPr>
          <w:rFonts w:ascii="Times New Roman" w:cs="Times New Roman" w:eastAsia="Times New Roman" w:hAnsi="Times New Roman"/>
          <w:sz w:val="22"/>
          <w:szCs w:val="22"/>
          <w:color w:val="auto"/>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Law</w:t>
      </w:r>
      <w:r>
        <w:rPr>
          <w:rFonts w:ascii="Times New Roman" w:cs="Times New Roman" w:eastAsia="Times New Roman" w:hAnsi="Times New Roman"/>
          <w:sz w:val="22"/>
          <w:szCs w:val="22"/>
          <w:color w:val="auto"/>
        </w:rPr>
        <w:t>” shall mean the Bankruptcy Code or any similar federal or state law for the relief of debtors.</w:t>
      </w:r>
    </w:p>
    <w:p>
      <w:pPr>
        <w:spacing w:after="0" w:line="22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Beneficial Owner</w:t>
      </w:r>
      <w:r>
        <w:rPr>
          <w:rFonts w:ascii="Times New Roman" w:cs="Times New Roman" w:eastAsia="Times New Roman" w:hAnsi="Times New Roman"/>
          <w:sz w:val="21"/>
          <w:szCs w:val="21"/>
          <w:color w:val="auto"/>
        </w:rPr>
        <w:t>” shall have the meaning assigned to such term in Rule 13d-3 and Rule 13d-5 under the Exchange Act, except that in calculating the beneficial ownership of any particular “person” (as that term is used in Section 13(d)</w:t>
      </w:r>
    </w:p>
    <w:p>
      <w:pPr>
        <w:spacing w:after="0" w:line="2" w:lineRule="exact"/>
        <w:rPr>
          <w:sz w:val="20"/>
          <w:szCs w:val="20"/>
          <w:color w:val="auto"/>
        </w:rPr>
      </w:pPr>
    </w:p>
    <w:p>
      <w:pPr>
        <w:ind w:right="20" w:firstLine="8"/>
        <w:spacing w:after="0" w:line="259" w:lineRule="auto"/>
        <w:tabs>
          <w:tab w:leader="none" w:pos="313"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Exchange Act), such “person” will be deemed to have beneficial ownership of all securities that such “person” has the right to acquire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conversion or exercise of other securities, whether such right is currently exercisable or is exercisable only after the passage of time.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BK</w:t>
      </w:r>
      <w:r>
        <w:rPr>
          <w:rFonts w:ascii="Times New Roman" w:cs="Times New Roman" w:eastAsia="Times New Roman" w:hAnsi="Times New Roman"/>
          <w:sz w:val="22"/>
          <w:szCs w:val="22"/>
          <w:color w:val="auto"/>
        </w:rPr>
        <w:t>” shall mean BK Associates, Inc.</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shall mean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 of Directors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660" w:firstLine="644"/>
        <w:spacing w:after="0" w:line="271" w:lineRule="auto"/>
        <w:tabs>
          <w:tab w:leader="none" w:pos="1927"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corporation, the board of directors of the corporation or any committee thereof duly authorized to act on behalf of such board;</w:t>
      </w:r>
    </w:p>
    <w:p>
      <w:pPr>
        <w:spacing w:after="0" w:line="157"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partnership, the board of directors or other governing body of the general partner of the</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w:t>
      </w:r>
    </w:p>
    <w:p>
      <w:pPr>
        <w:spacing w:after="0" w:line="207" w:lineRule="exact"/>
        <w:rPr>
          <w:rFonts w:ascii="Times New Roman" w:cs="Times New Roman" w:eastAsia="Times New Roman" w:hAnsi="Times New Roman"/>
          <w:sz w:val="22"/>
          <w:szCs w:val="22"/>
          <w:color w:val="auto"/>
        </w:rPr>
      </w:pPr>
    </w:p>
    <w:p>
      <w:pPr>
        <w:ind w:left="660" w:firstLine="644"/>
        <w:spacing w:after="0" w:line="271" w:lineRule="auto"/>
        <w:tabs>
          <w:tab w:leader="none" w:pos="1803"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limited liability company, the managing member or members, manager or managers or any controlling committee of managing members or managers thereof;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Person, the board or committee of such Person serving a similar function.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Release</w:t>
      </w:r>
      <w:r>
        <w:rPr>
          <w:rFonts w:ascii="Times New Roman" w:cs="Times New Roman" w:eastAsia="Times New Roman" w:hAnsi="Times New Roman"/>
          <w:sz w:val="22"/>
          <w:szCs w:val="22"/>
          <w:color w:val="auto"/>
        </w:rPr>
        <w:t>” shall mean the release of any Collateral from the Lien of the applicable Collateral Document at the direction of the Borrower pursuant to Section 6.09(c).</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shall mean the incurrence, conversion or continuation of Loans of a single Type made from all the Revolving Lenders or the Term Lenders, as the case may be, on a single date and having, in the case of Term SOFR Loans, a single Interest Period.</w:t>
      </w:r>
    </w:p>
    <w:p>
      <w:pPr>
        <w:spacing w:after="0" w:line="166" w:lineRule="exact"/>
        <w:rPr>
          <w:sz w:val="20"/>
          <w:szCs w:val="20"/>
          <w:color w:val="auto"/>
        </w:rPr>
      </w:pPr>
    </w:p>
    <w:p>
      <w:pPr>
        <w:jc w:val="both"/>
        <w:ind w:firstLine="1296"/>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Borrowing Date</w:t>
      </w:r>
      <w:r>
        <w:rPr>
          <w:rFonts w:ascii="Times New Roman" w:cs="Times New Roman" w:eastAsia="Times New Roman" w:hAnsi="Times New Roman"/>
          <w:sz w:val="21"/>
          <w:szCs w:val="21"/>
          <w:color w:val="auto"/>
        </w:rPr>
        <w:t>” shall mean any Business Day specified in a notice pursuant to Sections 2.03 and 2.04 as a date on which the Borrower requests the Lenders to make Loans hereunder or an Issuing Lender to issue Letters of Credit hereunder.</w:t>
      </w:r>
    </w:p>
    <w:p>
      <w:pPr>
        <w:spacing w:after="0" w:line="11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shall mean any day other than a Saturday, Sunday or other day on which commercial banks in New York City are required or authorized to remain closed (and, for a Letter of Credit, other than a day on which the Issuing Lender issuing such Letter of Credit is closed).</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Lease Obligation</w:t>
      </w:r>
      <w:r>
        <w:rPr>
          <w:rFonts w:ascii="Times New Roman" w:cs="Times New Roman" w:eastAsia="Times New Roman" w:hAnsi="Times New Roman"/>
          <w:sz w:val="22"/>
          <w:szCs w:val="22"/>
          <w:color w:val="auto"/>
        </w:rPr>
        <w:t>” shall mean, at the time any determination is to be made, the amount of the liability in respect of a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9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Markets Offering</w:t>
      </w:r>
      <w:r>
        <w:rPr>
          <w:rFonts w:ascii="Times New Roman" w:cs="Times New Roman" w:eastAsia="Times New Roman" w:hAnsi="Times New Roman"/>
          <w:sz w:val="21"/>
          <w:szCs w:val="21"/>
          <w:color w:val="auto"/>
        </w:rPr>
        <w:t>” shall mean any offering of “securities” (as defined under the Securities Act and, including, for the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780" w:hanging="476"/>
        <w:spacing w:after="0"/>
        <w:tabs>
          <w:tab w:leader="none" w:pos="178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corporation, corporate stock;</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53"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association or business entity, any and all shares, interests, participations, rights or other equivalents (however designated) of corporate stock;</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7"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partnership or limited liability company, partnership interests (whether general or limited) or membership interests;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78"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interest or participation that confers on a Person the right to receive a share of the profits and losses of, or distributions of assets of, the issuing Person,</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22"/>
          <w:szCs w:val="22"/>
          <w:color w:val="auto"/>
        </w:rPr>
        <w:t>but excluding from all of the foregoing clauses (1) through (4) any debt securities convertible into Capital Stock, whether or not such debt securities include any right of participation with Capital Stock.</w:t>
      </w:r>
    </w:p>
    <w:p>
      <w:pPr>
        <w:spacing w:after="0" w:line="14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Cash Collateralize</w:t>
      </w:r>
      <w:r>
        <w:rPr>
          <w:rFonts w:ascii="Times New Roman" w:cs="Times New Roman" w:eastAsia="Times New Roman" w:hAnsi="Times New Roman"/>
          <w:sz w:val="22"/>
          <w:szCs w:val="22"/>
          <w:color w:val="auto"/>
        </w:rPr>
        <w:t>” shall have the meaning set forth in Section 2.02(j). The terms “</w:t>
      </w:r>
      <w:r>
        <w:rPr>
          <w:rFonts w:ascii="Times New Roman" w:cs="Times New Roman" w:eastAsia="Times New Roman" w:hAnsi="Times New Roman"/>
          <w:sz w:val="22"/>
          <w:szCs w:val="22"/>
          <w:i w:val="1"/>
          <w:iCs w:val="1"/>
          <w:color w:val="auto"/>
        </w:rPr>
        <w:t>Cash Collateralized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Cash Collateralizes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Cash Collateralizing</w:t>
      </w:r>
      <w:r>
        <w:rPr>
          <w:rFonts w:ascii="Times New Roman" w:cs="Times New Roman" w:eastAsia="Times New Roman" w:hAnsi="Times New Roman"/>
          <w:sz w:val="22"/>
          <w:szCs w:val="22"/>
          <w:color w:val="auto"/>
        </w:rPr>
        <w:t>” shall have correlative meanings.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Equivalents</w:t>
      </w:r>
      <w:r>
        <w:rPr>
          <w:rFonts w:ascii="Times New Roman" w:cs="Times New Roman" w:eastAsia="Times New Roman" w:hAnsi="Times New Roman"/>
          <w:sz w:val="22"/>
          <w:szCs w:val="22"/>
          <w:color w:val="auto"/>
        </w:rPr>
        <w:t>” shall mean, as of the date acquired, purchased or made, as applicable:</w:t>
      </w:r>
    </w:p>
    <w:p>
      <w:pPr>
        <w:spacing w:after="0" w:line="224" w:lineRule="exact"/>
        <w:rPr>
          <w:sz w:val="20"/>
          <w:szCs w:val="20"/>
          <w:color w:val="auto"/>
        </w:rPr>
      </w:pPr>
    </w:p>
    <w:p>
      <w:pPr>
        <w:jc w:val="both"/>
        <w:ind w:left="660" w:firstLine="644"/>
        <w:spacing w:after="0" w:line="256" w:lineRule="auto"/>
        <w:tabs>
          <w:tab w:leader="none" w:pos="1806"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76"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issued by any state of the United States or any political subdivision of any such state or any instrumentality thereof, in each case maturing within three years after such date and having a rating of at least A- (or the equivalent thereof) from S&amp;P or A3 (or the equivalent thereof) from Moody’s;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13"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 w:cs="Times New Roman" w:eastAsia="Times New Roman" w:hAnsi="Times New Roman"/>
          <w:sz w:val="22"/>
          <w:szCs w:val="22"/>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that, in each case, the security has a maturity or weighted average life of three years or less from such date;</w:t>
      </w:r>
    </w:p>
    <w:p>
      <w:pPr>
        <w:spacing w:after="0" w:line="220" w:lineRule="exact"/>
        <w:rPr>
          <w:sz w:val="20"/>
          <w:szCs w:val="20"/>
          <w:color w:val="auto"/>
        </w:rPr>
      </w:pPr>
    </w:p>
    <w:p>
      <w:pPr>
        <w:ind w:left="660" w:firstLine="644"/>
        <w:spacing w:after="0" w:line="271" w:lineRule="auto"/>
        <w:tabs>
          <w:tab w:leader="none" w:pos="1788"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no more than one year after such date and having, on such date, a rating of at least A-2 from S&amp;P or at least P-2 from Moody’s;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4"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793"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counterparties whose long term debt is rated not less than A-by S&amp;P and A3 by Moody’s and with a term of not more than six months from such date;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13"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6"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any money market mutual fund that, as of such date, (a) complies with the criteria set forth in SEC Rule 2a-7 under the Investment Company Act of 1940, as amended and (b) is rated AAA (or the equivalent thereof) by S&amp;P and Aaa (or the equivalent thereof) by Moody’s;</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82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auction rate preferred securities that, as of such date, have the highest rating obtainable from either S&amp;P or Moody’s and with a maximum reset date at least every 30 days;</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44"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pursuant to the Borrower’s or any of its Restricted Subsidiaries’ cash equivalents/short term investment guidelines;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03"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available for withdrawal on demand with commercial banks organized in the United States having capital and surplus in excess of $100,000,000;</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92"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98" w:lineRule="exact"/>
        <w:rPr>
          <w:sz w:val="20"/>
          <w:szCs w:val="20"/>
          <w:color w:val="auto"/>
        </w:rPr>
      </w:pPr>
    </w:p>
    <w:p>
      <w:pPr>
        <w:ind w:left="660" w:firstLine="644"/>
        <w:spacing w:after="0" w:line="271" w:lineRule="auto"/>
        <w:tabs>
          <w:tab w:leader="none" w:pos="1916"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securities or pools of securities that are classified under GAAP as cash equivalents or short-term investments on a balance sheet as of such date.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Certificate Delivery Date</w:t>
      </w:r>
      <w:r>
        <w:rPr>
          <w:rFonts w:ascii="Times New Roman" w:cs="Times New Roman" w:eastAsia="Times New Roman" w:hAnsi="Times New Roman"/>
          <w:sz w:val="22"/>
          <w:szCs w:val="22"/>
          <w:color w:val="auto"/>
        </w:rPr>
        <w:t>” shall have the meaning set forth in Section 6.09(a).</w:t>
      </w:r>
    </w:p>
    <w:p>
      <w:pPr>
        <w:spacing w:after="0" w:line="23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Law</w:t>
      </w:r>
      <w:r>
        <w:rPr>
          <w:rFonts w:ascii="Times New Roman" w:cs="Times New Roman" w:eastAsia="Times New Roman" w:hAnsi="Times New Roman"/>
          <w:sz w:val="22"/>
          <w:szCs w:val="22"/>
          <w:color w:val="auto"/>
        </w:rPr>
        <w:t>”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Issuing Lender (or, for purposes of Section 2.14(b),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date of this Agreement.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shall mean the occurrence of any of the following:</w:t>
      </w:r>
    </w:p>
    <w:p>
      <w:pPr>
        <w:spacing w:after="0" w:line="224" w:lineRule="exact"/>
        <w:rPr>
          <w:sz w:val="20"/>
          <w:szCs w:val="20"/>
          <w:color w:val="auto"/>
        </w:rPr>
      </w:pPr>
    </w:p>
    <w:p>
      <w:pPr>
        <w:jc w:val="both"/>
        <w:ind w:left="660" w:firstLine="644"/>
        <w:spacing w:after="0" w:line="256" w:lineRule="auto"/>
        <w:tabs>
          <w:tab w:leader="none" w:pos="1788"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776"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Times New Roman" w:cs="Times New Roman" w:eastAsia="Times New Roman" w:hAnsi="Times New Roman"/>
          <w:sz w:val="21"/>
          <w:szCs w:val="21"/>
          <w:i w:val="1"/>
          <w:iCs w:val="1"/>
          <w:color w:val="auto"/>
        </w:rPr>
        <w:t>Permitted Person</w:t>
      </w:r>
      <w:r>
        <w:rPr>
          <w:rFonts w:ascii="Times New Roman" w:cs="Times New Roman" w:eastAsia="Times New Roman" w:hAnsi="Times New Roman"/>
          <w:sz w:val="21"/>
          <w:szCs w:val="21"/>
          <w:color w:val="auto"/>
        </w:rPr>
        <w:t>”)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7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For the avoidance of doubt, any Airline/Parent Merger and any Airlines Merger will not be a Change of Control under this Agreement.</w:t>
      </w:r>
    </w:p>
    <w:p>
      <w:pPr>
        <w:spacing w:after="0" w:line="167"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w:t>
      </w:r>
      <w:r>
        <w:rPr>
          <w:rFonts w:ascii="Times New Roman" w:cs="Times New Roman" w:eastAsia="Times New Roman" w:hAnsi="Times New Roman"/>
          <w:sz w:val="22"/>
          <w:szCs w:val="22"/>
          <w:color w:val="auto"/>
        </w:rPr>
        <w:t>” when used in reference to any Loan or Borrowing, shall refer to whether such Loan, or the Loans comprising such Borrowing, are Revolving Loans, 2020 Term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Incremental Term Loans that are not 2020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 Loans or Revolving Commitments having the exact same terms and conditions shall be deemed a part of the same Class.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shall mean October 10, 2014.</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 Transactions</w:t>
      </w:r>
      <w:r>
        <w:rPr>
          <w:rFonts w:ascii="Times New Roman" w:cs="Times New Roman" w:eastAsia="Times New Roman" w:hAnsi="Times New Roman"/>
          <w:sz w:val="22"/>
          <w:szCs w:val="22"/>
          <w:color w:val="auto"/>
        </w:rPr>
        <w:t>” shall mean the Transactions other than (x) the borrowing of Loans after the Closing Date and the use of the proceeds thereof and (y) the request for and issuance of Letters of Credit hereunder after the Closing Date.</w:t>
      </w:r>
    </w:p>
    <w:p>
      <w:pPr>
        <w:spacing w:after="0" w:line="16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Co-Branded Card Agreement(s)</w:t>
      </w:r>
      <w:r>
        <w:rPr>
          <w:rFonts w:ascii="Times New Roman" w:cs="Times New Roman" w:eastAsia="Times New Roman" w:hAnsi="Times New Roman"/>
          <w:sz w:val="22"/>
          <w:szCs w:val="22"/>
          <w:color w:val="auto"/>
        </w:rPr>
        <w:t>” shall mean that certain America West Co-Branded Card Agreement, dated as of January 25, 2005, between US Airways (as successor in interest to America West Airlines, Inc.) and Barclays Bank Delaware (as successor in interest to Juniper Bank), as amended, restated, supplemented or otherwise modified from time to time, including pursuant to that certain Assignment and First Amendment to the America West Co-Branded Card Agreement, dated as of August 8, 2005, among US Airways, America West Airlines, Inc. and Barclays Bank Delaware (as successor in interest to Juniper Bank) and any other similar agreements entered into by Parent or any of its Subsidiaries from time to time.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shall mean the Internal Revenue Code of 1986, as amended from time to time.</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22"/>
          <w:szCs w:val="22"/>
          <w:color w:val="auto"/>
        </w:rPr>
        <w:t>” shall mean (i) the assets and properties of the Grantors upon which Liens have been granted to the Collateral Agent to secure the Obligations including, without limitation, any 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Failure</w:t>
      </w:r>
      <w:r>
        <w:rPr>
          <w:rFonts w:ascii="Times New Roman" w:cs="Times New Roman" w:eastAsia="Times New Roman" w:hAnsi="Times New Roman"/>
          <w:sz w:val="22"/>
          <w:szCs w:val="22"/>
          <w:color w:val="auto"/>
        </w:rPr>
        <w:t>” shall mean either (i) a Collateral Coverage Ratio Failure or (ii) a Core Collateral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Failure.</w:t>
      </w:r>
    </w:p>
    <w:p>
      <w:pPr>
        <w:spacing w:after="0" w:line="20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 shall mean, as of any date of determination, the ratio of (i) the Appraised Value of the Collateral with respect to such date of determination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Times New Roman" w:cs="Times New Roman" w:eastAsia="Times New Roman" w:hAnsi="Times New Roman"/>
          <w:sz w:val="22"/>
          <w:szCs w:val="22"/>
          <w:i w:val="1"/>
          <w:iCs w:val="1"/>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9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 Certificate</w:t>
      </w:r>
      <w:r>
        <w:rPr>
          <w:rFonts w:ascii="Times New Roman" w:cs="Times New Roman" w:eastAsia="Times New Roman" w:hAnsi="Times New Roman"/>
          <w:sz w:val="22"/>
          <w:szCs w:val="22"/>
          <w:color w:val="auto"/>
        </w:rPr>
        <w:t>” shall mean an Officer’s Certificate calculating the Collateral Coverage Ratio substantially in the form of Exhibit H hereto.</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 Failure</w:t>
      </w:r>
      <w:r>
        <w:rPr>
          <w:rFonts w:ascii="Times New Roman" w:cs="Times New Roman" w:eastAsia="Times New Roman" w:hAnsi="Times New Roman"/>
          <w:sz w:val="22"/>
          <w:szCs w:val="22"/>
          <w:color w:val="auto"/>
        </w:rPr>
        <w:t>” shall mean, as of any date of determination, the failure of the Collateral Coverage Ratio as of such date to be at least equal to 1.6 to 1.0.</w:t>
      </w:r>
    </w:p>
    <w:p>
      <w:pPr>
        <w:spacing w:after="0" w:line="13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Documents</w:t>
      </w:r>
      <w:r>
        <w:rPr>
          <w:rFonts w:ascii="Times New Roman" w:cs="Times New Roman" w:eastAsia="Times New Roman" w:hAnsi="Times New Roman"/>
          <w:sz w:val="22"/>
          <w:szCs w:val="22"/>
          <w:color w:val="auto"/>
        </w:rPr>
        <w:t>” shall mean, collectively, the SGR Security Agreement, the UK Debentures, the Account Control Agreement(s), any Intercreditor Agreement (on and after the execution thereof), any Other Intercreditor Agreement (on and after the execution thereof) and other agreements, instruments or documents that create or purport to create a Lien in favor of the Collateral Agent for the benefit of the Secured Parties, in each case so long as such agreement, instrument or document shall not have been terminated in accordance with its terms.</w:t>
      </w:r>
    </w:p>
    <w:p>
      <w:pPr>
        <w:spacing w:after="0" w:line="17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Proceeds Account</w:t>
      </w:r>
      <w:r>
        <w:rPr>
          <w:rFonts w:ascii="Times New Roman" w:cs="Times New Roman" w:eastAsia="Times New Roman" w:hAnsi="Times New Roman"/>
          <w:sz w:val="22"/>
          <w:szCs w:val="22"/>
          <w:color w:val="auto"/>
        </w:rPr>
        <w:t>” shall mean a segregated account or accounts held by or under the control of the Collateral Agent into which the Net Proceeds of any Recovery Event or Disposition of Collateral may be deposited in accordance with the provisions of this Agreement.</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shall mean, as to any Lender, the sum of the Revolving Commitment, if any, and the Term Loan Commitment, if any, of such Lender, it being understood that the “</w:t>
      </w:r>
      <w:r>
        <w:rPr>
          <w:rFonts w:ascii="Times New Roman" w:cs="Times New Roman" w:eastAsia="Times New Roman" w:hAnsi="Times New Roman"/>
          <w:sz w:val="22"/>
          <w:szCs w:val="22"/>
          <w:i w:val="1"/>
          <w:iCs w:val="1"/>
          <w:color w:val="auto"/>
        </w:rPr>
        <w:t>Term Loan Commitment</w:t>
      </w:r>
      <w:r>
        <w:rPr>
          <w:rFonts w:ascii="Times New Roman" w:cs="Times New Roman" w:eastAsia="Times New Roman" w:hAnsi="Times New Roman"/>
          <w:sz w:val="22"/>
          <w:szCs w:val="22"/>
          <w:color w:val="auto"/>
        </w:rPr>
        <w:t>” of a Lender shall remain in effect until the Term Loans have been funded in full in accordance with this Agreement.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shall have the meaning given to such term in Section 2.20.</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shall mean 0.750% per annum.</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shall mean the Commodity Exchange Act (7 U.S.C. §1 et seq.), as amended from time to time, and any successor statute.</w:t>
      </w:r>
    </w:p>
    <w:p>
      <w:pPr>
        <w:spacing w:after="0" w:line="163"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Commuter Slot</w:t>
      </w:r>
      <w:r>
        <w:rPr>
          <w:rFonts w:ascii="Times New Roman" w:cs="Times New Roman" w:eastAsia="Times New Roman" w:hAnsi="Times New Roman"/>
          <w:sz w:val="22"/>
          <w:szCs w:val="22"/>
          <w:color w:val="auto"/>
        </w:rPr>
        <w:t>” means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EBITDAR</w:t>
      </w:r>
      <w:r>
        <w:rPr>
          <w:rFonts w:ascii="Times New Roman" w:cs="Times New Roman" w:eastAsia="Times New Roman" w:hAnsi="Times New Roman"/>
          <w:sz w:val="22"/>
          <w:szCs w:val="22"/>
          <w:color w:val="auto"/>
        </w:rPr>
        <w:t>” shall mean, with respect to any specified Person for any period, the Consolidated Net Income of such Person for such period plus, without duplication:</w:t>
      </w:r>
    </w:p>
    <w:p>
      <w:pPr>
        <w:spacing w:after="0" w:line="167" w:lineRule="exact"/>
        <w:rPr>
          <w:sz w:val="20"/>
          <w:szCs w:val="20"/>
          <w:color w:val="auto"/>
        </w:rPr>
      </w:pPr>
    </w:p>
    <w:p>
      <w:pPr>
        <w:jc w:val="both"/>
        <w:ind w:left="660" w:firstLine="644"/>
        <w:spacing w:after="0" w:line="257" w:lineRule="auto"/>
        <w:tabs>
          <w:tab w:leader="none" w:pos="1816"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any extraordinary loss plus any net loss realized by such Person or any of its Restricted Subsidiaries in connection with any Disposition of assets, to the extent such losses were deducted in computing such Consolidated Net Income; plus</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38"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for taxes based on income or profits of such Person and its Restricted Subsidiaries, to the extent that such provision for taxes was deducted in computing such Consolidated Net Income; plus</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799"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Charges of such Person and its Restricted Subsidiaries, to the extent that such Fixed Charges were deducted in computing such Consolidated Net Income;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type w:val="continuous"/>
        </w:sectPr>
      </w:pPr>
    </w:p>
    <w:bookmarkStart w:id="373" w:name="page374"/>
    <w:bookmarkEnd w:id="373"/>
    <w:p>
      <w:pPr>
        <w:spacing w:after="0" w:line="198" w:lineRule="exact"/>
        <w:rPr>
          <w:sz w:val="20"/>
          <w:szCs w:val="20"/>
          <w:color w:val="auto"/>
        </w:rPr>
      </w:pPr>
    </w:p>
    <w:p>
      <w:pPr>
        <w:jc w:val="both"/>
        <w:ind w:left="660" w:firstLine="644"/>
        <w:spacing w:after="0" w:line="257" w:lineRule="auto"/>
        <w:tabs>
          <w:tab w:leader="none" w:pos="177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currency translation losses (including losses related to currency remeasurements of Indebtedness) of such Person and its Restricted Subsidiaries for such period, to the extent that such losses were deducted in computing such Consolidated Net Income; plus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08"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909"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amortization of debt discount to the extent that such amortization was deducted in computing such Consolidated Net Income; plus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0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deductions for grants to any employee of Parent or its Restricted Subsidiaries of any Equity Interests during such period to the extent deducted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2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w:t>
      </w:r>
    </w:p>
    <w:p>
      <w:pPr>
        <w:spacing w:after="0" w:line="176"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865"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206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from business interruption insurance for such period, to the extent not already included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3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plus</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58"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items, other than the accrual of revenue in the Ordinary Course of Business, to the extent such amount increased such Consolidated Net Income; minus</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income tax credits and (B) interest income included in computing such Consolidated Net</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determined on a consolidated basis in accordance with GAAP.</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Income</w:t>
      </w:r>
      <w:r>
        <w:rPr>
          <w:rFonts w:ascii="Times New Roman" w:cs="Times New Roman" w:eastAsia="Times New Roman" w:hAnsi="Times New Roman"/>
          <w:sz w:val="22"/>
          <w:szCs w:val="22"/>
          <w:color w:val="auto"/>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2" w:lineRule="exact"/>
        <w:rPr>
          <w:sz w:val="20"/>
          <w:szCs w:val="20"/>
          <w:color w:val="auto"/>
        </w:rPr>
      </w:pPr>
    </w:p>
    <w:p>
      <w:pPr>
        <w:jc w:val="both"/>
        <w:ind w:left="660" w:firstLine="644"/>
        <w:spacing w:after="0" w:line="260" w:lineRule="auto"/>
        <w:tabs>
          <w:tab w:leader="none" w:pos="1875"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the AMR/US Airways Merger and Parent’s reorganization plan);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Permitted Investments, acquisitions, dispositions, recapitalizations or incurrences or repayments of Indebtedness permitted hereunder (in each case whether or not successful) (including but not limited to any one or more of the AMR/US Airways Merger, any Airlines Merger and 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176" w:lineRule="exact"/>
        <w:rPr>
          <w:rFonts w:ascii="Times New Roman" w:cs="Times New Roman" w:eastAsia="Times New Roman" w:hAnsi="Times New Roman"/>
          <w:sz w:val="21"/>
          <w:szCs w:val="21"/>
          <w:color w:val="auto"/>
        </w:rPr>
      </w:pPr>
    </w:p>
    <w:p>
      <w:pPr>
        <w:jc w:val="both"/>
        <w:ind w:left="660" w:firstLine="644"/>
        <w:spacing w:after="0" w:line="281" w:lineRule="auto"/>
        <w:tabs>
          <w:tab w:leader="none" w:pos="1801"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53" w:lineRule="auto"/>
        <w:tabs>
          <w:tab w:leader="none" w:pos="1808"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on such Person will be excluded;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1"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of non-cash gains and losses of such Person resulting from Hedging Obligations, including attributable to movement in the mark-to-market valuation of Hedging Obligations pursuant to Financial Accounting Standards Board Statement No. 133 will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98" w:lineRule="exact"/>
        <w:rPr>
          <w:sz w:val="20"/>
          <w:szCs w:val="20"/>
          <w:color w:val="auto"/>
        </w:rPr>
      </w:pPr>
    </w:p>
    <w:p>
      <w:pPr>
        <w:ind w:left="660" w:firstLine="644"/>
        <w:spacing w:after="0" w:line="271" w:lineRule="auto"/>
        <w:tabs>
          <w:tab w:leader="none" w:pos="185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expense recorded from grants by such Person of stock appreciation or similar rights, stock options or other rights to officers, directors or employees, will be excluded;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78"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 Property, Plant and Equipment and 805—Business Combinations (excluding any such non-cash item to the extent that it represents an accrual of or reserve for cash expenditures in any future period except to the extent such item is subsequently reversed), will be excluded;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2"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16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Tangible Assets</w:t>
      </w:r>
      <w:r>
        <w:rPr>
          <w:rFonts w:ascii="Times New Roman" w:cs="Times New Roman" w:eastAsia="Times New Roman" w:hAnsi="Times New Roman"/>
          <w:sz w:val="22"/>
          <w:szCs w:val="22"/>
          <w:color w:val="auto"/>
        </w:rPr>
        <w:t>”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Assets</w:t>
      </w:r>
      <w:r>
        <w:rPr>
          <w:rFonts w:ascii="Times New Roman" w:cs="Times New Roman" w:eastAsia="Times New Roman" w:hAnsi="Times New Roman"/>
          <w:sz w:val="22"/>
          <w:szCs w:val="22"/>
          <w:color w:val="auto"/>
        </w:rPr>
        <w:t>” shall mean, as of any date of determination, the sum of the amounts that would appear on a consolidated balance sheet of Parent and its consolidated Restricted Subsidiaries as the total assets of Parent and its Restricted Subsidiaries in accordance with GAAP.</w:t>
      </w:r>
    </w:p>
    <w:p>
      <w:pPr>
        <w:spacing w:after="0" w:line="16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Convertible Indebtedness</w:t>
      </w:r>
      <w:r>
        <w:rPr>
          <w:rFonts w:ascii="Times New Roman" w:cs="Times New Roman" w:eastAsia="Times New Roman" w:hAnsi="Times New Roman"/>
          <w:sz w:val="22"/>
          <w:szCs w:val="22"/>
          <w:color w:val="auto"/>
        </w:rPr>
        <w:t>” shall mean Indebtedness of Parent or a Restricted Subsidiary of Parent permitted to be incurred under the terms of this Agreement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w:t>
      </w:r>
    </w:p>
    <w:p>
      <w:pPr>
        <w:spacing w:after="0" w:line="175"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Core Collateral</w:t>
      </w:r>
      <w:r>
        <w:rPr>
          <w:rFonts w:ascii="Times New Roman" w:cs="Times New Roman" w:eastAsia="Times New Roman" w:hAnsi="Times New Roman"/>
          <w:sz w:val="22"/>
          <w:szCs w:val="22"/>
          <w:color w:val="auto"/>
        </w:rPr>
        <w:t>” shall mean any of the following categories of assets, in each case, for which Appraisals have been delivered to the Administrative Agent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98" w:lineRule="exact"/>
        <w:rPr>
          <w:sz w:val="20"/>
          <w:szCs w:val="20"/>
          <w:color w:val="auto"/>
        </w:rPr>
      </w:pPr>
    </w:p>
    <w:p>
      <w:pPr>
        <w:ind w:firstLine="1304"/>
        <w:spacing w:after="0" w:line="271" w:lineRule="auto"/>
        <w:tabs>
          <w:tab w:leader="none" w:pos="1860"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Spare Parts owned by the Borrower other than Spare Parts of the Borrower with an aggregate Appraised Value less than or equal to $100 million;</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0"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number of FAA Slots (other than any Temporary Slots) held by the Borrower at DCA that is not less than the sum of (1) the product of (I) 66% and (II) the total number of FAA Slots (other than any Temporary Slots) that are Mainline Slots held by the Borrower at DCA and (2) the product of (I) 66% and (II) the total number of FAA Slots (other than any Temporary Slots) that are Commuter Slots held by the Borrower at DCA, in each case, as of the Third Amendment Effective Date based on an Officer’s Certificate of the Borrower delivered to the Administrative Agent on the Third Amendment Effective Date or such later time as the Administrative Agent may agree;</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2"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number of FAA Slots (other than any Temporary Slots) held by the Borrower at LGA that is not less than the product of (I) 66% and (II) the total number of FAA Slots (other than any Temporary Slots) held by the Borrower at LGA as of the Third Amendment Effective Date based on an Officer’s Certificate of the Borrower delivered to the Administrative Agent on the Third Amendment Effective Date or such later time as the Administrative Agent may agree;</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9"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number of FAA Slots (other than any Temporary Slots) held by the Borrower at JFK that is not less than to the product of (I) 66% and (II) the total number of FAA Slots (other than any Temporary Slots) held by the Borrower at JFK as of the Third Amendment Effective Date based on an Officer’s Certificate of the Borrower delivered to the Administrative Agent on the Third Amendment Effective Date or such later time as the Administrative Agent may agree;</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1"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 number of Foreign Slots (other than any Temporary Slots) of the Borrower at airports in Asia that is not less than the product of (I) 90% and (II) the total number of Foreign Slots (other than any Temporary Slots) of the Borrower used in any non-stop scheduled service of the Borrower between airports in the United States and airports in Asia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Asia;</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43"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w:t>
      </w:r>
    </w:p>
    <w:p>
      <w:pPr>
        <w:spacing w:after="0" w:line="180" w:lineRule="exact"/>
        <w:rPr>
          <w:rFonts w:ascii="Times New Roman" w:cs="Times New Roman" w:eastAsia="Times New Roman" w:hAnsi="Times New Roman"/>
          <w:sz w:val="22"/>
          <w:szCs w:val="22"/>
          <w:color w:val="auto"/>
        </w:rPr>
      </w:pPr>
    </w:p>
    <w:p>
      <w:pPr>
        <w:jc w:val="both"/>
        <w:ind w:firstLine="1304"/>
        <w:spacing w:after="0" w:line="272" w:lineRule="auto"/>
        <w:tabs>
          <w:tab w:leader="none" w:pos="1900"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a number of Foreign Slots (other than any Temporary Slots) of the Borrower at airports in Central America and Mexico that is not less than the product of (I) 90% and (II) the total number of Foreign Slots (other than any Temporary Slots) of the Borrower used in any non-stop scheduled service of the Borrower between airports in the United States and airports in Central America and Mexico and (2) all of the Route Authorities and Foreign Gate Leaseholds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Foreign Gate Leaseholds subject to Transfer Restrictions of the type specified in clause (1)(x) of the proviso to Section 1 of the SGR Security Agreement) of the Borrower used in any non-stop scheduled service of the Borrower between airports in the United States and airports in Central America and Mexico;</w:t>
      </w:r>
    </w:p>
    <w:p>
      <w:pPr>
        <w:spacing w:after="0" w:line="186" w:lineRule="exact"/>
        <w:rPr>
          <w:sz w:val="20"/>
          <w:szCs w:val="20"/>
          <w:color w:val="auto"/>
        </w:rPr>
      </w:pPr>
    </w:p>
    <w:p>
      <w:pPr>
        <w:jc w:val="both"/>
        <w:ind w:firstLine="1304"/>
        <w:spacing w:after="0" w:line="249" w:lineRule="auto"/>
        <w:tabs>
          <w:tab w:leader="none" w:pos="178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number of Foreign Slots (other than any Temporary Slots) of the Borrower at LHR that is not less than the product of (I) 66% and (II) (x) during the IATA summer season, the total number of IATA summer season Foreign Slots (other than any Temporary Slots) of the Borrower at LHR that are IATA summer season Foreign Slots used in any non-stop scheduled service of the Borrower between airports in the United States and LHR or (y) during the IATA winter season, the total number of IATA winter season Foreign Slots (other than any Temporary Slots) of the Borrower at LHR that are IATA winter season Foreign Slots used in any non-stop scheduled service of the Borrower between airports in the United States and LHR, in each case as of the Third Amendment Effective Date based on an Officer’s Certificate of the Borrower delivered to the Administrative Agent on the Third Amendment Effective Date or such later time as the Administrative Agent may agree; or</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3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Airbus A320 NEO family aircraft, Airbus 320 family aircraft, Airbus A330 family aircraft, Airbus A350 family aircraft, Boeing 737 NG family aircraft, Boeing 737 MAX family aircraft, Boeing 777 family aircraft, Boeing 787 family aircraft and/or any engines, or any combination of the foregoing assets, in each case, the Appraised Value of which is not less than the product of (i) 20% and (ii) of the product of (x) 1.6 and (y) the Total Obligations as of any date of determination; provided, that all such aircraft or engines are of the type described in Section 1110 of the Bankruptcy Code or any analogous successor provision of the Bankruptcy Code.</w:t>
      </w:r>
    </w:p>
    <w:p>
      <w:pPr>
        <w:spacing w:after="0" w:line="17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Core Collateral Failure</w:t>
      </w:r>
      <w:r>
        <w:rPr>
          <w:rFonts w:ascii="Times New Roman" w:cs="Times New Roman" w:eastAsia="Times New Roman" w:hAnsi="Times New Roman"/>
          <w:sz w:val="22"/>
          <w:szCs w:val="22"/>
          <w:color w:val="auto"/>
        </w:rPr>
        <w:t>” shall mean, as of any date of determination, the failure of the Collateral to include at least one category of Core Collateral as of such date.</w:t>
      </w:r>
    </w:p>
    <w:p>
      <w:pPr>
        <w:spacing w:after="0" w:line="16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Credit Facilities</w:t>
      </w:r>
      <w:r>
        <w:rPr>
          <w:rFonts w:ascii="Times New Roman" w:cs="Times New Roman" w:eastAsia="Times New Roman" w:hAnsi="Times New Roman"/>
          <w:sz w:val="22"/>
          <w:szCs w:val="22"/>
          <w:color w:val="auto"/>
        </w:rPr>
        <w:t>”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DCA</w:t>
      </w:r>
      <w:r>
        <w:rPr>
          <w:rFonts w:ascii="Times New Roman" w:cs="Times New Roman" w:eastAsia="Times New Roman" w:hAnsi="Times New Roman"/>
          <w:sz w:val="22"/>
          <w:szCs w:val="22"/>
          <w:color w:val="auto"/>
        </w:rPr>
        <w:t>” shall mean Ronald Reagan Washington National Airport, Washington D.C.</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shall mean any event that, unless cured or waived, is, or with the passage of time or the giving of notice or both would be, an Event of Default.</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Defaulting Lender</w:t>
      </w:r>
      <w:r>
        <w:rPr>
          <w:rFonts w:ascii="Times New Roman" w:cs="Times New Roman" w:eastAsia="Times New Roman" w:hAnsi="Times New Roman"/>
          <w:sz w:val="22"/>
          <w:szCs w:val="22"/>
          <w:color w:val="auto"/>
        </w:rPr>
        <w:t>” shall mean, at any time, subject to Section 2.26(i) (a) any Lender (including any Agent in its capacity as Lender) that has failed, within two (2) Business Days from the date required to be funded or paid by it hereunder, to fund or pay (x) any portion of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w:t>
      </w:r>
    </w:p>
    <w:p>
      <w:pPr>
        <w:spacing w:after="0" w:line="2" w:lineRule="exact"/>
        <w:rPr>
          <w:sz w:val="20"/>
          <w:szCs w:val="20"/>
          <w:color w:val="auto"/>
        </w:rPr>
      </w:pPr>
    </w:p>
    <w:p>
      <w:pPr>
        <w:jc w:val="both"/>
        <w:ind w:firstLine="8"/>
        <w:spacing w:after="0" w:line="246" w:lineRule="auto"/>
        <w:tabs>
          <w:tab w:leader="none" w:pos="279"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under this Agreement (unless such notification or public statement relates to such Lender’s obligation to fund a Borrowing hereunder and states that such position is based on such Lender’s determination that a condition precedent to funding (which condition precedent,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Borrowers or (d) any Agent or any Lender that has become, or has had its Parent Company become, (i) the subject of a Bankruptcy Event or (ii)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2.26(i)) upon notification of such determination by the Administrative Agent to the Borrower and the Lenders.</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Banking Product Agreement</w:t>
      </w:r>
      <w:r>
        <w:rPr>
          <w:rFonts w:ascii="Times New Roman" w:cs="Times New Roman" w:eastAsia="Times New Roman" w:hAnsi="Times New Roman"/>
          <w:sz w:val="21"/>
          <w:szCs w:val="21"/>
          <w:color w:val="auto"/>
        </w:rPr>
        <w:t xml:space="preserve">” shall mean any agreement evidencing Designated Banking Product Obligations entered into by Parent or the Borrower and any Person that, at the time such Person entered into such agreement, was a Revolving Lender or a banking Affiliate of a Revolving Lender, in each case designated by the relevant Lender and Parent or the Borrower, by written notice to the Administrative Agent, as a “Designated Banking Product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any Revolving Lender is a Defaulting Lender, such Revolving Lender shall not have any rights hereunder with respect to any Designated Banking Product Agreement entered into while such Revolving Lender was a Defaulting Lender.</w:t>
      </w:r>
    </w:p>
    <w:p>
      <w:pPr>
        <w:spacing w:after="0" w:line="16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Banking Product Obligations</w:t>
      </w:r>
      <w:r>
        <w:rPr>
          <w:rFonts w:ascii="Times New Roman" w:cs="Times New Roman" w:eastAsia="Times New Roman" w:hAnsi="Times New Roman"/>
          <w:sz w:val="22"/>
          <w:szCs w:val="22"/>
          <w:color w:val="auto"/>
        </w:rPr>
        <w:t>” shall mean any Banking Product Obligations, in each case as designated by any Revolving Lender (or a banking Affiliate thereof) and Parent or the Borrower from time to time and agreed to by the Administrative Agent as constituting “Designated Banking Product Obligations,” which notice shall include (i) a copy of 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providing an agreed-upon maximum amount of Designated Banking Product Obligations that can be included as Obligations, and</w:t>
      </w:r>
    </w:p>
    <w:p>
      <w:pPr>
        <w:spacing w:after="0" w:line="39" w:lineRule="exact"/>
        <w:rPr>
          <w:sz w:val="20"/>
          <w:szCs w:val="20"/>
          <w:color w:val="auto"/>
        </w:rPr>
      </w:pPr>
    </w:p>
    <w:p>
      <w:pPr>
        <w:jc w:val="both"/>
        <w:ind w:firstLine="8"/>
        <w:spacing w:after="0" w:line="247" w:lineRule="auto"/>
        <w:tabs>
          <w:tab w:leader="none" w:pos="327"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acknowledgment of such Revolving Lender (or such banking Affiliate) that its security interest in the Collateral securing such Designated Banking Product Obligations shall be subject to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Hedging Agreement</w:t>
      </w:r>
      <w:r>
        <w:rPr>
          <w:rFonts w:ascii="Times New Roman" w:cs="Times New Roman" w:eastAsia="Times New Roman" w:hAnsi="Times New Roman"/>
          <w:sz w:val="21"/>
          <w:szCs w:val="21"/>
          <w:color w:val="auto"/>
        </w:rPr>
        <w:t xml:space="preserve">” shall mean any Hedging Agreement entered into by Parent or the Borrower and any Person that, at the time such Person entered into such Hedging Agreement, was a Revolving Lender or an Affiliate of a Revolving Lender, as designated by the relevant Lender (or Affiliate of a Lender) and Parent or the Borrower, by written notice to the Administrative Agent, as a “Designated Hedging Agreement,” which notice shall include a copy of an agreement providing for (i) a methodology agreed to by Parent or the Borrower, such Revolving Lender or Affiliate of a Revolving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Revolving Lender or Affiliate of a Revolving Lender that its security interest in the Collateral securing such Designated Hedging Obligations shall be subject to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giving effect to such designation, the aggregate agreed-upon maximum amount of all “Designated Hedging Obligations” included as Obligations, together with the aggregate agreed-upon maximum amount of all “Designated Banking Product Obligations” included as Obligations, shall not exceed $100,000,000 in the aggregate;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so long as any Revolving Lender is a Defaulting Lender, such Revolving Lender shall not have any rights hereunder with respect to any Designated Hedging Agreement entered into while such Revolving Lender was a Defaulting Lender.</w:t>
      </w:r>
    </w:p>
    <w:p>
      <w:pPr>
        <w:spacing w:after="0" w:line="171"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Hedging Obligations</w:t>
      </w:r>
      <w:r>
        <w:rPr>
          <w:rFonts w:ascii="Times New Roman" w:cs="Times New Roman" w:eastAsia="Times New Roman" w:hAnsi="Times New Roman"/>
          <w:sz w:val="21"/>
          <w:szCs w:val="21"/>
          <w:color w:val="auto"/>
        </w:rPr>
        <w:t>”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Disposition</w:t>
      </w:r>
      <w:r>
        <w:rPr>
          <w:rFonts w:ascii="Times New Roman" w:cs="Times New Roman" w:eastAsia="Times New Roman" w:hAnsi="Times New Roman"/>
          <w:sz w:val="22"/>
          <w:szCs w:val="22"/>
          <w:color w:val="auto"/>
        </w:rPr>
        <w:t xml:space="preserve">” shall mean, with respect to any property, any sale, lease, sale and leaseback, conveyance, transfer or other disposition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none of the circumstances described in the last sentence of Section 6.04 shall constitute a “Disposition”. The terms “Dispose” and “Disposed of” shall have correlative meanings.</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Institution</w:t>
      </w:r>
      <w:r>
        <w:rPr>
          <w:rFonts w:ascii="Times New Roman" w:cs="Times New Roman" w:eastAsia="Times New Roman" w:hAnsi="Times New Roman"/>
          <w:sz w:val="22"/>
          <w:szCs w:val="22"/>
          <w:color w:val="auto"/>
        </w:rPr>
        <w:t>” shall mean (a) any Person identified in writing to the Joint Lead Arrangers and Bookrunners on or prior to September 10, 2014 and (b) any Person that 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becomes a competitor of the Borrower and is designated by the Borrower as such in a writing provided to the Administrative Agent after September 10, 2014.</w:t>
      </w:r>
    </w:p>
    <w:p>
      <w:pPr>
        <w:spacing w:after="0" w:line="15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Stock</w:t>
      </w:r>
      <w:r>
        <w:rPr>
          <w:rFonts w:ascii="Times New Roman" w:cs="Times New Roman" w:eastAsia="Times New Roman" w:hAnsi="Times New Roman"/>
          <w:sz w:val="22"/>
          <w:szCs w:val="22"/>
          <w:color w:val="auto"/>
        </w:rPr>
        <w:t>”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Documentation Agents</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shall mean lawful money of the United States.</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Subsidiary</w:t>
      </w:r>
      <w:r>
        <w:rPr>
          <w:rFonts w:ascii="Times New Roman" w:cs="Times New Roman" w:eastAsia="Times New Roman" w:hAnsi="Times New Roman"/>
          <w:sz w:val="22"/>
          <w:szCs w:val="22"/>
          <w:color w:val="auto"/>
        </w:rPr>
        <w:t>”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DOT</w:t>
      </w:r>
      <w:r>
        <w:rPr>
          <w:rFonts w:ascii="Times New Roman" w:cs="Times New Roman" w:eastAsia="Times New Roman" w:hAnsi="Times New Roman"/>
          <w:sz w:val="22"/>
          <w:szCs w:val="22"/>
          <w:color w:val="auto"/>
        </w:rPr>
        <w:t>” shall mean the United States Department of Transportation and any successor thereto.</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Dutch Auction</w:t>
      </w:r>
      <w:r>
        <w:rPr>
          <w:rFonts w:ascii="Times New Roman" w:cs="Times New Roman" w:eastAsia="Times New Roman" w:hAnsi="Times New Roman"/>
          <w:sz w:val="22"/>
          <w:szCs w:val="22"/>
          <w:color w:val="auto"/>
        </w:rPr>
        <w:t>” shall mean an auction of Term Loans conducted pursuant to Section 10.02(g) to allow the Borrower to purchase Term Loans at a discount to par value and on a non-pro rata basis, in each case in accordance with the applicable Dutch Auction Procedures.</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Dutch Auction Procedures</w:t>
      </w:r>
      <w:r>
        <w:rPr>
          <w:rFonts w:ascii="Times New Roman" w:cs="Times New Roman" w:eastAsia="Times New Roman" w:hAnsi="Times New Roman"/>
          <w:sz w:val="22"/>
          <w:szCs w:val="22"/>
          <w:color w:val="auto"/>
        </w:rPr>
        <w:t>” shall mean, with respect to a purchase of Term Loans by the Borrower pursuant to Section 10.02(g), Dutch auction procedures to be reasonably agreed upon by the Borrower and the Administrative Agent in connection with any such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9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Eighth Amendment</w:t>
      </w:r>
      <w:r>
        <w:rPr>
          <w:rFonts w:ascii="Times New Roman" w:cs="Times New Roman" w:eastAsia="Times New Roman" w:hAnsi="Times New Roman"/>
          <w:sz w:val="22"/>
          <w:szCs w:val="22"/>
          <w:color w:val="auto"/>
        </w:rPr>
        <w:t>” shall mean the Eighth Amendment to First Amended and Restated Credit and Guaranty Agreement, dated as of January 29, 2020, by and among Parent, the Borrower, the Administrative Agent, the 2020 Replacement Term Lenders, the 2020 Incremental Term Loan Lender and Citibank, N.A., in its capacity as the designated Lender of 2020 Replacement Term Loans.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Eighth Amendment Effective Date</w:t>
      </w:r>
      <w:r>
        <w:rPr>
          <w:rFonts w:ascii="Times New Roman" w:cs="Times New Roman" w:eastAsia="Times New Roman" w:hAnsi="Times New Roman"/>
          <w:sz w:val="22"/>
          <w:szCs w:val="22"/>
          <w:color w:val="auto"/>
        </w:rPr>
        <w:t>” shall have the meaning provided in the Eighth Amendment.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Eligible Assignee</w:t>
      </w:r>
      <w:r>
        <w:rPr>
          <w:rFonts w:ascii="Times New Roman" w:cs="Times New Roman" w:eastAsia="Times New Roman" w:hAnsi="Times New Roman"/>
          <w:sz w:val="21"/>
          <w:szCs w:val="21"/>
          <w:color w:val="auto"/>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assignment of Revolving Commitments, such Affiliate has total assets in excess of $200,000,000, (d) an Approved Fund of any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financial institution has total assets in excess of $200,000,000, and</w:t>
      </w:r>
    </w:p>
    <w:p>
      <w:pPr>
        <w:spacing w:after="0" w:line="7" w:lineRule="exact"/>
        <w:rPr>
          <w:sz w:val="20"/>
          <w:szCs w:val="20"/>
          <w:color w:val="auto"/>
        </w:rPr>
      </w:pPr>
    </w:p>
    <w:p>
      <w:pPr>
        <w:jc w:val="both"/>
        <w:ind w:firstLine="8"/>
        <w:spacing w:after="0" w:line="246" w:lineRule="auto"/>
        <w:tabs>
          <w:tab w:leader="none" w:pos="353"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has occurred and is continuing, no Disqualified Institution shall constitute an Eligible Assignee unless otherwise consented to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as provided in clause (f) above, neither Parent nor any Subsidiary of the Parent shall constitute an Eligible Assignee.</w:t>
      </w:r>
    </w:p>
    <w:p>
      <w:pPr>
        <w:spacing w:after="0" w:line="196"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Environmental Laws</w:t>
      </w:r>
      <w:r>
        <w:rPr>
          <w:rFonts w:ascii="Times New Roman" w:cs="Times New Roman" w:eastAsia="Times New Roman" w:hAnsi="Times New Roman"/>
          <w:sz w:val="21"/>
          <w:szCs w:val="21"/>
          <w:color w:val="auto"/>
        </w:rPr>
        <w:t>”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handling, treatment, storage, disposal, Release or threatened Release of, or the exposure of any Person (including employees) to, any Hazardous Materials.</w:t>
      </w:r>
    </w:p>
    <w:p>
      <w:pPr>
        <w:spacing w:after="0" w:line="154"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shall mean any liability (including any liability for damages, natural resource damage, costs of environmental investigation, remediation or monitoring or costs, fines or penalties) resulting from or based upon</w:t>
      </w:r>
    </w:p>
    <w:p>
      <w:pPr>
        <w:jc w:val="both"/>
        <w:ind w:firstLine="8"/>
        <w:spacing w:after="0" w:line="245" w:lineRule="auto"/>
        <w:tabs>
          <w:tab w:leader="none" w:pos="32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w:t>
      </w:r>
    </w:p>
    <w:p>
      <w:pPr>
        <w:spacing w:after="0" w:line="19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shall mean Capital Stock and all warrants, options or other rights to acquire Capital Stock (but excluding any debt security that is convertible into, or exchangeable for, Capital Stock).</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shall mean the Employee Retirement Income Security Act of 1974, as amended from time to time, and the regulations promulgated thereunder.</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Affiliate</w:t>
      </w:r>
      <w:r>
        <w:rPr>
          <w:rFonts w:ascii="Times New Roman" w:cs="Times New Roman" w:eastAsia="Times New Roman" w:hAnsi="Times New Roman"/>
          <w:sz w:val="22"/>
          <w:szCs w:val="22"/>
          <w:color w:val="auto"/>
        </w:rPr>
        <w:t>”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w:t>
      </w:r>
      <w:r>
        <w:rPr>
          <w:rFonts w:ascii="Times New Roman" w:cs="Times New Roman" w:eastAsia="Times New Roman" w:hAnsi="Times New Roman"/>
          <w:sz w:val="22"/>
          <w:szCs w:val="22"/>
          <w:color w:val="auto"/>
        </w:rPr>
        <w:t>” has the meaning assigned to it in Section 8.12(a).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Deficiency Assignment</w:t>
      </w:r>
      <w:r>
        <w:rPr>
          <w:rFonts w:ascii="Times New Roman" w:cs="Times New Roman" w:eastAsia="Times New Roman" w:hAnsi="Times New Roman"/>
          <w:sz w:val="22"/>
          <w:szCs w:val="22"/>
          <w:color w:val="auto"/>
        </w:rPr>
        <w:t>” has the meaning assigned to it in Section 8.12(d)(i).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Impacted Class</w:t>
      </w:r>
      <w:r>
        <w:rPr>
          <w:rFonts w:ascii="Times New Roman" w:cs="Times New Roman" w:eastAsia="Times New Roman" w:hAnsi="Times New Roman"/>
          <w:sz w:val="22"/>
          <w:szCs w:val="22"/>
          <w:color w:val="auto"/>
        </w:rPr>
        <w:t>” has the meaning assigned to it in Section 8.12(d)(i).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Return Deficiency</w:t>
      </w:r>
      <w:r>
        <w:rPr>
          <w:rFonts w:ascii="Times New Roman" w:cs="Times New Roman" w:eastAsia="Times New Roman" w:hAnsi="Times New Roman"/>
          <w:sz w:val="22"/>
          <w:szCs w:val="22"/>
          <w:color w:val="auto"/>
        </w:rPr>
        <w:t>” has the meaning assigned to it in Section 8.12(d)(i).</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Subrogation Rights</w:t>
      </w:r>
      <w:r>
        <w:rPr>
          <w:rFonts w:ascii="Times New Roman" w:cs="Times New Roman" w:eastAsia="Times New Roman" w:hAnsi="Times New Roman"/>
          <w:sz w:val="22"/>
          <w:szCs w:val="22"/>
          <w:color w:val="auto"/>
        </w:rPr>
        <w:t>” has the meaning assigned to it in Section 8.12(e).</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Escrow Accounts</w:t>
      </w:r>
      <w:r>
        <w:rPr>
          <w:rFonts w:ascii="Times New Roman" w:cs="Times New Roman" w:eastAsia="Times New Roman" w:hAnsi="Times New Roman"/>
          <w:sz w:val="22"/>
          <w:szCs w:val="22"/>
          <w:color w:val="auto"/>
        </w:rPr>
        <w:t>”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 (f) 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w:t>
      </w:r>
    </w:p>
    <w:p>
      <w:pPr>
        <w:spacing w:after="0" w:line="176"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shall have the meaning set forth in Section 7.01.</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Cash Flow</w:t>
      </w:r>
      <w:r>
        <w:rPr>
          <w:rFonts w:ascii="Times New Roman" w:cs="Times New Roman" w:eastAsia="Times New Roman" w:hAnsi="Times New Roman"/>
          <w:sz w:val="22"/>
          <w:szCs w:val="22"/>
          <w:color w:val="auto"/>
        </w:rPr>
        <w:t>”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Contributions</w:t>
      </w:r>
      <w:r>
        <w:rPr>
          <w:rFonts w:ascii="Times New Roman" w:cs="Times New Roman" w:eastAsia="Times New Roman" w:hAnsi="Times New Roman"/>
          <w:sz w:val="22"/>
          <w:szCs w:val="22"/>
          <w:color w:val="auto"/>
        </w:rPr>
        <w:t>” shall mean net cash proceeds received by Parent after the Closing Date from:</w:t>
      </w:r>
    </w:p>
    <w:p>
      <w:pPr>
        <w:spacing w:after="0" w:line="224" w:lineRule="exact"/>
        <w:rPr>
          <w:sz w:val="20"/>
          <w:szCs w:val="20"/>
          <w:color w:val="auto"/>
        </w:rPr>
      </w:pPr>
    </w:p>
    <w:p>
      <w:pPr>
        <w:ind w:left="1780" w:hanging="476"/>
        <w:spacing w:after="0"/>
        <w:tabs>
          <w:tab w:leader="none" w:pos="1780"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to its common equity capital (other than from any Subsidiary); or</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79"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(other than to a Subsidiary or to any management equity plan or stock option plan or any other management or employee benefit plan or agreement of Parent or any Subsidiary) of Qualifying Equity Interests,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Information</w:t>
      </w:r>
      <w:r>
        <w:rPr>
          <w:rFonts w:ascii="Times New Roman" w:cs="Times New Roman" w:eastAsia="Times New Roman" w:hAnsi="Times New Roman"/>
          <w:sz w:val="22"/>
          <w:szCs w:val="22"/>
          <w:color w:val="auto"/>
        </w:rPr>
        <w:t>” shall have the meaning set forth in Section 10.02(g).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9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Subsidiary</w:t>
      </w:r>
      <w:r>
        <w:rPr>
          <w:rFonts w:ascii="Times New Roman" w:cs="Times New Roman" w:eastAsia="Times New Roman" w:hAnsi="Times New Roman"/>
          <w:sz w:val="22"/>
          <w:szCs w:val="22"/>
          <w:color w:val="auto"/>
        </w:rPr>
        <w:t>”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(9) AWHQ LLC or (10) US Airways Company Store LLC.</w:t>
      </w:r>
    </w:p>
    <w:p>
      <w:pPr>
        <w:spacing w:after="0" w:line="17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Swap Obligation</w:t>
      </w:r>
      <w:r>
        <w:rPr>
          <w:rFonts w:ascii="Times New Roman" w:cs="Times New Roman" w:eastAsia="Times New Roman" w:hAnsi="Times New Roman"/>
          <w:sz w:val="21"/>
          <w:szCs w:val="21"/>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Taxes</w:t>
      </w:r>
      <w:r>
        <w:rPr>
          <w:rFonts w:ascii="Times New Roman" w:cs="Times New Roman" w:eastAsia="Times New Roman" w:hAnsi="Times New Roman"/>
          <w:sz w:val="21"/>
          <w:szCs w:val="21"/>
          <w:color w:val="auto"/>
        </w:rPr>
        <w:t>”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 (i) imposed by the United States or any political subdivision thereof or by the jurisdiction under the laws of which such recipient is organized or in which its principal office is located or, in the case of any Lender, in which its applicable lending office is located or (ii) 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w:t>
      </w:r>
    </w:p>
    <w:p>
      <w:pPr>
        <w:spacing w:after="0" w:line="17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Indebtedness</w:t>
      </w:r>
      <w:r>
        <w:rPr>
          <w:rFonts w:ascii="Times New Roman" w:cs="Times New Roman" w:eastAsia="Times New Roman" w:hAnsi="Times New Roman"/>
          <w:sz w:val="22"/>
          <w:szCs w:val="22"/>
          <w:color w:val="auto"/>
        </w:rPr>
        <w:t>” shall mean all Indebtedness of Parent and its Subsidiaries in existence on the Closing Date, until such amounts are repaid.</w:t>
      </w:r>
    </w:p>
    <w:p>
      <w:pPr>
        <w:spacing w:after="0" w:line="135"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b w:val="1"/>
          <w:bCs w:val="1"/>
          <w:i w:val="1"/>
          <w:iCs w:val="1"/>
          <w:color w:val="FF0000"/>
          <w:strike w:val="1"/>
        </w:rPr>
        <w:t>Existing Revolving Commitment</w:t>
      </w:r>
      <w:r>
        <w:rPr>
          <w:rFonts w:ascii="Times New Roman" w:cs="Times New Roman" w:eastAsia="Times New Roman" w:hAnsi="Times New Roman"/>
          <w:sz w:val="22"/>
          <w:szCs w:val="22"/>
          <w:b w:val="1"/>
          <w:bCs w:val="1"/>
          <w:color w:val="FF0000"/>
          <w:strike w:val="1"/>
        </w:rPr>
        <w:t>” means, with respect to any Lender, its Revolving Commitments in an aggregate amount set forth under “Existing Revolving Commitment” opposite its name in Annex A.</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Revolving Commitment</w:t>
      </w:r>
      <w:r>
        <w:rPr>
          <w:rFonts w:ascii="Times New Roman" w:cs="Times New Roman" w:eastAsia="Times New Roman" w:hAnsi="Times New Roman"/>
          <w:sz w:val="22"/>
          <w:szCs w:val="22"/>
          <w:color w:val="auto"/>
        </w:rPr>
        <w:t>” shall have the meaning set forth in Section 2.28(b)(ii).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Term Loan</w:t>
      </w:r>
      <w:r>
        <w:rPr>
          <w:rFonts w:ascii="Times New Roman" w:cs="Times New Roman" w:eastAsia="Times New Roman" w:hAnsi="Times New Roman"/>
          <w:sz w:val="22"/>
          <w:szCs w:val="22"/>
          <w:color w:val="auto"/>
        </w:rPr>
        <w:t>” shall have the meaning set forth in Section 2.28(a)(ii).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w:t>
      </w:r>
      <w:r>
        <w:rPr>
          <w:rFonts w:ascii="Times New Roman" w:cs="Times New Roman" w:eastAsia="Times New Roman" w:hAnsi="Times New Roman"/>
          <w:sz w:val="22"/>
          <w:szCs w:val="22"/>
          <w:color w:val="auto"/>
        </w:rPr>
        <w:t>” shall mean a Term Loan Extension or a Revolver Extension, as the case may be.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Amendment</w:t>
      </w:r>
      <w:r>
        <w:rPr>
          <w:rFonts w:ascii="Times New Roman" w:cs="Times New Roman" w:eastAsia="Times New Roman" w:hAnsi="Times New Roman"/>
          <w:sz w:val="22"/>
          <w:szCs w:val="22"/>
          <w:color w:val="auto"/>
        </w:rPr>
        <w:t>” shall have the meaning set forth in Section 2.28(d).</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 Credit</w:t>
      </w:r>
      <w:r>
        <w:rPr>
          <w:rFonts w:ascii="Times New Roman" w:cs="Times New Roman" w:eastAsia="Times New Roman" w:hAnsi="Times New Roman"/>
          <w:sz w:val="22"/>
          <w:szCs w:val="22"/>
          <w:color w:val="auto"/>
        </w:rPr>
        <w:t>” shall mean, as to any Lender, the making of a Loan, or the issuance of, or participation in, a Letter of Credit by such Lender.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Offer</w:t>
      </w:r>
      <w:r>
        <w:rPr>
          <w:rFonts w:ascii="Times New Roman" w:cs="Times New Roman" w:eastAsia="Times New Roman" w:hAnsi="Times New Roman"/>
          <w:sz w:val="22"/>
          <w:szCs w:val="22"/>
          <w:color w:val="auto"/>
        </w:rPr>
        <w:t>” shall mean a Term Loan Extension Offer or a Revolver Extension Offer, as the case may be.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w:t>
      </w:r>
      <w:r>
        <w:rPr>
          <w:rFonts w:ascii="Times New Roman" w:cs="Times New Roman" w:eastAsia="Times New Roman" w:hAnsi="Times New Roman"/>
          <w:sz w:val="22"/>
          <w:szCs w:val="22"/>
          <w:color w:val="auto"/>
        </w:rPr>
        <w:t>” shall mean the Federal Aviation Administration of the United States and any successor thereto.</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 Route Slot</w:t>
      </w:r>
      <w:r>
        <w:rPr>
          <w:rFonts w:ascii="Times New Roman" w:cs="Times New Roman" w:eastAsia="Times New Roman" w:hAnsi="Times New Roman"/>
          <w:sz w:val="22"/>
          <w:szCs w:val="22"/>
          <w:color w:val="auto"/>
        </w:rPr>
        <w:t>”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 Slot</w:t>
      </w:r>
      <w:r>
        <w:rPr>
          <w:rFonts w:ascii="Times New Roman" w:cs="Times New Roman" w:eastAsia="Times New Roman" w:hAnsi="Times New Roman"/>
          <w:sz w:val="22"/>
          <w:szCs w:val="22"/>
          <w:color w:val="auto"/>
        </w:rPr>
        <w:t>”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whether pursuant to FAA or DOT regulations or orders pursuant to Title 14, Title 49 or other federal statutes or regulations now or hereinafter in effect.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 shall mean each of the Revolving Facility and the Term Loan Facility.</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Fair Market Value</w:t>
      </w:r>
      <w:r>
        <w:rPr>
          <w:rFonts w:ascii="Times New Roman" w:cs="Times New Roman" w:eastAsia="Times New Roman" w:hAnsi="Times New Roman"/>
          <w:sz w:val="22"/>
          <w:szCs w:val="22"/>
          <w:color w:val="auto"/>
        </w:rPr>
        <w:t xml:space="preserve">”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FASB</w:t>
      </w:r>
      <w:r>
        <w:rPr>
          <w:rFonts w:ascii="Times New Roman" w:cs="Times New Roman" w:eastAsia="Times New Roman" w:hAnsi="Times New Roman"/>
          <w:sz w:val="22"/>
          <w:szCs w:val="22"/>
          <w:color w:val="auto"/>
        </w:rPr>
        <w:t>” shall mean the Financial Accounting Standards Board.</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Funds Effective Rate</w:t>
      </w:r>
      <w:r>
        <w:rPr>
          <w:rFonts w:ascii="Times New Roman" w:cs="Times New Roman" w:eastAsia="Times New Roman" w:hAnsi="Times New Roman"/>
          <w:sz w:val="22"/>
          <w:szCs w:val="22"/>
          <w:color w:val="auto"/>
        </w:rPr>
        <w:t xml:space="preserve">”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Federal Funds Effective Rate shall be less than zero, such rate shall be deemed to be zero for purposes of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Letters</w:t>
      </w:r>
      <w:r>
        <w:rPr>
          <w:rFonts w:ascii="Times New Roman" w:cs="Times New Roman" w:eastAsia="Times New Roman" w:hAnsi="Times New Roman"/>
          <w:sz w:val="22"/>
          <w:szCs w:val="22"/>
          <w:color w:val="auto"/>
        </w:rPr>
        <w:t>” shall mean the Administrative Agent Fee Letter and the Joint Lead Arranger Fee Letter.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Fees</w:t>
      </w:r>
      <w:r>
        <w:rPr>
          <w:rFonts w:ascii="Times New Roman" w:cs="Times New Roman" w:eastAsia="Times New Roman" w:hAnsi="Times New Roman"/>
          <w:sz w:val="22"/>
          <w:szCs w:val="22"/>
          <w:color w:val="auto"/>
        </w:rPr>
        <w:t>” shall collectively mean the Commitment Fees, the Letter of Credit Fees and other fees referred to 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2.19.</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First Amendment and Restatement Agreement</w:t>
      </w:r>
      <w:r>
        <w:rPr>
          <w:rFonts w:ascii="Times New Roman" w:cs="Times New Roman" w:eastAsia="Times New Roman" w:hAnsi="Times New Roman"/>
          <w:sz w:val="22"/>
          <w:szCs w:val="22"/>
          <w:color w:val="auto"/>
        </w:rPr>
        <w:t>” shall mean the First Amendment and Restatement Agreement, dated as of April 20, 2015, by and among the Borrower, the Guarantors, the Administrative Agent, the Collateral Agent, the Revolving Lenders and the Lenders party thereto.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Fixed Charges</w:t>
      </w:r>
      <w:r>
        <w:rPr>
          <w:rFonts w:ascii="Times New Roman" w:cs="Times New Roman" w:eastAsia="Times New Roman" w:hAnsi="Times New Roman"/>
          <w:sz w:val="21"/>
          <w:szCs w:val="21"/>
          <w:color w:val="auto"/>
        </w:rPr>
        <w:t>” shall mean, with respect to any specified Person for any period, the sum, without duplication,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98" w:lineRule="exact"/>
        <w:rPr>
          <w:sz w:val="20"/>
          <w:szCs w:val="20"/>
          <w:color w:val="auto"/>
        </w:rPr>
      </w:pPr>
    </w:p>
    <w:p>
      <w:pPr>
        <w:jc w:val="both"/>
        <w:ind w:left="660" w:firstLine="644"/>
        <w:spacing w:after="0" w:line="257" w:lineRule="auto"/>
        <w:tabs>
          <w:tab w:leader="none" w:pos="1827"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2"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component of leases that are capitalized in accordance with GAAP of such Person and its Restricted Subsidiaries for such period to the extent that such interest component is related to lease payments payable in cash; plus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05"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39"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94" w:lineRule="exact"/>
        <w:rPr>
          <w:rFonts w:ascii="Times New Roman" w:cs="Times New Roman" w:eastAsia="Times New Roman" w:hAnsi="Times New Roman"/>
          <w:sz w:val="22"/>
          <w:szCs w:val="22"/>
          <w:color w:val="auto"/>
        </w:rPr>
      </w:pPr>
    </w:p>
    <w:p>
      <w:pPr>
        <w:ind w:left="660" w:firstLine="644"/>
        <w:spacing w:after="0" w:line="271" w:lineRule="auto"/>
        <w:tabs>
          <w:tab w:leader="none" w:pos="1791"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aircraft rent expense of such Person and its Restricted Subsidiaries for such period to the extent that such aircraft rent expense is payable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as determined on a consolidated basis in accordance with GAAP.</w:t>
      </w:r>
    </w:p>
    <w:p>
      <w:pPr>
        <w:spacing w:after="0" w:line="21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Flight Simulators</w:t>
      </w:r>
      <w:r>
        <w:rPr>
          <w:rFonts w:ascii="Times New Roman" w:cs="Times New Roman" w:eastAsia="Times New Roman" w:hAnsi="Times New Roman"/>
          <w:sz w:val="22"/>
          <w:szCs w:val="22"/>
          <w:color w:val="auto"/>
        </w:rPr>
        <w:t>” shall mean the flight simulators and flight training devices owned by Parent or any of its Restricted Subsidiaries.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Floor</w:t>
      </w:r>
      <w:r>
        <w:rPr>
          <w:rFonts w:ascii="Times New Roman" w:cs="Times New Roman" w:eastAsia="Times New Roman" w:hAnsi="Times New Roman"/>
          <w:sz w:val="22"/>
          <w:szCs w:val="22"/>
          <w:color w:val="auto"/>
        </w:rPr>
        <w:t xml:space="preserve">” means a rate of interest equal to 0.00% </w:t>
      </w:r>
      <w:r>
        <w:rPr>
          <w:rFonts w:ascii="Times New Roman" w:cs="Times New Roman" w:eastAsia="Times New Roman" w:hAnsi="Times New Roman"/>
          <w:sz w:val="22"/>
          <w:szCs w:val="22"/>
          <w:b w:val="1"/>
          <w:bCs w:val="1"/>
          <w:color w:val="0000FF"/>
        </w:rPr>
        <w:t>per annum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-11430</wp:posOffset>
            </wp:positionV>
            <wp:extent cx="678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8180" cy="8890"/>
                    </a:xfrm>
                    <a:prstGeom prst="rect">
                      <a:avLst/>
                    </a:prstGeom>
                    <a:noFill/>
                  </pic:spPr>
                </pic:pic>
              </a:graphicData>
            </a:graphic>
          </wp:anchor>
        </w:drawing>
      </w:r>
    </w:p>
    <w:p>
      <w:pPr>
        <w:spacing w:after="0" w:line="20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Flyer Miles Obligations</w:t>
      </w:r>
      <w:r>
        <w:rPr>
          <w:rFonts w:ascii="Times New Roman" w:cs="Times New Roman" w:eastAsia="Times New Roman" w:hAnsi="Times New Roman"/>
          <w:sz w:val="22"/>
          <w:szCs w:val="22"/>
          <w:color w:val="auto"/>
        </w:rPr>
        <w:t>” shall mean, at any date of determination, all payment and performance obligations of the Borrower under any card marketing agreement with respect to credit cards co branded by the Borrower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Aviation Authority</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Gate Leasehold</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Lender</w:t>
      </w:r>
      <w:r>
        <w:rPr>
          <w:rFonts w:ascii="Times New Roman" w:cs="Times New Roman" w:eastAsia="Times New Roman" w:hAnsi="Times New Roman"/>
          <w:sz w:val="22"/>
          <w:szCs w:val="22"/>
          <w:color w:val="auto"/>
        </w:rPr>
        <w:t>” shall mean any Lender that is not a “United States person” as defined in Section 7701(a)(3)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Code.</w:t>
      </w:r>
    </w:p>
    <w:p>
      <w:pPr>
        <w:spacing w:after="0" w:line="19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Route Slot</w:t>
      </w:r>
      <w:r>
        <w:rPr>
          <w:rFonts w:ascii="Times New Roman" w:cs="Times New Roman" w:eastAsia="Times New Roman" w:hAnsi="Times New Roman"/>
          <w:sz w:val="22"/>
          <w:szCs w:val="22"/>
          <w:color w:val="auto"/>
        </w:rPr>
        <w:t>” shall mean, at any time of determination, any Foreign Slot of any Person at any airport outside the United States that is an origin and/or destination point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type w:val="continuous"/>
        </w:sectPr>
      </w:pPr>
    </w:p>
    <w:bookmarkStart w:id="388" w:name="page389"/>
    <w:bookmarkEnd w:id="388"/>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w:t>
      </w:r>
    </w:p>
    <w:p>
      <w:pPr>
        <w:spacing w:after="0" w:line="172"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Slot</w:t>
      </w:r>
      <w:r>
        <w:rPr>
          <w:rFonts w:ascii="Times New Roman" w:cs="Times New Roman" w:eastAsia="Times New Roman" w:hAnsi="Times New Roman"/>
          <w:sz w:val="22"/>
          <w:szCs w:val="22"/>
          <w:color w:val="auto"/>
        </w:rPr>
        <w:t>” shall mean, at any time of determination, in the case of airports outside the United States, the right and operational authority to conduct one landing or take-off operation at a specific time or during a specific time period at such airport.</w:t>
      </w:r>
    </w:p>
    <w:p>
      <w:pPr>
        <w:spacing w:after="0" w:line="16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w:t>
      </w:r>
      <w:r>
        <w:rPr>
          <w:rFonts w:ascii="Times New Roman" w:cs="Times New Roman" w:eastAsia="Times New Roman" w:hAnsi="Times New Roman"/>
          <w:sz w:val="22"/>
          <w:szCs w:val="22"/>
          <w:color w:val="auto"/>
        </w:rPr>
        <w:t>” shall mean any direct or indirect Subsidiary of Parent that was not formed under the laws of the United States or any state of the United States or the District of Columbia.</w:t>
      </w:r>
    </w:p>
    <w:p>
      <w:pPr>
        <w:spacing w:after="0" w:line="13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w:t>
      </w:r>
    </w:p>
    <w:p>
      <w:pPr>
        <w:spacing w:after="0" w:line="18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Gate Leasehold</w:t>
      </w:r>
      <w:r>
        <w:rPr>
          <w:rFonts w:ascii="Times New Roman" w:cs="Times New Roman" w:eastAsia="Times New Roman" w:hAnsi="Times New Roman"/>
          <w:sz w:val="22"/>
          <w:szCs w:val="22"/>
          <w:color w:val="auto"/>
        </w:rPr>
        <w:t>” shall mean all of the right, title, interest, privilege and authority of any Person to use or occupy space in an airport terminal in connection with the provision of air carrier service.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Governmental Authority</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Grantor</w:t>
      </w:r>
      <w:r>
        <w:rPr>
          <w:rFonts w:ascii="Times New Roman" w:cs="Times New Roman" w:eastAsia="Times New Roman" w:hAnsi="Times New Roman"/>
          <w:sz w:val="22"/>
          <w:szCs w:val="22"/>
          <w:color w:val="auto"/>
        </w:rPr>
        <w:t>” shall mean the Borrower and any Guarantor that shall at any time pledge Collateral under a Collateral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w:t>
      </w:r>
    </w:p>
    <w:p>
      <w:pPr>
        <w:spacing w:after="0" w:line="19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Ground Service Equipment</w:t>
      </w:r>
      <w:r>
        <w:rPr>
          <w:rFonts w:ascii="Times New Roman" w:cs="Times New Roman" w:eastAsia="Times New Roman" w:hAnsi="Times New Roman"/>
          <w:sz w:val="22"/>
          <w:szCs w:val="22"/>
          <w:color w:val="auto"/>
        </w:rPr>
        <w:t>” shall mean the ground service equipment, de-icers, ground support equipment, aircraft cleaning devices, materials handling equipment, passenger walkways and other similar equipment owned by Parent or any of its Restricted Subsidiaries.</w:t>
      </w:r>
    </w:p>
    <w:p>
      <w:pPr>
        <w:spacing w:after="0" w:line="166"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shall mean a guarantee (other than (a) by endorsement of negotiable instruments for collection or (b) customary contractual indemnities, in each case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Guaranteed Obligations</w:t>
      </w:r>
      <w:r>
        <w:rPr>
          <w:rFonts w:ascii="Times New Roman" w:cs="Times New Roman" w:eastAsia="Times New Roman" w:hAnsi="Times New Roman"/>
          <w:sz w:val="22"/>
          <w:szCs w:val="22"/>
          <w:color w:val="auto"/>
        </w:rPr>
        <w:t>” shall have the meaning set forth in Section 9.01(a).</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 shall mean, collectively, Parent, and each Domestic Subsidiary of Parent that becomes a party to the Guaranty pursuant to Section 5.09. As of the Ninth Amendment Effective Date, Parent, is the only Guarantor.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22"/>
          <w:szCs w:val="22"/>
          <w:color w:val="auto"/>
        </w:rPr>
        <w:t>” shall mean the guaranty set forth in Article IX.</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 Obligations</w:t>
      </w:r>
      <w:r>
        <w:rPr>
          <w:rFonts w:ascii="Times New Roman" w:cs="Times New Roman" w:eastAsia="Times New Roman" w:hAnsi="Times New Roman"/>
          <w:sz w:val="22"/>
          <w:szCs w:val="22"/>
          <w:color w:val="auto"/>
        </w:rPr>
        <w:t>” shall have the meaning set forth in Section 9.01(a).</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Agreement</w:t>
      </w:r>
      <w:r>
        <w:rPr>
          <w:rFonts w:ascii="Times New Roman" w:cs="Times New Roman" w:eastAsia="Times New Roman" w:hAnsi="Times New Roman"/>
          <w:sz w:val="22"/>
          <w:szCs w:val="22"/>
          <w:color w:val="auto"/>
        </w:rPr>
        <w:t>” shall mean any agreement evidencing Hedging Obligations.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Hedging Obligations</w:t>
      </w:r>
      <w:r>
        <w:rPr>
          <w:rFonts w:ascii="Times New Roman" w:cs="Times New Roman" w:eastAsia="Times New Roman" w:hAnsi="Times New Roman"/>
          <w:sz w:val="21"/>
          <w:szCs w:val="21"/>
          <w:color w:val="auto"/>
        </w:rPr>
        <w:t>” shall mean, with respect to any Person, all obligations and liabilities of such Person under:</w:t>
      </w:r>
    </w:p>
    <w:p>
      <w:pPr>
        <w:spacing w:after="0" w:line="235" w:lineRule="exact"/>
        <w:rPr>
          <w:sz w:val="20"/>
          <w:szCs w:val="20"/>
          <w:color w:val="auto"/>
        </w:rPr>
      </w:pPr>
    </w:p>
    <w:p>
      <w:pPr>
        <w:ind w:left="660" w:firstLine="644"/>
        <w:spacing w:after="0" w:line="271" w:lineRule="auto"/>
        <w:tabs>
          <w:tab w:leader="none" w:pos="1870"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and interest rate collar agreements;</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98"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For the avoidance of doubt, any Permitted Convertible Indebtedness Call Transaction will not constitute Hedging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IATA</w:t>
      </w:r>
      <w:r>
        <w:rPr>
          <w:rFonts w:ascii="Times New Roman" w:cs="Times New Roman" w:eastAsia="Times New Roman" w:hAnsi="Times New Roman"/>
          <w:sz w:val="22"/>
          <w:szCs w:val="22"/>
          <w:color w:val="auto"/>
        </w:rPr>
        <w:t>” shall mean the International Air Transport Association and any successor thereto.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ICF</w:t>
      </w:r>
      <w:r>
        <w:rPr>
          <w:rFonts w:ascii="Times New Roman" w:cs="Times New Roman" w:eastAsia="Times New Roman" w:hAnsi="Times New Roman"/>
          <w:sz w:val="22"/>
          <w:szCs w:val="22"/>
          <w:color w:val="auto"/>
        </w:rPr>
        <w:t>” shall mean ICF International, formerly known as ICF SH&amp;E,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9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Immaterial Subsidiaries</w:t>
      </w:r>
      <w:r>
        <w:rPr>
          <w:rFonts w:ascii="Times New Roman" w:cs="Times New Roman" w:eastAsia="Times New Roman" w:hAnsi="Times New Roman"/>
          <w:sz w:val="22"/>
          <w:szCs w:val="22"/>
          <w:color w:val="auto"/>
        </w:rPr>
        <w:t xml:space="preserve">”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 Effective Date</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 Joinder</w:t>
      </w:r>
      <w:r>
        <w:rPr>
          <w:rFonts w:ascii="Times New Roman" w:cs="Times New Roman" w:eastAsia="Times New Roman" w:hAnsi="Times New Roman"/>
          <w:sz w:val="22"/>
          <w:szCs w:val="22"/>
          <w:color w:val="auto"/>
        </w:rPr>
        <w:t>” shall have the meaning set forth in Section 2.27(c).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Commitments</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shall have the meaning set forth in Section 2.27(a).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 Commitment</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shall have the meaning set forth in Section 2.27(c)(i).</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shall mean, with respect to any specified Person, any indebtedness of such Person (excluding air traffic liability, accrued expenses and trade payables), whether or not contingent:</w:t>
      </w:r>
    </w:p>
    <w:p>
      <w:pPr>
        <w:spacing w:after="0" w:line="153" w:lineRule="exact"/>
        <w:rPr>
          <w:sz w:val="20"/>
          <w:szCs w:val="20"/>
          <w:color w:val="auto"/>
        </w:rPr>
      </w:pPr>
    </w:p>
    <w:p>
      <w:pPr>
        <w:ind w:left="1780" w:hanging="476"/>
        <w:spacing w:after="0"/>
        <w:tabs>
          <w:tab w:leader="none" w:pos="178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borrowed money;</w:t>
      </w:r>
    </w:p>
    <w:p>
      <w:pPr>
        <w:spacing w:after="0" w:line="23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95"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evidenced by bonds, notes, debentures or similar instruments or letters of credit (or reimbursement agreements in respect thereof);</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banker’s acceptances;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Capital Lease Obligations;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89"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the balance deferred and unpaid of the purchase price of any property or services due more than six months after such property is acquired or such services are completed, and excluding in any event trade payables arising in the Ordinary Course of Business; or</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any Hedging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For the avoidance of doubt, (a) Banking Product Obligations, (b) obligations under leases (other than leases determined to be Capital Lease Obligations under GAAP as in effect on the date of this Agreement),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and (j) obligations under flyer miles participation agreements do not constitute Indebtedness, whether or not such obligations would appear as a liability upon a balance sheet of a specified Person.</w:t>
      </w:r>
    </w:p>
    <w:p>
      <w:pPr>
        <w:spacing w:after="0" w:line="17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shall mean Taxes, other than Excluded Taxes, imposed on or with respect to any payments made by the Borrower or any Guarantor under this Agreement or any other Loan Document.</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shall have the meaning set forth in Section 10.04(b).</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Appraisal</w:t>
      </w:r>
      <w:r>
        <w:rPr>
          <w:rFonts w:ascii="Times New Roman" w:cs="Times New Roman" w:eastAsia="Times New Roman" w:hAnsi="Times New Roman"/>
          <w:sz w:val="22"/>
          <w:szCs w:val="22"/>
          <w:color w:val="auto"/>
        </w:rPr>
        <w:t>” shall mean the report of MBA dated April 8, 2015 delivered to the Administrative Agent by the Borrower pursuant to Section 5(e) of the First Amendment and Restatement Agreement.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Installment</w:t>
      </w:r>
      <w:r>
        <w:rPr>
          <w:rFonts w:ascii="Times New Roman" w:cs="Times New Roman" w:eastAsia="Times New Roman" w:hAnsi="Times New Roman"/>
          <w:sz w:val="22"/>
          <w:szCs w:val="22"/>
          <w:color w:val="auto"/>
        </w:rPr>
        <w:t>” shall have the meaning set forth in Section 2.10(b).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Intercreditor Agreement</w:t>
      </w:r>
      <w:r>
        <w:rPr>
          <w:rFonts w:ascii="Times New Roman" w:cs="Times New Roman" w:eastAsia="Times New Roman" w:hAnsi="Times New Roman"/>
          <w:sz w:val="22"/>
          <w:szCs w:val="22"/>
          <w:color w:val="auto"/>
        </w:rPr>
        <w:t>” shall mean an intercreditor agreement substantially in the form of Exhibit I hereto.</w:t>
      </w:r>
    </w:p>
    <w:p>
      <w:pPr>
        <w:spacing w:after="0" w:line="23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Election Request</w:t>
      </w:r>
      <w:r>
        <w:rPr>
          <w:rFonts w:ascii="Times New Roman" w:cs="Times New Roman" w:eastAsia="Times New Roman" w:hAnsi="Times New Roman"/>
          <w:sz w:val="22"/>
          <w:szCs w:val="22"/>
          <w:color w:val="auto"/>
        </w:rPr>
        <w:t>” shall mean a request by the Borrower to convert or continue a Borrowing in accordance with Section 2.05.</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Payment Date</w:t>
      </w:r>
      <w:r>
        <w:rPr>
          <w:rFonts w:ascii="Times New Roman" w:cs="Times New Roman" w:eastAsia="Times New Roman" w:hAnsi="Times New Roman"/>
          <w:sz w:val="22"/>
          <w:szCs w:val="22"/>
          <w:color w:val="auto"/>
        </w:rPr>
        <w:t>” shall mean (a) as to any Term SOFR Loan having an Interest Period of one or three months, the last day of such Interest Period, (b) as to any Term SOFR Loan having an Interest Period of more than three months, each day that is three months, or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multiple thereof, after the first day of such Interest Period and the last day of such Interest Period and (c) with respect to ABR Loans, the last Business Day of each March, June, September and December.</w:t>
      </w:r>
    </w:p>
    <w:p>
      <w:pPr>
        <w:spacing w:after="0" w:line="15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Period</w:t>
      </w:r>
      <w:r>
        <w:rPr>
          <w:rFonts w:ascii="Times New Roman" w:cs="Times New Roman" w:eastAsia="Times New Roman" w:hAnsi="Times New Roman"/>
          <w:sz w:val="22"/>
          <w:szCs w:val="22"/>
          <w:color w:val="auto"/>
        </w:rPr>
        <w:t xml:space="preserve">” shall mean, as to any Borrowing of Term SOFR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as the Borrower may elect in the related notice delivered pursuant to Section 2.03 or 2.05;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and (ii) no Interest Period shall end later than the applicable Termination Date.</w:t>
      </w:r>
    </w:p>
    <w:p>
      <w:pPr>
        <w:spacing w:after="0" w:line="17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Investments</w:t>
      </w:r>
      <w:r>
        <w:rPr>
          <w:rFonts w:ascii="Times New Roman" w:cs="Times New Roman" w:eastAsia="Times New Roman" w:hAnsi="Times New Roman"/>
          <w:sz w:val="22"/>
          <w:szCs w:val="22"/>
          <w:color w:val="auto"/>
        </w:rPr>
        <w:t>”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shall mean (i) the Administrative Agent (or any of its Affiliates reasonably acceptable to the Borrower), in its capacity as an issuer of Letters of Credit hereunder, and its successors in such capacity as provided in Section 2.02(i)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Lender, in which case the term “Issuing Lender” shall include any such Affiliate with respect to Letters of Credit issued by such Affiliate.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JFK</w:t>
      </w:r>
      <w:r>
        <w:rPr>
          <w:rFonts w:ascii="Times New Roman" w:cs="Times New Roman" w:eastAsia="Times New Roman" w:hAnsi="Times New Roman"/>
          <w:sz w:val="22"/>
          <w:szCs w:val="22"/>
          <w:color w:val="auto"/>
        </w:rPr>
        <w:t>” shall mean John F. Kennedy International Airport, New York.</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Joint Lead Arranger Fee Letter</w:t>
      </w:r>
      <w:r>
        <w:rPr>
          <w:rFonts w:ascii="Times New Roman" w:cs="Times New Roman" w:eastAsia="Times New Roman" w:hAnsi="Times New Roman"/>
          <w:sz w:val="22"/>
          <w:szCs w:val="22"/>
          <w:color w:val="auto"/>
        </w:rPr>
        <w:t>” shall have the meaning set forth in Section 2.19.</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Joint Lead Arrangers and Bookrunners</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Junior Secured Debt</w:t>
      </w:r>
      <w:r>
        <w:rPr>
          <w:rFonts w:ascii="Times New Roman" w:cs="Times New Roman" w:eastAsia="Times New Roman" w:hAnsi="Times New Roman"/>
          <w:sz w:val="22"/>
          <w:szCs w:val="22"/>
          <w:color w:val="auto"/>
        </w:rPr>
        <w:t>” shall mean Indebtedness permitted to be secured by a Lien on Collateral under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6.06.</w:t>
      </w:r>
    </w:p>
    <w:p>
      <w:pPr>
        <w:spacing w:after="0" w:line="192"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Latest Maturity Date</w:t>
      </w:r>
      <w:r>
        <w:rPr>
          <w:rFonts w:ascii="Times New Roman" w:cs="Times New Roman" w:eastAsia="Times New Roman" w:hAnsi="Times New Roman"/>
          <w:sz w:val="22"/>
          <w:szCs w:val="22"/>
          <w:color w:val="auto"/>
        </w:rPr>
        <w:t>” shall mean, at any date of determination, the latest maturity or expiration date applicable to any Loan or Commitment hereunder at such time, including the latest maturity date of any Term Loan.</w:t>
      </w:r>
    </w:p>
    <w:p>
      <w:pPr>
        <w:spacing w:after="0" w:line="13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xml:space="preserve">” shall mean the commitment of each Issuing Lender to issue Letters of Credit in face amount not to exceed the amount set forth under the heading “LC Commitment” opposite its name in Annex A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original aggregate amount of the LC Commitments </w:t>
      </w:r>
      <w:r>
        <w:rPr>
          <w:rFonts w:ascii="Times New Roman" w:cs="Times New Roman" w:eastAsia="Times New Roman" w:hAnsi="Times New Roman"/>
          <w:sz w:val="22"/>
          <w:szCs w:val="22"/>
          <w:b w:val="1"/>
          <w:bCs w:val="1"/>
          <w:color w:val="FF0000"/>
          <w:strike w:val="1"/>
        </w:rPr>
        <w:t>shall not exceed $300,000,000</w:t>
      </w:r>
      <w:r>
        <w:rPr>
          <w:rFonts w:ascii="Times New Roman" w:cs="Times New Roman" w:eastAsia="Times New Roman" w:hAnsi="Times New Roman"/>
          <w:sz w:val="22"/>
          <w:szCs w:val="22"/>
          <w:b w:val="1"/>
          <w:bCs w:val="1"/>
          <w:u w:val="single" w:color="auto"/>
          <w:color w:val="0000FF"/>
        </w:rPr>
        <w:t>as of the Tenth Amendment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Date is $200,000,000</w:t>
      </w:r>
      <w:r>
        <w:rPr>
          <w:rFonts w:ascii="Times New Roman" w:cs="Times New Roman" w:eastAsia="Times New Roman" w:hAnsi="Times New Roman"/>
          <w:sz w:val="22"/>
          <w:szCs w:val="22"/>
          <w:color w:val="000000"/>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Disbursement</w:t>
      </w:r>
      <w:r>
        <w:rPr>
          <w:rFonts w:ascii="Times New Roman" w:cs="Times New Roman" w:eastAsia="Times New Roman" w:hAnsi="Times New Roman"/>
          <w:sz w:val="22"/>
          <w:szCs w:val="22"/>
          <w:color w:val="auto"/>
        </w:rPr>
        <w:t>” shall mean a payment made by an Issuing Lender pursuant to a Letter of Credit issued by it.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Exposure</w:t>
      </w:r>
      <w:r>
        <w:rPr>
          <w:rFonts w:ascii="Times New Roman" w:cs="Times New Roman" w:eastAsia="Times New Roman" w:hAnsi="Times New Roman"/>
          <w:sz w:val="22"/>
          <w:szCs w:val="22"/>
          <w:color w:val="auto"/>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Leased Collateral</w:t>
      </w:r>
      <w:r>
        <w:rPr>
          <w:rFonts w:ascii="Times New Roman" w:cs="Times New Roman" w:eastAsia="Times New Roman" w:hAnsi="Times New Roman"/>
          <w:sz w:val="22"/>
          <w:szCs w:val="22"/>
          <w:color w:val="auto"/>
        </w:rPr>
        <w:t>” shall have the meaning set forth in the definition of “Permitted Disposition.”</w:t>
      </w:r>
    </w:p>
    <w:p>
      <w:pPr>
        <w:spacing w:after="0" w:line="233" w:lineRule="exact"/>
        <w:rPr>
          <w:sz w:val="20"/>
          <w:szCs w:val="20"/>
          <w:color w:val="auto"/>
        </w:rPr>
      </w:pPr>
    </w:p>
    <w:p>
      <w:pPr>
        <w:ind w:left="1300" w:right="2000"/>
        <w:spacing w:after="0" w:line="5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Leased Slots</w:t>
      </w:r>
      <w:r>
        <w:rPr>
          <w:rFonts w:ascii="Times New Roman" w:cs="Times New Roman" w:eastAsia="Times New Roman" w:hAnsi="Times New Roman"/>
          <w:sz w:val="21"/>
          <w:szCs w:val="21"/>
          <w:color w:val="auto"/>
        </w:rPr>
        <w:t>” shall have the meaning set forth in the definition of “Permitted Disposition.” “</w:t>
      </w:r>
      <w:r>
        <w:rPr>
          <w:rFonts w:ascii="Times New Roman" w:cs="Times New Roman" w:eastAsia="Times New Roman" w:hAnsi="Times New Roman"/>
          <w:sz w:val="21"/>
          <w:szCs w:val="21"/>
          <w:i w:val="1"/>
          <w:iCs w:val="1"/>
          <w:color w:val="auto"/>
        </w:rPr>
        <w:t>Left Lead Arranger</w:t>
      </w:r>
      <w:r>
        <w:rPr>
          <w:rFonts w:ascii="Times New Roman" w:cs="Times New Roman" w:eastAsia="Times New Roman" w:hAnsi="Times New Roman"/>
          <w:sz w:val="21"/>
          <w:szCs w:val="21"/>
          <w:color w:val="auto"/>
        </w:rPr>
        <w:t>” shall have the meaning set forth in the preamble to this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94" w:lineRule="exact"/>
        <w:rPr>
          <w:sz w:val="20"/>
          <w:szCs w:val="20"/>
          <w:color w:val="auto"/>
        </w:rPr>
      </w:pPr>
    </w:p>
    <w:p>
      <w:pPr>
        <w:ind w:right="16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shall mean each of the several banks and other financial institutions or entities from time to time party hereto as a lender.</w:t>
      </w:r>
    </w:p>
    <w:p>
      <w:pPr>
        <w:spacing w:after="0" w:line="149"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 of Credit</w:t>
      </w:r>
      <w:r>
        <w:rPr>
          <w:rFonts w:ascii="Times New Roman" w:cs="Times New Roman" w:eastAsia="Times New Roman" w:hAnsi="Times New Roman"/>
          <w:sz w:val="21"/>
          <w:szCs w:val="21"/>
          <w:color w:val="auto"/>
        </w:rPr>
        <w:t xml:space="preserve">” shall mean any irrevocable letter of credit issued pursuant to Section 2.02, which letter of credit shall be (i) a standby letter of credit, (ii) issued for general corporate purposes of Parent or any Subsidiary of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any case the account party of a Letter of Credit must be the Borrower, (iii) denominated in Dollars and (iv) otherwise in such form as may be reasonably approved from time to time by the Administrative Agent and the applicable Issuing Lender.</w:t>
      </w:r>
    </w:p>
    <w:p>
      <w:pPr>
        <w:spacing w:after="0" w:line="15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Account</w:t>
      </w:r>
      <w:r>
        <w:rPr>
          <w:rFonts w:ascii="Times New Roman" w:cs="Times New Roman" w:eastAsia="Times New Roman" w:hAnsi="Times New Roman"/>
          <w:sz w:val="22"/>
          <w:szCs w:val="22"/>
          <w:color w:val="auto"/>
        </w:rPr>
        <w:t>” shall mean the account established by the Borrower after the Closing Date under the sole and exclusive control of the Collateral Agent maintained at the office of the Collateral Agent at CRMS Documentation Unit, 580 Crosspoint Pkwy, Getzville, NY 14068, which shall be used solely for the purposes set forth herein.</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Fees</w:t>
      </w:r>
      <w:r>
        <w:rPr>
          <w:rFonts w:ascii="Times New Roman" w:cs="Times New Roman" w:eastAsia="Times New Roman" w:hAnsi="Times New Roman"/>
          <w:sz w:val="22"/>
          <w:szCs w:val="22"/>
          <w:color w:val="auto"/>
        </w:rPr>
        <w:t>” shall mean the fees payable in respect of Letters of Credit pursuant to Section 2.21.</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Request</w:t>
      </w:r>
      <w:r>
        <w:rPr>
          <w:rFonts w:ascii="Times New Roman" w:cs="Times New Roman" w:eastAsia="Times New Roman" w:hAnsi="Times New Roman"/>
          <w:sz w:val="22"/>
          <w:szCs w:val="22"/>
          <w:color w:val="auto"/>
        </w:rPr>
        <w:t>” shall mean a request by the Borrower, executed by a Responsible Officer of the Borrower, for the issuance of a Letter of Credit (or the amendment, renewal or extension of an outstanding Letter of Credit) in accordance with Section 2.02 in substantially the form of Exhibit D-2 or such other form as reasonably acceptable to the applicable Issuing Lender.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LGA</w:t>
      </w:r>
      <w:r>
        <w:rPr>
          <w:rFonts w:ascii="Times New Roman" w:cs="Times New Roman" w:eastAsia="Times New Roman" w:hAnsi="Times New Roman"/>
          <w:sz w:val="22"/>
          <w:szCs w:val="22"/>
          <w:color w:val="auto"/>
        </w:rPr>
        <w:t>” shall mean LaGuardia Airport,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LHR</w:t>
      </w:r>
      <w:r>
        <w:rPr>
          <w:rFonts w:ascii="Times New Roman" w:cs="Times New Roman" w:eastAsia="Times New Roman" w:hAnsi="Times New Roman"/>
          <w:sz w:val="22"/>
          <w:szCs w:val="22"/>
          <w:color w:val="auto"/>
        </w:rPr>
        <w:t>” shall mean Heathrow Airport, England.</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17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Liquidity</w:t>
      </w:r>
      <w:r>
        <w:rPr>
          <w:rFonts w:ascii="Times New Roman" w:cs="Times New Roman" w:eastAsia="Times New Roman" w:hAnsi="Times New Roman"/>
          <w:sz w:val="22"/>
          <w:szCs w:val="22"/>
          <w:color w:val="auto"/>
        </w:rPr>
        <w:t>”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shall mean this Agreement, the First Amendment and Restatement Agreement, the Collateral Documents, any Intercreditor Agreement, any Other Intercreditor Agreement, the Administrative Agent Fee Letter, the Joint Lead Arranger Fee Letter and any other instrument or agreement (which is designated as a Loan Document therein) executed and delivered by the Borrower or a Guarantor to the Administrative Agent, the Collateral Agent, any Issuing Lender or any Lender, in each case, as the same may be amended, restated, modified, supplemented, extended or amended and restated from time to time in accordance with the terms hereof.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shall mean the Borrower and the Guarantors.</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Request</w:t>
      </w:r>
      <w:r>
        <w:rPr>
          <w:rFonts w:ascii="Times New Roman" w:cs="Times New Roman" w:eastAsia="Times New Roman" w:hAnsi="Times New Roman"/>
          <w:sz w:val="22"/>
          <w:szCs w:val="22"/>
          <w:color w:val="auto"/>
        </w:rPr>
        <w:t>” shall mean a request by the Borrower, executed by a Responsible Officer of the Borrower, for a Loan in accordance with Section 2.03 in substantially the form of Exhibit D-1.</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shall mean, collectively, the Revolving Loans and the Term Loans.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Mainline Slot</w:t>
      </w:r>
      <w:r>
        <w:rPr>
          <w:rFonts w:ascii="Times New Roman" w:cs="Times New Roman" w:eastAsia="Times New Roman" w:hAnsi="Times New Roman"/>
          <w:sz w:val="22"/>
          <w:szCs w:val="22"/>
          <w:color w:val="auto"/>
        </w:rPr>
        <w:t>” means any FAA Slot that is not a Commuter Slot.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shall have the meaning set forth in Section 3.12(a).</w:t>
      </w:r>
    </w:p>
    <w:p>
      <w:pPr>
        <w:spacing w:after="0" w:line="22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Marketing and Service Agreements</w:t>
      </w:r>
      <w:r>
        <w:rPr>
          <w:rFonts w:ascii="Times New Roman" w:cs="Times New Roman" w:eastAsia="Times New Roman" w:hAnsi="Times New Roman"/>
          <w:sz w:val="21"/>
          <w:szCs w:val="21"/>
          <w:color w:val="auto"/>
        </w:rPr>
        <w:t>” shall mean those certain business, marketing and service agreements among a Loan Party and/or any of its Subsidiaries and any of Mesa Airlines, Inc., Chautauqua Airlines, Inc., Trans States Airlines, Inc., United Air Lines, Inc., Republic Airline, Inc., SkyWest Airlines and Air Wisconsin Airlines Corporation and such other parties or agreements from time to time that include, but are not limited to, code-sharing, pro-rate, capacity purchase, service, frequent flyer, ground handling and marketing agreements that are entered into in the Ordinary Course of Business.</w:t>
      </w:r>
    </w:p>
    <w:p>
      <w:pPr>
        <w:spacing w:after="0" w:line="15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Change</w:t>
      </w:r>
      <w:r>
        <w:rPr>
          <w:rFonts w:ascii="Times New Roman" w:cs="Times New Roman" w:eastAsia="Times New Roman" w:hAnsi="Times New Roman"/>
          <w:sz w:val="22"/>
          <w:szCs w:val="22"/>
          <w:color w:val="auto"/>
        </w:rPr>
        <w:t>” shall mean any event, change, condition, occurrence, development or circumstance that, either individually or in the aggregate, has had or could reasonably be expected to have a Material Adverse Effect.</w:t>
      </w:r>
    </w:p>
    <w:p>
      <w:pPr>
        <w:spacing w:after="0" w:line="16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Effect</w:t>
      </w:r>
      <w:r>
        <w:rPr>
          <w:rFonts w:ascii="Times New Roman" w:cs="Times New Roman" w:eastAsia="Times New Roman" w:hAnsi="Times New Roman"/>
          <w:sz w:val="22"/>
          <w:szCs w:val="22"/>
          <w:color w:val="auto"/>
        </w:rPr>
        <w:t xml:space="preserve">”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any action taken or not taken within two years from the Closing Date in connection with or in furtherance of the AMR/US Airways Merger and/or any related Airlines Merger shall be deemed not to constitute a Material Adverse Effect.</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Indebtedness</w:t>
      </w:r>
      <w:r>
        <w:rPr>
          <w:rFonts w:ascii="Times New Roman" w:cs="Times New Roman" w:eastAsia="Times New Roman" w:hAnsi="Times New Roman"/>
          <w:sz w:val="22"/>
          <w:szCs w:val="22"/>
          <w:color w:val="auto"/>
        </w:rPr>
        <w:t>” shall mean Indebtedness of the Borrower and/or Guarantors (other than the Loans and obligations relating to Letters of Credit) outstanding under the same agreement in a principal amount exceeding $150,000,000.</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MBA</w:t>
      </w:r>
      <w:r>
        <w:rPr>
          <w:rFonts w:ascii="Times New Roman" w:cs="Times New Roman" w:eastAsia="Times New Roman" w:hAnsi="Times New Roman"/>
          <w:sz w:val="22"/>
          <w:szCs w:val="22"/>
          <w:color w:val="auto"/>
        </w:rPr>
        <w:t>” shall mean Morten Beyer &amp; Agnew.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shall have the meaning set forth in Section 2.28(c).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shall mean Moody’s Investors Service, Inc.</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Proceeds</w:t>
      </w:r>
      <w:r>
        <w:rPr>
          <w:rFonts w:ascii="Times New Roman" w:cs="Times New Roman" w:eastAsia="Times New Roman" w:hAnsi="Times New Roman"/>
          <w:sz w:val="22"/>
          <w:szCs w:val="22"/>
          <w:color w:val="auto"/>
        </w:rPr>
        <w:t>”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Proceeds Amount</w:t>
      </w:r>
      <w:r>
        <w:rPr>
          <w:rFonts w:ascii="Times New Roman" w:cs="Times New Roman" w:eastAsia="Times New Roman" w:hAnsi="Times New Roman"/>
          <w:sz w:val="22"/>
          <w:szCs w:val="22"/>
          <w:color w:val="auto"/>
        </w:rPr>
        <w:t>” shall have the meaning set forth in Section 2.12(a).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jc w:val="both"/>
        <w:ind w:right="20" w:firstLine="91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Ninth Amendment</w:t>
      </w:r>
      <w:r>
        <w:rPr>
          <w:rFonts w:ascii="Times New Roman" w:cs="Times New Roman" w:eastAsia="Times New Roman" w:hAnsi="Times New Roman"/>
          <w:sz w:val="22"/>
          <w:szCs w:val="22"/>
          <w:color w:val="auto"/>
        </w:rPr>
        <w:t>” means the Ninth Amendment to this Credit Agreement, dated as of March 13, 2023, among the Parent, the Borrower, Citibank, N.A., as administrative agent and as an issuing lender, and the Lenders party thereto.</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Ninth Amendment Effective Date</w:t>
      </w:r>
      <w:r>
        <w:rPr>
          <w:rFonts w:ascii="Times New Roman" w:cs="Times New Roman" w:eastAsia="Times New Roman" w:hAnsi="Times New Roman"/>
          <w:sz w:val="22"/>
          <w:szCs w:val="22"/>
          <w:color w:val="auto"/>
        </w:rPr>
        <w:t>” shall have the meaning provided in the Ninth Amendment.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shall mean, at any time, a Lender that is not a Defaulting Lender.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Non-Extending Lender</w:t>
      </w:r>
      <w:r>
        <w:rPr>
          <w:rFonts w:ascii="Times New Roman" w:cs="Times New Roman" w:eastAsia="Times New Roman" w:hAnsi="Times New Roman"/>
          <w:sz w:val="22"/>
          <w:szCs w:val="22"/>
          <w:color w:val="auto"/>
        </w:rPr>
        <w:t>” shall have the meaning set forth in Section 10.08(g).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Non-Lender Secured Party</w:t>
      </w:r>
      <w:r>
        <w:rPr>
          <w:rFonts w:ascii="Times New Roman" w:cs="Times New Roman" w:eastAsia="Times New Roman" w:hAnsi="Times New Roman"/>
          <w:sz w:val="22"/>
          <w:szCs w:val="22"/>
          <w:color w:val="auto"/>
        </w:rPr>
        <w:t>” shall have the meaning provided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Debt</w:t>
      </w:r>
      <w:r>
        <w:rPr>
          <w:rFonts w:ascii="Times New Roman" w:cs="Times New Roman" w:eastAsia="Times New Roman" w:hAnsi="Times New Roman"/>
          <w:sz w:val="22"/>
          <w:szCs w:val="22"/>
          <w:color w:val="auto"/>
        </w:rPr>
        <w:t>” shall mean Indebtedness:</w:t>
      </w:r>
    </w:p>
    <w:p>
      <w:pPr>
        <w:spacing w:after="0" w:line="237" w:lineRule="exact"/>
        <w:rPr>
          <w:sz w:val="20"/>
          <w:szCs w:val="20"/>
          <w:color w:val="auto"/>
        </w:rPr>
      </w:pPr>
    </w:p>
    <w:p>
      <w:pPr>
        <w:jc w:val="both"/>
        <w:ind w:left="660" w:firstLine="644"/>
        <w:spacing w:after="0" w:line="257" w:lineRule="auto"/>
        <w:tabs>
          <w:tab w:leader="none" w:pos="187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neither Parent nor any of its Restricted Subsidiaries (A) provides credit support of any kind (including any undertaking, agreement or instrument that would constitute Indebtedness) or (B) is directly or indirectly liable as a guarantor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98" w:lineRule="exact"/>
        <w:rPr>
          <w:sz w:val="20"/>
          <w:szCs w:val="20"/>
          <w:color w:val="auto"/>
        </w:rPr>
      </w:pPr>
    </w:p>
    <w:p>
      <w:pPr>
        <w:ind w:left="660" w:right="20" w:firstLine="644"/>
        <w:spacing w:after="0" w:line="271" w:lineRule="auto"/>
        <w:tabs>
          <w:tab w:leader="none" w:pos="1806"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holders of such Indebtedness do not otherwise have recourse to the stock or assets of Parent or any of its Restricted Subsidiaries (other than the Equity Interests of an Unrestricted Subsidiary).</w:t>
      </w:r>
    </w:p>
    <w:p>
      <w:pPr>
        <w:spacing w:after="0" w:line="15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Financing Subsidiary</w:t>
      </w:r>
      <w:r>
        <w:rPr>
          <w:rFonts w:ascii="Times New Roman" w:cs="Times New Roman" w:eastAsia="Times New Roman" w:hAnsi="Times New Roman"/>
          <w:sz w:val="22"/>
          <w:szCs w:val="22"/>
          <w:color w:val="auto"/>
        </w:rPr>
        <w:t>” shall mean any Unrestricted Subsidiary that (a) has no Indebtedness other than Non-Recourse Debt and (b) engages in no activities other than those relating to the financing of specified assets and other activities incidental thereto.</w:t>
      </w:r>
    </w:p>
    <w:p>
      <w:pPr>
        <w:spacing w:after="0" w:line="16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Obligations</w:t>
      </w:r>
      <w:r>
        <w:rPr>
          <w:rFonts w:ascii="Times New Roman" w:cs="Times New Roman" w:eastAsia="Times New Roman" w:hAnsi="Times New Roman"/>
          <w:sz w:val="21"/>
          <w:szCs w:val="21"/>
          <w:color w:val="auto"/>
        </w:rPr>
        <w:t xml:space="preserve">”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 appointed pursuant to Section 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 (ii) in the case of Designated Banking Product Obligations, any obligee with respect to such Designated Banking Product Obligations who was a Revolving Lender or a banking Affiliate of any Revolving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in no event shall the Obligations include Excluded Swap Obligations.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shall have the meaning set forth in Section 3.17.</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shall have the meaning set forth in the definition of “All-In Initial Yield.”</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Operating Lease</w:t>
      </w:r>
      <w:r>
        <w:rPr>
          <w:rFonts w:ascii="Times New Roman" w:cs="Times New Roman" w:eastAsia="Times New Roman" w:hAnsi="Times New Roman"/>
          <w:sz w:val="22"/>
          <w:szCs w:val="22"/>
          <w:color w:val="auto"/>
        </w:rPr>
        <w:t>” shall mean, as applied to any Person, any lease (including, without limitation, leases that may be terminated by the lessee at any time) of any property (whether real, personal or mixed) under which such Person is lessee, that is not a lease representing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Ordinary Course of Business</w:t>
      </w:r>
      <w:r>
        <w:rPr>
          <w:rFonts w:ascii="Times New Roman" w:cs="Times New Roman" w:eastAsia="Times New Roman" w:hAnsi="Times New Roman"/>
          <w:sz w:val="22"/>
          <w:szCs w:val="22"/>
          <w:color w:val="auto"/>
        </w:rPr>
        <w:t>” shall mean with respect to Parent or any of its Subsidiaries, (a) in the ordinary course of business of, or in furtherance of an objective that is in the ordinary course of business of, Parent and its Subsidiaries,</w:t>
      </w:r>
    </w:p>
    <w:p>
      <w:pPr>
        <w:spacing w:after="0" w:line="1" w:lineRule="exact"/>
        <w:rPr>
          <w:sz w:val="20"/>
          <w:szCs w:val="20"/>
          <w:color w:val="auto"/>
        </w:rPr>
      </w:pPr>
    </w:p>
    <w:p>
      <w:pPr>
        <w:ind w:firstLine="8"/>
        <w:spacing w:after="0" w:line="261" w:lineRule="auto"/>
        <w:tabs>
          <w:tab w:leader="none" w:pos="314"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and usual in the commercial airline industry in the United States or (c) consistent with the past or current practice of one or more commercial air carriers in the United States.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Term Loans</w:t>
      </w:r>
      <w:r>
        <w:rPr>
          <w:rFonts w:ascii="Times New Roman" w:cs="Times New Roman" w:eastAsia="Times New Roman" w:hAnsi="Times New Roman"/>
          <w:sz w:val="22"/>
          <w:szCs w:val="22"/>
          <w:color w:val="auto"/>
        </w:rPr>
        <w:t>” shall have the meaning set forth in Section 2.27(c)(iv).</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Intercreditor Agreement</w:t>
      </w:r>
      <w:r>
        <w:rPr>
          <w:rFonts w:ascii="Times New Roman" w:cs="Times New Roman" w:eastAsia="Times New Roman" w:hAnsi="Times New Roman"/>
          <w:sz w:val="22"/>
          <w:szCs w:val="22"/>
          <w:color w:val="auto"/>
        </w:rPr>
        <w:t>” shall mean an intercreditor agreement in form and substance reasonably satisfactory to the Borrower and the Administrative Agent.</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Taxes</w:t>
      </w:r>
      <w:r>
        <w:rPr>
          <w:rFonts w:ascii="Times New Roman" w:cs="Times New Roman" w:eastAsia="Times New Roman" w:hAnsi="Times New Roman"/>
          <w:sz w:val="22"/>
          <w:szCs w:val="22"/>
          <w:color w:val="auto"/>
        </w:rPr>
        <w:t>”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Outstanding Letters of Credit</w:t>
      </w:r>
      <w:r>
        <w:rPr>
          <w:rFonts w:ascii="Times New Roman" w:cs="Times New Roman" w:eastAsia="Times New Roman" w:hAnsi="Times New Roman"/>
          <w:sz w:val="22"/>
          <w:szCs w:val="22"/>
          <w:color w:val="auto"/>
        </w:rPr>
        <w:t>” shall have the meaning set forth in Section 2.02(j).</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PAC</w:t>
      </w:r>
      <w:r>
        <w:rPr>
          <w:rFonts w:ascii="Times New Roman" w:cs="Times New Roman" w:eastAsia="Times New Roman" w:hAnsi="Times New Roman"/>
          <w:sz w:val="22"/>
          <w:szCs w:val="22"/>
          <w:color w:val="auto"/>
        </w:rPr>
        <w:t>” shall mean Panum Aviation Consulting.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Company</w:t>
      </w:r>
      <w:r>
        <w:rPr>
          <w:rFonts w:ascii="Times New Roman" w:cs="Times New Roman" w:eastAsia="Times New Roman" w:hAnsi="Times New Roman"/>
          <w:sz w:val="22"/>
          <w:szCs w:val="22"/>
          <w:color w:val="auto"/>
        </w:rPr>
        <w:t>” shall mean, with respect to a Revolving Lender, the bank holding company (as defined in Regulation Y issued by the Board), if any, of such Revolving Lender, and/or any Person owning, beneficially or of record, directly or indirectly, a majority of the shares of such Revolving Lender.</w:t>
      </w:r>
    </w:p>
    <w:p>
      <w:pPr>
        <w:spacing w:after="0" w:line="16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Pari Passu Notes</w:t>
      </w:r>
      <w:r>
        <w:rPr>
          <w:rFonts w:ascii="Times New Roman" w:cs="Times New Roman" w:eastAsia="Times New Roman" w:hAnsi="Times New Roman"/>
          <w:sz w:val="21"/>
          <w:szCs w:val="21"/>
          <w:color w:val="auto"/>
        </w:rPr>
        <w:t xml:space="preserve">” shall mean Indebtedness of the Borrower or any Guarantor in the form of senior secured notes;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w:t>
      </w:r>
      <w:r>
        <w:rPr>
          <w:rFonts w:ascii="Times New Roman" w:cs="Times New Roman" w:eastAsia="Times New Roman" w:hAnsi="Times New Roman"/>
          <w:sz w:val="21"/>
          <w:szCs w:val="21"/>
          <w:b w:val="1"/>
          <w:bCs w:val="1"/>
          <w:color w:val="FF0000"/>
          <w:strike w:val="1"/>
        </w:rPr>
        <w:t>2,200,000,000</w:t>
      </w:r>
      <w:r>
        <w:rPr>
          <w:rFonts w:ascii="Times New Roman" w:cs="Times New Roman" w:eastAsia="Times New Roman" w:hAnsi="Times New Roman"/>
          <w:sz w:val="21"/>
          <w:szCs w:val="21"/>
          <w:b w:val="1"/>
          <w:bCs w:val="1"/>
          <w:u w:val="single" w:color="auto"/>
          <w:color w:val="0000FF"/>
        </w:rPr>
        <w:t>2,000,000,000</w:t>
      </w:r>
      <w:r>
        <w:rPr>
          <w:rFonts w:ascii="Times New Roman" w:cs="Times New Roman" w:eastAsia="Times New Roman" w:hAnsi="Times New Roman"/>
          <w:sz w:val="27"/>
          <w:szCs w:val="27"/>
          <w:b w:val="1"/>
          <w:bCs w:val="1"/>
          <w:u w:val="single" w:color="auto"/>
          <w:color w:val="0000FF"/>
          <w:vertAlign w:val="superscript"/>
        </w:rPr>
        <w:t>1</w:t>
      </w:r>
      <w:r>
        <w:rPr>
          <w:rFonts w:ascii="Times New Roman" w:cs="Times New Roman" w:eastAsia="Times New Roman" w:hAnsi="Times New Roman"/>
          <w:sz w:val="21"/>
          <w:szCs w:val="21"/>
          <w:color w:val="auto"/>
        </w:rPr>
        <w:t xml:space="preserve">; (ii) such Indebtedness is secured only by the Collateral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the Term Loan Facility and Revolving Facility pursuant to the Collateral Documents; (iii) such Indebtedness shall benefit only from substantially the same guarantees as the guarantees of the Term Loan Facility and Revolving Facility provided hereunder;</w:t>
      </w:r>
    </w:p>
    <w:p>
      <w:pPr>
        <w:spacing w:after="0" w:line="4" w:lineRule="exact"/>
        <w:rPr>
          <w:sz w:val="20"/>
          <w:szCs w:val="20"/>
          <w:color w:val="auto"/>
        </w:rPr>
      </w:pPr>
    </w:p>
    <w:p>
      <w:pPr>
        <w:jc w:val="both"/>
        <w:ind w:firstLine="8"/>
        <w:spacing w:after="0" w:line="270" w:lineRule="auto"/>
        <w:tabs>
          <w:tab w:leader="none" w:pos="405"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Indebtedness matures no earlier than the Term Loan Maturity Date, (v) such Indebtedness shall have a Weighted Average Life to Maturity that is not shorter than the Weighted Average Life to Maturity of the Term Loan Facility and (vi) such Indebtedness constitutes “Priority Lien Debt” as defined under, and in accordance with the terms of, the Collateral Documents.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Senior Secured Debt</w:t>
      </w:r>
      <w:r>
        <w:rPr>
          <w:rFonts w:ascii="Times New Roman" w:cs="Times New Roman" w:eastAsia="Times New Roman" w:hAnsi="Times New Roman"/>
          <w:sz w:val="22"/>
          <w:szCs w:val="22"/>
          <w:color w:val="auto"/>
        </w:rPr>
        <w:t>” shall mean any Pari Passu Notes (and any Guarantee thereof by the Borrower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Parent).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shall have the meaning set forth in Section 10.02(d)(i).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714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40" w:hanging="132"/>
        <w:spacing w:after="0"/>
        <w:tabs>
          <w:tab w:leader="none" w:pos="140" w:val="left"/>
        </w:tabs>
        <w:numPr>
          <w:ilvl w:val="0"/>
          <w:numId w:val="377"/>
        </w:numPr>
        <w:rPr>
          <w:rFonts w:ascii="Times New Roman" w:cs="Times New Roman" w:eastAsia="Times New Roman" w:hAnsi="Times New Roman"/>
          <w:sz w:val="28"/>
          <w:szCs w:val="28"/>
          <w:b w:val="1"/>
          <w:bCs w:val="1"/>
          <w:u w:val="single" w:color="auto"/>
          <w:color w:val="0000FF"/>
          <w:vertAlign w:val="superscript"/>
        </w:rPr>
      </w:pPr>
      <w:r>
        <w:rPr>
          <w:rFonts w:ascii="Times New Roman" w:cs="Times New Roman" w:eastAsia="Times New Roman" w:hAnsi="Times New Roman"/>
          <w:sz w:val="22"/>
          <w:szCs w:val="22"/>
          <w:b w:val="1"/>
          <w:bCs w:val="1"/>
          <w:u w:val="single" w:color="auto"/>
          <w:color w:val="0000FF"/>
        </w:rPr>
        <w:t>NTD: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shall have the meaning set forth in Section 10.02(d)(i).</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shall mean the USA Patriot Act, Title III of Pub. L. 107-56, signed into law on October 26, 2001 and any subsequent legislation that amends or supplements such Act or any subsequent legislation that supersedes such Act.</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Payroll Accounts</w:t>
      </w:r>
      <w:r>
        <w:rPr>
          <w:rFonts w:ascii="Times New Roman" w:cs="Times New Roman" w:eastAsia="Times New Roman" w:hAnsi="Times New Roman"/>
          <w:sz w:val="22"/>
          <w:szCs w:val="22"/>
          <w:color w:val="auto"/>
        </w:rPr>
        <w:t>” shall mean depository accounts used only for payroll.</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shall have the meaning set forth in Section 8.12(a).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shall have the meaning specified in the definition of “Term SOFR.”</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Bond Hedge Transaction</w:t>
      </w:r>
      <w:r>
        <w:rPr>
          <w:rFonts w:ascii="Times New Roman" w:cs="Times New Roman" w:eastAsia="Times New Roman" w:hAnsi="Times New Roman"/>
          <w:sz w:val="22"/>
          <w:szCs w:val="22"/>
          <w:color w:val="auto"/>
        </w:rPr>
        <w:t xml:space="preserve">” shall mean any call or capped call option (or substantively equivalent derivative transaction) on Parent’s common stock purchased by the issuer of any Convertible Indebtedness in connection with the issuance of any such Convertible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Business</w:t>
      </w:r>
      <w:r>
        <w:rPr>
          <w:rFonts w:ascii="Times New Roman" w:cs="Times New Roman" w:eastAsia="Times New Roman" w:hAnsi="Times New Roman"/>
          <w:sz w:val="22"/>
          <w:szCs w:val="22"/>
          <w:color w:val="auto"/>
        </w:rPr>
        <w:t>” shall mean any business that is similar, or reasonably related, ancillary, supportive or complementary to, or any reasonable extension of the businesses in which Parent and its Restricted Subsidiaries are engaged on the date of this Agreement.</w:t>
      </w:r>
    </w:p>
    <w:p>
      <w:pPr>
        <w:spacing w:after="0" w:line="161"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Convertible Indebtedness Call Transaction</w:t>
      </w:r>
      <w:r>
        <w:rPr>
          <w:rFonts w:ascii="Times New Roman" w:cs="Times New Roman" w:eastAsia="Times New Roman" w:hAnsi="Times New Roman"/>
          <w:sz w:val="22"/>
          <w:szCs w:val="22"/>
          <w:color w:val="auto"/>
        </w:rPr>
        <w:t>” shall mean any Permitted Bond Hedge Transaction and any Permitted Warrant Transaction.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Disposition</w:t>
      </w:r>
      <w:r>
        <w:rPr>
          <w:rFonts w:ascii="Times New Roman" w:cs="Times New Roman" w:eastAsia="Times New Roman" w:hAnsi="Times New Roman"/>
          <w:sz w:val="22"/>
          <w:szCs w:val="22"/>
          <w:color w:val="auto"/>
        </w:rPr>
        <w:t>” shall mean, with respect to Dispositions of Collateral, any of the following:</w:t>
      </w:r>
    </w:p>
    <w:p>
      <w:pPr>
        <w:spacing w:after="0" w:line="224" w:lineRule="exact"/>
        <w:rPr>
          <w:sz w:val="20"/>
          <w:szCs w:val="20"/>
          <w:color w:val="auto"/>
        </w:rPr>
      </w:pPr>
    </w:p>
    <w:p>
      <w:pPr>
        <w:ind w:left="660" w:firstLine="644"/>
        <w:spacing w:after="0" w:line="284" w:lineRule="auto"/>
        <w:tabs>
          <w:tab w:leader="none" w:pos="1841"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single transaction or series of related transactions that involves the Disposition of assets having a Fair Market Value of less than $50,000,000 during any six-month period;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35"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between or among any of Parent and any of its Restricted Subsidiaries that are Grantors (including any Person that shall become a Grantor simultaneous with such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Collateral Agent, concurrently with, or promptly after, such Disposition, the Collateral Agent shall receive an opinion of counsel to the Borrower (which may be in-house counsel) (x) in the case of Collateral that consists of Route Authorities, Slots and/or Foreign Gate Leaseholds, as to the creation and perfection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9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Article 9 of the UCC of the Lien of the security agreement or mortgage, as applicable, and subject to assumptions and qualifications (including as provided in the opinion delivered pursuant to Section 4.01(e)(i)), and (y) in the case of any other Collateral, as to the creation and perfection of the Lien of such security agreement or mortgage, as applicable, in form and substance reasonably satisfactory to the Collateral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this clause (2) shall not permit any Disposition of the Letter of Credit Account or any amounts on deposit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following such Disposition, such Collateral is subject to a Lien with the priority and perfection required by the applicable Collateral Document immediately prior to such Disposition (and otherwise subject only to Permitted Liens) in favor of the Collateral Agent or trustee (as applicable) for the benefit of the Secured Parties;</w:t>
      </w:r>
    </w:p>
    <w:p>
      <w:pPr>
        <w:spacing w:after="0" w:line="195" w:lineRule="exact"/>
        <w:rPr>
          <w:sz w:val="20"/>
          <w:szCs w:val="20"/>
          <w:color w:val="auto"/>
        </w:rPr>
      </w:pPr>
    </w:p>
    <w:p>
      <w:pPr>
        <w:ind w:left="1780" w:hanging="476"/>
        <w:spacing w:after="0"/>
        <w:tabs>
          <w:tab w:leader="none" w:pos="1780"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not prohibited by Section 6.06;</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3"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 of cash or Cash Equivalents in exchange for other cash or Cash Equivalents constituting Collateral and having reasonably equivalent value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(4) shall not permit any Disposition of the Letter of Credit Account or any amounts on deposit therein;</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20"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abandonment or Disposition of assets no longer useful or used in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abandonment or Disposition is (A) in the Ordinary Course of Business and (B) with respect to assets that are not material to the business of Parent and its Restricted Subsidiaries taken as a whole;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26"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w:t>
      </w:r>
      <w:r>
        <w:rPr>
          <w:rFonts w:ascii="Times New Roman" w:cs="Times New Roman" w:eastAsia="Times New Roman" w:hAnsi="Times New Roman"/>
          <w:sz w:val="22"/>
          <w:szCs w:val="22"/>
          <w:i w:val="1"/>
          <w:iCs w:val="1"/>
          <w:color w:val="auto"/>
        </w:rPr>
        <w:t>Leased Collateral</w:t>
      </w:r>
      <w:r>
        <w:rPr>
          <w:rFonts w:ascii="Times New Roman" w:cs="Times New Roman" w:eastAsia="Times New Roman" w:hAnsi="Times New Roman"/>
          <w:sz w:val="22"/>
          <w:szCs w:val="22"/>
          <w:color w:val="auto"/>
        </w:rPr>
        <w:t>”), (A) such transaction has a term of one year or less, or in the case of Leased Collateral comprised of Pledged Slots (“</w:t>
      </w:r>
      <w:r>
        <w:rPr>
          <w:rFonts w:ascii="Times New Roman" w:cs="Times New Roman" w:eastAsia="Times New Roman" w:hAnsi="Times New Roman"/>
          <w:sz w:val="22"/>
          <w:szCs w:val="22"/>
          <w:i w:val="1"/>
          <w:iCs w:val="1"/>
          <w:color w:val="auto"/>
        </w:rPr>
        <w:t>Leased Slots</w:t>
      </w:r>
      <w:r>
        <w:rPr>
          <w:rFonts w:ascii="Times New Roman" w:cs="Times New Roman" w:eastAsia="Times New Roman" w:hAnsi="Times New Roman"/>
          <w:sz w:val="22"/>
          <w:szCs w:val="22"/>
          <w:color w:val="auto"/>
        </w:rPr>
        <w:t xml:space="preserve">”), does not extend beyond three comparable IATA traffic seasons; or (B) if the term of such transaction 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Agent’s Liens on such Collateral are not materially adversely affected by such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certification in this clause (ii)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required with respect to any Leased Collateral comprised of Slots or Foreign Gate Leaseholds and (iii) no Event of Default exists at the time of such transaction;</w:t>
      </w:r>
    </w:p>
    <w:p>
      <w:pPr>
        <w:spacing w:after="0" w:line="158" w:lineRule="exact"/>
        <w:rPr>
          <w:sz w:val="20"/>
          <w:szCs w:val="20"/>
          <w:color w:val="auto"/>
        </w:rPr>
      </w:pPr>
    </w:p>
    <w:p>
      <w:pPr>
        <w:jc w:val="both"/>
        <w:ind w:left="660" w:firstLine="644"/>
        <w:spacing w:after="0" w:line="252" w:lineRule="auto"/>
        <w:tabs>
          <w:tab w:leader="none" w:pos="1852"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75"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w:t>
      </w:r>
    </w:p>
    <w:p>
      <w:pPr>
        <w:spacing w:after="0" w:line="18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7"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property resulting from an event of loss with respect to any aircraft, airframe, engine or spare engine if the Grantor is replacing such aircraft, airframe, engine or spare engine in accordance with the terms of the applicable Aircraft Security Agreement;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84"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Collateral permitted by any of the Collateral Documents (to the extent such permission is not made by cross-reference to, or incorporation by reference of, a Disposition of Collateral permitted under Section 6.04(ii)).</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Investments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780" w:hanging="476"/>
        <w:spacing w:after="0"/>
        <w:tabs>
          <w:tab w:leader="none" w:pos="178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Parent or in a Restricted Subsidiary of Parent;</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cash, Cash Equivalents and any foreign equivalents;</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by Parent or any Restricted Subsidiary of Parent in a Person, if as a result of such</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w:t>
      </w:r>
    </w:p>
    <w:p>
      <w:pPr>
        <w:spacing w:after="0" w:line="207"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becomes a Restricted Subsidiary of Parent;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98" w:lineRule="exact"/>
        <w:rPr>
          <w:sz w:val="20"/>
          <w:szCs w:val="20"/>
          <w:color w:val="auto"/>
        </w:rPr>
      </w:pPr>
    </w:p>
    <w:p>
      <w:pPr>
        <w:jc w:val="both"/>
        <w:ind w:left="2600" w:hanging="648"/>
        <w:spacing w:after="0" w:line="257" w:lineRule="auto"/>
        <w:tabs>
          <w:tab w:leader="none" w:pos="2558" w:val="left"/>
        </w:tabs>
        <w:numPr>
          <w:ilvl w:val="2"/>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made as a result of the receipt of non-cash consideration from a Disposition of assets;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of assets or Capital Stock in exchange for the issuance of Qualifying Equity Interests;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96"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38"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represented by Hedging Obligations or made in connection therewith (including any cash collateral or other collateral that does not constitute Collateral provided to or by Parent or any of its Restricted Subsidiaries in connection with any Hedging Obligation);</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20"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officers, directors or employees made in the Ordinary Course of Business of Parent or any Restricted Subsidiary of Parent in an aggregate principal amount not to exceed $30,000,000 at any one time outstanding;</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prepayment or purchase of any Loans in accordance with the terms and conditions of this Agreement;</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Indebtedness;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7" w:lineRule="auto"/>
        <w:tabs>
          <w:tab w:leader="none" w:pos="1944" w:val="left"/>
        </w:tabs>
        <w:numPr>
          <w:ilvl w:val="1"/>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Investment may be increased</w:t>
      </w:r>
    </w:p>
    <w:p>
      <w:pPr>
        <w:spacing w:after="0" w:line="1" w:lineRule="exact"/>
        <w:rPr>
          <w:rFonts w:ascii="Times New Roman" w:cs="Times New Roman" w:eastAsia="Times New Roman" w:hAnsi="Times New Roman"/>
          <w:sz w:val="21"/>
          <w:szCs w:val="21"/>
          <w:color w:val="auto"/>
        </w:rPr>
      </w:pPr>
    </w:p>
    <w:p>
      <w:pPr>
        <w:ind w:left="660" w:hanging="4"/>
        <w:spacing w:after="0" w:line="248" w:lineRule="auto"/>
        <w:tabs>
          <w:tab w:leader="none" w:pos="1025"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the terms of such Investment as in existence on the Closing Date or (B) as otherwise permitted under this Agreement;</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2004"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contemplation of such acquisition, merger, amalgamation or consolidation and were in existence on the date of such acquisition, merger, amalgamation or consolidation;</w:t>
      </w:r>
    </w:p>
    <w:p>
      <w:pPr>
        <w:spacing w:after="0" w:line="158" w:lineRule="exact"/>
        <w:rPr>
          <w:sz w:val="20"/>
          <w:szCs w:val="20"/>
          <w:color w:val="auto"/>
        </w:rPr>
      </w:pPr>
    </w:p>
    <w:p>
      <w:pPr>
        <w:jc w:val="both"/>
        <w:ind w:left="660" w:firstLine="644"/>
        <w:spacing w:after="0" w:line="272" w:lineRule="auto"/>
        <w:tabs>
          <w:tab w:leader="none" w:pos="2005"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w:t>
      </w:r>
    </w:p>
    <w:p>
      <w:pPr>
        <w:spacing w:after="0" w:line="160" w:lineRule="exact"/>
        <w:rPr>
          <w:rFonts w:ascii="Times New Roman" w:cs="Times New Roman" w:eastAsia="Times New Roman" w:hAnsi="Times New Roman"/>
          <w:sz w:val="21"/>
          <w:szCs w:val="21"/>
          <w:color w:val="auto"/>
        </w:rPr>
      </w:pPr>
    </w:p>
    <w:p>
      <w:pPr>
        <w:ind w:left="660" w:firstLine="644"/>
        <w:spacing w:after="0" w:line="271" w:lineRule="auto"/>
        <w:tabs>
          <w:tab w:leader="none" w:pos="1941"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Receivables arising in the Ordinary Course of Business, and Investment in Receivables and related assets including pursuant to a Receivables Repurchase Obligation;</w:t>
      </w:r>
    </w:p>
    <w:p>
      <w:pPr>
        <w:spacing w:after="0" w:line="171"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outsourcing initiatives in the Ordinary Course of Business;</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Bond Hedge Transactions which constitute Investments;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07"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2036"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reimbursable extensions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Investment made pursuant to this clause (18) shall not be permitted if unreimbursed within 90 days of any such extension of credit;</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47"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financing any pre-delivery, progress or other similar payments relating to the acquisition of Aircraft Related Equipment;</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98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Non-Recourse Financing Subsidiaries (other than Receivables Subsidiaries in connection with Qualified Receivables Transactions), in an aggregate amount outstanding at any time not to exceed $300,000,000;</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38"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2094"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clause (22) (excluding Investments existing on the Closing Date) shall not exceed $300,000,000 at any time outstanding;</w:t>
      </w:r>
    </w:p>
    <w:p>
      <w:pPr>
        <w:spacing w:after="0" w:line="231" w:lineRule="exact"/>
        <w:rPr>
          <w:sz w:val="20"/>
          <w:szCs w:val="20"/>
          <w:color w:val="auto"/>
        </w:rPr>
      </w:pPr>
    </w:p>
    <w:p>
      <w:pPr>
        <w:ind w:left="660" w:firstLine="644"/>
        <w:spacing w:after="0" w:line="271" w:lineRule="auto"/>
        <w:tabs>
          <w:tab w:leader="none" w:pos="1932"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payroll advances and advances for business and travel expenses in the Ordinary Course of Business;</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92"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by way of any endorsement of negotiable instruments received in the Ordinary Course of Business and presented to any bank for collection or deposit;</w:t>
      </w:r>
    </w:p>
    <w:p>
      <w:pPr>
        <w:spacing w:after="0" w:line="157"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89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stock, obligations or securities received in settlement of amounts owing to Parent or any Restricted Subsidiary in the Ordinary Course of Business or in a distribution received in respect of an Investment permitted hereunder;</w:t>
      </w:r>
    </w:p>
    <w:p>
      <w:pPr>
        <w:spacing w:after="0" w:line="186" w:lineRule="exact"/>
        <w:rPr>
          <w:rFonts w:ascii="Times New Roman" w:cs="Times New Roman" w:eastAsia="Times New Roman" w:hAnsi="Times New Roman"/>
          <w:sz w:val="22"/>
          <w:szCs w:val="22"/>
          <w:color w:val="auto"/>
        </w:rPr>
      </w:pPr>
    </w:p>
    <w:p>
      <w:pPr>
        <w:ind w:left="2080" w:hanging="776"/>
        <w:spacing w:after="0"/>
        <w:tabs>
          <w:tab w:leader="none" w:pos="208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Unrestricted Subsidiaries not to exceed $30,000,000 in any fiscal year in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w:t>
      </w:r>
    </w:p>
    <w:p>
      <w:pPr>
        <w:spacing w:after="0" w:line="195"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0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903"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advances and loans to Affiliates of Parent or any of its Restricted Subsidiaries, in an aggregate amount outstanding at any time not to exceed $300,000,000;</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96"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Excluded Subsidiaries consistent with past practice and not to exceed $30,000,000 per fiscal year in the aggregate;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32"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16"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has occurred and is continuing, any Investment by Parent and/or any Restricted Subsidiary of Parent;</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21"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 and</w:t>
      </w:r>
    </w:p>
    <w:p>
      <w:pPr>
        <w:spacing w:after="0" w:line="179" w:lineRule="exact"/>
        <w:rPr>
          <w:rFonts w:ascii="Times New Roman" w:cs="Times New Roman" w:eastAsia="Times New Roman" w:hAnsi="Times New Roman"/>
          <w:sz w:val="22"/>
          <w:szCs w:val="22"/>
          <w:color w:val="auto"/>
        </w:rPr>
      </w:pPr>
    </w:p>
    <w:p>
      <w:pPr>
        <w:ind w:left="660" w:firstLine="644"/>
        <w:spacing w:after="0" w:line="271" w:lineRule="auto"/>
        <w:tabs>
          <w:tab w:leader="none" w:pos="198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by each of Parent and its Restricted Subsidiaries of the Capital Stock of each of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780" w:hanging="476"/>
        <w:spacing w:after="0"/>
        <w:tabs>
          <w:tab w:leader="none" w:pos="178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held by the Collateral Agent or trustee (as applicable) securing Obligations;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76"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Junior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(x) rank junior to the Liens in favor of the Collateral Agent securing the Obligations and (y) be subject to any Intercreditor Agreement or any Other Intercreditor Agreement;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7"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assessments or governmental charges or claims that are not yet delinquent or that are being contested in good faith by appropriate proceedings promptly instituted and diligently pursued;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reserve or other appropriate provision as is required in conformity with GAAP has been made therefor;</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78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including carriers’, vendors’, materialmen’s, warehousemen’s, landlord’s, mechanics’, repairmen’s, employees’ or other like Liens, in each case, incurred in the Ordinary Course of Business;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38"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connection with judgments, attachments or awards which do not constitute an Event of Default hereunder;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for the benefit of (or to secure) the Obligations or any Guaranty Obligations;</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84"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Receivables and related assets of the type specified in the definition of “Qualified Receivables Transaction,” incurred in connection with a Qualified Receivables Transaction;</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84"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set-off in favor of the depository bank or securities intermediary in respect of the Letter of Credit Account or the Collateral Proceeds Account;</w:t>
      </w:r>
    </w:p>
    <w:p>
      <w:pPr>
        <w:spacing w:after="0" w:line="176"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824"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Agent pursuant to the Collateral Documents or (B) otherwise expressly permitted by the Collateral Documents;</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208"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mortgages, easements (including, without limitation, reciprocal easement agreements and utility agreements), rights of way, covenants, reservations, encroachments, land use restrictions, encumbrances or other similar matters and title defects, in each case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they relate to Real Property Assets, which (A) do not interfere materially with the ordinary conduct of the business of Parent and its Subsidiaries, taken as a whole, or their utilization of such property, (B) do not materially detract from the value of the property to which they attach or materially impair the use thereof to Parent and its Subsidiaries, taken as a whole and (C) do not materially adversely affect the marketability of the applicable property;</w:t>
      </w:r>
    </w:p>
    <w:p>
      <w:pPr>
        <w:spacing w:after="0" w:line="176" w:lineRule="exact"/>
        <w:rPr>
          <w:sz w:val="20"/>
          <w:szCs w:val="20"/>
          <w:color w:val="auto"/>
        </w:rPr>
      </w:pPr>
    </w:p>
    <w:p>
      <w:pPr>
        <w:ind w:left="660" w:firstLine="644"/>
        <w:spacing w:after="0" w:line="271" w:lineRule="auto"/>
        <w:tabs>
          <w:tab w:leader="none" w:pos="2011"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salvage or similar rights of insurers, in each case as it relates to any aircraft, airframe, engine or any Additional Collateral, if any;</w:t>
      </w:r>
    </w:p>
    <w:p>
      <w:pPr>
        <w:spacing w:after="0" w:line="157" w:lineRule="exact"/>
        <w:rPr>
          <w:rFonts w:ascii="Times New Roman" w:cs="Times New Roman" w:eastAsia="Times New Roman" w:hAnsi="Times New Roman"/>
          <w:sz w:val="22"/>
          <w:szCs w:val="22"/>
          <w:color w:val="auto"/>
        </w:rPr>
      </w:pPr>
    </w:p>
    <w:p>
      <w:pPr>
        <w:ind w:left="660" w:firstLine="644"/>
        <w:spacing w:after="0" w:line="295" w:lineRule="auto"/>
        <w:tabs>
          <w:tab w:leader="none" w:pos="1884"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as it relates to any aircraft, Liens on appliances, parts, components, instruments, appurtenances, furnishings and other equipment installed on such aircraft and separately financed by a Grantor, to secure such financing;</w:t>
      </w:r>
    </w:p>
    <w:p>
      <w:pPr>
        <w:spacing w:after="0" w:line="148" w:lineRule="exact"/>
        <w:rPr>
          <w:rFonts w:ascii="Times New Roman" w:cs="Times New Roman" w:eastAsia="Times New Roman" w:hAnsi="Times New Roman"/>
          <w:sz w:val="21"/>
          <w:szCs w:val="21"/>
          <w:color w:val="auto"/>
        </w:rPr>
      </w:pPr>
    </w:p>
    <w:p>
      <w:pPr>
        <w:ind w:left="660" w:firstLine="644"/>
        <w:spacing w:after="0" w:line="271" w:lineRule="auto"/>
        <w:tabs>
          <w:tab w:leader="none" w:pos="1959"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the Ordinary Course of Business of Parent or any Restricted Subsidiary of Parent with respect to obligations that do not exceed in the aggregate $30,000,000 at any one time outstanding;</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08"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directly resulting from (x) any Disposition permitted under Section 6.04 or (y) any sale of such Collateral in compliance with Section 6.04;</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3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Restriction that applies to the transfer or assignment (other than the pledge, grant or creation of a security interest or mortgage) of any asset, right or property constituting Collateral;</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98"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engines (including spare engines) or parts (including spare parts), Liens relating to any pooling, exchange, interchange, borrowing or maintenance servicing agreement or arrangement entered into in the Ordinary Course of Business;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46"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spare parts, purchase money security interest Liens held by a vendor for goods purchased from such vendor, in each case arising in the Ordinary Course of Business and for which the Borrower or the applicable Grantor pays such vendor within 60 days of such purchase;</w:t>
      </w:r>
    </w:p>
    <w:p>
      <w:pPr>
        <w:spacing w:after="0" w:line="16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permitted by any of the Collateral Documents;</w:t>
      </w:r>
    </w:p>
    <w:p>
      <w:pPr>
        <w:spacing w:after="0" w:line="215"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08"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Pari Passu Senior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(x)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Liens in favor of the Collateral Agent securing the Obligations and (y) be subject to any Intercreditor Agreement or any Other Intercreditor Agreement;</w:t>
      </w:r>
    </w:p>
    <w:p>
      <w:pPr>
        <w:spacing w:after="0" w:line="183" w:lineRule="exact"/>
        <w:rPr>
          <w:rFonts w:ascii="Times New Roman" w:cs="Times New Roman" w:eastAsia="Times New Roman" w:hAnsi="Times New Roman"/>
          <w:sz w:val="22"/>
          <w:szCs w:val="22"/>
          <w:color w:val="auto"/>
        </w:rPr>
      </w:pPr>
    </w:p>
    <w:p>
      <w:pPr>
        <w:ind w:left="660" w:firstLine="644"/>
        <w:spacing w:after="0" w:line="271" w:lineRule="auto"/>
        <w:tabs>
          <w:tab w:leader="none" w:pos="1926"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leased real property, any interest or title of the lessor thereof;</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22"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creditors of any Person to whom Parent’s or any of its Restricted Subsidiaries’ assets constituting Collateral of the type described in clause (c), (d) or (e)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definition of “Additional Collateral” are consigned for sale in the Ordinary Course of Business, so long as such Liens of such creditors are subject and subordinate to the Liens of the Collateral Agent on such Collateral;</w:t>
      </w:r>
    </w:p>
    <w:p>
      <w:pPr>
        <w:spacing w:after="0" w:line="158" w:lineRule="exact"/>
        <w:rPr>
          <w:sz w:val="20"/>
          <w:szCs w:val="20"/>
          <w:color w:val="auto"/>
        </w:rPr>
      </w:pPr>
    </w:p>
    <w:p>
      <w:pPr>
        <w:ind w:left="660" w:firstLine="644"/>
        <w:spacing w:after="0" w:line="284" w:lineRule="auto"/>
        <w:tabs>
          <w:tab w:leader="none" w:pos="1963"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and similar financing statements relating to Operating Leases not otherwise prohibited under any Loan Document; and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103"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Ground Service Equipment constituting Collateral solely to the extent attributable to the possession or use of such Ground Service Equipment constituting Collateral by any Subsidiary of Parent, so long as such Liens are subject and subordinate to the Lien of the Collateral Agent on such Collateral.</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Person</w:t>
      </w:r>
      <w:r>
        <w:rPr>
          <w:rFonts w:ascii="Times New Roman" w:cs="Times New Roman" w:eastAsia="Times New Roman" w:hAnsi="Times New Roman"/>
          <w:sz w:val="22"/>
          <w:szCs w:val="22"/>
          <w:color w:val="auto"/>
        </w:rPr>
        <w:t>” shall have the meaning set forth in the definition of “</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Refinancing Indebtedness</w:t>
      </w:r>
      <w:r>
        <w:rPr>
          <w:rFonts w:ascii="Times New Roman" w:cs="Times New Roman" w:eastAsia="Times New Roman" w:hAnsi="Times New Roman"/>
          <w:sz w:val="22"/>
          <w:szCs w:val="22"/>
          <w:color w:val="auto"/>
        </w:rPr>
        <w:t xml:space="preserve">”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9" w:lineRule="exact"/>
        <w:rPr>
          <w:sz w:val="20"/>
          <w:szCs w:val="20"/>
          <w:color w:val="auto"/>
        </w:rPr>
      </w:pPr>
    </w:p>
    <w:p>
      <w:pPr>
        <w:jc w:val="both"/>
        <w:ind w:left="660" w:firstLine="644"/>
        <w:spacing w:after="0" w:line="248" w:lineRule="auto"/>
        <w:tabs>
          <w:tab w:leader="none" w:pos="1815"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Times New Roman" w:cs="Times New Roman" w:eastAsia="Times New Roman" w:hAnsi="Times New Roman"/>
          <w:sz w:val="22"/>
          <w:szCs w:val="22"/>
          <w:i w:val="1"/>
          <w:iCs w:val="1"/>
          <w:color w:val="auto"/>
        </w:rPr>
        <w:t>preceding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Permitted Refinancing Indebtedness that is refinancing secured Indebtedness and is secured by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9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1"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98" w:lineRule="exact"/>
        <w:rPr>
          <w:sz w:val="20"/>
          <w:szCs w:val="20"/>
          <w:color w:val="auto"/>
        </w:rPr>
      </w:pPr>
    </w:p>
    <w:p>
      <w:pPr>
        <w:jc w:val="both"/>
        <w:ind w:left="660" w:firstLine="644"/>
        <w:spacing w:after="0" w:line="256" w:lineRule="auto"/>
        <w:tabs>
          <w:tab w:leader="none" w:pos="1928"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5"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17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Warrant Transaction</w:t>
      </w:r>
      <w:r>
        <w:rPr>
          <w:rFonts w:ascii="Times New Roman" w:cs="Times New Roman" w:eastAsia="Times New Roman" w:hAnsi="Times New Roman"/>
          <w:sz w:val="22"/>
          <w:szCs w:val="22"/>
          <w:color w:val="auto"/>
        </w:rPr>
        <w:t>” shall mean any call option, warrant or right to purchase (or substantively equivalent derivative transaction) on Parent’s common stock sold by Parent substantially concurrently with any purchase of a related Permitted Bond Hedge Transaction.</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shall mean any “employee benefit plan” (other than a “multiemployer plan” as defined in Section 4001(a)</w:t>
      </w:r>
    </w:p>
    <w:p>
      <w:pPr>
        <w:spacing w:after="0" w:line="43" w:lineRule="exact"/>
        <w:rPr>
          <w:sz w:val="20"/>
          <w:szCs w:val="20"/>
          <w:color w:val="auto"/>
        </w:rPr>
      </w:pPr>
    </w:p>
    <w:p>
      <w:pPr>
        <w:ind w:firstLine="8"/>
        <w:spacing w:after="0" w:line="261" w:lineRule="auto"/>
        <w:tabs>
          <w:tab w:leader="none" w:pos="306"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ERISA), that is maintained or is contributed to by the Borrower or any ERISA Affiliate and that is a pension plan subject to the provisions of Title IV of ERISA, Sections 412 or 430 of the Code or Section 302 of ERISA.</w:t>
      </w:r>
    </w:p>
    <w:p>
      <w:pPr>
        <w:spacing w:after="0" w:line="16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Pledged Foreign Gate Leaseholds</w:t>
      </w:r>
      <w:r>
        <w:rPr>
          <w:rFonts w:ascii="Times New Roman" w:cs="Times New Roman" w:eastAsia="Times New Roman" w:hAnsi="Times New Roman"/>
          <w:sz w:val="22"/>
          <w:szCs w:val="22"/>
          <w:color w:val="auto"/>
        </w:rPr>
        <w:t>” shall mean, as of any date, the Foreign Gate Leaseholds included in the Collateral as of such date.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Pledged Route Authorities</w:t>
      </w:r>
      <w:r>
        <w:rPr>
          <w:rFonts w:ascii="Times New Roman" w:cs="Times New Roman" w:eastAsia="Times New Roman" w:hAnsi="Times New Roman"/>
          <w:sz w:val="21"/>
          <w:szCs w:val="21"/>
          <w:color w:val="auto"/>
        </w:rPr>
        <w:t>” shall mean, as of any date, the Route Authorities included in the Collateral as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Pledged Slots</w:t>
      </w:r>
      <w:r>
        <w:rPr>
          <w:rFonts w:ascii="Times New Roman" w:cs="Times New Roman" w:eastAsia="Times New Roman" w:hAnsi="Times New Roman"/>
          <w:sz w:val="22"/>
          <w:szCs w:val="22"/>
          <w:color w:val="auto"/>
        </w:rPr>
        <w:t>” shall mean, as of any date, the Slots included in the Collateral as of such date.</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Prime Rate</w:t>
      </w:r>
      <w:r>
        <w:rPr>
          <w:rFonts w:ascii="Times New Roman" w:cs="Times New Roman" w:eastAsia="Times New Roman" w:hAnsi="Times New Roman"/>
          <w:sz w:val="22"/>
          <w:szCs w:val="22"/>
          <w:color w:val="auto"/>
        </w:rPr>
        <w:t>” shall mean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debtors); each change in the Prime Rate shall be effective from and including the date such change is publicly announced as being effective.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QEC Kits</w:t>
      </w:r>
      <w:r>
        <w:rPr>
          <w:rFonts w:ascii="Times New Roman" w:cs="Times New Roman" w:eastAsia="Times New Roman" w:hAnsi="Times New Roman"/>
          <w:sz w:val="22"/>
          <w:szCs w:val="22"/>
          <w:color w:val="auto"/>
        </w:rPr>
        <w:t>” shall mean the quick engine change kits owned by Parent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Receivables Transaction</w:t>
      </w:r>
      <w:r>
        <w:rPr>
          <w:rFonts w:ascii="Times New Roman" w:cs="Times New Roman" w:eastAsia="Times New Roman" w:hAnsi="Times New Roman"/>
          <w:sz w:val="22"/>
          <w:szCs w:val="22"/>
          <w:color w:val="auto"/>
        </w:rPr>
        <w:t>”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w:t>
      </w:r>
    </w:p>
    <w:p>
      <w:pPr>
        <w:spacing w:after="0" w:line="18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Replacement Assets</w:t>
      </w:r>
      <w:r>
        <w:rPr>
          <w:rFonts w:ascii="Times New Roman" w:cs="Times New Roman" w:eastAsia="Times New Roman" w:hAnsi="Times New Roman"/>
          <w:sz w:val="22"/>
          <w:szCs w:val="22"/>
          <w:color w:val="auto"/>
        </w:rPr>
        <w:t>” shall mean Additional Collateral of the types described in clauses (b), (c), (d) and (e) of the definition of “Additional Collateral.”</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Collateral</w:t>
      </w:r>
      <w:r>
        <w:rPr>
          <w:rFonts w:ascii="Times New Roman" w:cs="Times New Roman" w:eastAsia="Times New Roman" w:hAnsi="Times New Roman"/>
          <w:sz w:val="22"/>
          <w:szCs w:val="22"/>
          <w:color w:val="auto"/>
        </w:rPr>
        <w:t>” shall mean Collateral other than Foreign Gate Leaseholds.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Equity Interests</w:t>
      </w:r>
      <w:r>
        <w:rPr>
          <w:rFonts w:ascii="Times New Roman" w:cs="Times New Roman" w:eastAsia="Times New Roman" w:hAnsi="Times New Roman"/>
          <w:sz w:val="22"/>
          <w:szCs w:val="22"/>
          <w:color w:val="auto"/>
        </w:rPr>
        <w:t>” shall mean Equity Interests of Parent other than Disqualified Stock.</w:t>
      </w:r>
    </w:p>
    <w:p>
      <w:pPr>
        <w:spacing w:after="0" w:line="22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Real Property Assets</w:t>
      </w:r>
      <w:r>
        <w:rPr>
          <w:rFonts w:ascii="Times New Roman" w:cs="Times New Roman" w:eastAsia="Times New Roman" w:hAnsi="Times New Roman"/>
          <w:sz w:val="22"/>
          <w:szCs w:val="22"/>
          <w:color w:val="auto"/>
        </w:rPr>
        <w:t>”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w:t>
      </w:r>
    </w:p>
    <w:p>
      <w:pPr>
        <w:spacing w:after="0" w:line="16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w:t>
      </w:r>
      <w:r>
        <w:rPr>
          <w:rFonts w:ascii="Times New Roman" w:cs="Times New Roman" w:eastAsia="Times New Roman" w:hAnsi="Times New Roman"/>
          <w:sz w:val="22"/>
          <w:szCs w:val="22"/>
          <w:color w:val="auto"/>
        </w:rPr>
        <w:t>” shall mean Accounts, and shall also include ticket receivables, sales of frequent flyer miles and other present and future revenues and receivables that may be the subject of a Qualified Receivables Transaction.</w:t>
      </w:r>
    </w:p>
    <w:p>
      <w:pPr>
        <w:spacing w:after="0" w:line="16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 Repurchase Obligation</w:t>
      </w:r>
      <w:r>
        <w:rPr>
          <w:rFonts w:ascii="Times New Roman" w:cs="Times New Roman" w:eastAsia="Times New Roman" w:hAnsi="Times New Roman"/>
          <w:sz w:val="22"/>
          <w:szCs w:val="22"/>
          <w:color w:val="auto"/>
        </w:rPr>
        <w:t>”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 Subsidiary</w:t>
      </w:r>
      <w:r>
        <w:rPr>
          <w:rFonts w:ascii="Times New Roman" w:cs="Times New Roman" w:eastAsia="Times New Roman" w:hAnsi="Times New Roman"/>
          <w:sz w:val="22"/>
          <w:szCs w:val="22"/>
          <w:color w:val="auto"/>
        </w:rPr>
        <w:t>” shall mean (x) a Subsidiary of Parent which engages in no activities other than in connection with the financing or securitization of Receivables and which is designated by the Board of Directors of the Borrower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Times New Roman" w:cs="Times New Roman" w:eastAsia="Times New Roman" w:hAnsi="Times New Roman"/>
          <w:sz w:val="22"/>
          <w:szCs w:val="22"/>
          <w:i w:val="1"/>
          <w:iCs w:val="1"/>
          <w:color w:val="auto"/>
        </w:rPr>
        <w:t>incidental pledge</w:t>
      </w:r>
      <w:r>
        <w:rPr>
          <w:rFonts w:ascii="Times New Roman" w:cs="Times New Roman" w:eastAsia="Times New Roman" w:hAnsi="Times New Roman"/>
          <w:sz w:val="22"/>
          <w:szCs w:val="22"/>
          <w:color w:val="auto"/>
        </w:rPr>
        <w:t>”), and excluding any guarantees of obligations (other than the principal of, and interest on, Indebtedness) pursuant to representations, warranties, covenants and indemnities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w:t>
      </w:r>
      <w:r>
        <w:rPr>
          <w:rFonts w:ascii="Times New Roman" w:cs="Times New Roman" w:eastAsia="Times New Roman" w:hAnsi="Times New Roman"/>
          <w:sz w:val="22"/>
          <w:szCs w:val="22"/>
          <w:i w:val="1"/>
          <w:iCs w:val="1"/>
          <w:color w:val="auto"/>
        </w:rPr>
        <w:t>Qualified Receivables Transaction</w:t>
      </w:r>
      <w:r>
        <w:rPr>
          <w:rFonts w:ascii="Times New Roman" w:cs="Times New Roman" w:eastAsia="Times New Roman" w:hAnsi="Times New Roman"/>
          <w:sz w:val="22"/>
          <w:szCs w:val="22"/>
          <w:color w:val="auto"/>
        </w:rPr>
        <w:t>”),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Recovery Event</w:t>
      </w:r>
      <w:r>
        <w:rPr>
          <w:rFonts w:ascii="Times New Roman" w:cs="Times New Roman" w:eastAsia="Times New Roman" w:hAnsi="Times New Roman"/>
          <w:sz w:val="22"/>
          <w:szCs w:val="22"/>
          <w:color w:val="auto"/>
        </w:rPr>
        <w:t>”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Agent or trustee (as applicable), if applicable).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Revolving Loans</w:t>
      </w:r>
      <w:r>
        <w:rPr>
          <w:rFonts w:ascii="Times New Roman" w:cs="Times New Roman" w:eastAsia="Times New Roman" w:hAnsi="Times New Roman"/>
          <w:sz w:val="22"/>
          <w:szCs w:val="22"/>
          <w:color w:val="auto"/>
        </w:rPr>
        <w:t>” shall have the meaning set forth in Section 10.08(e).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Term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Regional Airline</w:t>
      </w:r>
      <w:r>
        <w:rPr>
          <w:rFonts w:ascii="Times New Roman" w:cs="Times New Roman" w:eastAsia="Times New Roman" w:hAnsi="Times New Roman"/>
          <w:sz w:val="22"/>
          <w:szCs w:val="22"/>
          <w:color w:val="auto"/>
        </w:rPr>
        <w:t>” shall mean Envoy Aviation Group Inc., Piedmont Airlines, Inc. and PSA Airlines, Inc. and their respective Subsidiaries.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shall have the meaning set forth in Section 10.02(b)(iv).</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shall mean, with respect to any specified Person, such Person’s Affiliates and the respective directors, officers, partners, members, employees, agents and advisors of such Person and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9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shall have the meaning specified in Section 101(22) of the Comprehensive Environmental Response Compensation and Liability Act.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Rating</w:t>
      </w:r>
      <w:r>
        <w:rPr>
          <w:rFonts w:ascii="Times New Roman" w:cs="Times New Roman" w:eastAsia="Times New Roman" w:hAnsi="Times New Roman"/>
          <w:sz w:val="22"/>
          <w:szCs w:val="22"/>
          <w:color w:val="auto"/>
        </w:rPr>
        <w:t>” shall have the meaning specified in the definition of “Applicable Margin”.</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Replaceable Lender</w:t>
      </w:r>
      <w:r>
        <w:rPr>
          <w:rFonts w:ascii="Times New Roman" w:cs="Times New Roman" w:eastAsia="Times New Roman" w:hAnsi="Times New Roman"/>
          <w:sz w:val="22"/>
          <w:szCs w:val="22"/>
          <w:color w:val="auto"/>
        </w:rPr>
        <w:t>” shall have the meaning set forth in Section 10.02(j).</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Term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Repricing Event</w:t>
      </w:r>
      <w:r>
        <w:rPr>
          <w:rFonts w:ascii="Times New Roman" w:cs="Times New Roman" w:eastAsia="Times New Roman" w:hAnsi="Times New Roman"/>
          <w:sz w:val="22"/>
          <w:szCs w:val="22"/>
          <w:color w:val="auto"/>
        </w:rPr>
        <w:t>” shall mean (a) any prepayment, repayment, refinancing, substitution or replacement of all or a portion of the 2020 Term Loans with the proceeds of, or any conversion of 2020 Term Loans into, any new or replacement Class of, or new facility of, syndicated term loans by the Borrower in the principal amount of the 2020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2020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2020 Term Loans or any tranche thereof which reduces the “effective yield” applicable to such 2020 Term Loans (as determined on the same basis as provided in clause (a)), in each case only if the primary purpose of such prepayment, repayment, substitution, replacement or amendment was to reduce the “effective yield” applicable to such 2020 Term Loans.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Class Lenders</w:t>
      </w:r>
      <w:r>
        <w:rPr>
          <w:rFonts w:ascii="Times New Roman" w:cs="Times New Roman" w:eastAsia="Times New Roman" w:hAnsi="Times New Roman"/>
          <w:sz w:val="22"/>
          <w:szCs w:val="22"/>
          <w:color w:val="auto"/>
        </w:rPr>
        <w:t>” shall mean (i) with respect to any Class of Term Loans, the Term Lenders having more than 50% of all outstanding Term Loans of such Class and (ii) with respect to the Revolving Loans of a Class, the Required Revolving Lenders of such Class. The outstanding Term Loans and Term Loan Commitments of any Defaulting Lender should be disregarded for purposes of any determination with respect to a Class of Term Loans.</w:t>
      </w:r>
    </w:p>
    <w:p>
      <w:pPr>
        <w:spacing w:after="0" w:line="16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Lenders</w:t>
      </w:r>
      <w:r>
        <w:rPr>
          <w:rFonts w:ascii="Times New Roman" w:cs="Times New Roman" w:eastAsia="Times New Roman" w:hAnsi="Times New Roman"/>
          <w:sz w:val="22"/>
          <w:szCs w:val="22"/>
          <w:color w:val="auto"/>
        </w:rPr>
        <w:t>” shall mean, at any time, Lenders holding more than 50% of (a) until the Closing Date, the Commitments then in effect and (b) thereafter, the sum of (i) the aggregate principal amount of all Term Loans outstanding and</w:t>
      </w:r>
    </w:p>
    <w:p>
      <w:pPr>
        <w:spacing w:after="0" w:line="1" w:lineRule="exact"/>
        <w:rPr>
          <w:sz w:val="20"/>
          <w:szCs w:val="20"/>
          <w:color w:val="auto"/>
        </w:rPr>
      </w:pPr>
    </w:p>
    <w:p>
      <w:pPr>
        <w:jc w:val="both"/>
        <w:ind w:firstLine="8"/>
        <w:spacing w:after="0" w:line="252" w:lineRule="auto"/>
        <w:tabs>
          <w:tab w:leader="none" w:pos="373"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Revolving Lenders</w:t>
      </w:r>
      <w:r>
        <w:rPr>
          <w:rFonts w:ascii="Times New Roman" w:cs="Times New Roman" w:eastAsia="Times New Roman" w:hAnsi="Times New Roman"/>
          <w:sz w:val="22"/>
          <w:szCs w:val="22"/>
          <w:color w:val="auto"/>
        </w:rPr>
        <w:t>” shall mean, at any time, Lenders holding more than 50% of the Total Revolving Commitments of a Class of Revolving Loans then in effect or, if the Revolving Commitments of such Class have been terminated, the Total Revolving Extensions of Credit then outstanding with respect to such Class. The Revolving Extensions of Credit and Revolving Commitments of any Defaulting Lender shall be disregarded in determining the “Required Revolving Lenders” at any time.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Term Lenders</w:t>
      </w:r>
      <w:r>
        <w:rPr>
          <w:rFonts w:ascii="Times New Roman" w:cs="Times New Roman" w:eastAsia="Times New Roman" w:hAnsi="Times New Roman"/>
          <w:sz w:val="22"/>
          <w:szCs w:val="22"/>
          <w:color w:val="auto"/>
        </w:rPr>
        <w:t>”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w:t>
      </w:r>
    </w:p>
    <w:p>
      <w:pPr>
        <w:spacing w:after="0" w:line="168" w:lineRule="exact"/>
        <w:rPr>
          <w:sz w:val="20"/>
          <w:szCs w:val="20"/>
          <w:color w:val="auto"/>
        </w:rPr>
      </w:pPr>
    </w:p>
    <w:p>
      <w:pPr>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Restatement Effective Date</w:t>
      </w:r>
      <w:r>
        <w:rPr>
          <w:rFonts w:ascii="Times New Roman" w:cs="Times New Roman" w:eastAsia="Times New Roman" w:hAnsi="Times New Roman"/>
          <w:sz w:val="22"/>
          <w:szCs w:val="22"/>
          <w:color w:val="auto"/>
        </w:rPr>
        <w:t>” shall mean April 20, 2015.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Investment</w:t>
      </w:r>
      <w:r>
        <w:rPr>
          <w:rFonts w:ascii="Times New Roman" w:cs="Times New Roman" w:eastAsia="Times New Roman" w:hAnsi="Times New Roman"/>
          <w:sz w:val="22"/>
          <w:szCs w:val="22"/>
          <w:color w:val="auto"/>
        </w:rPr>
        <w:t>” shall mean an Investment other than a Permitted Investment.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 shall have the meaning set forth in Section 6.01(a)(iv).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Subsidiary</w:t>
      </w:r>
      <w:r>
        <w:rPr>
          <w:rFonts w:ascii="Times New Roman" w:cs="Times New Roman" w:eastAsia="Times New Roman" w:hAnsi="Times New Roman"/>
          <w:sz w:val="22"/>
          <w:szCs w:val="22"/>
          <w:color w:val="auto"/>
        </w:rPr>
        <w:t>” of a Person shall mean any Subsidiary of the referent Person that is not an Unrestricted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w:t>
      </w:r>
      <w:r>
        <w:rPr>
          <w:rFonts w:ascii="Times New Roman" w:cs="Times New Roman" w:eastAsia="Times New Roman" w:hAnsi="Times New Roman"/>
          <w:sz w:val="22"/>
          <w:szCs w:val="22"/>
          <w:color w:val="auto"/>
        </w:rPr>
        <w:t>” shall have the meaning set forth in Section 2.28(b).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 Offer</w:t>
      </w:r>
      <w:r>
        <w:rPr>
          <w:rFonts w:ascii="Times New Roman" w:cs="Times New Roman" w:eastAsia="Times New Roman" w:hAnsi="Times New Roman"/>
          <w:sz w:val="22"/>
          <w:szCs w:val="22"/>
          <w:color w:val="auto"/>
        </w:rPr>
        <w:t>” shall have the meaning set forth in Section 2.28(b).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 Offer Date</w:t>
      </w:r>
      <w:r>
        <w:rPr>
          <w:rFonts w:ascii="Times New Roman" w:cs="Times New Roman" w:eastAsia="Times New Roman" w:hAnsi="Times New Roman"/>
          <w:sz w:val="22"/>
          <w:szCs w:val="22"/>
          <w:color w:val="auto"/>
        </w:rPr>
        <w:t>” shall have the meaning set forth in Section 2.28(b)(i).</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Availability Period</w:t>
      </w:r>
      <w:r>
        <w:rPr>
          <w:rFonts w:ascii="Times New Roman" w:cs="Times New Roman" w:eastAsia="Times New Roman" w:hAnsi="Times New Roman"/>
          <w:sz w:val="22"/>
          <w:szCs w:val="22"/>
          <w:color w:val="auto"/>
        </w:rPr>
        <w:t>” shall mean the period from and including the Closing Date to but excluding the Revolving Facility Termination Date with respect to the applicable Revolving Commitments.</w:t>
      </w:r>
    </w:p>
    <w:p>
      <w:pPr>
        <w:spacing w:after="0" w:line="16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w:t>
      </w:r>
      <w:r>
        <w:rPr>
          <w:rFonts w:ascii="Times New Roman" w:cs="Times New Roman" w:eastAsia="Times New Roman" w:hAnsi="Times New Roman"/>
          <w:sz w:val="22"/>
          <w:szCs w:val="22"/>
          <w:color w:val="auto"/>
        </w:rPr>
        <w:t>” shall mean the commitment of each Revolving Lender to make Revolving Loans and participate in Letters of Credit hereunder in an aggregate principal and/or face amount not to exceed the amount set forth under the heading “</w:t>
      </w:r>
      <w:r>
        <w:rPr>
          <w:rFonts w:ascii="Times New Roman" w:cs="Times New Roman" w:eastAsia="Times New Roman" w:hAnsi="Times New Roman"/>
          <w:sz w:val="22"/>
          <w:szCs w:val="22"/>
          <w:b w:val="1"/>
          <w:bCs w:val="1"/>
          <w:color w:val="FF0000"/>
          <w:strike w:val="1"/>
        </w:rPr>
        <w:t>Existing Revolving Commitment” and/or “2023</w:t>
      </w:r>
      <w:r>
        <w:rPr>
          <w:rFonts w:ascii="Times New Roman" w:cs="Times New Roman" w:eastAsia="Times New Roman" w:hAnsi="Times New Roman"/>
          <w:sz w:val="22"/>
          <w:szCs w:val="22"/>
          <w:b w:val="1"/>
          <w:bCs w:val="1"/>
          <w:u w:val="single" w:color="auto"/>
          <w:color w:val="0000FF"/>
        </w:rPr>
        <w:t>2024</w:t>
      </w:r>
      <w:r>
        <w:rPr>
          <w:rFonts w:ascii="Times New Roman" w:cs="Times New Roman" w:eastAsia="Times New Roman" w:hAnsi="Times New Roman"/>
          <w:sz w:val="22"/>
          <w:szCs w:val="22"/>
          <w:color w:val="auto"/>
        </w:rPr>
        <w:t xml:space="preserve"> Incremental Revolving </w:t>
      </w:r>
      <w:r>
        <w:rPr>
          <w:rFonts w:ascii="Times New Roman" w:cs="Times New Roman" w:eastAsia="Times New Roman" w:hAnsi="Times New Roman"/>
          <w:sz w:val="22"/>
          <w:szCs w:val="22"/>
          <w:b w:val="1"/>
          <w:bCs w:val="1"/>
          <w:color w:val="FF0000"/>
          <w:strike w:val="1"/>
        </w:rPr>
        <w:t>Commitment”,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applicable,</w:t>
      </w:r>
      <w:r>
        <w:rPr>
          <w:rFonts w:ascii="Times New Roman" w:cs="Times New Roman" w:eastAsia="Times New Roman" w:hAnsi="Times New Roman"/>
          <w:sz w:val="22"/>
          <w:szCs w:val="22"/>
          <w:b w:val="1"/>
          <w:bCs w:val="1"/>
          <w:u w:val="single" w:color="auto"/>
          <w:color w:val="0000FF"/>
        </w:rPr>
        <w:t>Commitments”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opposite its name in</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u w:val="single" w:color="auto"/>
          <w:color w:val="000000"/>
        </w:rPr>
        <w:t>Annex A</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hereto or in the Assignment and Acceptance pursuant to which such</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Revolving Lender became a party hereto, as the same may be changed from time to time pursuant to the terms hereof</w:t>
      </w:r>
      <w:r>
        <w:rPr>
          <w:rFonts w:ascii="Times New Roman" w:cs="Times New Roman" w:eastAsia="Times New Roman" w:hAnsi="Times New Roman"/>
          <w:sz w:val="22"/>
          <w:szCs w:val="22"/>
          <w:b w:val="1"/>
          <w:bCs w:val="1"/>
          <w:color w:val="FF0000"/>
          <w:strike w:val="1"/>
        </w:rPr>
        <w:t>; 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FF0000"/>
          <w:strike w:val="1"/>
        </w:rPr>
        <w:t>that 2023 Incremental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type w:val="continuous"/>
        </w:sectPr>
      </w:pPr>
    </w:p>
    <w:bookmarkStart w:id="413" w:name="page414"/>
    <w:bookmarkEnd w:id="413"/>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b w:val="1"/>
          <w:bCs w:val="1"/>
          <w:color w:val="FF0000"/>
          <w:strike w:val="1"/>
        </w:rPr>
        <w:t>Commitments and the Existing Revolving Commitments shall be treated as the same Class for purposes of Sections 2.01 and 2.17(e) of this Agreement to but excluding October 11, 2024</w:t>
      </w:r>
      <w:r>
        <w:rPr>
          <w:rFonts w:ascii="Times New Roman" w:cs="Times New Roman" w:eastAsia="Times New Roman" w:hAnsi="Times New Roman"/>
          <w:sz w:val="22"/>
          <w:szCs w:val="22"/>
          <w:color w:val="000000"/>
          <w:strike w:val="1"/>
        </w:rPr>
        <w:t>. The aggregate principal amount of the</w:t>
      </w:r>
      <w:r>
        <w:rPr>
          <w:rFonts w:ascii="Times New Roman" w:cs="Times New Roman" w:eastAsia="Times New Roman" w:hAnsi="Times New Roman"/>
          <w:sz w:val="22"/>
          <w:szCs w:val="22"/>
          <w:b w:val="1"/>
          <w:bCs w:val="1"/>
          <w:color w:val="FF0000"/>
          <w:strike w:val="1"/>
        </w:rPr>
        <w:t xml:space="preserve"> Total Revolving</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FF0000"/>
          <w:strike w:val="1"/>
        </w:rPr>
        <w:t xml:space="preserve">Commitments (other than 2023 Incremental Revolving Commitments) is $382,624,000, and the aggregate principal amount of 2023 Incremental </w:t>
      </w:r>
      <w:r>
        <w:rPr>
          <w:rFonts w:ascii="Times New Roman" w:cs="Times New Roman" w:eastAsia="Times New Roman" w:hAnsi="Times New Roman"/>
          <w:sz w:val="22"/>
          <w:szCs w:val="22"/>
          <w:color w:val="000000"/>
          <w:strike w:val="1"/>
        </w:rPr>
        <w:t>Revolving Commitments as of the</w:t>
      </w:r>
      <w:r>
        <w:rPr>
          <w:rFonts w:ascii="Times New Roman" w:cs="Times New Roman" w:eastAsia="Times New Roman" w:hAnsi="Times New Roman"/>
          <w:sz w:val="22"/>
          <w:szCs w:val="22"/>
          <w:b w:val="1"/>
          <w:bCs w:val="1"/>
          <w:color w:val="FF0000"/>
          <w:strike w:val="1"/>
        </w:rPr>
        <w:t xml:space="preserve"> Ninth</w:t>
      </w:r>
      <w:r>
        <w:rPr>
          <w:rFonts w:ascii="Times New Roman" w:cs="Times New Roman" w:eastAsia="Times New Roman" w:hAnsi="Times New Roman"/>
          <w:sz w:val="22"/>
          <w:szCs w:val="22"/>
          <w:b w:val="1"/>
          <w:bCs w:val="1"/>
          <w:u w:val="single" w:color="auto"/>
          <w:color w:val="0000FF"/>
          <w:strike w:val="1"/>
        </w:rPr>
        <w:t>Tenth</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color w:val="000000"/>
          <w:strike w:val="1"/>
        </w:rPr>
        <w:t>Amendment Effective Date is</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color w:val="000000"/>
          <w:strike w:val="1"/>
        </w:rPr>
        <w:t>$</w:t>
      </w:r>
      <w:r>
        <w:rPr>
          <w:rFonts w:ascii="Times New Roman" w:cs="Times New Roman" w:eastAsia="Times New Roman" w:hAnsi="Times New Roman"/>
          <w:sz w:val="22"/>
          <w:szCs w:val="22"/>
          <w:b w:val="1"/>
          <w:bCs w:val="1"/>
          <w:color w:val="FF0000"/>
          <w:strike w:val="1"/>
        </w:rPr>
        <w:t>1,247,876,000</w:t>
      </w:r>
      <w:r>
        <w:rPr>
          <w:rFonts w:ascii="Times New Roman" w:cs="Times New Roman" w:eastAsia="Times New Roman" w:hAnsi="Times New Roman"/>
          <w:sz w:val="22"/>
          <w:szCs w:val="22"/>
          <w:b w:val="1"/>
          <w:bCs w:val="1"/>
          <w:u w:val="single" w:color="auto"/>
          <w:color w:val="0000FF"/>
          <w:strike w:val="1"/>
        </w:rPr>
        <w:t>1,500,000,000</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0491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 Percentage</w:t>
      </w:r>
      <w:r>
        <w:rPr>
          <w:rFonts w:ascii="Times New Roman" w:cs="Times New Roman" w:eastAsia="Times New Roman" w:hAnsi="Times New Roman"/>
          <w:sz w:val="22"/>
          <w:szCs w:val="22"/>
          <w:color w:val="auto"/>
        </w:rPr>
        <w:t>”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Extension of Credit</w:t>
      </w:r>
      <w:r>
        <w:rPr>
          <w:rFonts w:ascii="Times New Roman" w:cs="Times New Roman" w:eastAsia="Times New Roman" w:hAnsi="Times New Roman"/>
          <w:sz w:val="22"/>
          <w:szCs w:val="22"/>
          <w:color w:val="auto"/>
        </w:rPr>
        <w:t>” shall mean, as to any Revolving Lender at any time, an amount equal to the sum of (a) the aggregate principal amount of all Revolving Loans held by such Lender then outstanding and (b) such Lender’s Revolving Commitment Percentage of the LC Exposure then outstanding.</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w:t>
      </w:r>
      <w:r>
        <w:rPr>
          <w:rFonts w:ascii="Times New Roman" w:cs="Times New Roman" w:eastAsia="Times New Roman" w:hAnsi="Times New Roman"/>
          <w:sz w:val="22"/>
          <w:szCs w:val="22"/>
          <w:color w:val="auto"/>
        </w:rPr>
        <w:t>” shall mean the Revolving Commitments and the Revolving Loans made and Letters of Credit issued thereunder.</w:t>
      </w:r>
    </w:p>
    <w:p>
      <w:pPr>
        <w:spacing w:after="0" w:line="16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xml:space="preserve">” shall mean, (a) with respect to </w:t>
      </w:r>
      <w:r>
        <w:rPr>
          <w:rFonts w:ascii="Times New Roman" w:cs="Times New Roman" w:eastAsia="Times New Roman" w:hAnsi="Times New Roman"/>
          <w:sz w:val="22"/>
          <w:szCs w:val="22"/>
          <w:b w:val="1"/>
          <w:bCs w:val="1"/>
          <w:color w:val="FF0000"/>
          <w:strike w:val="1"/>
        </w:rPr>
        <w:t>Revolving Commitments other than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2023</w:t>
      </w:r>
      <w:r>
        <w:rPr>
          <w:rFonts w:ascii="Times New Roman" w:cs="Times New Roman" w:eastAsia="Times New Roman" w:hAnsi="Times New Roman"/>
          <w:sz w:val="22"/>
          <w:szCs w:val="22"/>
          <w:b w:val="1"/>
          <w:bCs w:val="1"/>
          <w:u w:val="single" w:color="auto"/>
          <w:color w:val="0000FF"/>
        </w:rPr>
        <w:t>2024</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Incremental Revolving Commitments,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October 11, 2024, (b) with respect to 2023 Incremental Revolving</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Commitments, October 13, 2026</w:t>
      </w:r>
      <w:r>
        <w:rPr>
          <w:rFonts w:ascii="Times New Roman" w:cs="Times New Roman" w:eastAsia="Times New Roman" w:hAnsi="Times New Roman"/>
          <w:sz w:val="22"/>
          <w:szCs w:val="22"/>
          <w:b w:val="1"/>
          <w:bCs w:val="1"/>
          <w:u w:val="single" w:color="auto"/>
          <w:color w:val="0000FF"/>
        </w:rPr>
        <w:t>June 4, 2029</w:t>
      </w:r>
      <w:r>
        <w:rPr>
          <w:rFonts w:ascii="Times New Roman" w:cs="Times New Roman" w:eastAsia="Times New Roman" w:hAnsi="Times New Roman"/>
          <w:sz w:val="22"/>
          <w:szCs w:val="22"/>
          <w:color w:val="000000"/>
        </w:rPr>
        <w:t>, and (</w:t>
      </w:r>
      <w:r>
        <w:rPr>
          <w:rFonts w:ascii="Times New Roman" w:cs="Times New Roman" w:eastAsia="Times New Roman" w:hAnsi="Times New Roman"/>
          <w:sz w:val="22"/>
          <w:szCs w:val="22"/>
          <w:b w:val="1"/>
          <w:bCs w:val="1"/>
          <w:color w:val="FF0000"/>
          <w:strike w:val="1"/>
        </w:rPr>
        <w:t>c</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000000"/>
        </w:rPr>
        <w:t>) with respect to Extended Revolving Commitments extended after the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Ninth</w:t>
      </w:r>
      <w:r>
        <w:rPr>
          <w:rFonts w:ascii="Times New Roman" w:cs="Times New Roman" w:eastAsia="Times New Roman" w:hAnsi="Times New Roman"/>
          <w:sz w:val="22"/>
          <w:szCs w:val="22"/>
          <w:b w:val="1"/>
          <w:bCs w:val="1"/>
          <w:u w:val="single" w:color="auto"/>
          <w:color w:val="0000FF"/>
        </w:rPr>
        <w:t>Tenth</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Amendment Effective Date, the final maturity date therefor as specified in the applicable Extension Offer accepted</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by the respective Revolving Lender or Revolving Lenders.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Termination Date</w:t>
      </w:r>
      <w:r>
        <w:rPr>
          <w:rFonts w:ascii="Times New Roman" w:cs="Times New Roman" w:eastAsia="Times New Roman" w:hAnsi="Times New Roman"/>
          <w:sz w:val="22"/>
          <w:szCs w:val="22"/>
          <w:color w:val="auto"/>
        </w:rPr>
        <w:t>” shall mean the earlier to occur of (a) the Revolving Facility Maturity Date with respect to the applicable Revolving Commitments, (b) the acceleration of the Loans (if any) and the termination of the Commitments in accordance with the terms hereof and (c) the termination of the applicable Revolving Commitments as a whole pursuant to Section 2.11.</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Lender</w:t>
      </w:r>
      <w:r>
        <w:rPr>
          <w:rFonts w:ascii="Times New Roman" w:cs="Times New Roman" w:eastAsia="Times New Roman" w:hAnsi="Times New Roman"/>
          <w:sz w:val="22"/>
          <w:szCs w:val="22"/>
          <w:color w:val="auto"/>
        </w:rPr>
        <w:t xml:space="preserve">” shall mean each Lender having a Revolving Commitment. For the avoidance of doubt, each </w:t>
      </w:r>
      <w:r>
        <w:rPr>
          <w:rFonts w:ascii="Times New Roman" w:cs="Times New Roman" w:eastAsia="Times New Roman" w:hAnsi="Times New Roman"/>
          <w:sz w:val="22"/>
          <w:szCs w:val="22"/>
          <w:b w:val="1"/>
          <w:bCs w:val="1"/>
          <w:color w:val="FF0000"/>
          <w:strike w:val="1"/>
        </w:rPr>
        <w:t>2023</w:t>
      </w:r>
      <w:r>
        <w:rPr>
          <w:rFonts w:ascii="Times New Roman" w:cs="Times New Roman" w:eastAsia="Times New Roman" w:hAnsi="Times New Roman"/>
          <w:sz w:val="22"/>
          <w:szCs w:val="22"/>
          <w:b w:val="1"/>
          <w:bCs w:val="1"/>
          <w:u w:val="single" w:color="auto"/>
          <w:color w:val="0000FF"/>
        </w:rPr>
        <w:t>2024</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Incremental Revolving Lender shall constitute a “Lender”</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u w:val="single" w:color="auto"/>
          <w:color w:val="0000FF"/>
        </w:rPr>
        <w:t>and a “Revolving Lender”</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hereunder and, after the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Ninth</w:t>
      </w:r>
      <w:r>
        <w:rPr>
          <w:rFonts w:ascii="Times New Roman" w:cs="Times New Roman" w:eastAsia="Times New Roman" w:hAnsi="Times New Roman"/>
          <w:sz w:val="22"/>
          <w:szCs w:val="22"/>
          <w:b w:val="1"/>
          <w:bCs w:val="1"/>
          <w:u w:val="single" w:color="auto"/>
          <w:color w:val="0000FF"/>
        </w:rPr>
        <w:t>Tenth</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Amendment Effective Date, the Administrative Agent shall update and/or modify the Register to reflect the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 xml:space="preserve">transactions contemplated by the </w:t>
      </w:r>
      <w:r>
        <w:rPr>
          <w:rFonts w:ascii="Times New Roman" w:cs="Times New Roman" w:eastAsia="Times New Roman" w:hAnsi="Times New Roman"/>
          <w:sz w:val="22"/>
          <w:szCs w:val="22"/>
          <w:b w:val="1"/>
          <w:bCs w:val="1"/>
          <w:color w:val="FF0000"/>
          <w:strike w:val="1"/>
        </w:rPr>
        <w:t>Ninth</w:t>
      </w:r>
      <w:r>
        <w:rPr>
          <w:rFonts w:ascii="Times New Roman" w:cs="Times New Roman" w:eastAsia="Times New Roman" w:hAnsi="Times New Roman"/>
          <w:sz w:val="22"/>
          <w:szCs w:val="22"/>
          <w:b w:val="1"/>
          <w:bCs w:val="1"/>
          <w:u w:val="single" w:color="auto"/>
          <w:color w:val="0000FF"/>
        </w:rPr>
        <w:t>Tenth</w:t>
      </w:r>
      <w:r>
        <w:rPr>
          <w:rFonts w:ascii="Times New Roman" w:cs="Times New Roman" w:eastAsia="Times New Roman" w:hAnsi="Times New Roman"/>
          <w:sz w:val="22"/>
          <w:szCs w:val="22"/>
          <w:color w:val="000000"/>
        </w:rPr>
        <w:t xml:space="preserve"> Amendment.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shall have the meaning set forth in Section 2.01(a).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Route Authorities</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shall mean Standard &amp; Poor’s, a division of The McGraw-Hill Companies, Inc.</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“Sage” shall mean Sage Popovich,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9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 of a Grantor</w:t>
      </w:r>
      <w:r>
        <w:rPr>
          <w:rFonts w:ascii="Times New Roman" w:cs="Times New Roman" w:eastAsia="Times New Roman" w:hAnsi="Times New Roman"/>
          <w:sz w:val="22"/>
          <w:szCs w:val="22"/>
          <w:color w:val="auto"/>
        </w:rPr>
        <w:t>”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Scheduled Services</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shall mean the United States Securities and Exchange Commission.</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Secured Parties</w:t>
      </w:r>
      <w:r>
        <w:rPr>
          <w:rFonts w:ascii="Times New Roman" w:cs="Times New Roman" w:eastAsia="Times New Roman" w:hAnsi="Times New Roman"/>
          <w:sz w:val="22"/>
          <w:szCs w:val="22"/>
          <w:color w:val="auto"/>
        </w:rPr>
        <w:t>” shall mean each Agent, any trustee appointed pursuant to Section 8.01(d) with respect to an Aircraft Security Agreement, the Issuing Lenders, the Lenders and all other holders of Obligations.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SGR Security Agreement</w:t>
      </w:r>
      <w:r>
        <w:rPr>
          <w:rFonts w:ascii="Times New Roman" w:cs="Times New Roman" w:eastAsia="Times New Roman" w:hAnsi="Times New Roman"/>
          <w:sz w:val="22"/>
          <w:szCs w:val="22"/>
          <w:color w:val="auto"/>
        </w:rPr>
        <w:t>” shall mean the Amended and Restated Security Agreement (Slots, Foreign Gate Leaseholds and Route Authorities), dated April 20, 2015 by and among the Borrower and US Airways, as grantors, the other grantors thereto from time to time and the Collateral Agent, or any subsequent security agreement executed and delivered to the Administrative Agent substantially in the form of Exhibit A-1 hereto.</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Significant Subsidiary</w:t>
      </w:r>
      <w:r>
        <w:rPr>
          <w:rFonts w:ascii="Times New Roman" w:cs="Times New Roman" w:eastAsia="Times New Roman" w:hAnsi="Times New Roman"/>
          <w:sz w:val="22"/>
          <w:szCs w:val="22"/>
          <w:color w:val="auto"/>
        </w:rPr>
        <w:t>” shall mean any Restricted Subsidiary of Parent that would be a “significant subsidiary” as defined in Article 1, Rule 1-02 of Regulation S-X, promulgated pursuant to the Securities Act, as such Regulation is in effect on the date of this Agreement.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Slot</w:t>
      </w:r>
      <w:r>
        <w:rPr>
          <w:rFonts w:ascii="Times New Roman" w:cs="Times New Roman" w:eastAsia="Times New Roman" w:hAnsi="Times New Roman"/>
          <w:sz w:val="22"/>
          <w:szCs w:val="22"/>
          <w:color w:val="auto"/>
        </w:rPr>
        <w:t>” shall mean each FAA Route Slot and each Foreign Route Slot, or any of them.</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Adjustment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with respect to Term SOFR,</w:t>
      </w:r>
      <w:r>
        <w:rPr>
          <w:rFonts w:ascii="Times New Roman" w:cs="Times New Roman" w:eastAsia="Times New Roman" w:hAnsi="Times New Roman"/>
          <w:sz w:val="22"/>
          <w:szCs w:val="22"/>
          <w:color w:val="auto"/>
        </w:rPr>
        <w:t xml:space="preserve"> means 0.10% (10 basis points) </w:t>
      </w:r>
      <w:r>
        <w:rPr>
          <w:rFonts w:ascii="Times New Roman" w:cs="Times New Roman" w:eastAsia="Times New Roman" w:hAnsi="Times New Roman"/>
          <w:sz w:val="22"/>
          <w:szCs w:val="22"/>
          <w:b w:val="1"/>
          <w:bCs w:val="1"/>
          <w:color w:val="0000FF"/>
        </w:rPr>
        <w:t>per annum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-11430</wp:posOffset>
            </wp:positionV>
            <wp:extent cx="678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8180" cy="8890"/>
                    </a:xfrm>
                    <a:prstGeom prst="rect">
                      <a:avLst/>
                    </a:prstGeom>
                    <a:noFill/>
                  </pic:spPr>
                </pic:pic>
              </a:graphicData>
            </a:graphic>
          </wp:anchor>
        </w:drawing>
      </w:r>
    </w:p>
    <w:p>
      <w:pPr>
        <w:spacing w:after="0" w:line="20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37"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Solvent</w:t>
      </w:r>
      <w:r>
        <w:rPr>
          <w:rFonts w:ascii="Times New Roman" w:cs="Times New Roman" w:eastAsia="Times New Roman" w:hAnsi="Times New Roman"/>
          <w:sz w:val="21"/>
          <w:szCs w:val="21"/>
          <w:color w:val="auto"/>
        </w:rPr>
        <w:t>”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the date of determination;</w:t>
      </w:r>
    </w:p>
    <w:p>
      <w:pPr>
        <w:spacing w:after="0" w:line="1" w:lineRule="exact"/>
        <w:rPr>
          <w:sz w:val="20"/>
          <w:szCs w:val="20"/>
          <w:color w:val="auto"/>
        </w:rPr>
      </w:pPr>
    </w:p>
    <w:p>
      <w:pPr>
        <w:jc w:val="both"/>
        <w:ind w:firstLine="8"/>
        <w:spacing w:after="0" w:line="247" w:lineRule="auto"/>
        <w:tabs>
          <w:tab w:leader="none" w:pos="317"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be expected to become an actual or matured liability (irrespective of whether such contingent liabilities meet the criteria for accrual under Statement of Financial Accounting Standard No. 5 or any other analogous criteria in any jurisdiction).</w:t>
      </w:r>
    </w:p>
    <w:p>
      <w:pPr>
        <w:spacing w:after="0" w:line="15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Spare Parts</w:t>
      </w:r>
      <w:r>
        <w:rPr>
          <w:rFonts w:ascii="Times New Roman" w:cs="Times New Roman" w:eastAsia="Times New Roman" w:hAnsi="Times New Roman"/>
          <w:sz w:val="22"/>
          <w:szCs w:val="22"/>
          <w:color w:val="auto"/>
        </w:rPr>
        <w:t>”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Securitization Undertakings</w:t>
      </w:r>
      <w:r>
        <w:rPr>
          <w:rFonts w:ascii="Times New Roman" w:cs="Times New Roman" w:eastAsia="Times New Roman" w:hAnsi="Times New Roman"/>
          <w:sz w:val="22"/>
          <w:szCs w:val="22"/>
          <w:color w:val="auto"/>
        </w:rPr>
        <w:t>” shall mean all representations, warranties, covenants, indemnities, performance Guarantees and servicing obligations entered into by Parent or any Subsidiary (other than a Receivables Subsidiary), which are customary in connection with any Qualified Receivables Transaction.</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Stated Maturity</w:t>
      </w:r>
      <w:r>
        <w:rPr>
          <w:rFonts w:ascii="Times New Roman" w:cs="Times New Roman" w:eastAsia="Times New Roman" w:hAnsi="Times New Roman"/>
          <w:sz w:val="22"/>
          <w:szCs w:val="22"/>
          <w:color w:val="auto"/>
        </w:rPr>
        <w:t>”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Subject Company</w:t>
      </w:r>
      <w:r>
        <w:rPr>
          <w:rFonts w:ascii="Times New Roman" w:cs="Times New Roman" w:eastAsia="Times New Roman" w:hAnsi="Times New Roman"/>
          <w:sz w:val="22"/>
          <w:szCs w:val="22"/>
          <w:color w:val="auto"/>
        </w:rPr>
        <w:t>” shall have the meaning set forth in Section 6.10(a).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with respect to any Person:</w:t>
      </w:r>
    </w:p>
    <w:p>
      <w:pPr>
        <w:spacing w:after="0" w:line="237" w:lineRule="exact"/>
        <w:rPr>
          <w:sz w:val="20"/>
          <w:szCs w:val="20"/>
          <w:color w:val="auto"/>
        </w:rPr>
      </w:pPr>
    </w:p>
    <w:p>
      <w:pPr>
        <w:jc w:val="both"/>
        <w:ind w:left="660" w:firstLine="644"/>
        <w:spacing w:after="0" w:line="251" w:lineRule="auto"/>
        <w:tabs>
          <w:tab w:leader="none" w:pos="1929"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19" w:val="left"/>
        </w:tabs>
        <w:numPr>
          <w:ilvl w:val="1"/>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w:t>
      </w:r>
    </w:p>
    <w:p>
      <w:pPr>
        <w:spacing w:after="0" w:line="1"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or any Subsidiary of such Person is a controlling general partner or otherwise controls such entity.</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shall mean,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Syndication Agent</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shall mean any and all present or future taxes, levies, imposts, duties, assessments, fees, deductions, charges or withholdings imposed by any Governmental Authority including any interest, additions to tax or penalties applicable thereto.</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FAA Slot</w:t>
      </w:r>
      <w:r>
        <w:rPr>
          <w:rFonts w:ascii="Times New Roman" w:cs="Times New Roman" w:eastAsia="Times New Roman" w:hAnsi="Times New Roman"/>
          <w:sz w:val="22"/>
          <w:szCs w:val="22"/>
          <w:color w:val="auto"/>
        </w:rPr>
        <w:t>” shall mean an FAA Slot that was obtained by any Grantor from another air carrier pursuant to an agreement (including but not limited to a loan agreement, lease agreement, slot exchange agreement or slot release agreement) and is held by such Grantor on a temporary basis.</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Foreign Slot</w:t>
      </w:r>
      <w:r>
        <w:rPr>
          <w:rFonts w:ascii="Times New Roman" w:cs="Times New Roman" w:eastAsia="Times New Roman" w:hAnsi="Times New Roman"/>
          <w:sz w:val="22"/>
          <w:szCs w:val="22"/>
          <w:color w:val="auto"/>
        </w:rPr>
        <w:t>” shall mean a Foreign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16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Slot</w:t>
      </w:r>
      <w:r>
        <w:rPr>
          <w:rFonts w:ascii="Times New Roman" w:cs="Times New Roman" w:eastAsia="Times New Roman" w:hAnsi="Times New Roman"/>
          <w:sz w:val="22"/>
          <w:szCs w:val="22"/>
          <w:color w:val="auto"/>
        </w:rPr>
        <w:t>” shall mean any Temporary FAA Slot or any Temporary Foreign Slot and any FAA Slot or Foreign Slot subject to a Transfer Restriction, in each case, for so long as such Transfer Restriction is in effect.</w:t>
      </w:r>
    </w:p>
    <w:p>
      <w:pPr>
        <w:spacing w:after="0" w:line="147" w:lineRule="exact"/>
        <w:rPr>
          <w:sz w:val="20"/>
          <w:szCs w:val="20"/>
          <w:color w:val="auto"/>
        </w:rPr>
      </w:pPr>
    </w:p>
    <w:p>
      <w:pPr>
        <w:jc w:val="both"/>
        <w:ind w:firstLine="904"/>
        <w:spacing w:after="0" w:line="266"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Tenth Amendment</w:t>
      </w:r>
      <w:r>
        <w:rPr>
          <w:rFonts w:ascii="Times New Roman" w:cs="Times New Roman" w:eastAsia="Times New Roman" w:hAnsi="Times New Roman"/>
          <w:sz w:val="22"/>
          <w:szCs w:val="22"/>
          <w:b w:val="1"/>
          <w:bCs w:val="1"/>
          <w:u w:val="single" w:color="auto"/>
          <w:color w:val="0000FF"/>
        </w:rPr>
        <w:t>” means the Tenth Amendment to Amended and Restated Credit and Guaranty Agreement, dated as of June 4, 2024, among the Parent, the Borrower, Citibank, N.A., as administrative agent, and the Lenders and Issuing Banks party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Tenth Amendment Effective Date</w:t>
      </w:r>
      <w:r>
        <w:rPr>
          <w:rFonts w:ascii="Times New Roman" w:cs="Times New Roman" w:eastAsia="Times New Roman" w:hAnsi="Times New Roman"/>
          <w:sz w:val="22"/>
          <w:szCs w:val="22"/>
          <w:b w:val="1"/>
          <w:bCs w:val="1"/>
          <w:u w:val="single" w:color="auto"/>
          <w:color w:val="0000FF"/>
        </w:rPr>
        <w:t>” shall have the meaning provided in the Tenth Amendment.</w:t>
      </w:r>
    </w:p>
    <w:p>
      <w:pPr>
        <w:spacing w:after="0" w:line="2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Lender</w:t>
      </w:r>
      <w:r>
        <w:rPr>
          <w:rFonts w:ascii="Times New Roman" w:cs="Times New Roman" w:eastAsia="Times New Roman" w:hAnsi="Times New Roman"/>
          <w:sz w:val="22"/>
          <w:szCs w:val="22"/>
          <w:color w:val="auto"/>
        </w:rPr>
        <w:t>” shall mean each Lender having a Term Loan Commitment or, as the case may be, an outstanding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Loan.</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w:t>
      </w:r>
      <w:r>
        <w:rPr>
          <w:rFonts w:ascii="Times New Roman" w:cs="Times New Roman" w:eastAsia="Times New Roman" w:hAnsi="Times New Roman"/>
          <w:sz w:val="22"/>
          <w:szCs w:val="22"/>
          <w:color w:val="auto"/>
        </w:rPr>
        <w:t>” shall mean the 2020 Term Loans and any other Class of Term Loan hereunder.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i w:val="1"/>
          <w:iCs w:val="1"/>
          <w:color w:val="auto"/>
        </w:rPr>
        <w:t xml:space="preserve">“Term Loan Commitment” </w:t>
      </w:r>
      <w:r>
        <w:rPr>
          <w:rFonts w:ascii="Times New Roman" w:cs="Times New Roman" w:eastAsia="Times New Roman" w:hAnsi="Times New Roman"/>
          <w:sz w:val="21"/>
          <w:szCs w:val="21"/>
          <w:color w:val="auto"/>
        </w:rPr>
        <w:t>shall mean the commitment of each Term Lender to make Term Loans hereunder and,</w:t>
      </w:r>
    </w:p>
    <w:p>
      <w:pPr>
        <w:spacing w:after="0" w:line="43" w:lineRule="exact"/>
        <w:rPr>
          <w:sz w:val="20"/>
          <w:szCs w:val="20"/>
          <w:color w:val="auto"/>
        </w:rPr>
      </w:pPr>
    </w:p>
    <w:p>
      <w:pPr>
        <w:jc w:val="both"/>
        <w:ind w:firstLine="8"/>
        <w:spacing w:after="0" w:line="245" w:lineRule="auto"/>
        <w:tabs>
          <w:tab w:leader="none" w:pos="271"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2020 Replacement Term Loans issued on the Eighth Amendment Effective Date, in an aggregate principal amount not to exceed the amount set forth under the heading “2020 Replacement Term Loan Commitment” opposite its name in the 2020 Replacement Term Loan Commitment Schedule or in the Assignment and Acceptance pursuant to which such Term Lender became a party hereto, as the same may be changed from time to time pursuant to the terms hereof and (ii) in the case of the 2020 Incremental Term Loans, in an aggregate principal amount not to exceed the amount set forth under the heading “2020 Incremental Term Loan Commitment” opposite its name in the 2020 Incremental Term Loan Commitment Schedule or in the Assignment and Acceptance pursuant to which such Term Lender became a party hereto, as the same may be changed from time to time pursuant to the terms hereof. The aggregate amount of the 2020 Replacement Term Loan Commitments as of the Eighth Amendment Effective Date is $1,202,190,721.64.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of the 2020 Incremental Term Loan Commitments as of the Eighth Amendment Effective Date is $17,809,278.36.</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Extension</w:t>
      </w:r>
      <w:r>
        <w:rPr>
          <w:rFonts w:ascii="Times New Roman" w:cs="Times New Roman" w:eastAsia="Times New Roman" w:hAnsi="Times New Roman"/>
          <w:sz w:val="22"/>
          <w:szCs w:val="22"/>
          <w:color w:val="auto"/>
        </w:rPr>
        <w:t>” shall have the meaning set forth in Section 2.28(a).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Extension Offer</w:t>
      </w:r>
      <w:r>
        <w:rPr>
          <w:rFonts w:ascii="Times New Roman" w:cs="Times New Roman" w:eastAsia="Times New Roman" w:hAnsi="Times New Roman"/>
          <w:sz w:val="22"/>
          <w:szCs w:val="22"/>
          <w:color w:val="auto"/>
        </w:rPr>
        <w:t>” shall have the meaning set forth in Section 2.28(a).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Facility</w:t>
      </w:r>
      <w:r>
        <w:rPr>
          <w:rFonts w:ascii="Times New Roman" w:cs="Times New Roman" w:eastAsia="Times New Roman" w:hAnsi="Times New Roman"/>
          <w:sz w:val="22"/>
          <w:szCs w:val="22"/>
          <w:color w:val="auto"/>
        </w:rPr>
        <w:t>” shall mean the Term Loan Commitments and the Term Loans made thereunder.</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Maturity Date</w:t>
      </w:r>
      <w:r>
        <w:rPr>
          <w:rFonts w:ascii="Times New Roman" w:cs="Times New Roman" w:eastAsia="Times New Roman" w:hAnsi="Times New Roman"/>
          <w:sz w:val="22"/>
          <w:szCs w:val="22"/>
          <w:color w:val="auto"/>
        </w:rPr>
        <w:t>” shall mean, with respect to (a) 2020 Term Loans that have not been extended pursuant to Section 2.28, January 29, 2027 and (b) with respect to Extended Term Loans, the final maturity date therefor as specified in the applicable Extension Offer accepted by the respective Term Lenders (as the same may be further extended pursuant to Section 2.28).</w:t>
      </w:r>
    </w:p>
    <w:p>
      <w:pPr>
        <w:spacing w:after="0" w:line="18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Termination Date</w:t>
      </w:r>
      <w:r>
        <w:rPr>
          <w:rFonts w:ascii="Times New Roman" w:cs="Times New Roman" w:eastAsia="Times New Roman" w:hAnsi="Times New Roman"/>
          <w:sz w:val="22"/>
          <w:szCs w:val="22"/>
          <w:color w:val="auto"/>
        </w:rPr>
        <w:t>” shall mean the earlier to occur of (a) the Term Loan Maturity Date and (b) the acceleration of the Term Loans in accordance with the terms hereof.</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jc w:val="both"/>
        <w:ind w:firstLine="1304"/>
        <w:spacing w:after="0" w:line="249" w:lineRule="auto"/>
        <w:tabs>
          <w:tab w:leader="none" w:pos="1937"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2"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2"/>
          <w:szCs w:val="22"/>
          <w:i w:val="1"/>
          <w:iCs w:val="1"/>
          <w:color w:val="auto"/>
        </w:rPr>
        <w:t>ABR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ABR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18" w:name="page419"/>
    <w:bookmarkEnd w:id="418"/>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Tranche</w:t>
      </w:r>
      <w:r>
        <w:rPr>
          <w:rFonts w:ascii="Times New Roman" w:cs="Times New Roman" w:eastAsia="Times New Roman" w:hAnsi="Times New Roman"/>
          <w:sz w:val="22"/>
          <w:szCs w:val="22"/>
          <w:color w:val="auto"/>
        </w:rPr>
        <w:t>” shall mean the collective reference to Term SOFR Loans under a particular Facility the then current Interest Periods with respect to all of which begin on the same date and end on the same later date (whether or not such Loans shall originally have been made on the same day).</w:t>
      </w:r>
    </w:p>
    <w:p>
      <w:pPr>
        <w:spacing w:after="0" w:line="166"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Termination Date</w:t>
      </w:r>
      <w:r>
        <w:rPr>
          <w:rFonts w:ascii="Times New Roman" w:cs="Times New Roman" w:eastAsia="Times New Roman" w:hAnsi="Times New Roman"/>
          <w:sz w:val="21"/>
          <w:szCs w:val="21"/>
          <w:color w:val="auto"/>
        </w:rPr>
        <w:t>” shall mean (i) with respect to the Revolving Loans, the Revolving Facility Termination Date applicable to the related Revolving Commitments and (ii) with respect to the Term Loans, the Term Loan Termination Date.</w:t>
      </w:r>
    </w:p>
    <w:p>
      <w:pPr>
        <w:spacing w:after="0" w:line="14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Third Amendment</w:t>
      </w:r>
      <w:r>
        <w:rPr>
          <w:rFonts w:ascii="Times New Roman" w:cs="Times New Roman" w:eastAsia="Times New Roman" w:hAnsi="Times New Roman"/>
          <w:sz w:val="22"/>
          <w:szCs w:val="22"/>
          <w:color w:val="auto"/>
        </w:rPr>
        <w:t>” shall mean the Third Amendment to First Amended and Restated Credit and Guaranty Agreement, dated as of June 14, 2017, by and among Parent, the Borrower, the Administrative Agent, the Lenders party thereto and Citibank, N.A., in its capacity as the designated Lender.</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Third Amendment Effective Date</w:t>
      </w:r>
      <w:r>
        <w:rPr>
          <w:rFonts w:ascii="Times New Roman" w:cs="Times New Roman" w:eastAsia="Times New Roman" w:hAnsi="Times New Roman"/>
          <w:sz w:val="22"/>
          <w:szCs w:val="22"/>
          <w:color w:val="auto"/>
        </w:rPr>
        <w:t>” shall have the meaning provided in the Third Amendment.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 14</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 49</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Obligations</w:t>
      </w:r>
      <w:r>
        <w:rPr>
          <w:rFonts w:ascii="Times New Roman" w:cs="Times New Roman" w:eastAsia="Times New Roman" w:hAnsi="Times New Roman"/>
          <w:sz w:val="22"/>
          <w:szCs w:val="22"/>
          <w:color w:val="auto"/>
        </w:rPr>
        <w:t>” shall have the meaning provided in the definition of “</w:t>
      </w: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Revolving Commitment</w:t>
      </w:r>
      <w:r>
        <w:rPr>
          <w:rFonts w:ascii="Times New Roman" w:cs="Times New Roman" w:eastAsia="Times New Roman" w:hAnsi="Times New Roman"/>
          <w:sz w:val="22"/>
          <w:szCs w:val="22"/>
          <w:color w:val="auto"/>
        </w:rPr>
        <w:t>” shall mean, at any time, the sum of the Revolving Commitments at such time.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Revolving Extensions of Credit</w:t>
      </w:r>
      <w:r>
        <w:rPr>
          <w:rFonts w:ascii="Times New Roman" w:cs="Times New Roman" w:eastAsia="Times New Roman" w:hAnsi="Times New Roman"/>
          <w:sz w:val="22"/>
          <w:szCs w:val="22"/>
          <w:color w:val="auto"/>
        </w:rPr>
        <w:t>” shall mean, at any time, the aggregate amount of the Revolving Extensions of Credit of the Revolving Lenders outstanding at such time.</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shall mean the execution, delivery and performance by the Borrower and Guarantors of this Agreement and the other Loan Documents to which they may be a party, the creation of the Liens in the Collateral in favor of the Collateral Agent for the benefit of the Secured Parties, the borrowing of Loans and the use of the proceeds thereof, and the request for and issuance of Letters of Credit hereunder.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 Restriction</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when used in reference to any Loan or Borrowing, refers to whether the rate of interest on such Loan, or on the Loans comprising such Borrowing, is determined by reference to </w:t>
      </w:r>
      <w:r>
        <w:rPr>
          <w:rFonts w:ascii="Times New Roman" w:cs="Times New Roman" w:eastAsia="Times New Roman" w:hAnsi="Times New Roman"/>
          <w:sz w:val="22"/>
          <w:szCs w:val="22"/>
          <w:b w:val="1"/>
          <w:bCs w:val="1"/>
          <w:color w:val="FF0000"/>
          <w:strike w:val="1"/>
        </w:rPr>
        <w:t>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17" w:right="339" w:bottom="1440" w:gutter="0" w:footer="0" w:header="0"/>
        </w:sectPr>
      </w:pPr>
    </w:p>
    <w:bookmarkStart w:id="419" w:name="page420"/>
    <w:bookmarkEnd w:id="419"/>
    <w:p>
      <w:pPr>
        <w:spacing w:after="0" w:line="19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 xml:space="preserve">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or the Alternate Base Rate and when used in reference to any Commitment, refers to whether such Commitment is a Revolving Commitment or a Term Loan Commitment.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shall mean the Uniform Commercial Code as in effect from time to time in any applicable jurisdiction.</w:t>
      </w:r>
    </w:p>
    <w:p>
      <w:pPr>
        <w:spacing w:after="0" w:line="233"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UK Debentures</w:t>
      </w:r>
      <w:r>
        <w:rPr>
          <w:rFonts w:ascii="Times New Roman" w:cs="Times New Roman" w:eastAsia="Times New Roman" w:hAnsi="Times New Roman"/>
          <w:sz w:val="21"/>
          <w:szCs w:val="21"/>
          <w:color w:val="auto"/>
        </w:rPr>
        <w:t>” shall mean (i) the debenture, dated the Closing Date by and between the Borrower, as chargor and the Collateral Agent and (ii) the debenture, dated April 20, 2015, between US Airways, as chargor and the Collateral Agent, and any subsequent debenture executed and delivered to the Administrative Agent substantially in the form of Exhibit A-2.</w:t>
      </w:r>
    </w:p>
    <w:p>
      <w:pPr>
        <w:spacing w:after="0" w:line="14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shall mean the United States of America.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 Citizen</w:t>
      </w:r>
      <w:r>
        <w:rPr>
          <w:rFonts w:ascii="Times New Roman" w:cs="Times New Roman" w:eastAsia="Times New Roman" w:hAnsi="Times New Roman"/>
          <w:sz w:val="22"/>
          <w:szCs w:val="22"/>
          <w:color w:val="auto"/>
        </w:rPr>
        <w:t>” shall have the meaning set forth in Section 3.02.</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Unrestricted Subsidiary</w:t>
      </w:r>
      <w:r>
        <w:rPr>
          <w:rFonts w:ascii="Times New Roman" w:cs="Times New Roman" w:eastAsia="Times New Roman" w:hAnsi="Times New Roman"/>
          <w:sz w:val="22"/>
          <w:szCs w:val="22"/>
          <w:color w:val="auto"/>
        </w:rPr>
        <w:t>” shall mean any Subsidiary of Parent (other than the Borrower or US Airways) that is designated by Parent as an Unrestricted Subsidiary in compliance with Section 5.05 or any Subsidiary of an Unrestricted Subsidiary, but only if such Subsidiary:</w:t>
      </w:r>
    </w:p>
    <w:p>
      <w:pPr>
        <w:spacing w:after="0" w:line="170" w:lineRule="exact"/>
        <w:rPr>
          <w:sz w:val="20"/>
          <w:szCs w:val="20"/>
          <w:color w:val="auto"/>
        </w:rPr>
      </w:pPr>
    </w:p>
    <w:p>
      <w:pPr>
        <w:ind w:left="1780" w:hanging="476"/>
        <w:spacing w:after="0"/>
        <w:tabs>
          <w:tab w:leader="none" w:pos="1780"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 Indebtedness other than Non-Recourse Debt;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30"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91"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01"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guaranteed or otherwise directly or indirectly provided credit support for any Indebtedness of Parent or any of its Restricted Subsidiaries;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own any assets or properties that constitute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9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Unused Total Revolving Commitment</w:t>
      </w:r>
      <w:r>
        <w:rPr>
          <w:rFonts w:ascii="Times New Roman" w:cs="Times New Roman" w:eastAsia="Times New Roman" w:hAnsi="Times New Roman"/>
          <w:sz w:val="22"/>
          <w:szCs w:val="22"/>
          <w:color w:val="auto"/>
        </w:rPr>
        <w:t>” shall mean, at any time, (a) the Total Revolving Commitment less (b) the Total Revolving Extensions of Credit.</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w:t>
      </w:r>
      <w:r>
        <w:rPr>
          <w:rFonts w:ascii="Times New Roman" w:cs="Times New Roman" w:eastAsia="Times New Roman" w:hAnsi="Times New Roman"/>
          <w:sz w:val="22"/>
          <w:szCs w:val="22"/>
          <w:color w:val="auto"/>
        </w:rPr>
        <w:t>” shall mean US Airways, Inc., a Delaware corporation, which merged with and into the Borrower with the Borrower as the surviving entity.</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Closing Date</w:t>
      </w:r>
      <w:r>
        <w:rPr>
          <w:rFonts w:ascii="Times New Roman" w:cs="Times New Roman" w:eastAsia="Times New Roman" w:hAnsi="Times New Roman"/>
          <w:sz w:val="22"/>
          <w:szCs w:val="22"/>
          <w:color w:val="auto"/>
        </w:rPr>
        <w:t>” shall mean May 24, 2013.</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Indenture</w:t>
      </w:r>
      <w:r>
        <w:rPr>
          <w:rFonts w:ascii="Times New Roman" w:cs="Times New Roman" w:eastAsia="Times New Roman" w:hAnsi="Times New Roman"/>
          <w:sz w:val="22"/>
          <w:szCs w:val="22"/>
          <w:color w:val="auto"/>
        </w:rPr>
        <w:t>” shall mean the Indenture, dated as of May 24, 2013, between US Airways and Wilmington Trust, National Association, as trustee, as amended or supplemented from time to time.</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Use or Lose Rule</w:t>
      </w:r>
      <w:r>
        <w:rPr>
          <w:rFonts w:ascii="Times New Roman" w:cs="Times New Roman" w:eastAsia="Times New Roman" w:hAnsi="Times New Roman"/>
          <w:sz w:val="22"/>
          <w:szCs w:val="22"/>
          <w:color w:val="auto"/>
        </w:rPr>
        <w:t>” shall mean with respect to Slots, any applicable utilization requirements issued by the FAA, other Governmental Authorities, any Foreign Aviation Authorities or any Airport Authorities.</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Stock</w:t>
      </w:r>
      <w:r>
        <w:rPr>
          <w:rFonts w:ascii="Times New Roman" w:cs="Times New Roman" w:eastAsia="Times New Roman" w:hAnsi="Times New Roman"/>
          <w:sz w:val="22"/>
          <w:szCs w:val="22"/>
          <w:color w:val="auto"/>
        </w:rPr>
        <w:t>” of any specified Person as of any date shall mean the Capital Stock of such Person that is at the time entitled to vote in the election of the Board of Directors of such Person.</w:t>
      </w:r>
    </w:p>
    <w:p>
      <w:pPr>
        <w:spacing w:after="0" w:line="16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Weighted Average Life to Maturity</w:t>
      </w:r>
      <w:r>
        <w:rPr>
          <w:rFonts w:ascii="Times New Roman" w:cs="Times New Roman" w:eastAsia="Times New Roman" w:hAnsi="Times New Roman"/>
          <w:sz w:val="22"/>
          <w:szCs w:val="22"/>
          <w:color w:val="auto"/>
        </w:rPr>
        <w:t>” shall mean, when applied to any Indebtedness at any date, the number of years obtained by dividing:</w:t>
      </w:r>
    </w:p>
    <w:p>
      <w:pPr>
        <w:spacing w:after="0" w:line="153" w:lineRule="exact"/>
        <w:rPr>
          <w:sz w:val="20"/>
          <w:szCs w:val="20"/>
          <w:color w:val="auto"/>
        </w:rPr>
      </w:pPr>
    </w:p>
    <w:p>
      <w:pPr>
        <w:jc w:val="both"/>
        <w:ind w:left="660" w:firstLine="644"/>
        <w:spacing w:after="0" w:line="256" w:lineRule="auto"/>
        <w:tabs>
          <w:tab w:leader="none" w:pos="1800"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principal amount of such Indebtedness.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Withholding Agent</w:t>
      </w:r>
      <w:r>
        <w:rPr>
          <w:rFonts w:ascii="Times New Roman" w:cs="Times New Roman" w:eastAsia="Times New Roman" w:hAnsi="Times New Roman"/>
          <w:sz w:val="22"/>
          <w:szCs w:val="22"/>
          <w:color w:val="auto"/>
        </w:rPr>
        <w:t>” shall mean any of the Borrower, a Guarantor and the Administrative Agent.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Working Capital</w:t>
      </w:r>
      <w:r>
        <w:rPr>
          <w:rFonts w:ascii="Times New Roman" w:cs="Times New Roman" w:eastAsia="Times New Roman" w:hAnsi="Times New Roman"/>
          <w:sz w:val="22"/>
          <w:szCs w:val="22"/>
          <w:color w:val="auto"/>
        </w:rPr>
        <w:t>”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1" w:name="page422"/>
    <w:bookmarkEnd w:id="42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Yield Differential</w:t>
      </w:r>
      <w:r>
        <w:rPr>
          <w:rFonts w:ascii="Times New Roman" w:cs="Times New Roman" w:eastAsia="Times New Roman" w:hAnsi="Times New Roman"/>
          <w:sz w:val="22"/>
          <w:szCs w:val="22"/>
          <w:color w:val="auto"/>
        </w:rPr>
        <w:t>” shall have the meaning set forth in Section 2.27(c)(iv).</w:t>
      </w:r>
    </w:p>
    <w:p>
      <w:pPr>
        <w:spacing w:after="0" w:line="22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w:t>
      </w:r>
    </w:p>
    <w:p>
      <w:pPr>
        <w:spacing w:after="0" w:line="7" w:lineRule="exact"/>
        <w:rPr>
          <w:sz w:val="20"/>
          <w:szCs w:val="20"/>
          <w:color w:val="auto"/>
        </w:rPr>
      </w:pPr>
    </w:p>
    <w:p>
      <w:pPr>
        <w:jc w:val="both"/>
        <w:ind w:firstLine="8"/>
        <w:spacing w:after="0" w:line="248" w:lineRule="auto"/>
        <w:tabs>
          <w:tab w:leader="none" w:pos="295"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 of the Borrower or such Guarantors, as applicable.</w:t>
      </w:r>
    </w:p>
    <w:p>
      <w:pPr>
        <w:spacing w:after="0" w:line="18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Except as otherwise expressly provided herein, all terms of an accounting or financial nature shall be construed in accordance with GAAP, as in effect from time to time; provided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condition shall be the same after such accounting changes as if such accounting changes had not occurred.</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u w:val="single" w:color="auto"/>
          <w:color w:val="auto"/>
        </w:rPr>
        <w:t>Effect of Restatement.</w:t>
      </w:r>
    </w:p>
    <w:p>
      <w:pPr>
        <w:spacing w:after="0" w:line="220" w:lineRule="exact"/>
        <w:rPr>
          <w:sz w:val="20"/>
          <w:szCs w:val="20"/>
          <w:color w:val="auto"/>
        </w:rPr>
      </w:pPr>
    </w:p>
    <w:p>
      <w:pPr>
        <w:jc w:val="both"/>
        <w:ind w:firstLine="1304"/>
        <w:spacing w:after="0" w:line="266" w:lineRule="auto"/>
        <w:tabs>
          <w:tab w:leader="none" w:pos="1870"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effectiveness of this Agreement shall not constitute a novation of any Obligations owing under the Credit Agreement. All Loans (other than the Term Loans outstanding prior to the Restatement Effective Date), Letters of Credit outstanding under the Credit Agreement and all accrued and unpaid amounts owing by the Borrower or any Guarantor pursuant to the Credit Agreement shall continue to be outstanding and owing hereunder. Any payment or performance of any Obligation under the Credit Agreement or any Obligation described in this Agreement during any period prior to the Restatement Effective Date shall constitute payment or performance of such Obligation under this Agreement. Any usage under any “basket” set forth in any covenant or exception in the Credit Agreement shall be included in the determination of baskets under this Agreement.</w:t>
      </w:r>
    </w:p>
    <w:p>
      <w:pPr>
        <w:spacing w:after="0" w:line="165" w:lineRule="exact"/>
        <w:rPr>
          <w:rFonts w:ascii="Times New Roman" w:cs="Times New Roman" w:eastAsia="Times New Roman" w:hAnsi="Times New Roman"/>
          <w:sz w:val="21"/>
          <w:szCs w:val="21"/>
          <w:color w:val="auto"/>
        </w:rPr>
      </w:pPr>
    </w:p>
    <w:p>
      <w:pPr>
        <w:ind w:firstLine="1304"/>
        <w:spacing w:after="0" w:line="271" w:lineRule="auto"/>
        <w:tabs>
          <w:tab w:leader="none" w:pos="1783"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this Agreement and the modifications effectuated thereby, each reference to the Credit Agreement in the Loan Documents shall be deemed to be a reference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ind w:left="1300" w:right="3920" w:firstLine="2616"/>
        <w:spacing w:after="0" w:line="474" w:lineRule="auto"/>
        <w:rPr>
          <w:sz w:val="20"/>
          <w:szCs w:val="20"/>
          <w:color w:val="auto"/>
        </w:rPr>
      </w:pPr>
      <w:r>
        <w:rPr>
          <w:rFonts w:ascii="Times New Roman" w:cs="Times New Roman" w:eastAsia="Times New Roman" w:hAnsi="Times New Roman"/>
          <w:sz w:val="21"/>
          <w:szCs w:val="21"/>
          <w:color w:val="auto"/>
        </w:rPr>
        <w:t xml:space="preserve">AMOUNT AND TERMS OF CREDIT SECTION 2.01. </w:t>
      </w:r>
      <w:r>
        <w:rPr>
          <w:rFonts w:ascii="Times New Roman" w:cs="Times New Roman" w:eastAsia="Times New Roman" w:hAnsi="Times New Roman"/>
          <w:sz w:val="21"/>
          <w:szCs w:val="21"/>
          <w:u w:val="single" w:color="auto"/>
          <w:color w:val="auto"/>
        </w:rPr>
        <w:t>Commitments of the Lenders; Term Loans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left="1760" w:hanging="456"/>
        <w:spacing w:after="0"/>
        <w:tabs>
          <w:tab w:leader="none" w:pos="1760"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Commitments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0" w:lineRule="auto"/>
        <w:tabs>
          <w:tab w:leader="none" w:pos="1770"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Lender severally, and not jointly with the other Revolving Lenders, agrees, upon the terms and subject to the conditions herein set forth, to make revolving credit loans denominated in Dollars (each a “</w:t>
      </w:r>
      <w:r>
        <w:rPr>
          <w:rFonts w:ascii="Times New Roman" w:cs="Times New Roman" w:eastAsia="Times New Roman" w:hAnsi="Times New Roman"/>
          <w:sz w:val="22"/>
          <w:szCs w:val="22"/>
          <w:i w:val="1"/>
          <w:iCs w:val="1"/>
          <w:color w:val="auto"/>
        </w:rPr>
        <w:t>Revolving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6"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of a Revolving Loan shall be made from the Revolving Lenders pro rata in accordance with their respective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Revolving Lender to make any Revolving Loan shall not in itself relieve the other Revolving Lenders of their obligations to lend.</w:t>
      </w:r>
    </w:p>
    <w:p>
      <w:pPr>
        <w:spacing w:after="0" w:line="163" w:lineRule="exact"/>
        <w:rPr>
          <w:sz w:val="20"/>
          <w:szCs w:val="20"/>
          <w:color w:val="auto"/>
        </w:rPr>
      </w:pPr>
    </w:p>
    <w:p>
      <w:pPr>
        <w:jc w:val="both"/>
        <w:ind w:firstLine="1304"/>
        <w:spacing w:after="0" w:line="259" w:lineRule="auto"/>
        <w:tabs>
          <w:tab w:leader="none" w:pos="1804"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Loan Commitments. </w:t>
      </w:r>
      <w:r>
        <w:rPr>
          <w:rFonts w:ascii="Times New Roman" w:cs="Times New Roman" w:eastAsia="Times New Roman" w:hAnsi="Times New Roman"/>
          <w:sz w:val="22"/>
          <w:szCs w:val="22"/>
          <w:color w:val="auto"/>
        </w:rPr>
        <w:t>On the Eighth Amendment Effective Date, each 2020 Replacement Term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agrees to make to the Borrower the 2020 Replacement Term Loans denominated in Dollars in an aggregate principal amount equal to such 2020 Replacement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Lender’s 2020 Replacement Term Loan Commitment and the 2020 Incremental Term Loan Lender agrees to make to the Borrower the 2020 Incremental Term Loans denominated in Dollars in an aggregate principal amount equal to the 2020 Incremental Term Loan Lender’s 2020 Incremental Term Loan Commitment in accordance with the terms and conditions of the Eighth Amendment.</w:t>
      </w:r>
    </w:p>
    <w:p>
      <w:pPr>
        <w:spacing w:after="0" w:line="172" w:lineRule="exact"/>
        <w:rPr>
          <w:sz w:val="20"/>
          <w:szCs w:val="20"/>
          <w:color w:val="auto"/>
        </w:rPr>
      </w:pPr>
    </w:p>
    <w:p>
      <w:pPr>
        <w:jc w:val="both"/>
        <w:ind w:firstLine="1304"/>
        <w:spacing w:after="0" w:line="254" w:lineRule="auto"/>
        <w:tabs>
          <w:tab w:leader="none" w:pos="1779"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Type of Borrowing</w:t>
      </w:r>
      <w:r>
        <w:rPr>
          <w:rFonts w:ascii="Times New Roman" w:cs="Times New Roman" w:eastAsia="Times New Roman" w:hAnsi="Times New Roman"/>
          <w:sz w:val="22"/>
          <w:szCs w:val="22"/>
          <w:color w:val="auto"/>
        </w:rPr>
        <w:t>. Each Borrowing shall be comprised entirely of ABR Loans or Term SOFR Loans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may request in accordance herewith. Each Lender at its option may make any Term SOFR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 There may be multiple Borrowings incurred, converted or continued on the same day.</w:t>
      </w:r>
    </w:p>
    <w:p>
      <w:pPr>
        <w:spacing w:after="0" w:line="17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18"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Amount of Borrowing</w:t>
      </w:r>
      <w:r>
        <w:rPr>
          <w:rFonts w:ascii="Times New Roman" w:cs="Times New Roman" w:eastAsia="Times New Roman" w:hAnsi="Times New Roman"/>
          <w:sz w:val="22"/>
          <w:szCs w:val="22"/>
          <w:color w:val="auto"/>
        </w:rPr>
        <w:t>. At the commencement of each Interest Period for any Term SOFR Borrowing,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ABR Borrowing may be in an aggregate amount that is equal to the entire Unused Total Revolving Commitment or that is required to finance the reimbursement of an LC Disbursement as contemplated by Section 2.02(e). Borrowings of more than one Type may be outstanding at the same time.</w:t>
      </w:r>
    </w:p>
    <w:p>
      <w:pPr>
        <w:spacing w:after="0" w:line="174" w:lineRule="exact"/>
        <w:rPr>
          <w:rFonts w:ascii="Times New Roman" w:cs="Times New Roman" w:eastAsia="Times New Roman" w:hAnsi="Times New Roman"/>
          <w:sz w:val="22"/>
          <w:szCs w:val="22"/>
          <w:color w:val="auto"/>
        </w:rPr>
      </w:pPr>
    </w:p>
    <w:p>
      <w:pPr>
        <w:jc w:val="both"/>
        <w:ind w:firstLine="1304"/>
        <w:spacing w:after="0" w:line="254" w:lineRule="auto"/>
        <w:tabs>
          <w:tab w:leader="none" w:pos="1752"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Interest Period</w:t>
      </w:r>
      <w:r>
        <w:rPr>
          <w:rFonts w:ascii="Times New Roman" w:cs="Times New Roman" w:eastAsia="Times New Roman" w:hAnsi="Times New Roman"/>
          <w:sz w:val="22"/>
          <w:szCs w:val="22"/>
          <w:color w:val="auto"/>
        </w:rPr>
        <w:t>. Notwithstanding any other provision of this Agreement, the Borrower shall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entitled to request, or to elect to convert or continue, (i) any 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w:t>
      </w:r>
    </w:p>
    <w:p>
      <w:pPr>
        <w:spacing w:after="0" w:line="17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49" w:lineRule="auto"/>
        <w:tabs>
          <w:tab w:leader="none" w:pos="1765"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Subject to the terms and conditions set forth herein, the Borrower may request the issuance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and (subject to the representation in the second sentence of clause (b) below being true and correct) each Issuing Lender agrees to issue Letters of Credit in Dollars upon request of the Borrower at any time and from time to time from the Closing Date to but excluding the date that is five (5) Business Days prior to the Revolving Facility Maturity Date, for the Borrower’s own account or the account of any other Subsidiary of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Issuing Lender shall issue (or amend, renew or extend) any Letter of Credit if, after giving effect to such issuance (or amendment, renewal or extension), (i) the LC Exposure in respect of Letters of Credit issued by it would exceed its LC Commitment or (ii) the aggregate amount of the Unused Total Revolving Commitment would be less than zero.</w:t>
      </w:r>
    </w:p>
    <w:p>
      <w:pPr>
        <w:spacing w:after="0" w:line="181"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04"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Issuance, Amendment, Renewal, Extension. </w:t>
      </w:r>
      <w:r>
        <w:rPr>
          <w:rFonts w:ascii="Times New Roman" w:cs="Times New Roman" w:eastAsia="Times New Roman" w:hAnsi="Times New Roman"/>
          <w:sz w:val="22"/>
          <w:szCs w:val="22"/>
          <w:color w:val="auto"/>
        </w:rPr>
        <w:t>The Borrower may request the issuance of a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(or the amendment, renewal or extension of an outstanding Letter of Credit) by delivering (i) telephonic notice promptly followed by written Letter of Credit Request or (ii) hand deliver or telecopy (or transmit by electronic communication, if arrangements for doing so have been approved by the applicable Issuing Lender (which approval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unreasonably withheld, delayed or conditioned)) to the applicable Issuing Lender and the Administrative Agent (at least two</w:t>
      </w:r>
    </w:p>
    <w:p>
      <w:pPr>
        <w:spacing w:after="0" w:line="28" w:lineRule="exact"/>
        <w:rPr>
          <w:sz w:val="20"/>
          <w:szCs w:val="20"/>
          <w:color w:val="auto"/>
        </w:rPr>
      </w:pPr>
    </w:p>
    <w:p>
      <w:pPr>
        <w:jc w:val="both"/>
        <w:ind w:firstLine="8"/>
        <w:spacing w:after="0" w:line="258" w:lineRule="auto"/>
        <w:tabs>
          <w:tab w:leader="none" w:pos="332" w:val="left"/>
        </w:tabs>
        <w:numPr>
          <w:ilvl w:val="0"/>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 (2) the date on which such Letter of Credit is to expire (which shall comply with paragraph (c) of this Section 2.02), (3) the amount of such Letter of Credit,</w:t>
      </w:r>
    </w:p>
    <w:p>
      <w:pPr>
        <w:spacing w:after="0" w:line="1" w:lineRule="exact"/>
        <w:rPr>
          <w:rFonts w:ascii="Times New Roman" w:cs="Times New Roman" w:eastAsia="Times New Roman" w:hAnsi="Times New Roman"/>
          <w:sz w:val="21"/>
          <w:szCs w:val="21"/>
          <w:color w:val="auto"/>
        </w:rPr>
      </w:pPr>
    </w:p>
    <w:p>
      <w:pPr>
        <w:jc w:val="both"/>
        <w:ind w:firstLine="8"/>
        <w:spacing w:after="0" w:line="258" w:lineRule="auto"/>
        <w:tabs>
          <w:tab w:leader="none" w:pos="308" w:val="left"/>
        </w:tabs>
        <w:numPr>
          <w:ilvl w:val="0"/>
          <w:numId w:val="4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 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w:t>
      </w:r>
    </w:p>
    <w:p>
      <w:pPr>
        <w:spacing w:after="0" w:line="177"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65"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 Each Letter of Credit shall expire at or prior to the close of business on the earlier of (i)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that is (x) one year after the date of the issuance of such Letter of Credit (or, in the case of any renewal or extension thereof, one year after such renewal or extension) or (y) such later date as may be agreed by the Borrower and the Issuing Lender, and (ii) the date that is five (5) Business Days prior to the Revolving Facility Maturity Date with respect to the applicable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clause (ii)).</w:t>
      </w:r>
    </w:p>
    <w:p>
      <w:pPr>
        <w:spacing w:after="0" w:line="19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4"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By the issuance of a Letter of Credit (or an amendment, renewal or extension of a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including any amendment 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reimbursement payment required to be refunded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w:t>
      </w:r>
    </w:p>
    <w:p>
      <w:pPr>
        <w:spacing w:after="0" w:line="175" w:lineRule="exact"/>
        <w:rPr>
          <w:sz w:val="20"/>
          <w:szCs w:val="20"/>
          <w:color w:val="auto"/>
        </w:rPr>
      </w:pPr>
    </w:p>
    <w:p>
      <w:pPr>
        <w:ind w:left="1760" w:hanging="456"/>
        <w:spacing w:after="0"/>
        <w:tabs>
          <w:tab w:leader="none" w:pos="176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0" w:lineRule="auto"/>
        <w:tabs>
          <w:tab w:leader="none" w:pos="1797"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Issuing Lender shall make any LC Disbursement in respect of a Letter of Credit, the Borrower shall reimburse such LC Disbursement (whether or not such Letter of Credit was issued for the Borrower’s own account or in its name for the account or name of any other Subsidiary of the Parent) by paying to the Administrative Agent an amount equal to the amount of such LC Disbursement not later than the first Business Day following the date the Borrower receives notice from the Issuing Lender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LC Disbursement, to the extent not reimbursed and, subject to the satisfaction (or waiver) of the conditions to borrowing set forth herein, including, without limitation, making a 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w:t>
      </w:r>
    </w:p>
    <w:p>
      <w:pPr>
        <w:spacing w:after="0" w:line="179"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09" w:val="left"/>
        </w:tabs>
        <w:numPr>
          <w:ilvl w:val="0"/>
          <w:numId w:val="4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 fails to make any payment due under the preceding paragraph (i) with respect to a Letter of Credit when due (including by a Borrowing), the Administrative Agent 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to Revolving Loans made by such Revolving Lender (and Section 2.04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w:t>
      </w:r>
    </w:p>
    <w:p>
      <w:pPr>
        <w:spacing w:after="0" w:line="168" w:lineRule="exact"/>
        <w:rPr>
          <w:sz w:val="20"/>
          <w:szCs w:val="20"/>
          <w:color w:val="auto"/>
        </w:rPr>
      </w:pPr>
    </w:p>
    <w:p>
      <w:pPr>
        <w:jc w:val="both"/>
        <w:ind w:firstLine="1304"/>
        <w:spacing w:after="0" w:line="258" w:lineRule="auto"/>
        <w:tabs>
          <w:tab w:leader="none" w:pos="2038"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Absolute</w:t>
      </w:r>
      <w:r>
        <w:rPr>
          <w:rFonts w:ascii="Times New Roman" w:cs="Times New Roman" w:eastAsia="Times New Roman" w:hAnsi="Times New Roman"/>
          <w:sz w:val="22"/>
          <w:szCs w:val="22"/>
          <w:color w:val="auto"/>
        </w:rPr>
        <w:t>. The Borrower’s obligation to reimburse LC Disbursements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2.02(e)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 waived by the Borrower to the extent 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 terms and conditions of such Letter of Credit (as finally determined by a court of competent jurisdiction).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3" w:lineRule="exact"/>
        <w:rPr>
          <w:sz w:val="20"/>
          <w:szCs w:val="20"/>
          <w:color w:val="auto"/>
        </w:rPr>
      </w:pPr>
    </w:p>
    <w:p>
      <w:pPr>
        <w:jc w:val="both"/>
        <w:ind w:firstLine="1304"/>
        <w:spacing w:after="0" w:line="250" w:lineRule="auto"/>
        <w:tabs>
          <w:tab w:leader="none" w:pos="1926"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Disbursement Procedures</w:t>
      </w:r>
      <w:r>
        <w:rPr>
          <w:rFonts w:ascii="Times New Roman" w:cs="Times New Roman" w:eastAsia="Times New Roman" w:hAnsi="Times New Roman"/>
          <w:sz w:val="22"/>
          <w:szCs w:val="22"/>
          <w:color w:val="auto"/>
        </w:rPr>
        <w:t>. The applicable Issuing Lender shall, promptly following its receipt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examine all documents purporting to represent a demand for payment under a Letter of Credit. The applicable Issuing Lender shall promptly notify the Administrative Agent and the Borrower by telephone (confirmed by telecopy) of such demand for payment, whether the applicable Issuing Lender has made or will make an LC Disbursement thereunder and the amount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the applicable Issuing Lender and the Revolving Lenders with respect to any such LC Disbursement in accordance with the terms herein.</w:t>
      </w:r>
    </w:p>
    <w:p>
      <w:pPr>
        <w:spacing w:after="0" w:line="180"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64"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Interim Interest</w:t>
      </w:r>
      <w:r>
        <w:rPr>
          <w:rFonts w:ascii="Times New Roman" w:cs="Times New Roman" w:eastAsia="Times New Roman" w:hAnsi="Times New Roman"/>
          <w:sz w:val="22"/>
          <w:szCs w:val="22"/>
          <w:color w:val="auto"/>
        </w:rPr>
        <w:t>. If the applicable Issuing Lender shall make any LC Disbursement, then, unless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reimburse (including by a Borrowing) such LC Disbursement in full not later than the first Business Day following the date such LC Disbursement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w:t>
      </w:r>
    </w:p>
    <w:p>
      <w:pPr>
        <w:spacing w:after="0" w:line="165" w:lineRule="exact"/>
        <w:rPr>
          <w:sz w:val="20"/>
          <w:szCs w:val="20"/>
          <w:color w:val="auto"/>
        </w:rPr>
      </w:pPr>
    </w:p>
    <w:p>
      <w:pPr>
        <w:jc w:val="both"/>
        <w:ind w:firstLine="1304"/>
        <w:spacing w:after="0" w:line="249" w:lineRule="auto"/>
        <w:tabs>
          <w:tab w:leader="none" w:pos="1770"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Replacement of the Issuing Lender</w:t>
      </w:r>
      <w:r>
        <w:rPr>
          <w:rFonts w:ascii="Times New Roman" w:cs="Times New Roman" w:eastAsia="Times New Roman" w:hAnsi="Times New Roman"/>
          <w:sz w:val="22"/>
          <w:szCs w:val="22"/>
          <w:color w:val="auto"/>
        </w:rPr>
        <w:t>. Any Issuing Lender may be replaced at any time by written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the Borrower, the Administrative Agent, 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7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8"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Replacement of Letters of Credit; Cash Collateralization</w:t>
      </w:r>
      <w:r>
        <w:rPr>
          <w:rFonts w:ascii="Times New Roman" w:cs="Times New Roman" w:eastAsia="Times New Roman" w:hAnsi="Times New Roman"/>
          <w:sz w:val="22"/>
          <w:szCs w:val="22"/>
          <w:color w:val="auto"/>
        </w:rPr>
        <w:t>. The Borrower shall (i) upon or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Maturity Date with respect to all Revolving Commitments and (B) the acceleration of the Revolving Loans (if any) and the termination of the Revolving Commitments in accordance with the terms hereof (the “</w:t>
      </w:r>
      <w:r>
        <w:rPr>
          <w:rFonts w:ascii="Times New Roman" w:cs="Times New Roman" w:eastAsia="Times New Roman" w:hAnsi="Times New Roman"/>
          <w:sz w:val="22"/>
          <w:szCs w:val="22"/>
          <w:i w:val="1"/>
          <w:iCs w:val="1"/>
          <w:color w:val="auto"/>
        </w:rPr>
        <w:t>Outstanding Letters of Credit</w:t>
      </w:r>
      <w:r>
        <w:rPr>
          <w:rFonts w:ascii="Times New Roman" w:cs="Times New Roman" w:eastAsia="Times New Roman" w:hAnsi="Times New Roman"/>
          <w:sz w:val="22"/>
          <w:szCs w:val="22"/>
          <w:color w:val="auto"/>
        </w:rPr>
        <w:t>”) to be returned to the applicable Issuing Lender undrawn and marked “cancelled” or (y) if the Borrower does not do so in whole or in part either</w:t>
      </w:r>
    </w:p>
    <w:p>
      <w:pPr>
        <w:spacing w:after="0" w:line="1" w:lineRule="exact"/>
        <w:rPr>
          <w:rFonts w:ascii="Times New Roman" w:cs="Times New Roman" w:eastAsia="Times New Roman" w:hAnsi="Times New Roman"/>
          <w:sz w:val="22"/>
          <w:szCs w:val="22"/>
          <w:color w:val="auto"/>
        </w:rPr>
      </w:pPr>
    </w:p>
    <w:p>
      <w:pPr>
        <w:jc w:val="both"/>
        <w:ind w:firstLine="8"/>
        <w:spacing w:after="0" w:line="246" w:lineRule="auto"/>
        <w:tabs>
          <w:tab w:leader="none" w:pos="363"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clauses (A) or (B) above), and (ii) if required pursuant to Section 2.02(l), 2.12(c), 2.12(d), 2.12(e), 2.12(g), 2.26(d)(ii), 2.26(e)(ii),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2.26(f) or 7.01 or pursuant to any 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(it being understood that any LC Exposure shall be deemed to be “</w:t>
      </w:r>
      <w:r>
        <w:rPr>
          <w:rFonts w:ascii="Times New Roman" w:cs="Times New Roman" w:eastAsia="Times New Roman" w:hAnsi="Times New Roman"/>
          <w:sz w:val="22"/>
          <w:szCs w:val="22"/>
          <w:i w:val="1"/>
          <w:iCs w:val="1"/>
          <w:color w:val="auto"/>
        </w:rPr>
        <w:t>Cash Collateralized</w:t>
      </w:r>
      <w:r>
        <w:rPr>
          <w:rFonts w:ascii="Times New Roman" w:cs="Times New Roman" w:eastAsia="Times New Roman" w:hAnsi="Times New Roman"/>
          <w:sz w:val="22"/>
          <w:szCs w:val="22"/>
          <w:color w:val="auto"/>
        </w:rPr>
        <w:t>” 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w:t>
      </w:r>
    </w:p>
    <w:p>
      <w:pPr>
        <w:spacing w:after="0" w:line="187" w:lineRule="exact"/>
        <w:rPr>
          <w:sz w:val="20"/>
          <w:szCs w:val="20"/>
          <w:color w:val="auto"/>
        </w:rPr>
      </w:pPr>
    </w:p>
    <w:p>
      <w:pPr>
        <w:jc w:val="both"/>
        <w:ind w:firstLine="1304"/>
        <w:spacing w:after="0" w:line="248" w:lineRule="auto"/>
        <w:tabs>
          <w:tab w:leader="none" w:pos="1831"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Issuing Lender Agreements</w:t>
      </w:r>
      <w:r>
        <w:rPr>
          <w:rFonts w:ascii="Times New Roman" w:cs="Times New Roman" w:eastAsia="Times New Roman" w:hAnsi="Times New Roman"/>
          <w:sz w:val="22"/>
          <w:szCs w:val="22"/>
          <w:color w:val="auto"/>
        </w:rPr>
        <w:t>. Unless otherwise requested by the Administrative Agent, each Issuing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w:t>
      </w:r>
    </w:p>
    <w:p>
      <w:pPr>
        <w:spacing w:after="0" w:line="18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16"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Provisions Related to Extended Revolving Commitments</w:t>
      </w:r>
      <w:r>
        <w:rPr>
          <w:rFonts w:ascii="Times New Roman" w:cs="Times New Roman" w:eastAsia="Times New Roman" w:hAnsi="Times New Roman"/>
          <w:sz w:val="22"/>
          <w:szCs w:val="22"/>
          <w:color w:val="auto"/>
        </w:rPr>
        <w:t>. If the Revolving Facility Maturity Date in respect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tranche of Revolving Commitments occurs prior to the expiration of any Letter of Credit with respect to which Lenders holding such Revolving Commitments hold participation interests, then (i) if one or more other tranches of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Commitments in respect of which the Revolving Facility Maturity Date shall not have occurred 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Requests for Loans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57" w:lineRule="auto"/>
        <w:tabs>
          <w:tab w:leader="none" w:pos="1833" w:val="left"/>
        </w:tabs>
        <w:numPr>
          <w:ilvl w:val="1"/>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Unless otherwise agreed to by the Administrative Agent in connection with making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initial Revolving Loans, to request a Revolving Loan, the Borrower shall notify the Administrative Agent of such request by</w:t>
      </w:r>
    </w:p>
    <w:p>
      <w:pPr>
        <w:spacing w:after="0" w:line="1" w:lineRule="exact"/>
        <w:rPr>
          <w:rFonts w:ascii="Times New Roman" w:cs="Times New Roman" w:eastAsia="Times New Roman" w:hAnsi="Times New Roman"/>
          <w:sz w:val="22"/>
          <w:szCs w:val="22"/>
          <w:color w:val="auto"/>
        </w:rPr>
      </w:pPr>
    </w:p>
    <w:p>
      <w:pPr>
        <w:jc w:val="both"/>
        <w:ind w:firstLine="8"/>
        <w:spacing w:after="0" w:line="260" w:lineRule="auto"/>
        <w:tabs>
          <w:tab w:leader="none" w:pos="270" w:val="left"/>
        </w:tabs>
        <w:numPr>
          <w:ilvl w:val="0"/>
          <w:numId w:val="4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telephone or (ii) by hand or by facsimile delivery of a written Loan Request (A) in the case of a Term SOFR Loan, not later than 2:00 p.m., New York City time, three (3) U.S. Government Securities Business Days before proposed Borrowing Date and</w:t>
      </w:r>
    </w:p>
    <w:p>
      <w:pPr>
        <w:spacing w:after="0" w:line="1"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in the case of an ABR Loan, not later than 11:00 a.m., New York City time, on the proposed Borrowing Date. Each such telephonic Revolving Loan request shall be irrevocable and shall be confirmed promptly by hand delivery or telecopy to the Administrative Agent of a written Loan Request signed by the Borrower. Each such telephonic Revolving Loan request and written Loan Request shall specify the following information in compliance with Section 2.01:</w:t>
      </w:r>
    </w:p>
    <w:p>
      <w:pPr>
        <w:spacing w:after="0" w:line="181" w:lineRule="exact"/>
        <w:rPr>
          <w:rFonts w:ascii="Times New Roman" w:cs="Times New Roman" w:eastAsia="Times New Roman" w:hAnsi="Times New Roman"/>
          <w:sz w:val="21"/>
          <w:szCs w:val="21"/>
          <w:color w:val="auto"/>
        </w:rPr>
      </w:pPr>
    </w:p>
    <w:p>
      <w:pPr>
        <w:ind w:left="1720" w:hanging="416"/>
        <w:spacing w:after="0"/>
        <w:tabs>
          <w:tab w:leader="none" w:pos="1720" w:val="left"/>
        </w:tabs>
        <w:numPr>
          <w:ilvl w:val="1"/>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Revolving Loan (which shall comply with Section 2.01(d));</w:t>
      </w:r>
    </w:p>
    <w:p>
      <w:pPr>
        <w:spacing w:after="0" w:line="220" w:lineRule="exact"/>
        <w:rPr>
          <w:sz w:val="20"/>
          <w:szCs w:val="20"/>
          <w:color w:val="auto"/>
        </w:rPr>
      </w:pPr>
    </w:p>
    <w:p>
      <w:pPr>
        <w:ind w:left="1780" w:hanging="476"/>
        <w:spacing w:after="0"/>
        <w:tabs>
          <w:tab w:leader="none" w:pos="1780"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of such Revolving Loan, which shall be a Business Day;</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Revolving Loan is to be an ABR Loan or a Term SOFR Loan; and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47"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Loan, the initial Interest Period to be applicable thereto, which shall be a period contemplated by the definition of the term “Interest Period.”</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no election as to the Type of Revolving Loan is specified, then the requested Revolving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194" w:lineRule="exact"/>
        <w:rPr>
          <w:sz w:val="20"/>
          <w:szCs w:val="20"/>
          <w:color w:val="auto"/>
        </w:rPr>
      </w:pPr>
    </w:p>
    <w:p>
      <w:pPr>
        <w:jc w:val="both"/>
        <w:ind w:firstLine="1304"/>
        <w:spacing w:after="0" w:line="250" w:lineRule="auto"/>
        <w:tabs>
          <w:tab w:leader="none" w:pos="1912"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Loans</w:t>
      </w:r>
      <w:r>
        <w:rPr>
          <w:rFonts w:ascii="Times New Roman" w:cs="Times New Roman" w:eastAsia="Times New Roman" w:hAnsi="Times New Roman"/>
          <w:sz w:val="22"/>
          <w:szCs w:val="22"/>
          <w:color w:val="auto"/>
        </w:rPr>
        <w:t>. Unless otherwise agreed to by the Administrative Agent, to request the Term Loans,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notify the Administrative Agent of such request by telephone (i) in the case of a Term SOFR Loan, not later than 2:00 p.m., New York City time, two (2) U.S. Government Securities Business Days before the Closing Date and (ii) in the case of an ABR Loan, not later than 1:00 p.m., New York City time one (1) Business Day before the Closing Date. Each such telephonic Term Loan request shall be irrevocable and shall be confirmed promptly by hand delivery or telecopy to the Administrative Agent of a written Loan Request signed by the Borrower. Each such telephonic and written Loan Request shall specify the following information in compliance with Section 2.01:</w:t>
      </w:r>
    </w:p>
    <w:p>
      <w:pPr>
        <w:spacing w:after="0" w:line="184" w:lineRule="exact"/>
        <w:rPr>
          <w:sz w:val="20"/>
          <w:szCs w:val="20"/>
          <w:color w:val="auto"/>
        </w:rPr>
      </w:pPr>
    </w:p>
    <w:p>
      <w:pPr>
        <w:ind w:left="1720" w:hanging="416"/>
        <w:spacing w:after="0"/>
        <w:tabs>
          <w:tab w:leader="none" w:pos="172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Term Loan (which shall comply with Section 2.01(d));</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of such Term Loan, which shall be a Business Day;</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Term Loan is to be an ABR Loan or a Term SOFR Loan; and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7"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Loan, the initial Interest Period to be applicable thereto, which shall be a period contemplated by the definition of the term “Interest Period.”</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no election as to the Type of Term Loan is specified, then the requested Term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2.03(b), the Administrative Agent shall advise each Term Lender of the details thereof and of the amount of such Term Lender’s Loan to be made as part of the requested Term Loan.</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Funding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6" w:lineRule="auto"/>
        <w:tabs>
          <w:tab w:leader="none" w:pos="1900" w:val="left"/>
        </w:tabs>
        <w:numPr>
          <w:ilvl w:val="0"/>
          <w:numId w:val="4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ABR Loans made to finance the reimbursement of an LC Disbursement as provided in Section 2.02(e) shall be remitted by the Administrative Agent to the relevant Issuing Lender.</w:t>
      </w:r>
    </w:p>
    <w:p>
      <w:pPr>
        <w:spacing w:after="0" w:line="165"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18"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98" w:lineRule="exact"/>
        <w:rPr>
          <w:sz w:val="20"/>
          <w:szCs w:val="20"/>
          <w:color w:val="auto"/>
        </w:rPr>
      </w:pPr>
    </w:p>
    <w:p>
      <w:pPr>
        <w:jc w:val="both"/>
        <w:ind w:firstLine="1304"/>
        <w:spacing w:after="0" w:line="247" w:lineRule="auto"/>
        <w:tabs>
          <w:tab w:leader="none" w:pos="1794"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shall have received notice from a Lender prior to the proposed Borrowing Date (or, with respect to any ABR Loan made on same-day notice, prior to </w:t>
      </w:r>
      <w:r>
        <w:rPr>
          <w:rFonts w:ascii="Times New Roman" w:cs="Times New Roman" w:eastAsia="Times New Roman" w:hAnsi="Times New Roman"/>
          <w:sz w:val="22"/>
          <w:szCs w:val="22"/>
          <w:b w:val="1"/>
          <w:bCs w:val="1"/>
          <w:color w:val="FF0000"/>
          <w:strike w:val="1"/>
        </w:rPr>
        <w:t>11:00 a.m</w:t>
      </w:r>
      <w:r>
        <w:rPr>
          <w:rFonts w:ascii="Times New Roman" w:cs="Times New Roman" w:eastAsia="Times New Roman" w:hAnsi="Times New Roman"/>
          <w:sz w:val="22"/>
          <w:szCs w:val="22"/>
          <w:b w:val="1"/>
          <w:bCs w:val="1"/>
          <w:u w:val="single" w:color="auto"/>
          <w:color w:val="0000FF"/>
        </w:rPr>
        <w:t>12:00 p.m</w:t>
      </w:r>
      <w:r>
        <w:rPr>
          <w:rFonts w:ascii="Times New Roman" w:cs="Times New Roman" w:eastAsia="Times New Roman" w:hAnsi="Times New Roman"/>
          <w:sz w:val="22"/>
          <w:szCs w:val="22"/>
          <w:color w:val="auto"/>
        </w:rPr>
        <w:t>.,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w:t>
      </w:r>
    </w:p>
    <w:p>
      <w:pPr>
        <w:spacing w:after="0" w:line="20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757"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elect from time to time to (i) convert ABR Loans to Term SOFR Loans, (ii) convert Term SOFR Loans to ABR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conversion of Term SOFR Loans may be made only on the last day of an Interest Period with respect thereto or (iii) continue any Term SOFR Loan as such upon the expiration of the then current Interest Period with respect thereto.</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93"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Interest Election Request pursuant to this Section 2.05, the Borrower shall notify the Administrative Agent of such election by telephone or by hand or facsimile delivery or by electronic mail of a written Interest Election Request by the time that a Loan Request would be required under Section 2.03(a) or Section 2.03(b) if the Borrower were requesting a Loan of the Type resulting from such election to be made on the effective date of such election.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w:t>
      </w:r>
    </w:p>
    <w:p>
      <w:pPr>
        <w:spacing w:after="0" w:line="180"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4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telephonic and written Interest Election Request shall specify the following information in compliance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Section 2.01:</w:t>
      </w:r>
    </w:p>
    <w:p>
      <w:pPr>
        <w:spacing w:after="0" w:line="196" w:lineRule="exact"/>
        <w:rPr>
          <w:sz w:val="20"/>
          <w:szCs w:val="20"/>
          <w:color w:val="auto"/>
        </w:rPr>
      </w:pPr>
    </w:p>
    <w:p>
      <w:pPr>
        <w:jc w:val="both"/>
        <w:ind w:left="660" w:firstLine="644"/>
        <w:spacing w:after="0" w:line="263" w:lineRule="auto"/>
        <w:tabs>
          <w:tab w:leader="none" w:pos="1741"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7"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4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election made pursuant to such Interest Election Request, which shall be a Business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98" w:lineRule="exact"/>
        <w:rPr>
          <w:sz w:val="20"/>
          <w:szCs w:val="20"/>
          <w:color w:val="auto"/>
        </w:rPr>
      </w:pPr>
    </w:p>
    <w:p>
      <w:pPr>
        <w:ind w:left="1840" w:hanging="536"/>
        <w:spacing w:after="0"/>
        <w:tabs>
          <w:tab w:leader="none" w:pos="184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Term SOFR Borrowing;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36"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Term SOFR Borrowing, the Interest Period to be applicable thereto after giving effect to such election, which shall be a period contemplated by the definition of the term “Interest Period.”</w:t>
      </w:r>
    </w:p>
    <w:p>
      <w:pPr>
        <w:spacing w:after="0" w:line="1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any such Interest Election Request requests a Term SOFR Borrowing but does not specify an Interest Period, then the Borrower shall be deemed to have selected an Interest Period of one month’s duration.</w:t>
      </w:r>
    </w:p>
    <w:p>
      <w:pPr>
        <w:spacing w:after="0" w:line="158" w:lineRule="exact"/>
        <w:rPr>
          <w:sz w:val="20"/>
          <w:szCs w:val="20"/>
          <w:color w:val="auto"/>
        </w:rPr>
      </w:pPr>
    </w:p>
    <w:p>
      <w:pPr>
        <w:ind w:firstLine="1304"/>
        <w:spacing w:after="0" w:line="271" w:lineRule="auto"/>
        <w:tabs>
          <w:tab w:leader="none" w:pos="1900"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details thereof and of such Lender’s portion of each resulting Borrowing.</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6"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 one-month Term SOFR Borrowing. Notwithstanding any contrary provision hereof, if an Event of Default has occurred and is continuing, and upon the request of the Required Lenders, (i) no outstanding Borrowing may be converted to or continued as a Term SOFR Borrowing and (ii) unless repaid, each Term SOFR Borrowing shall be converted to an ABR Borrowing at the end of the Interest Period applicable thereto.</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Limitation on Term SOFR Tranches</w:t>
      </w:r>
      <w:r>
        <w:rPr>
          <w:rFonts w:ascii="Times New Roman" w:cs="Times New Roman" w:eastAsia="Times New Roman" w:hAnsi="Times New Roman"/>
          <w:sz w:val="22"/>
          <w:szCs w:val="22"/>
          <w:color w:val="auto"/>
        </w:rPr>
        <w:t>.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Tranche shall be equal to $1,000,000 or a whole multiple of $1,000,000 in excess thereof and (b) no more than twenty Term SOFR Tranches shall be outstanding at any one time.</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Interest on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803"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2.08, each ABR Loan shall bear interest (computed on the basis of the actual number of days elapsed over a year of 365 days or 366 days in a leap year) at a rate per annum equal to the Alternate Base Rate plus the Applicable Margin.</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5"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Section 2.08, each Term SOFR Loan shall bear interest (computed on the basis of the actual number of days elapsed over a year of 360 days) at a rate per annum equal, during each Interest Period applicable thereto, to </w:t>
      </w:r>
      <w:r>
        <w:rPr>
          <w:rFonts w:ascii="Times New Roman" w:cs="Times New Roman" w:eastAsia="Times New Roman" w:hAnsi="Times New Roman"/>
          <w:sz w:val="22"/>
          <w:szCs w:val="22"/>
          <w:b w:val="1"/>
          <w:bCs w:val="1"/>
          <w:color w:val="FF0000"/>
          <w:strike w:val="1"/>
        </w:rPr>
        <w:t>the</w:t>
      </w:r>
      <w:r>
        <w:rPr>
          <w:rFonts w:ascii="Times New Roman" w:cs="Times New Roman" w:eastAsia="Times New Roman" w:hAnsi="Times New Roman"/>
          <w:sz w:val="22"/>
          <w:szCs w:val="22"/>
          <w:color w:val="auto"/>
        </w:rPr>
        <w:t xml:space="preserve"> Adjusted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for such Interest Period in effect for such Borrowing plus the Applicable Margin.</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45"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interest on all Loans shall be payable in arrears on each Interest Payment Date applicable thereto, on the Termination Date with respect to such Loans and thereafter on written demand and upon any repayment or prepayment thereof (on the amount repaid or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conversion of any Term SOFR Loan to an ABR Loan, accrued interest on such Loan shall be payable on the effective date of such conversion.</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Alternate Rate of Interest</w:t>
      </w:r>
      <w:r>
        <w:rPr>
          <w:rFonts w:ascii="Times New Roman" w:cs="Times New Roman" w:eastAsia="Times New Roman" w:hAnsi="Times New Roman"/>
          <w:sz w:val="22"/>
          <w:szCs w:val="22"/>
          <w:color w:val="auto"/>
        </w:rPr>
        <w:t xml:space="preserve">. In the event, and on each occasion, that on the date that is two (2) U.S. Government Securities Business Days prior to the commencement of any Interest Period for a Term SOFR Loan, the Administrative Agent shall have reasonably determined (which determination shall be conclusive and binding upon the Borrower absent manifest error) that reasonable means do not exist for ascertaining </w:t>
      </w:r>
      <w:r>
        <w:rPr>
          <w:rFonts w:ascii="Times New Roman" w:cs="Times New Roman" w:eastAsia="Times New Roman" w:hAnsi="Times New Roman"/>
          <w:sz w:val="22"/>
          <w:szCs w:val="22"/>
          <w:b w:val="1"/>
          <w:bCs w:val="1"/>
          <w:color w:val="FF0000"/>
          <w:strike w:val="1"/>
        </w:rPr>
        <w:t>the applicable</w:t>
      </w:r>
      <w:r>
        <w:rPr>
          <w:rFonts w:ascii="Times New Roman" w:cs="Times New Roman" w:eastAsia="Times New Roman" w:hAnsi="Times New Roman"/>
          <w:sz w:val="22"/>
          <w:szCs w:val="22"/>
          <w:color w:val="auto"/>
        </w:rPr>
        <w:t xml:space="preserve"> Term SOFR </w:t>
      </w:r>
      <w:r>
        <w:rPr>
          <w:rFonts w:ascii="Times New Roman" w:cs="Times New Roman" w:eastAsia="Times New Roman" w:hAnsi="Times New Roman"/>
          <w:sz w:val="22"/>
          <w:szCs w:val="22"/>
          <w:b w:val="1"/>
          <w:bCs w:val="1"/>
          <w:color w:val="FF0000"/>
        </w:rPr>
        <w:t>Rate</w:t>
      </w:r>
      <w:r>
        <w:rPr>
          <w:rFonts w:ascii="Times New Roman" w:cs="Times New Roman" w:eastAsia="Times New Roman" w:hAnsi="Times New Roman"/>
          <w:sz w:val="22"/>
          <w:szCs w:val="22"/>
          <w:color w:val="auto"/>
        </w:rPr>
        <w:t xml:space="preserve">, the Administrative Agent shall, as soon as practicable thereafter, give written, facsimile or telegraphic notice of such determination to the Borrower and the Lenders and, until the circumstances giving rise to such notice no longer exist, any request by the Borrower for a Borrowing of Term SOFR Loans hereunder (including pursuant to a refinancing with Term SOFR Loans and including any request to continue, or to convert to, Term SOFR Loans) shall be deemed a request for a Borrowing of ABR Loans. Notwithstanding any provision to the contrary set forth in this Agreement, in the event the Administrative Agent determines, pursuant to and in accordance with this Section 2.09, that reasonable means do not exist for ascertaining </w:t>
      </w:r>
      <w:r>
        <w:rPr>
          <w:rFonts w:ascii="Times New Roman" w:cs="Times New Roman" w:eastAsia="Times New Roman" w:hAnsi="Times New Roman"/>
          <w:sz w:val="22"/>
          <w:szCs w:val="22"/>
          <w:b w:val="1"/>
          <w:bCs w:val="1"/>
          <w:color w:val="FF0000"/>
          <w:strike w:val="1"/>
        </w:rPr>
        <w:t>the applicable</w:t>
      </w:r>
      <w:r>
        <w:rPr>
          <w:rFonts w:ascii="Times New Roman" w:cs="Times New Roman" w:eastAsia="Times New Roman" w:hAnsi="Times New Roman"/>
          <w:sz w:val="22"/>
          <w:szCs w:val="22"/>
          <w:color w:val="auto"/>
        </w:rPr>
        <w:t xml:space="preserve">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xml:space="preserve"> and the Administrative Agent and the Borrower mutually determine that the syndicated loan market has broadly accepted a replacement standard for </w:t>
      </w:r>
      <w:r>
        <w:rPr>
          <w:rFonts w:ascii="Times New Roman" w:cs="Times New Roman" w:eastAsia="Times New Roman" w:hAnsi="Times New Roman"/>
          <w:sz w:val="22"/>
          <w:szCs w:val="22"/>
          <w:b w:val="1"/>
          <w:bCs w:val="1"/>
          <w:color w:val="FF0000"/>
          <w:strike w:val="1"/>
        </w:rPr>
        <w:t>the</w:t>
      </w:r>
      <w:r>
        <w:rPr>
          <w:rFonts w:ascii="Times New Roman" w:cs="Times New Roman" w:eastAsia="Times New Roman" w:hAnsi="Times New Roman"/>
          <w:sz w:val="22"/>
          <w:szCs w:val="22"/>
          <w:color w:val="auto"/>
        </w:rPr>
        <w:t xml:space="preserve"> Term SOFR </w:t>
      </w:r>
      <w:r>
        <w:rPr>
          <w:rFonts w:ascii="Times New Roman" w:cs="Times New Roman" w:eastAsia="Times New Roman" w:hAnsi="Times New Roman"/>
          <w:sz w:val="22"/>
          <w:szCs w:val="22"/>
          <w:b w:val="1"/>
          <w:bCs w:val="1"/>
          <w:color w:val="FF0000"/>
          <w:strike w:val="1"/>
        </w:rPr>
        <w:t>Rate</w:t>
      </w:r>
      <w:r>
        <w:rPr>
          <w:rFonts w:ascii="Times New Roman" w:cs="Times New Roman" w:eastAsia="Times New Roman" w:hAnsi="Times New Roman"/>
          <w:sz w:val="22"/>
          <w:szCs w:val="22"/>
          <w:color w:val="auto"/>
        </w:rPr>
        <w:t>, then the Administrative Agent and Borrower may, without the consent of any Lender,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-1897380</wp:posOffset>
            </wp:positionV>
            <wp:extent cx="3168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16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Amortization of Term Loans; Repayment of Loans; Evidence of Debt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68"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to the Administrative Agent for the ratable account of each Revolving Lender the then unpaid principal amount of each Revolving Loan then outstanding on the Revolving Facility Termination Date applicable to such Revolving Loan.</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8"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amounts of the 2020 Term Loans shall be repaid in consecutive annual installments beginning on the first anniversary of the Eighth Amendment Effective Date (each, an “</w:t>
      </w:r>
      <w:r>
        <w:rPr>
          <w:rFonts w:ascii="Times New Roman" w:cs="Times New Roman" w:eastAsia="Times New Roman" w:hAnsi="Times New Roman"/>
          <w:sz w:val="22"/>
          <w:szCs w:val="22"/>
          <w:i w:val="1"/>
          <w:iCs w:val="1"/>
          <w:color w:val="auto"/>
        </w:rPr>
        <w:t>Installment</w:t>
      </w:r>
      <w:r>
        <w:rPr>
          <w:rFonts w:ascii="Times New Roman" w:cs="Times New Roman" w:eastAsia="Times New Roman" w:hAnsi="Times New Roman"/>
          <w:sz w:val="22"/>
          <w:szCs w:val="22"/>
          <w:color w:val="auto"/>
        </w:rPr>
        <w:t>”) of 1.00% of the sum of (i) the original aggregate principal amount of the 2020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Loans made on the Eighth Amendment Effective Date plus (ii) the original aggregate principal amount of any Incremental Term Loans of the same Class as the 2020 Term Loan from time to time after the Eighth Amendment Effective Date occurring prior to the Term Loan Maturity Date with respect to such 2020 Term Loans. Notwithstanding the foregoing, (1) such Installments shall be reduced in connection with any mandatory or voluntary prepayments of the 2020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81" w:lineRule="exact"/>
        <w:rPr>
          <w:sz w:val="20"/>
          <w:szCs w:val="20"/>
          <w:color w:val="auto"/>
        </w:rPr>
      </w:pPr>
    </w:p>
    <w:p>
      <w:pPr>
        <w:jc w:val="both"/>
        <w:ind w:firstLine="1304"/>
        <w:spacing w:after="0" w:line="263" w:lineRule="auto"/>
        <w:tabs>
          <w:tab w:leader="none" w:pos="1871"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8"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21"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(c) or (d) of this Section 2.10 shall be prima facie evidence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2"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Optional Termination or Reduction of Revolving Commitments</w:t>
      </w:r>
      <w:r>
        <w:rPr>
          <w:rFonts w:ascii="Times New Roman" w:cs="Times New Roman" w:eastAsia="Times New Roman" w:hAnsi="Times New Roman"/>
          <w:sz w:val="22"/>
          <w:szCs w:val="22"/>
          <w:color w:val="auto"/>
        </w:rPr>
        <w:t xml:space="preserve">. Upon at least one (1) Business Day prior written notice to the Administrative Agent, the Borrower may at any time in whole permanently terminate the Total Revolving Commitment (subject to compliance with Section 2.12(e)), or from time to time in part permanently reduce the Unused Total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Section 2.11 shall be applied to reduce the Revolving Commitment of each Revolving Lender on a pro rata basis.</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Mandatory Prepayment of Loans; Commitment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782"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deposit, on the next Business Day (or, if later, within five (5) Business Days of Parent or any of its Subsidiaries receiving any Net Proceeds as a result of such Disposition of Collateral or Recovery Event), cash in an amount (the “</w:t>
      </w:r>
      <w:r>
        <w:rPr>
          <w:rFonts w:ascii="Times New Roman" w:cs="Times New Roman" w:eastAsia="Times New Roman" w:hAnsi="Times New Roman"/>
          <w:sz w:val="22"/>
          <w:szCs w:val="22"/>
          <w:i w:val="1"/>
          <w:iCs w:val="1"/>
          <w:color w:val="auto"/>
        </w:rPr>
        <w:t>Net Proceeds Amount</w:t>
      </w:r>
      <w:r>
        <w:rPr>
          <w:rFonts w:ascii="Times New Roman" w:cs="Times New Roman" w:eastAsia="Times New Roman" w:hAnsi="Times New Roman"/>
          <w:sz w:val="22"/>
          <w:szCs w:val="22"/>
          <w:color w:val="auto"/>
        </w:rPr>
        <w:t xml:space="preserve">”) equal to the amount of such received Net Proceeds (solely to the extent necessary to maintain compliance with Section 6.04) into the Collateral Proceeds Account that is maintained with the Collateral Agent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w:t>
      </w:r>
    </w:p>
    <w:p>
      <w:pPr>
        <w:spacing w:after="0" w:line="196" w:lineRule="exact"/>
        <w:rPr>
          <w:rFonts w:ascii="Times New Roman" w:cs="Times New Roman" w:eastAsia="Times New Roman" w:hAnsi="Times New Roman"/>
          <w:sz w:val="22"/>
          <w:szCs w:val="22"/>
          <w:color w:val="auto"/>
        </w:rPr>
      </w:pPr>
    </w:p>
    <w:p>
      <w:pPr>
        <w:ind w:firstLine="1304"/>
        <w:spacing w:after="0" w:line="271" w:lineRule="auto"/>
        <w:tabs>
          <w:tab w:leader="none" w:pos="1902"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prepay the Loans (without, in the case of any Revolving Loan, any corresponding reduction in Revolving Commitments) when and in an amount necessary to comply with Section 6.09(b)(x)(B).</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47"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Exposure shall be consummated in accordance with Section 2.02(j). The application of any prepayment pursuant to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2.12 shall be made,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ABR Loans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Term SOFR Loans. Term Loans prepaid pursuant to this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2.12 may not be reborrowed.</w:t>
      </w:r>
    </w:p>
    <w:p>
      <w:pPr>
        <w:spacing w:after="0" w:line="209" w:lineRule="exact"/>
        <w:rPr>
          <w:sz w:val="20"/>
          <w:szCs w:val="20"/>
          <w:color w:val="auto"/>
        </w:rPr>
      </w:pPr>
    </w:p>
    <w:p>
      <w:pPr>
        <w:jc w:val="both"/>
        <w:ind w:firstLine="1304"/>
        <w:spacing w:after="0" w:line="250" w:lineRule="auto"/>
        <w:tabs>
          <w:tab w:leader="none" w:pos="1964" w:val="left"/>
        </w:tabs>
        <w:numPr>
          <w:ilvl w:val="1"/>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29" w:val="left"/>
        </w:tabs>
        <w:numPr>
          <w:ilvl w:val="1"/>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27" w:val="left"/>
        </w:tabs>
        <w:numPr>
          <w:ilvl w:val="1"/>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18" w:val="left"/>
        </w:tabs>
        <w:numPr>
          <w:ilvl w:val="1"/>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occurs within thirty (30) days following the occurrence of such Change of Control, the Borrower (or Parent (or any third party on behalf of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178"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97" w:val="left"/>
        </w:tabs>
        <w:numPr>
          <w:ilvl w:val="1"/>
          <w:numId w:val="4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at least one category of Core Collateral, the Borrower shall</w:t>
      </w:r>
    </w:p>
    <w:p>
      <w:pPr>
        <w:spacing w:after="0" w:line="2" w:lineRule="exact"/>
        <w:rPr>
          <w:rFonts w:ascii="Times New Roman" w:cs="Times New Roman" w:eastAsia="Times New Roman" w:hAnsi="Times New Roman"/>
          <w:sz w:val="21"/>
          <w:szCs w:val="21"/>
          <w:color w:val="auto"/>
        </w:rPr>
      </w:pPr>
    </w:p>
    <w:p>
      <w:pPr>
        <w:jc w:val="both"/>
        <w:ind w:firstLine="8"/>
        <w:spacing w:after="0" w:line="252" w:lineRule="auto"/>
        <w:tabs>
          <w:tab w:leader="none" w:pos="277"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20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43"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22"/>
          <w:szCs w:val="22"/>
          <w:color w:val="auto"/>
        </w:rPr>
        <w:t>Pari Passu Senior Secured Debt from clause (ii) of the definition of Collateral Coverage Ratio, shall be no less than 1.6 to 1.0</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Optional Prepayment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808"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at any time and from time to time, to prepay any Loans, in whole or in part, (i) with respect to Term SOFR Loans, upon (A) telephonic notice (followed promptly by written or facsimile notice or notice by electronic mail) (which notice may be conditional notice) to the Administrative Agent or (B) written or facsimile notice (or notice by electronic mail) (which notice may be conditional notice) to the Administrative Agent, in any case received by 1:00 p.m., New York City time, three (3) </w:t>
      </w:r>
      <w:r>
        <w:rPr>
          <w:rFonts w:ascii="Times New Roman" w:cs="Times New Roman" w:eastAsia="Times New Roman" w:hAnsi="Times New Roman"/>
          <w:sz w:val="22"/>
          <w:szCs w:val="22"/>
          <w:b w:val="1"/>
          <w:bCs w:val="1"/>
          <w:u w:val="single" w:color="auto"/>
          <w:color w:val="0000FF"/>
        </w:rPr>
        <w:t>U.S. Government Securities</w:t>
      </w:r>
      <w:r>
        <w:rPr>
          <w:rFonts w:ascii="Times New Roman" w:cs="Times New Roman" w:eastAsia="Times New Roman" w:hAnsi="Times New Roman"/>
          <w:sz w:val="22"/>
          <w:szCs w:val="22"/>
          <w:color w:val="auto"/>
        </w:rPr>
        <w:t xml:space="preserve">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ABR Loans may be prepaid on the same day notice is given if such notice is received by the Administrative Agent by 12:00 noon, New York City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revocation of such conditional notice occurs within the applicable notice period plus 5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each such partial prepayment shall be in an amount not less than $1,000,000 and in integral multiples of $1,000,000 in the case of Term SOFR Loans and integral multiples of $100,000 in the case of ABR Loans, (B) no prepayment of Term SOFR Loans shall be permitted pursuant to this Section 2.13(a) other than on the last day of an Interest Period applicable thereto unless such prepayment is accompanied by the payment of the amounts described in Section 2.15, and (C) no partial prepayment of a Term SOFR Tranche shall result in the aggregate principal amount of the Term SOFR Loans remaining outstanding pursuant to such Term SOFR Tranche being less than $1,000,000. Notwithstanding anything to the contrary above, no notice to the Administrative Agent shall be required in connection with the repayment of the Existing Term Loans (as defined in the Eighth Amendment) with the proceeds of 2020 Term Loans incurred on the Eighth Amendment Effective Date.</w:t>
      </w:r>
    </w:p>
    <w:p>
      <w:pPr>
        <w:spacing w:after="0" w:line="20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70"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w:t>
      </w:r>
    </w:p>
    <w:p>
      <w:pPr>
        <w:spacing w:after="0" w:line="185" w:lineRule="exact"/>
        <w:rPr>
          <w:rFonts w:ascii="Times New Roman" w:cs="Times New Roman" w:eastAsia="Times New Roman" w:hAnsi="Times New Roman"/>
          <w:sz w:val="22"/>
          <w:szCs w:val="22"/>
          <w:color w:val="auto"/>
        </w:rPr>
      </w:pPr>
    </w:p>
    <w:p>
      <w:pPr>
        <w:jc w:val="both"/>
        <w:ind w:firstLine="1304"/>
        <w:spacing w:after="0" w:line="281" w:lineRule="auto"/>
        <w:tabs>
          <w:tab w:leader="none" w:pos="1752" w:val="left"/>
        </w:tabs>
        <w:numPr>
          <w:ilvl w:val="0"/>
          <w:numId w:val="4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notice of prepayment shall specify the prepayment date, the principal amount of the Loans to be prepaid and, in the case of Term SOFR Loans, the Borrowing or Borrowings to be prepaid and shall commit the Borrower to prepay such Loan by the amount and on the date stated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may revoke any notice of prepayment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21" w:right="339" w:bottom="1440" w:gutter="0" w:footer="0" w:header="0"/>
        </w:sectPr>
      </w:pPr>
    </w:p>
    <w:bookmarkStart w:id="438" w:name="page439"/>
    <w:bookmarkEnd w:id="438"/>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w:t>
      </w:r>
    </w:p>
    <w:p>
      <w:pPr>
        <w:spacing w:after="0" w:line="179" w:lineRule="exact"/>
        <w:rPr>
          <w:sz w:val="20"/>
          <w:szCs w:val="20"/>
          <w:color w:val="auto"/>
        </w:rPr>
      </w:pPr>
    </w:p>
    <w:p>
      <w:pPr>
        <w:jc w:val="both"/>
        <w:ind w:firstLine="1304"/>
        <w:spacing w:after="0" w:line="248" w:lineRule="auto"/>
        <w:tabs>
          <w:tab w:leader="none" w:pos="1797"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prior to the date that is six months after the Eighth Amendment Effective Date, there shall occur any Repricing Event, the Borrower shall pay to the Administrative Agent, for the ratable account of each of the Term Lenders holding 2020 Term Loans subject to such Repricing Event, (i) in the case of a Repricing Event of the type described in clause (a) of the definition thereof, a prepayment premium of 1% of the aggregate principal amount of the 2020 Term Loans subject to such Repricing Event and (ii) in the case of a Repricing Event of the type described in clause (b) of the definition thereof, an amount equal to 1% of the aggregate principal amount of the 2020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Term Lender so replaced shall be entitled to the prepayment premium set forth in clause (i) of the preceding sentence with respect to its 2020 Term Loans so assigned unless such fee is waived by such Term Lender.</w:t>
      </w:r>
    </w:p>
    <w:p>
      <w:pPr>
        <w:spacing w:after="0" w:line="18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any Change in Law shall:</w:t>
      </w:r>
    </w:p>
    <w:p>
      <w:pPr>
        <w:spacing w:after="0" w:line="220" w:lineRule="exact"/>
        <w:rPr>
          <w:sz w:val="20"/>
          <w:szCs w:val="20"/>
          <w:color w:val="auto"/>
        </w:rPr>
      </w:pPr>
    </w:p>
    <w:p>
      <w:pPr>
        <w:jc w:val="both"/>
        <w:ind w:left="660" w:firstLine="644"/>
        <w:spacing w:after="0" w:line="253" w:lineRule="auto"/>
        <w:tabs>
          <w:tab w:leader="none" w:pos="1728"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by, any Lender or Issuing Lender; or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31"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Issuing Lender or the London interbank market any other condition, cost or expense (other than Taxes) affecting this Agreement or Term SOFR Loans made by such Lender or any Letter of Credit or participation therein;</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into, continuing or maintaining any Term SOFR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Term SOFR Loan or Letter of Credit (whether of principal, interest or otherwise), then, upon the request of such Lender or Issuing Lender, the Borrower will pay to such Lender or Issuing Lender, as the case may be, such additional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amounts as will compensate such Lender or Issuing Lender, as the case may be, for such additional costs incurred or reduction suffered.</w:t>
      </w:r>
    </w:p>
    <w:p>
      <w:pPr>
        <w:spacing w:after="0" w:line="158" w:lineRule="exact"/>
        <w:rPr>
          <w:sz w:val="20"/>
          <w:szCs w:val="20"/>
          <w:color w:val="auto"/>
        </w:rPr>
      </w:pPr>
    </w:p>
    <w:p>
      <w:pPr>
        <w:jc w:val="both"/>
        <w:ind w:firstLine="1304"/>
        <w:spacing w:after="0" w:line="261" w:lineRule="auto"/>
        <w:tabs>
          <w:tab w:leader="none" w:pos="1797" w:val="left"/>
        </w:tabs>
        <w:numPr>
          <w:ilvl w:val="0"/>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SOFR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w:t>
      </w:r>
    </w:p>
    <w:p>
      <w:pPr>
        <w:spacing w:after="0" w:line="175"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1"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 Lender or Issuing Lender setting forth the amount or amounts necessary to compensate such Lender or Issuing Lender or its holding company, as the case may be, as specified in paragraph (a) or (b) of this Section 2.14 and the basis for calculating such amount or amounts shall be delivered to the Borrower and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amount due. The Borrower shall pay such Lender or Issuing Lender, as the case may be, the amount due within fifteen (15) days after receipt of such certificate.</w:t>
      </w:r>
    </w:p>
    <w:p>
      <w:pPr>
        <w:spacing w:after="0" w:line="19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83"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or Issuing Lender to demand compensation pursuant to this Section 2.14 shall not constitute a waiver of such Lender’s or Issuing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Issuing Lender pursuant to this Section 2.14 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w:t>
      </w:r>
    </w:p>
    <w:p>
      <w:pPr>
        <w:spacing w:after="0" w:line="19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2"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Section 2.18 is not “voluntary”), or (C)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Issuing Lender is not seeking similar compensation for such costs to which it is entitled from its borrowers generally in commercial loans of a similar size.</w:t>
      </w:r>
    </w:p>
    <w:p>
      <w:pPr>
        <w:spacing w:after="0" w:line="158" w:lineRule="exact"/>
        <w:rPr>
          <w:sz w:val="20"/>
          <w:szCs w:val="20"/>
          <w:color w:val="auto"/>
        </w:rPr>
      </w:pPr>
    </w:p>
    <w:p>
      <w:pPr>
        <w:jc w:val="both"/>
        <w:ind w:firstLine="1304"/>
        <w:spacing w:after="0" w:line="253" w:lineRule="auto"/>
        <w:tabs>
          <w:tab w:leader="none" w:pos="1973"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determination by a Lender or Issuing Lender of amounts owed pursuant to this Section 2.14 to such Lender or Issuing Lender due to any such Change in Law shall be made in good faith in a manner generally consistent with such Lender’s or Issuing Lender’s standard practice.</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Term SOFR Loan other than on the last day of an Interest Period applicable thereto (including as a result of the occurrence and continuance of an Event of Default), (b) the failure to borrow, convert, continue or prepay any Term SOFR Loan on the date specified in any notice delivered pursuant hereto or (c) the assignment of any Term SOFR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case shall this Section 2.15 apply to any payment of an Installment pursuant to Section 2.10(b). The Borrower shall pay such Lender the amount due within fifteen (15) days after receipt of such certificate.</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813"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payments by or on account of any Obligation of the Borrower or any Guarantor hereunder or under any other Loan Document shall be made free and clear of and without deduction for any Taxes except as required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Taxes are required to be withheld from any amounts payable to the Administrative Agent, any Lender or any Issuing Lender, as determined in good faith by the applicable Withholding Agent, then (i) if such Taxes are Indemnified Taxes or Other Taxes, the sum payable by the Borrower or applicable Guarantor shall be increased as necessary so that after making all required deductions for any Indemnified Taxes or Other Taxes (including deductions for any Indemnified Taxes or Other Taxes applicable to additional sums payable under this Section 2.16), the Administrative Agent, Lender, Issuing Lender or any other recipient of such payments (as the case may be)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law.</w:t>
      </w:r>
    </w:p>
    <w:p>
      <w:pPr>
        <w:spacing w:after="0" w:line="188"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or any Guarantor, as applicable, shall pay any Other Taxes to the relevant Governmental Authority in accordance with applicable law.</w:t>
      </w:r>
    </w:p>
    <w:p>
      <w:pPr>
        <w:spacing w:after="0" w:line="17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94"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hereunder or under any other Loan Document (including Indemnified Taxes or Other Taxes imposed or asserted on or attributable to amounts payable under this Section 2.16)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w:t>
      </w:r>
    </w:p>
    <w:p>
      <w:pPr>
        <w:spacing w:after="0" w:line="181" w:lineRule="exact"/>
        <w:rPr>
          <w:sz w:val="20"/>
          <w:szCs w:val="20"/>
          <w:color w:val="auto"/>
        </w:rPr>
      </w:pPr>
    </w:p>
    <w:p>
      <w:pPr>
        <w:jc w:val="both"/>
        <w:ind w:firstLine="1304"/>
        <w:spacing w:after="0" w:line="256" w:lineRule="auto"/>
        <w:tabs>
          <w:tab w:leader="none" w:pos="1914"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6"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18"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Foreign Lender shall not be required to deliver any documentation pursuant to this Section 2.16(f) that such Foreign Lender is not legally able to deliver. For purposes of this paragraph (f) and paragraphs (g) and (h), the term “Lender” includes any Issuing Lender.</w:t>
      </w:r>
    </w:p>
    <w:p>
      <w:pPr>
        <w:spacing w:after="0" w:line="19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8"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w:t>
      </w:r>
    </w:p>
    <w:p>
      <w:pPr>
        <w:spacing w:after="0" w:line="179" w:lineRule="exact"/>
        <w:rPr>
          <w:sz w:val="20"/>
          <w:szCs w:val="20"/>
          <w:color w:val="auto"/>
        </w:rPr>
      </w:pPr>
    </w:p>
    <w:p>
      <w:pPr>
        <w:jc w:val="both"/>
        <w:ind w:left="660" w:firstLine="644"/>
        <w:spacing w:after="0" w:line="263" w:lineRule="auto"/>
        <w:tabs>
          <w:tab w:leader="none" w:pos="1836"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W-8BEN or Internal Revenue Service Form W-8BEN-E, as applicable, claiming eligibility for benefits of an income tax treaty to which the United States is a party;</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W-8ECI;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98" w:lineRule="exact"/>
        <w:rPr>
          <w:sz w:val="20"/>
          <w:szCs w:val="20"/>
          <w:color w:val="auto"/>
        </w:rPr>
      </w:pPr>
    </w:p>
    <w:p>
      <w:pPr>
        <w:jc w:val="both"/>
        <w:ind w:left="660" w:firstLine="644"/>
        <w:spacing w:after="0" w:line="257" w:lineRule="auto"/>
        <w:tabs>
          <w:tab w:leader="none" w:pos="1884"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 8IMY, together with the forms for its beneficiaries, partners or members described in clauses (i), (ii), (iii) or (iv) of this subparagraph (g)(1) or in subparagraph (g)(2) and other applicable attachments;</w:t>
      </w:r>
    </w:p>
    <w:p>
      <w:pPr>
        <w:spacing w:after="0" w:line="186" w:lineRule="exact"/>
        <w:rPr>
          <w:rFonts w:ascii="Times New Roman" w:cs="Times New Roman" w:eastAsia="Times New Roman" w:hAnsi="Times New Roman"/>
          <w:sz w:val="22"/>
          <w:szCs w:val="22"/>
          <w:color w:val="auto"/>
        </w:rPr>
      </w:pPr>
    </w:p>
    <w:p>
      <w:pPr>
        <w:ind w:left="2100" w:hanging="796"/>
        <w:spacing w:after="0"/>
        <w:tabs>
          <w:tab w:leader="none" w:pos="210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exemption for portfolio interest under</w:t>
      </w:r>
    </w:p>
    <w:p>
      <w:pPr>
        <w:spacing w:after="0" w:line="2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1"/>
          <w:szCs w:val="21"/>
          <w:color w:val="auto"/>
        </w:rPr>
        <w:t>Section 881(c) of the Code, (x) a certificate to the effect that such Foreign Lender is not (A) a “bank” within the meaning of Section 881(c)(3)(A) of the Code, (B) a “10 percent shareholder” of the Borrower within the meaning of Section 881(c)</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(3)(B) of the Code, (C) a “controlled foreign corporation” described in Section 881(c)(3)(C) of the Code or</w:t>
      </w:r>
    </w:p>
    <w:p>
      <w:pPr>
        <w:spacing w:after="0" w:line="4" w:lineRule="exact"/>
        <w:rPr>
          <w:sz w:val="20"/>
          <w:szCs w:val="20"/>
          <w:color w:val="auto"/>
        </w:rPr>
      </w:pPr>
    </w:p>
    <w:p>
      <w:pPr>
        <w:jc w:val="both"/>
        <w:ind w:left="660" w:hanging="4"/>
        <w:spacing w:after="0" w:line="252" w:lineRule="auto"/>
        <w:tabs>
          <w:tab w:leader="none" w:pos="1067"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a trade or business in the United States with which the relevant interest payments are effectively connected and (y) two (2) duly executed originals of the Internal Revenue Service Form W-8BEN or Internal Revenue Service Form W-8BEN-E, as applicable; or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5" w:val="left"/>
        </w:tabs>
        <w:numPr>
          <w:ilvl w:val="1"/>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A Foreign Lender shall not be required to deliver any form or statement pursuant to this Section 2.16(g) that such Foreign Lender is not legally able to deliver.</w:t>
      </w:r>
    </w:p>
    <w:p>
      <w:pPr>
        <w:spacing w:after="0" w:line="144" w:lineRule="exact"/>
        <w:rPr>
          <w:sz w:val="20"/>
          <w:szCs w:val="20"/>
          <w:color w:val="auto"/>
        </w:rPr>
      </w:pPr>
    </w:p>
    <w:p>
      <w:pPr>
        <w:jc w:val="both"/>
        <w:ind w:firstLine="1304"/>
        <w:spacing w:after="0" w:line="251" w:lineRule="auto"/>
        <w:tabs>
          <w:tab w:leader="none" w:pos="1828"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backup withholding tax.</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66"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w:t>
      </w:r>
    </w:p>
    <w:p>
      <w:pPr>
        <w:spacing w:after="0" w:line="176"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64" w:val="left"/>
        </w:tabs>
        <w:numPr>
          <w:ilvl w:val="0"/>
          <w:numId w:val="4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to determine that such Lender has or has not complied with such Lender’s obligations under FATCA or to determine the amount to deduct and withhold from such payment.</w:t>
      </w:r>
    </w:p>
    <w:p>
      <w:pPr>
        <w:spacing w:after="0" w:line="158" w:lineRule="exact"/>
        <w:rPr>
          <w:sz w:val="20"/>
          <w:szCs w:val="20"/>
          <w:color w:val="auto"/>
        </w:rPr>
      </w:pPr>
    </w:p>
    <w:p>
      <w:pPr>
        <w:jc w:val="both"/>
        <w:ind w:firstLine="1304"/>
        <w:spacing w:after="0" w:line="247" w:lineRule="auto"/>
        <w:tabs>
          <w:tab w:leader="none" w:pos="1778"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after-Tax position than the Administrative Agent or such Lender would have been in if the indemnification payments or additional amounts giving rise to such refund had never been paid. This Section 2.16 shall not be construed to require the Administrative Agent or any Lender to make available its tax returns (or any other information relating to its taxes which it deems confidential) to the Borrower or any other Person.</w:t>
      </w:r>
    </w:p>
    <w:p>
      <w:pPr>
        <w:spacing w:after="0" w:line="20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853"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or prepayment required to be made by it hereunder (whether of principal, interest, fees or reimbursement of LC Disbursements,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1615 Brett Road, Ops III, New Castle, DE 19720, pursuant to wire instructions to be provided by the Administrative Agent, except payments to be made directly to an Issuing Lender as expressly provided herein and except that payments pursuant to Sections 2.14, 2.15 and 10.04 shall be made directly to the Persons entitled thereto. The Administrative Agent shall distribute any such payments received by it (including, subject to the terms of any Intercreditor Agreement or any Other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4" w:name="page445"/>
    <w:bookmarkEnd w:id="44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thereon shall be payable for the period of such extension. All payments hereunder shall be made in Dollars.</w:t>
      </w:r>
    </w:p>
    <w:p>
      <w:pPr>
        <w:spacing w:after="0" w:line="220" w:lineRule="exact"/>
        <w:rPr>
          <w:sz w:val="20"/>
          <w:szCs w:val="20"/>
          <w:color w:val="auto"/>
        </w:rPr>
      </w:pPr>
    </w:p>
    <w:p>
      <w:pPr>
        <w:jc w:val="both"/>
        <w:ind w:firstLine="1304"/>
        <w:spacing w:after="0" w:line="248" w:lineRule="auto"/>
        <w:tabs>
          <w:tab w:leader="none" w:pos="1833" w:val="left"/>
        </w:tabs>
        <w:numPr>
          <w:ilvl w:val="1"/>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insufficient funds are received by and available to the Administrative Agent to pay fully all Obligations then due hereunder, such funds shall be applied, subject to the terms of any Intercreditor Agreement or any Other Intercreditor Agreement, as applicable,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towards payment of Fees and expenses then due under Sections 2.19 and 10.04 payable to each Agent and any trustee appointed pursuant to Section 8.01(d), to the extent applicable,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towards payment of Fees and expenses then due under Sections 2.20, 2.21 and 10.04 payable to the Lenders and the Issuing Lenders and towards payment of interest then due on account of the Revolving Loans, Term Loans and Letters of Credit, ratably among the parties entitled thereto in accordance with the amounts of such Fees and expenses and interest then due to such parties and</w:t>
      </w:r>
    </w:p>
    <w:p>
      <w:pPr>
        <w:spacing w:after="0" w:line="5" w:lineRule="exact"/>
        <w:rPr>
          <w:rFonts w:ascii="Times New Roman" w:cs="Times New Roman" w:eastAsia="Times New Roman" w:hAnsi="Times New Roman"/>
          <w:sz w:val="22"/>
          <w:szCs w:val="22"/>
          <w:color w:val="auto"/>
        </w:rPr>
      </w:pPr>
    </w:p>
    <w:p>
      <w:pPr>
        <w:jc w:val="both"/>
        <w:ind w:firstLine="8"/>
        <w:spacing w:after="0" w:line="246" w:lineRule="auto"/>
        <w:tabs>
          <w:tab w:leader="none" w:pos="378"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towards payment of (A) principal of the Revolving Loans, Term Loans and unreimbursed LC Disbursements then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w:t>
      </w:r>
    </w:p>
    <w:p>
      <w:pPr>
        <w:spacing w:after="0" w:line="19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57" w:val="left"/>
        </w:tabs>
        <w:numPr>
          <w:ilvl w:val="1"/>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2" w:val="left"/>
        </w:tabs>
        <w:numPr>
          <w:ilvl w:val="1"/>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94" w:lineRule="exact"/>
        <w:rPr>
          <w:sz w:val="20"/>
          <w:szCs w:val="20"/>
          <w:color w:val="auto"/>
        </w:rPr>
      </w:pPr>
    </w:p>
    <w:p>
      <w:pPr>
        <w:ind w:left="1760" w:hanging="456"/>
        <w:spacing w:after="0"/>
        <w:tabs>
          <w:tab w:leader="none" w:pos="1760"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 Rata Treatment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1" w:lineRule="auto"/>
        <w:tabs>
          <w:tab w:leader="none" w:pos="1775"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Installments of the applicable Class of Term Loans being prepaid.</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4"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(including each prepayment) by the Borrower on account of principal of and interest on any Class of Revolving Loans shall be made pro rata according to the respective outstanding principal amounts of such Class of Revolving Loans then held by the Revolving Lenders.</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Section 2.18(b), 2.26, 2.27, 2.28, 10.08(d), 10.08(e) or 10.08(f), (D) the application of funds resulting from the existence of a Defaulting Lender, or (E) any other circumstance expressly provided for herein.</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780" w:val="left"/>
        </w:tabs>
        <w:numPr>
          <w:ilvl w:val="1"/>
          <w:numId w:val="4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273"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4" w:val="left"/>
        </w:tabs>
        <w:numPr>
          <w:ilvl w:val="1"/>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w:t>
      </w:r>
    </w:p>
    <w:p>
      <w:pPr>
        <w:spacing w:after="0" w:line="2" w:lineRule="exact"/>
        <w:rPr>
          <w:rFonts w:ascii="Times New Roman" w:cs="Times New Roman" w:eastAsia="Times New Roman" w:hAnsi="Times New Roman"/>
          <w:sz w:val="22"/>
          <w:szCs w:val="22"/>
          <w:color w:val="auto"/>
        </w:rPr>
      </w:pPr>
    </w:p>
    <w:p>
      <w:pPr>
        <w:jc w:val="both"/>
        <w:ind w:firstLine="8"/>
        <w:spacing w:after="0" w:line="247" w:lineRule="auto"/>
        <w:tabs>
          <w:tab w:leader="none" w:pos="263"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Business Day specified in such notice from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2.20.</w:t>
      </w:r>
      <w:r>
        <w:rPr>
          <w:sz w:val="20"/>
          <w:szCs w:val="20"/>
          <w:color w:val="auto"/>
        </w:rPr>
        <w:tab/>
      </w: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The Borrower shall pay to the Administrative Agent for the accounts of the Revolving Lenders a commitment fee (the “</w:t>
      </w:r>
      <w:r>
        <w:rPr>
          <w:rFonts w:ascii="Times New Roman" w:cs="Times New Roman" w:eastAsia="Times New Roman" w:hAnsi="Times New Roman"/>
          <w:sz w:val="21"/>
          <w:szCs w:val="21"/>
          <w:i w:val="1"/>
          <w:iCs w:val="1"/>
          <w:color w:val="auto"/>
        </w:rPr>
        <w:t>Commitment Fee</w:t>
      </w:r>
      <w:r>
        <w:rPr>
          <w:rFonts w:ascii="Times New Roman" w:cs="Times New Roman" w:eastAsia="Times New Roman" w:hAnsi="Times New Roman"/>
          <w:sz w:val="21"/>
          <w:szCs w:val="21"/>
          <w:color w:val="auto"/>
        </w:rPr>
        <w:t>”)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w:t>
      </w:r>
    </w:p>
    <w:p>
      <w:pPr>
        <w:jc w:val="both"/>
        <w:ind w:firstLine="8"/>
        <w:spacing w:after="0" w:line="247" w:lineRule="auto"/>
        <w:tabs>
          <w:tab w:leader="none" w:pos="312"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Closing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for the fiscal quarter in which the </w:t>
      </w:r>
      <w:r>
        <w:rPr>
          <w:rFonts w:ascii="Times New Roman" w:cs="Times New Roman" w:eastAsia="Times New Roman" w:hAnsi="Times New Roman"/>
          <w:sz w:val="22"/>
          <w:szCs w:val="22"/>
          <w:b w:val="1"/>
          <w:bCs w:val="1"/>
          <w:color w:val="FF0000"/>
          <w:strike w:val="1"/>
        </w:rPr>
        <w:t>Ninth</w:t>
      </w:r>
      <w:r>
        <w:rPr>
          <w:rFonts w:ascii="Times New Roman" w:cs="Times New Roman" w:eastAsia="Times New Roman" w:hAnsi="Times New Roman"/>
          <w:sz w:val="22"/>
          <w:szCs w:val="22"/>
          <w:b w:val="1"/>
          <w:bCs w:val="1"/>
          <w:u w:val="single" w:color="auto"/>
          <w:color w:val="0000FF"/>
        </w:rPr>
        <w:t>Tenth</w:t>
      </w:r>
      <w:r>
        <w:rPr>
          <w:rFonts w:ascii="Times New Roman" w:cs="Times New Roman" w:eastAsia="Times New Roman" w:hAnsi="Times New Roman"/>
          <w:sz w:val="22"/>
          <w:szCs w:val="22"/>
          <w:color w:val="auto"/>
        </w:rPr>
        <w:t xml:space="preserve"> Amendment Effective Date occurs based on the Commitment Fee set forth herein prior to the </w:t>
      </w:r>
      <w:r>
        <w:rPr>
          <w:rFonts w:ascii="Times New Roman" w:cs="Times New Roman" w:eastAsia="Times New Roman" w:hAnsi="Times New Roman"/>
          <w:sz w:val="22"/>
          <w:szCs w:val="22"/>
          <w:b w:val="1"/>
          <w:bCs w:val="1"/>
          <w:color w:val="FF0000"/>
          <w:strike w:val="1"/>
        </w:rPr>
        <w:t>Ninth</w:t>
      </w:r>
      <w:r>
        <w:rPr>
          <w:rFonts w:ascii="Times New Roman" w:cs="Times New Roman" w:eastAsia="Times New Roman" w:hAnsi="Times New Roman"/>
          <w:sz w:val="22"/>
          <w:szCs w:val="22"/>
          <w:b w:val="1"/>
          <w:bCs w:val="1"/>
          <w:u w:val="single" w:color="auto"/>
          <w:color w:val="0000FF"/>
        </w:rPr>
        <w:t>Tenth</w:t>
      </w:r>
      <w:r>
        <w:rPr>
          <w:rFonts w:ascii="Times New Roman" w:cs="Times New Roman" w:eastAsia="Times New Roman" w:hAnsi="Times New Roman"/>
          <w:sz w:val="22"/>
          <w:szCs w:val="22"/>
          <w:color w:val="auto"/>
        </w:rPr>
        <w:t xml:space="preserve"> Amendment Effective Date and from and after the </w:t>
      </w:r>
      <w:r>
        <w:rPr>
          <w:rFonts w:ascii="Times New Roman" w:cs="Times New Roman" w:eastAsia="Times New Roman" w:hAnsi="Times New Roman"/>
          <w:sz w:val="22"/>
          <w:szCs w:val="22"/>
          <w:b w:val="1"/>
          <w:bCs w:val="1"/>
          <w:color w:val="FF0000"/>
          <w:strike w:val="1"/>
        </w:rPr>
        <w:t>Ninth</w:t>
      </w:r>
      <w:r>
        <w:rPr>
          <w:rFonts w:ascii="Times New Roman" w:cs="Times New Roman" w:eastAsia="Times New Roman" w:hAnsi="Times New Roman"/>
          <w:sz w:val="22"/>
          <w:szCs w:val="22"/>
          <w:b w:val="1"/>
          <w:bCs w:val="1"/>
          <w:u w:val="single" w:color="auto"/>
          <w:color w:val="0000FF"/>
        </w:rPr>
        <w:t>Tenth</w:t>
      </w:r>
      <w:r>
        <w:rPr>
          <w:rFonts w:ascii="Times New Roman" w:cs="Times New Roman" w:eastAsia="Times New Roman" w:hAnsi="Times New Roman"/>
          <w:sz w:val="22"/>
          <w:szCs w:val="22"/>
          <w:color w:val="auto"/>
        </w:rPr>
        <w:t xml:space="preserve"> Amendment Effective Date).</w:t>
      </w:r>
    </w:p>
    <w:p>
      <w:pPr>
        <w:spacing w:after="0" w:line="19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Term SOFR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payable quarterly in the manner described in the immediately preceding sentence and on the date of expiration or termination of any such Letter of Credit.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2.22. </w:t>
      </w:r>
      <w:r>
        <w:rPr>
          <w:rFonts w:ascii="Times New Roman" w:cs="Times New Roman" w:eastAsia="Times New Roman" w:hAnsi="Times New Roman"/>
          <w:sz w:val="22"/>
          <w:szCs w:val="22"/>
          <w:u w:val="single" w:color="auto"/>
          <w:color w:val="auto"/>
        </w:rPr>
        <w:t>Nature of Fees</w:t>
      </w:r>
      <w:r>
        <w:rPr>
          <w:rFonts w:ascii="Times New Roman" w:cs="Times New Roman" w:eastAsia="Times New Roman" w:hAnsi="Times New Roman"/>
          <w:sz w:val="22"/>
          <w:szCs w:val="22"/>
          <w:color w:val="auto"/>
        </w:rPr>
        <w:t>. All Fees shall be paid on the dates due, in immediately available funds, to the Administrative Agent, the Issuing Lenders and the Joint Lead Arrangers and Bookrunners, as provided herein and in the Fee Letters. Once paid, none of the Fees shall be refundable or creditable under any circumstances, except as otherwise provided in the Fee Letters.</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2.23.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xml:space="preserve">. Upon the occurrence and during the continuance of any Event of Default pursuant to Section 7.01(b), the Administrative Agent, the Collateral Agent,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Lender, each Issuing Lender and the Administrative Agent agree promptly to notify the Borrower and Guarantors after any such set-off and application made by such Lender, such Issuing Lender or the Administrative Agent (or any of such banking Affiliates),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2.24. </w:t>
      </w:r>
      <w:r>
        <w:rPr>
          <w:rFonts w:ascii="Times New Roman" w:cs="Times New Roman" w:eastAsia="Times New Roman" w:hAnsi="Times New Roman"/>
          <w:sz w:val="22"/>
          <w:szCs w:val="22"/>
          <w:u w:val="single" w:color="auto"/>
          <w:color w:val="auto"/>
        </w:rPr>
        <w:t>Security Interest in Letter of Credit Account</w:t>
      </w:r>
      <w:r>
        <w:rPr>
          <w:rFonts w:ascii="Times New Roman" w:cs="Times New Roman" w:eastAsia="Times New Roman" w:hAnsi="Times New Roman"/>
          <w:sz w:val="22"/>
          <w:szCs w:val="22"/>
          <w:color w:val="auto"/>
        </w:rPr>
        <w:t>. The Borrower and the Guarantors hereby pledge to the Collateral Agent, for its benefit and for the benefit of the other Secured Parties, and hereby grant to the Collateral Agent, for its benefit and for the benefit of the other Secured Parties, a first priority security interest, senior to all other Liens, if any, in all of the Borrower’s and the Guarantors’ right, title and interest in and to the Letter of Credit Account, any direct investment of the funds contained therein and any proceeds thereof. Cash held in the Letter of Credit Account shall not be available for use by the Borrower, and shall be released to the Borrower only as described in Section 2.02(j).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9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2.25.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2.26.</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78"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any Lender becomes a Defaulting Lender, then the Borrower may, provided no Event of Default shall have occurred and be continuing,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Lender shall have any obligation to the Borrower to find a replacement Lender or other such Person.</w:t>
      </w:r>
    </w:p>
    <w:p>
      <w:pPr>
        <w:spacing w:after="0" w:line="181"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71" w:val="left"/>
        </w:tabs>
        <w:numPr>
          <w:ilvl w:val="1"/>
          <w:numId w:val="4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being replaced pursuant to Section 2.26(a) 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397"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w:t>
      </w:r>
    </w:p>
    <w:p>
      <w:pPr>
        <w:spacing w:after="0" w:line="18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17" w:val="left"/>
        </w:tabs>
        <w:numPr>
          <w:ilvl w:val="1"/>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herein to the contrary notwithstanding, if a Revolving Lender becomes, and during the period it remains, a Defaulting Lender, during such period, such Defaulting Lender shall not be entitled to any fees accruing during such period pursuant to Section 2.20 and 2.21 (without prejudice to the rights of the Non-Defaulting Lenders in respect of such fees);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w:t>
      </w:r>
    </w:p>
    <w:p>
      <w:pPr>
        <w:spacing w:after="0" w:line="176" w:lineRule="exact"/>
        <w:rPr>
          <w:sz w:val="20"/>
          <w:szCs w:val="20"/>
          <w:color w:val="auto"/>
        </w:rPr>
      </w:pPr>
    </w:p>
    <w:p>
      <w:pPr>
        <w:jc w:val="center"/>
        <w:ind w:right="80"/>
        <w:spacing w:after="0"/>
        <w:tabs>
          <w:tab w:leader="none" w:pos="2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If any LC Exposure exists at the time a Revolving Lender becomes a Defaulting Lender then:</w:t>
      </w:r>
    </w:p>
    <w:p>
      <w:pPr>
        <w:spacing w:after="0" w:line="220" w:lineRule="exact"/>
        <w:rPr>
          <w:sz w:val="20"/>
          <w:szCs w:val="20"/>
          <w:color w:val="auto"/>
        </w:rPr>
      </w:pPr>
    </w:p>
    <w:p>
      <w:pPr>
        <w:jc w:val="both"/>
        <w:ind w:left="660" w:firstLine="644"/>
        <w:spacing w:after="0" w:line="262" w:lineRule="auto"/>
        <w:tabs>
          <w:tab w:leader="none" w:pos="1824" w:val="left"/>
        </w:tabs>
        <w:numPr>
          <w:ilvl w:val="0"/>
          <w:numId w:val="4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the Non-Defaulting Lenders pro rata in accordance with their respective Revolving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Revolving Extensions of Credit of each such Non-Defaulting Lender may not in any event exceed the Revolving Commitment of such Non-Defaulting Lender as in effect at the time of such reallocation, (B) subject to Section 10.19, such reallocation will not constitute a waiver or release of any claim the Borrower, the Administrative Agent, the Issuing Lenders or any other Lender may have against such Defaulting Lender, (C) at the time of such reallocation, no Event of Default pursuant to Section 7.01(b), (e)(B), (f) or (g) has occurred and is continuing and (D) neither such reallocation nor any payment by a Non-Defaulting Lender as a result thereof will cause such Defaulting Lender to be a Non-Defaulting Lender; and</w:t>
      </w:r>
    </w:p>
    <w:p>
      <w:pPr>
        <w:spacing w:after="0" w:line="167" w:lineRule="exact"/>
        <w:rPr>
          <w:rFonts w:ascii="Times New Roman" w:cs="Times New Roman" w:eastAsia="Times New Roman" w:hAnsi="Times New Roman"/>
          <w:sz w:val="21"/>
          <w:szCs w:val="21"/>
          <w:color w:val="auto"/>
        </w:rPr>
      </w:pPr>
    </w:p>
    <w:p>
      <w:pPr>
        <w:jc w:val="both"/>
        <w:ind w:left="660" w:firstLine="644"/>
        <w:spacing w:after="0" w:line="266" w:lineRule="auto"/>
        <w:tabs>
          <w:tab w:leader="none" w:pos="1827" w:val="left"/>
        </w:tabs>
        <w:numPr>
          <w:ilvl w:val="0"/>
          <w:numId w:val="4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portion (the “</w:t>
      </w:r>
      <w:r>
        <w:rPr>
          <w:rFonts w:ascii="Times New Roman" w:cs="Times New Roman" w:eastAsia="Times New Roman" w:hAnsi="Times New Roman"/>
          <w:sz w:val="21"/>
          <w:szCs w:val="21"/>
          <w:i w:val="1"/>
          <w:iCs w:val="1"/>
          <w:color w:val="auto"/>
        </w:rPr>
        <w:t>unreallocated portion</w:t>
      </w:r>
      <w:r>
        <w:rPr>
          <w:rFonts w:ascii="Times New Roman" w:cs="Times New Roman" w:eastAsia="Times New Roman" w:hAnsi="Times New Roman"/>
          <w:sz w:val="21"/>
          <w:szCs w:val="21"/>
          <w:color w:val="auto"/>
        </w:rPr>
        <w:t>”)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w:t>
      </w:r>
    </w:p>
    <w:p>
      <w:pPr>
        <w:spacing w:after="0" w:line="167" w:lineRule="exact"/>
        <w:rPr>
          <w:sz w:val="20"/>
          <w:szCs w:val="20"/>
          <w:color w:val="auto"/>
        </w:rPr>
      </w:pPr>
    </w:p>
    <w:p>
      <w:pPr>
        <w:jc w:val="both"/>
        <w:ind w:firstLine="1304"/>
        <w:spacing w:after="0" w:line="257" w:lineRule="auto"/>
        <w:tabs>
          <w:tab w:leader="none" w:pos="1790"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other conditions precedent set forth in this Agreement, if any Revolving Lender becomes, and during the period it remains, a Defaulting Lender, no Issuing Lender shall be required to issue any Letter of Credit or to amend any outstanding Letter of Credit, unless:</w:t>
      </w:r>
    </w:p>
    <w:p>
      <w:pPr>
        <w:spacing w:after="0" w:line="186" w:lineRule="exact"/>
        <w:rPr>
          <w:sz w:val="20"/>
          <w:szCs w:val="20"/>
          <w:color w:val="auto"/>
        </w:rPr>
      </w:pPr>
    </w:p>
    <w:p>
      <w:pPr>
        <w:jc w:val="both"/>
        <w:ind w:left="660" w:firstLine="644"/>
        <w:spacing w:after="0" w:line="257" w:lineRule="auto"/>
        <w:tabs>
          <w:tab w:leader="none" w:pos="1913"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Defaulting Lender, the LC Exposure of such Defaulting Lender is reallocated, as to outstanding and future Letters of Credit, to the Non-Defaulting Lenders as provided in Section 2.26(d)(i), except as provided in clause (ii) below,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19"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0" w:name="page451"/>
    <w:bookmarkEnd w:id="450"/>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Agent and such Issuing Lenders in their sole discretion to protect them against the risk of non-payment by such Defaulting Lender, or</w:t>
      </w:r>
    </w:p>
    <w:p>
      <w:pPr>
        <w:spacing w:after="0" w:line="158" w:lineRule="exact"/>
        <w:rPr>
          <w:sz w:val="20"/>
          <w:szCs w:val="20"/>
          <w:color w:val="auto"/>
        </w:rPr>
      </w:pPr>
    </w:p>
    <w:p>
      <w:pPr>
        <w:jc w:val="both"/>
        <w:ind w:left="660" w:firstLine="644"/>
        <w:spacing w:after="0" w:line="262" w:lineRule="auto"/>
        <w:tabs>
          <w:tab w:leader="none" w:pos="1861" w:val="left"/>
        </w:tabs>
        <w:numPr>
          <w:ilvl w:val="0"/>
          <w:numId w:val="4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 be, (A) the Borrower agrees that the face amount of such requested Letter of Credit will be reduced by an amount equal to the portion thereof as to which such Defaulting Lender would otherwise be liable, and (B) the Non-Defaulting Lenders’ 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w:t>
      </w:r>
    </w:p>
    <w:p>
      <w:pPr>
        <w:spacing w:after="0" w:line="172" w:lineRule="exact"/>
        <w:rPr>
          <w:sz w:val="20"/>
          <w:szCs w:val="20"/>
          <w:color w:val="auto"/>
        </w:rPr>
      </w:pPr>
    </w:p>
    <w:p>
      <w:pPr>
        <w:jc w:val="both"/>
        <w:ind w:firstLine="1304"/>
        <w:spacing w:after="0" w:line="250" w:lineRule="auto"/>
        <w:tabs>
          <w:tab w:leader="none" w:pos="1750"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 obligations (contingent or otherwise) of such Defaulting Lender in respect thereof, or to make other arrangements satisfactory to the Administrative Agent and such Issuing Lender in their sole discretion to protect them against the risk of non-payment by such Defaulting Lender.</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5"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amounts owing by such Defaulting Lender to the Administrative Agent;</w:t>
      </w:r>
    </w:p>
    <w:p>
      <w:pPr>
        <w:spacing w:after="0" w:line="22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any amounts owing by such Defaulting Lender to the Issuing Lenders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14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payment of the default interest and then current interest due and payable to the Revolving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Non-Defaulting Lenders hereunder, ratably among them in accordance with the amounts of such interest then due and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94"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fees then due and payable to the Non-Defaulting Lenders hereunder, ratably among them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amounts of such fees then due and payable to them;</w:t>
      </w:r>
    </w:p>
    <w:p>
      <w:pPr>
        <w:spacing w:after="0" w:line="149" w:lineRule="exact"/>
        <w:rPr>
          <w:sz w:val="20"/>
          <w:szCs w:val="20"/>
          <w:color w:val="auto"/>
        </w:rPr>
      </w:pPr>
    </w:p>
    <w:p>
      <w:pPr>
        <w:jc w:val="both"/>
        <w:ind w:left="660" w:right="2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pay principal and unreimbursed LC Disbursements then due and payable to the Non-Defaulting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ratably in accordance with the amounts thereof then due and payable to them;</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ratable payment of other amounts then due and payable to the Non-Defaulting Lenders;</w:t>
      </w:r>
    </w:p>
    <w:p>
      <w:pPr>
        <w:spacing w:after="0" w:line="220"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funding of any Loan or the funding or Cash Collateralization of any participation in any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in respect of which such Defaulting Lender has failed to fund its portion thereof as required by this Agreement, as determined by the Administrative Agent;</w:t>
      </w:r>
    </w:p>
    <w:p>
      <w:pPr>
        <w:spacing w:after="0" w:line="18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if so determined by the Administrative Agent and the Borrower, held in such account as Cash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future funding obligations of the Defaulting Lender under this Agreement;</w:t>
      </w:r>
    </w:p>
    <w:p>
      <w:pPr>
        <w:spacing w:after="0" w:line="149"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ninth</w:t>
      </w:r>
      <w:r>
        <w:rPr>
          <w:rFonts w:ascii="Times New Roman" w:cs="Times New Roman" w:eastAsia="Times New Roman" w:hAnsi="Times New Roman"/>
          <w:sz w:val="22"/>
          <w:szCs w:val="22"/>
          <w:color w:val="auto"/>
        </w:rPr>
        <w:t>, pro rata, to the payment of any amounts owing to the Borrower or the Lenders as a result of any judgment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court of competent jurisdiction obtained by a Borrower or any Lender against such Defaulting Lender as a result of such Defaulting Lender’s breach of its obligations under this Agreement; and</w:t>
      </w:r>
    </w:p>
    <w:p>
      <w:pPr>
        <w:spacing w:after="0" w:line="166"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tenth</w:t>
      </w:r>
      <w:r>
        <w:rPr>
          <w:rFonts w:ascii="Times New Roman" w:cs="Times New Roman" w:eastAsia="Times New Roman" w:hAnsi="Times New Roman"/>
          <w:sz w:val="22"/>
          <w:szCs w:val="22"/>
          <w:color w:val="auto"/>
        </w:rPr>
        <w:t>, after the termination of the Revolving Commitments and payment in full of all obligations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to pay amounts owing under this Agreement to such Defaulting Lender or as a court of competent jurisdiction may otherwise direct.</w:t>
      </w:r>
    </w:p>
    <w:p>
      <w:pPr>
        <w:spacing w:after="0" w:line="165" w:lineRule="exact"/>
        <w:rPr>
          <w:sz w:val="20"/>
          <w:szCs w:val="20"/>
          <w:color w:val="auto"/>
        </w:rPr>
      </w:pPr>
    </w:p>
    <w:p>
      <w:pPr>
        <w:jc w:val="both"/>
        <w:ind w:firstLine="1304"/>
        <w:spacing w:after="0" w:line="250" w:lineRule="auto"/>
        <w:tabs>
          <w:tab w:leader="none" w:pos="1871"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26"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shall be made retroactively with respect to fees accrued while such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Non</w:t>
      </w:r>
      <w:r>
        <w:rPr>
          <w:rFonts w:ascii="Calibri" w:cs="Calibri" w:eastAsia="Calibri" w:hAnsi="Calibri"/>
          <w:sz w:val="22"/>
          <w:szCs w:val="22"/>
          <w:color w:val="auto"/>
        </w:rPr>
        <w:t>-</w:t>
      </w:r>
      <w:r>
        <w:rPr>
          <w:rFonts w:ascii="Times New Roman" w:cs="Times New Roman" w:eastAsia="Times New Roman" w:hAnsi="Times New Roman"/>
          <w:sz w:val="22"/>
          <w:szCs w:val="22"/>
          <w:color w:val="auto"/>
        </w:rPr>
        <w:t>Defaulting Lender shall constitute a waiver or release of any claim of any party hereunder arising from such Lender’s having been a Defaulting Lender.</w:t>
      </w:r>
    </w:p>
    <w:p>
      <w:pPr>
        <w:spacing w:after="0" w:line="184" w:lineRule="exact"/>
        <w:rPr>
          <w:sz w:val="20"/>
          <w:szCs w:val="20"/>
          <w:color w:val="auto"/>
        </w:rPr>
      </w:pPr>
    </w:p>
    <w:p>
      <w:pPr>
        <w:jc w:val="both"/>
        <w:ind w:firstLine="1304"/>
        <w:spacing w:after="0" w:line="281" w:lineRule="auto"/>
        <w:tabs>
          <w:tab w:leader="none" w:pos="1748" w:val="left"/>
        </w:tabs>
        <w:numPr>
          <w:ilvl w:val="0"/>
          <w:numId w:val="4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w:t>
      </w:r>
    </w:p>
    <w:p>
      <w:pPr>
        <w:spacing w:after="0" w:line="15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2.27.</w:t>
      </w:r>
      <w:r>
        <w:rPr>
          <w:sz w:val="20"/>
          <w:szCs w:val="20"/>
          <w:color w:val="auto"/>
        </w:rPr>
        <w:tab/>
      </w:r>
      <w:r>
        <w:rPr>
          <w:rFonts w:ascii="Times New Roman" w:cs="Times New Roman" w:eastAsia="Times New Roman" w:hAnsi="Times New Roman"/>
          <w:sz w:val="21"/>
          <w:szCs w:val="21"/>
          <w:u w:val="single" w:color="auto"/>
          <w:color w:val="auto"/>
        </w:rPr>
        <w:t>Increase in Commitment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60" w:lineRule="auto"/>
        <w:tabs>
          <w:tab w:leader="none" w:pos="1779" w:val="left"/>
        </w:tabs>
        <w:numPr>
          <w:ilvl w:val="1"/>
          <w:numId w:val="4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Borrower Request</w:t>
      </w:r>
      <w:r>
        <w:rPr>
          <w:rFonts w:ascii="Times New Roman" w:cs="Times New Roman" w:eastAsia="Times New Roman" w:hAnsi="Times New Roman"/>
          <w:sz w:val="21"/>
          <w:szCs w:val="21"/>
          <w:color w:val="auto"/>
        </w:rPr>
        <w:t>. The Borrower may by written notice to the Administrative Agent request (x) prior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Revolving Facility Maturity Date, an increase to the existing Revolving Commitments and/or LC Commitment or to establish one or more new Revolving Commitments and/or LC Commitments (each, an “</w:t>
      </w:r>
      <w:r>
        <w:rPr>
          <w:rFonts w:ascii="Times New Roman" w:cs="Times New Roman" w:eastAsia="Times New Roman" w:hAnsi="Times New Roman"/>
          <w:sz w:val="21"/>
          <w:szCs w:val="21"/>
          <w:i w:val="1"/>
          <w:iCs w:val="1"/>
          <w:color w:val="auto"/>
        </w:rPr>
        <w:t>Incremental Revolving Commitment</w:t>
      </w:r>
      <w:r>
        <w:rPr>
          <w:rFonts w:ascii="Times New Roman" w:cs="Times New Roman" w:eastAsia="Times New Roman" w:hAnsi="Times New Roman"/>
          <w:sz w:val="21"/>
          <w:szCs w:val="21"/>
          <w:color w:val="auto"/>
        </w:rPr>
        <w:t>”) and/or (y) at any time the establishment of one or more new Term Loan Commitments (each, an “</w:t>
      </w:r>
      <w:r>
        <w:rPr>
          <w:rFonts w:ascii="Times New Roman" w:cs="Times New Roman" w:eastAsia="Times New Roman" w:hAnsi="Times New Roman"/>
          <w:sz w:val="21"/>
          <w:szCs w:val="21"/>
          <w:i w:val="1"/>
          <w:iCs w:val="1"/>
          <w:color w:val="auto"/>
        </w:rPr>
        <w:t>Incremental Term Loan Commitment</w:t>
      </w:r>
      <w:r>
        <w:rPr>
          <w:rFonts w:ascii="Times New Roman" w:cs="Times New Roman" w:eastAsia="Times New Roman" w:hAnsi="Times New Roman"/>
          <w:sz w:val="21"/>
          <w:szCs w:val="21"/>
          <w:color w:val="auto"/>
        </w:rPr>
        <w:t>”, and together with the Incremental Revolving Commitments, the “</w:t>
      </w:r>
      <w:r>
        <w:rPr>
          <w:rFonts w:ascii="Times New Roman" w:cs="Times New Roman" w:eastAsia="Times New Roman" w:hAnsi="Times New Roman"/>
          <w:sz w:val="21"/>
          <w:szCs w:val="21"/>
          <w:i w:val="1"/>
          <w:iCs w:val="1"/>
          <w:color w:val="auto"/>
        </w:rPr>
        <w:t>Incremental Commitments</w:t>
      </w:r>
      <w:r>
        <w:rPr>
          <w:rFonts w:ascii="Times New Roman" w:cs="Times New Roman" w:eastAsia="Times New Roman" w:hAnsi="Times New Roman"/>
          <w:sz w:val="21"/>
          <w:szCs w:val="21"/>
          <w:color w:val="auto"/>
        </w:rPr>
        <w:t>”) by an amount not less than $50,000,000 individually. Each such notice shall specify (i) the date (each, an “</w:t>
      </w:r>
      <w:r>
        <w:rPr>
          <w:rFonts w:ascii="Times New Roman" w:cs="Times New Roman" w:eastAsia="Times New Roman" w:hAnsi="Times New Roman"/>
          <w:sz w:val="21"/>
          <w:szCs w:val="21"/>
          <w:i w:val="1"/>
          <w:iCs w:val="1"/>
          <w:color w:val="auto"/>
        </w:rPr>
        <w:t>Increase Effective Date</w:t>
      </w:r>
      <w:r>
        <w:rPr>
          <w:rFonts w:ascii="Times New Roman" w:cs="Times New Roman" w:eastAsia="Times New Roman" w:hAnsi="Times New Roman"/>
          <w:sz w:val="21"/>
          <w:szCs w:val="21"/>
          <w:color w:val="auto"/>
        </w:rPr>
        <w:t>”) on which the Borrower proposes that the Incremental Commitments shall be effective, which shall be a date not less than 10 Business Days after the date on which such notice is delivered to the Administrative Agent (or such earlier date agreed by the Administrative Agent) and</w:t>
      </w:r>
    </w:p>
    <w:p>
      <w:pPr>
        <w:spacing w:after="0" w:line="2" w:lineRule="exact"/>
        <w:rPr>
          <w:rFonts w:ascii="Times New Roman" w:cs="Times New Roman" w:eastAsia="Times New Roman" w:hAnsi="Times New Roman"/>
          <w:sz w:val="21"/>
          <w:szCs w:val="21"/>
          <w:color w:val="auto"/>
        </w:rPr>
      </w:pPr>
    </w:p>
    <w:p>
      <w:pPr>
        <w:jc w:val="both"/>
        <w:ind w:firstLine="8"/>
        <w:spacing w:after="0" w:line="247" w:lineRule="auto"/>
        <w:tabs>
          <w:tab w:leader="none" w:pos="329"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each Eligible Assignee or other lender reasonably acceptable to the Administrative Agent (and, in the case of any Incremental Revolving Commitment that contains an LC Commitment, each Issuing Lender) to whom the Borrower proposes any portion of such Incremental Commitments be allocated (each, a “</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xml:space="preserve">”) and the amounts of such allocations;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existing Lender approached to provide all or a portion of the Incremental Commitments may elect or decline, in its sole discretion, to provide such Incremental Commitment.</w:t>
      </w:r>
    </w:p>
    <w:p>
      <w:pPr>
        <w:spacing w:after="0" w:line="193"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1"/>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The Incremental Commitments shall become effective, as of such Increase Effective Date;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96" w:lineRule="exact"/>
        <w:rPr>
          <w:sz w:val="20"/>
          <w:szCs w:val="20"/>
          <w:color w:val="auto"/>
        </w:rPr>
      </w:pPr>
    </w:p>
    <w:p>
      <w:pPr>
        <w:ind w:left="660" w:firstLine="644"/>
        <w:spacing w:after="0" w:line="271" w:lineRule="auto"/>
        <w:tabs>
          <w:tab w:leader="none" w:pos="1775"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conditions set forth in Section 4.02 shall be satisfied on or prior to such Increase Effective Date before and after giving effect to such Incremental Commitments;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37"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or would result from giving effect to the Incremental Commitments on, or the making of any new Loans on, such Increase Effective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198" w:lineRule="exact"/>
        <w:rPr>
          <w:sz w:val="20"/>
          <w:szCs w:val="20"/>
          <w:color w:val="auto"/>
        </w:rPr>
      </w:pPr>
    </w:p>
    <w:p>
      <w:pPr>
        <w:jc w:val="both"/>
        <w:ind w:left="660" w:firstLine="644"/>
        <w:spacing w:after="0" w:line="266" w:lineRule="auto"/>
        <w:tabs>
          <w:tab w:leader="none" w:pos="1884" w:val="left"/>
        </w:tabs>
        <w:numPr>
          <w:ilvl w:val="1"/>
          <w:numId w:val="4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provide an Officer’s Certificate demonstrating in reasonable detail that, after giving pro forma effect to (1) the Incremental Commitments, (2) any new Loans to be made on such Increase Effective Date and</w:t>
      </w:r>
    </w:p>
    <w:p>
      <w:pPr>
        <w:spacing w:after="0" w:line="1" w:lineRule="exact"/>
        <w:rPr>
          <w:rFonts w:ascii="Times New Roman" w:cs="Times New Roman" w:eastAsia="Times New Roman" w:hAnsi="Times New Roman"/>
          <w:sz w:val="21"/>
          <w:szCs w:val="21"/>
          <w:color w:val="auto"/>
        </w:rPr>
      </w:pPr>
    </w:p>
    <w:p>
      <w:pPr>
        <w:ind w:left="660" w:hanging="4"/>
        <w:spacing w:after="0" w:line="266" w:lineRule="auto"/>
        <w:tabs>
          <w:tab w:leader="none" w:pos="1009"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of any Additional Collateral, the Collateral Coverage Ratio shall be no less than 1.6 to 1.0 and the aggregate amount of Liquidity shall be no less than $</w:t>
      </w:r>
      <w:r>
        <w:rPr>
          <w:rFonts w:ascii="Times New Roman" w:cs="Times New Roman" w:eastAsia="Times New Roman" w:hAnsi="Times New Roman"/>
          <w:sz w:val="22"/>
          <w:szCs w:val="22"/>
          <w:b w:val="1"/>
          <w:bCs w:val="1"/>
          <w:color w:val="FF0000"/>
          <w:strike w:val="1"/>
        </w:rPr>
        <w:t>2,200,000,000</w:t>
      </w:r>
      <w:r>
        <w:rPr>
          <w:rFonts w:ascii="Times New Roman" w:cs="Times New Roman" w:eastAsia="Times New Roman" w:hAnsi="Times New Roman"/>
          <w:sz w:val="22"/>
          <w:szCs w:val="22"/>
          <w:b w:val="1"/>
          <w:bCs w:val="1"/>
          <w:u w:val="single" w:color="auto"/>
          <w:color w:val="0000FF"/>
        </w:rPr>
        <w:t>2,000,000,000</w:t>
      </w:r>
      <w:r>
        <w:rPr>
          <w:rFonts w:ascii="Times New Roman" w:cs="Times New Roman" w:eastAsia="Times New Roman" w:hAnsi="Times New Roman"/>
          <w:sz w:val="28"/>
          <w:szCs w:val="28"/>
          <w:b w:val="1"/>
          <w:bCs w:val="1"/>
          <w:u w:val="single" w:color="auto"/>
          <w:color w:val="0000FF"/>
          <w:vertAlign w:val="superscript"/>
        </w:rPr>
        <w:t>2</w:t>
      </w:r>
      <w:r>
        <w:rPr>
          <w:rFonts w:ascii="Times New Roman" w:cs="Times New Roman" w:eastAsia="Times New Roman" w:hAnsi="Times New Roman"/>
          <w:sz w:val="22"/>
          <w:szCs w:val="22"/>
          <w:color w:val="auto"/>
        </w:rPr>
        <w:t>.</w:t>
      </w:r>
    </w:p>
    <w:p>
      <w:pPr>
        <w:spacing w:after="0" w:line="77" w:lineRule="exact"/>
        <w:rPr>
          <w:rFonts w:ascii="Times New Roman" w:cs="Times New Roman" w:eastAsia="Times New Roman" w:hAnsi="Times New Roman"/>
          <w:sz w:val="22"/>
          <w:szCs w:val="22"/>
          <w:color w:val="auto"/>
        </w:rPr>
      </w:pPr>
    </w:p>
    <w:p>
      <w:pPr>
        <w:ind w:firstLine="1304"/>
        <w:spacing w:after="0" w:line="275" w:lineRule="auto"/>
        <w:tabs>
          <w:tab w:leader="none" w:pos="1887" w:val="left"/>
        </w:tabs>
        <w:numPr>
          <w:ilvl w:val="1"/>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of New Loans and Commitments</w:t>
      </w:r>
      <w:r>
        <w:rPr>
          <w:rFonts w:ascii="Times New Roman" w:cs="Times New Roman" w:eastAsia="Times New Roman" w:hAnsi="Times New Roman"/>
          <w:sz w:val="22"/>
          <w:szCs w:val="22"/>
          <w:color w:val="auto"/>
        </w:rPr>
        <w:t>. The terms and provisions of Loans made pursuant to the new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shall be as follows:</w:t>
      </w:r>
    </w:p>
    <w:p>
      <w:pPr>
        <w:spacing w:after="0" w:line="153" w:lineRule="exact"/>
        <w:rPr>
          <w:sz w:val="20"/>
          <w:szCs w:val="20"/>
          <w:color w:val="auto"/>
        </w:rPr>
      </w:pPr>
    </w:p>
    <w:p>
      <w:pPr>
        <w:jc w:val="both"/>
        <w:ind w:left="660" w:firstLine="644"/>
        <w:spacing w:after="0" w:line="256" w:lineRule="auto"/>
        <w:tabs>
          <w:tab w:leader="none" w:pos="1796"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provisions with respect to interest rates, maturity date and amortization schedule of Loans made pursuant to any Incremental Term Loan Commitments (“</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shall be as agreed upon between the Borrower and the applicable Lenders providing such Loans (it being understood that the Incremental Term Loans may be part of the 2020 Term Loans or any other Class of Term Loans);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7"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Loans made pursuant to Incremental Term Loan Commitments shall be no earlier than the Term Loan Maturity Date applicable to the 2020 Term Loans that have not been extended pursuant to Section 2.28;</w:t>
      </w:r>
    </w:p>
    <w:p>
      <w:pPr>
        <w:spacing w:after="0" w:line="172"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2118"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any Loans made pursuant to Incremental Term Loan Commitments shall be no shorter than the Weighted Average Life to Maturity of the Term Loan Commitments made on the Closing Date;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63" w:val="left"/>
        </w:tabs>
        <w:numPr>
          <w:ilvl w:val="0"/>
          <w:numId w:val="4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interest rate margins for the Incremental Term Loans shall be determined by the Borrower and the applicable Lenders providing such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any Class of Incremental Term Loans, if the All-In Initial Yield on such Class of Incremental Term Loans exceeds the All-In Initial Yield on the 2020 Term Loans funded hereunder (the “</w:t>
      </w:r>
      <w:r>
        <w:rPr>
          <w:rFonts w:ascii="Times New Roman" w:cs="Times New Roman" w:eastAsia="Times New Roman" w:hAnsi="Times New Roman"/>
          <w:sz w:val="21"/>
          <w:szCs w:val="21"/>
          <w:i w:val="1"/>
          <w:iCs w:val="1"/>
          <w:color w:val="auto"/>
        </w:rPr>
        <w:t>Original Term Loans</w:t>
      </w:r>
      <w:r>
        <w:rPr>
          <w:rFonts w:ascii="Times New Roman" w:cs="Times New Roman" w:eastAsia="Times New Roman" w:hAnsi="Times New Roman"/>
          <w:sz w:val="21"/>
          <w:szCs w:val="21"/>
          <w:color w:val="auto"/>
        </w:rPr>
        <w:t>”) by more than 50 basis points (the amount of such excess, if any, above 50 basis points being referred to herein as the “</w:t>
      </w:r>
      <w:r>
        <w:rPr>
          <w:rFonts w:ascii="Times New Roman" w:cs="Times New Roman" w:eastAsia="Times New Roman" w:hAnsi="Times New Roman"/>
          <w:sz w:val="21"/>
          <w:szCs w:val="21"/>
          <w:i w:val="1"/>
          <w:iCs w:val="1"/>
          <w:color w:val="auto"/>
        </w:rPr>
        <w:t>Yield Differential</w:t>
      </w:r>
      <w:r>
        <w:rPr>
          <w:rFonts w:ascii="Times New Roman" w:cs="Times New Roman" w:eastAsia="Times New Roman" w:hAnsi="Times New Roman"/>
          <w:sz w:val="21"/>
          <w:szCs w:val="21"/>
          <w:color w:val="auto"/>
        </w:rPr>
        <w:t xml:space="preserve">”), then the interest rate margin (and, as provided in the following proviso, the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floor) then in effect for the Original Term Loans shall be increased to eliminate such Yield Differential;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any portion of the Yield Differential is attributable to any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floor applicable to such Class of Incremental Term Loans exceeding the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floor applicable to the Original Term Loans, the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floor applicable to the Original Term Loans shall first be increased to eliminate such Yield Differential to an amount not to exceed the Term SOFR </w:t>
      </w:r>
      <w:r>
        <w:rPr>
          <w:rFonts w:ascii="Times New Roman" w:cs="Times New Roman" w:eastAsia="Times New Roman" w:hAnsi="Times New Roman"/>
          <w:sz w:val="21"/>
          <w:szCs w:val="21"/>
          <w:b w:val="1"/>
          <w:bCs w:val="1"/>
          <w:color w:val="FF0000"/>
          <w:strike w:val="1"/>
        </w:rPr>
        <w:t>Rate</w:t>
      </w:r>
      <w:r>
        <w:rPr>
          <w:rFonts w:ascii="Times New Roman" w:cs="Times New Roman" w:eastAsia="Times New Roman" w:hAnsi="Times New Roman"/>
          <w:sz w:val="21"/>
          <w:szCs w:val="21"/>
          <w:color w:val="auto"/>
        </w:rPr>
        <w:t xml:space="preserve"> floor applicable to such Class of Incremental Term Loans prior to any increase in the interest rate margin applicable to such Original Term Loans;</w:t>
      </w:r>
    </w:p>
    <w:p>
      <w:pPr>
        <w:spacing w:after="0" w:line="175"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3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Revolving Loans extended pursuant to such new Commitments shall be no earlier than the Revolving Facility Maturity Date applicable to the Revolving Commitments that have not been extended pursuant to Section 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56" w:lineRule="exact"/>
        <w:rPr>
          <w:sz w:val="20"/>
          <w:szCs w:val="20"/>
          <w:color w:val="auto"/>
        </w:rPr>
      </w:pPr>
    </w:p>
    <w:p>
      <w:pPr>
        <w:ind w:left="140" w:hanging="132"/>
        <w:spacing w:after="0"/>
        <w:tabs>
          <w:tab w:leader="none" w:pos="140" w:val="left"/>
        </w:tabs>
        <w:numPr>
          <w:ilvl w:val="0"/>
          <w:numId w:val="470"/>
        </w:numPr>
        <w:rPr>
          <w:rFonts w:ascii="Times New Roman" w:cs="Times New Roman" w:eastAsia="Times New Roman" w:hAnsi="Times New Roman"/>
          <w:sz w:val="28"/>
          <w:szCs w:val="28"/>
          <w:b w:val="1"/>
          <w:bCs w:val="1"/>
          <w:u w:val="single" w:color="auto"/>
          <w:color w:val="0000FF"/>
          <w:vertAlign w:val="superscript"/>
        </w:rPr>
      </w:pPr>
      <w:r>
        <w:rPr>
          <w:rFonts w:ascii="Times New Roman" w:cs="Times New Roman" w:eastAsia="Times New Roman" w:hAnsi="Times New Roman"/>
          <w:sz w:val="22"/>
          <w:szCs w:val="22"/>
          <w:b w:val="1"/>
          <w:bCs w:val="1"/>
          <w:u w:val="single" w:color="auto"/>
          <w:color w:val="0000FF"/>
        </w:rPr>
        <w:t>NTD: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98" w:lineRule="exact"/>
        <w:rPr>
          <w:sz w:val="20"/>
          <w:szCs w:val="20"/>
          <w:color w:val="auto"/>
        </w:rPr>
      </w:pPr>
    </w:p>
    <w:p>
      <w:pPr>
        <w:jc w:val="both"/>
        <w:ind w:left="660" w:firstLine="644"/>
        <w:spacing w:after="0" w:line="257" w:lineRule="auto"/>
        <w:tabs>
          <w:tab w:leader="none" w:pos="1908"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Revolving Commitments established pursuant to such Incremental Revolving Commitments shall not require any scheduled amortization or mandatory commitment reduction prior to the Revolving Facility Maturity Date; and</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2036"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Incremental Commitments shall be effected by a joinder agreement (the “</w:t>
      </w:r>
      <w:r>
        <w:rPr>
          <w:rFonts w:ascii="Times New Roman" w:cs="Times New Roman" w:eastAsia="Times New Roman" w:hAnsi="Times New Roman"/>
          <w:sz w:val="22"/>
          <w:szCs w:val="22"/>
          <w:i w:val="1"/>
          <w:iCs w:val="1"/>
          <w:color w:val="auto"/>
        </w:rPr>
        <w:t>Increase Joinder</w:t>
      </w:r>
      <w:r>
        <w:rPr>
          <w:rFonts w:ascii="Times New Roman" w:cs="Times New Roman" w:eastAsia="Times New Roman" w:hAnsi="Times New Roman"/>
          <w:sz w:val="22"/>
          <w:szCs w:val="22"/>
          <w:color w:val="auto"/>
        </w:rPr>
        <w:t>”)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w:t>
      </w:r>
    </w:p>
    <w:p>
      <w:pPr>
        <w:spacing w:after="0" w:line="180" w:lineRule="exact"/>
        <w:rPr>
          <w:sz w:val="20"/>
          <w:szCs w:val="20"/>
          <w:color w:val="auto"/>
        </w:rPr>
      </w:pPr>
    </w:p>
    <w:p>
      <w:pPr>
        <w:jc w:val="both"/>
        <w:ind w:firstLine="1304"/>
        <w:spacing w:after="0" w:line="250" w:lineRule="auto"/>
        <w:tabs>
          <w:tab w:leader="none" w:pos="1858"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of Revolving Loans</w:t>
      </w:r>
      <w:r>
        <w:rPr>
          <w:rFonts w:ascii="Times New Roman" w:cs="Times New Roman" w:eastAsia="Times New Roman" w:hAnsi="Times New Roman"/>
          <w:sz w:val="22"/>
          <w:szCs w:val="22"/>
          <w:color w:val="auto"/>
        </w:rPr>
        <w:t>. To the extent the Commitments being increased on the relevant Increase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Date are Revolving Commitments, each 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 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increased Revolving Commitments shall make such Revolving Loans in accordance with Section 2.01(a).</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2"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Making of New Term Loans</w:t>
      </w:r>
      <w:r>
        <w:rPr>
          <w:rFonts w:ascii="Times New Roman" w:cs="Times New Roman" w:eastAsia="Times New Roman" w:hAnsi="Times New Roman"/>
          <w:sz w:val="22"/>
          <w:szCs w:val="22"/>
          <w:color w:val="auto"/>
        </w:rPr>
        <w:t>. On any Increase Effective Date on which one or more Incremental Term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becomes effective, subject to the satisfaction of the foregoing terms and conditions, each Lender of such Incremental Term Loan Commitment shall make an Incremental Term Loan to the Borrower in an amount equal to its Incremental Term Loan Commitment.</w:t>
      </w:r>
    </w:p>
    <w:p>
      <w:pPr>
        <w:spacing w:after="0" w:line="175" w:lineRule="exact"/>
        <w:rPr>
          <w:rFonts w:ascii="Times New Roman" w:cs="Times New Roman" w:eastAsia="Times New Roman" w:hAnsi="Times New Roman"/>
          <w:sz w:val="22"/>
          <w:szCs w:val="22"/>
          <w:color w:val="auto"/>
        </w:rPr>
      </w:pPr>
    </w:p>
    <w:p>
      <w:pPr>
        <w:jc w:val="both"/>
        <w:ind w:firstLine="1304"/>
        <w:spacing w:after="0" w:line="274" w:lineRule="auto"/>
        <w:tabs>
          <w:tab w:leader="none" w:pos="1741" w:val="left"/>
        </w:tabs>
        <w:numPr>
          <w:ilvl w:val="0"/>
          <w:numId w:val="4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Security and Guaranty</w:t>
      </w:r>
      <w:r>
        <w:rPr>
          <w:rFonts w:ascii="Times New Roman" w:cs="Times New Roman" w:eastAsia="Times New Roman" w:hAnsi="Times New Roman"/>
          <w:sz w:val="21"/>
          <w:szCs w:val="21"/>
          <w:color w:val="auto"/>
        </w:rPr>
        <w:t>. The Incremental Commitments will be secured on a</w:t>
      </w:r>
      <w:r>
        <w:rPr>
          <w:rFonts w:ascii="Times New Roman" w:cs="Times New Roman" w:eastAsia="Times New Roman" w:hAnsi="Times New Roman"/>
          <w:sz w:val="21"/>
          <w:szCs w:val="21"/>
          <w:i w:val="1"/>
          <w:iCs w:val="1"/>
          <w:color w:val="auto"/>
        </w:rPr>
        <w:t xml:space="preserve"> pari passu </w:t>
      </w:r>
      <w:r>
        <w:rPr>
          <w:rFonts w:ascii="Times New Roman" w:cs="Times New Roman" w:eastAsia="Times New Roman" w:hAnsi="Times New Roman"/>
          <w:sz w:val="21"/>
          <w:szCs w:val="21"/>
          <w:color w:val="auto"/>
        </w:rPr>
        <w:t>or (at the Borrower’s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option) junior basis by the same Collateral securing the obligations under the Facilities, and the Incremental Commitments and any incremental loans drawn thereunder shall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in right of payment with or (at the Borrower’s option) junior to the obligations under the Facilities (it being understood any such junior liens shall be subject to any Intercreditor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Agreement or any Other Intercreditor Agreement). Incremental Commitments shall benefit from the same guarantees as the Facilities.</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2.28.</w:t>
      </w:r>
      <w:r>
        <w:rPr>
          <w:sz w:val="20"/>
          <w:szCs w:val="20"/>
          <w:color w:val="auto"/>
        </w:rPr>
        <w:tab/>
      </w:r>
      <w:r>
        <w:rPr>
          <w:rFonts w:ascii="Times New Roman" w:cs="Times New Roman" w:eastAsia="Times New Roman" w:hAnsi="Times New Roman"/>
          <w:sz w:val="21"/>
          <w:szCs w:val="21"/>
          <w:u w:val="single" w:color="auto"/>
          <w:color w:val="auto"/>
        </w:rPr>
        <w:t>Extension of Term Loans; Extension of the Revolving Facility</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firstLine="1304"/>
        <w:spacing w:after="0" w:line="248" w:lineRule="auto"/>
        <w:tabs>
          <w:tab w:leader="none" w:pos="1833"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of Term Loans</w:t>
      </w:r>
      <w:r>
        <w:rPr>
          <w:rFonts w:ascii="Times New Roman" w:cs="Times New Roman" w:eastAsia="Times New Roman" w:hAnsi="Times New Roman"/>
          <w:sz w:val="22"/>
          <w:szCs w:val="22"/>
          <w:color w:val="auto"/>
        </w:rPr>
        <w:t>. Notwithstanding anything to the contrary in this Agreement, pursuant to one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offers (each, a “</w:t>
      </w:r>
      <w:r>
        <w:rPr>
          <w:rFonts w:ascii="Times New Roman" w:cs="Times New Roman" w:eastAsia="Times New Roman" w:hAnsi="Times New Roman"/>
          <w:sz w:val="22"/>
          <w:szCs w:val="22"/>
          <w:i w:val="1"/>
          <w:iCs w:val="1"/>
          <w:color w:val="auto"/>
        </w:rPr>
        <w:t>Term Loan Extension Offer</w:t>
      </w:r>
      <w:r>
        <w:rPr>
          <w:rFonts w:ascii="Times New Roman" w:cs="Times New Roman" w:eastAsia="Times New Roman" w:hAnsi="Times New Roman"/>
          <w:sz w:val="22"/>
          <w:szCs w:val="22"/>
          <w:color w:val="auto"/>
        </w:rPr>
        <w:t>”),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Times New Roman" w:cs="Times New Roman" w:eastAsia="Times New Roman" w:hAnsi="Times New Roman"/>
          <w:sz w:val="22"/>
          <w:szCs w:val="22"/>
          <w:i w:val="1"/>
          <w:iCs w:val="1"/>
          <w:color w:val="auto"/>
        </w:rPr>
        <w:t>Term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Extension</w:t>
      </w:r>
      <w:r>
        <w:rPr>
          <w:rFonts w:ascii="Times New Roman" w:cs="Times New Roman" w:eastAsia="Times New Roman" w:hAnsi="Times New Roman"/>
          <w:sz w:val="22"/>
          <w:szCs w:val="22"/>
          <w:color w:val="auto"/>
        </w:rPr>
        <w:t>,” and each group of Term Loans, as so extended, as well as the original Term Loans not so extended, being a “</w:t>
      </w:r>
      <w:r>
        <w:rPr>
          <w:rFonts w:ascii="Times New Roman" w:cs="Times New Roman" w:eastAsia="Times New Roman" w:hAnsi="Times New Roman"/>
          <w:sz w:val="22"/>
          <w:szCs w:val="22"/>
          <w:i w:val="1"/>
          <w:iCs w:val="1"/>
          <w:color w:val="auto"/>
        </w:rPr>
        <w:t>tranche of Term Loans</w:t>
      </w:r>
      <w:r>
        <w:rPr>
          <w:rFonts w:ascii="Times New Roman" w:cs="Times New Roman" w:eastAsia="Times New Roman" w:hAnsi="Times New Roman"/>
          <w:sz w:val="22"/>
          <w:szCs w:val="22"/>
          <w:color w:val="auto"/>
        </w:rPr>
        <w:t>,” and subject to the last sentence of the definition of "Class," any Extended Term Loan shall constitute a separate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of Term Loans from the tranche of Term Loans from which they were converted), so long as the following terms are satisfied:</w:t>
      </w:r>
    </w:p>
    <w:p>
      <w:pPr>
        <w:spacing w:after="0" w:line="188" w:lineRule="exact"/>
        <w:rPr>
          <w:sz w:val="20"/>
          <w:szCs w:val="20"/>
          <w:color w:val="auto"/>
        </w:rPr>
      </w:pPr>
    </w:p>
    <w:p>
      <w:pPr>
        <w:ind w:left="660" w:right="20" w:firstLine="644"/>
        <w:spacing w:after="0" w:line="271" w:lineRule="auto"/>
        <w:tabs>
          <w:tab w:leader="none" w:pos="1733"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pursuant to Section 7.01(b), (e)(B), (f) or (g) shall have occurred and be continuing at the time the offering document in respect of a Term Loan Extension Offer is delivered to the applicable Term Lenders;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799"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 Amendment (an “</w:t>
      </w:r>
      <w:r>
        <w:rPr>
          <w:rFonts w:ascii="Times New Roman" w:cs="Times New Roman" w:eastAsia="Times New Roman" w:hAnsi="Times New Roman"/>
          <w:sz w:val="22"/>
          <w:szCs w:val="22"/>
          <w:i w:val="1"/>
          <w:iCs w:val="1"/>
          <w:color w:val="auto"/>
        </w:rPr>
        <w:t>Extended Term Loan</w:t>
      </w:r>
      <w:r>
        <w:rPr>
          <w:rFonts w:ascii="Times New Roman" w:cs="Times New Roman" w:eastAsia="Times New Roman" w:hAnsi="Times New Roman"/>
          <w:sz w:val="22"/>
          <w:szCs w:val="22"/>
          <w:color w:val="auto"/>
        </w:rPr>
        <w:t xml:space="preserve">”), shall be a Term Loan with the same terms as the original Class of Term Loans being extended;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9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w:t>
      </w:r>
    </w:p>
    <w:p>
      <w:pPr>
        <w:spacing w:after="0" w:line="186" w:lineRule="exact"/>
        <w:rPr>
          <w:sz w:val="20"/>
          <w:szCs w:val="20"/>
          <w:color w:val="auto"/>
        </w:rPr>
      </w:pPr>
    </w:p>
    <w:p>
      <w:pPr>
        <w:ind w:left="1840" w:hanging="536"/>
        <w:spacing w:after="0"/>
        <w:tabs>
          <w:tab w:leader="none" w:pos="1840"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Term Loan Extension shall be consistent with the foregoing;</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88"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amend, revoke or replace a Term Loan Extension Offer at any time prior to the date on which Lenders under the tranche of Term Loans are requested to respond to the offer; and</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87"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Term Lender shall be obligated to accept any Term Loan Extension Offer.</w:t>
      </w:r>
    </w:p>
    <w:p>
      <w:pPr>
        <w:spacing w:after="0" w:line="167" w:lineRule="exact"/>
        <w:rPr>
          <w:sz w:val="20"/>
          <w:szCs w:val="20"/>
          <w:color w:val="auto"/>
        </w:rPr>
      </w:pPr>
    </w:p>
    <w:p>
      <w:pPr>
        <w:jc w:val="both"/>
        <w:ind w:firstLine="1304"/>
        <w:spacing w:after="0" w:line="261" w:lineRule="auto"/>
        <w:tabs>
          <w:tab w:leader="none" w:pos="1777" w:val="left"/>
        </w:tabs>
        <w:numPr>
          <w:ilvl w:val="0"/>
          <w:numId w:val="4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Extension of the Revolving Facility</w:t>
      </w:r>
      <w:r>
        <w:rPr>
          <w:rFonts w:ascii="Times New Roman" w:cs="Times New Roman" w:eastAsia="Times New Roman" w:hAnsi="Times New Roman"/>
          <w:sz w:val="21"/>
          <w:szCs w:val="21"/>
          <w:color w:val="auto"/>
        </w:rPr>
        <w:t>. Notwithstanding anything to the contrary in this Agreement,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one or more offers (each, a “</w:t>
      </w:r>
      <w:r>
        <w:rPr>
          <w:rFonts w:ascii="Times New Roman" w:cs="Times New Roman" w:eastAsia="Times New Roman" w:hAnsi="Times New Roman"/>
          <w:sz w:val="21"/>
          <w:szCs w:val="21"/>
          <w:i w:val="1"/>
          <w:iCs w:val="1"/>
          <w:color w:val="auto"/>
        </w:rPr>
        <w:t>Revolver Extension Offer</w:t>
      </w:r>
      <w:r>
        <w:rPr>
          <w:rFonts w:ascii="Times New Roman" w:cs="Times New Roman" w:eastAsia="Times New Roman" w:hAnsi="Times New Roman"/>
          <w:sz w:val="21"/>
          <w:szCs w:val="21"/>
          <w:color w:val="auto"/>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all or a portion of each such Revolving Lender’s Revolving Commitments and otherwise modify the terms of such Revolving Commitments pursuant to the terms of the relevant Revolver Extension Offer (including, without limitation, by the changing interest rate or fees payable in respect of such Revolving Commitments (and related outstandings)) (each, a “</w:t>
      </w:r>
      <w:r>
        <w:rPr>
          <w:rFonts w:ascii="Times New Roman" w:cs="Times New Roman" w:eastAsia="Times New Roman" w:hAnsi="Times New Roman"/>
          <w:sz w:val="21"/>
          <w:szCs w:val="21"/>
          <w:i w:val="1"/>
          <w:iCs w:val="1"/>
          <w:color w:val="auto"/>
        </w:rPr>
        <w:t>Revolver Extension</w:t>
      </w:r>
      <w:r>
        <w:rPr>
          <w:rFonts w:ascii="Times New Roman" w:cs="Times New Roman" w:eastAsia="Times New Roman" w:hAnsi="Times New Roman"/>
          <w:sz w:val="21"/>
          <w:szCs w:val="21"/>
          <w:color w:val="auto"/>
        </w:rPr>
        <w:t>,” and each group of Revolving Commitments, as so extended, as well as the original Revolving Commitments not so extended, being a “</w:t>
      </w:r>
      <w:r>
        <w:rPr>
          <w:rFonts w:ascii="Times New Roman" w:cs="Times New Roman" w:eastAsia="Times New Roman" w:hAnsi="Times New Roman"/>
          <w:sz w:val="21"/>
          <w:szCs w:val="21"/>
          <w:i w:val="1"/>
          <w:iCs w:val="1"/>
          <w:color w:val="auto"/>
        </w:rPr>
        <w:t>tranche of Revolving Loans</w:t>
      </w:r>
      <w:r>
        <w:rPr>
          <w:rFonts w:ascii="Times New Roman" w:cs="Times New Roman" w:eastAsia="Times New Roman" w:hAnsi="Times New Roman"/>
          <w:sz w:val="21"/>
          <w:szCs w:val="21"/>
          <w:color w:val="auto"/>
        </w:rPr>
        <w:t>,” and any subject to the last sentence of the definition of "Class," Extended Revolving Commitments shall constitute a separate tranche of Revolving Commitments from the tranche of Revolving Commitments from which they were converted), so long as the following terms are satisfied:</w:t>
      </w:r>
    </w:p>
    <w:p>
      <w:pPr>
        <w:spacing w:after="0" w:line="174" w:lineRule="exact"/>
        <w:rPr>
          <w:sz w:val="20"/>
          <w:szCs w:val="20"/>
          <w:color w:val="auto"/>
        </w:rPr>
      </w:pPr>
    </w:p>
    <w:p>
      <w:pPr>
        <w:jc w:val="both"/>
        <w:ind w:left="660" w:right="20" w:firstLine="644"/>
        <w:spacing w:after="0" w:line="257" w:lineRule="auto"/>
        <w:tabs>
          <w:tab w:leader="none" w:pos="1782" w:val="left"/>
        </w:tabs>
        <w:numPr>
          <w:ilvl w:val="0"/>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pursuant to Section 7.01(b), (e)(B), (f) or (g) shall have occurred and be continuing at the time the offering document in respect of a Revolver Extension Offer is delivered to the applicable Revolving Lenders (the “</w:t>
      </w:r>
      <w:r>
        <w:rPr>
          <w:rFonts w:ascii="Times New Roman" w:cs="Times New Roman" w:eastAsia="Times New Roman" w:hAnsi="Times New Roman"/>
          <w:sz w:val="22"/>
          <w:szCs w:val="22"/>
          <w:i w:val="1"/>
          <w:iCs w:val="1"/>
          <w:color w:val="auto"/>
        </w:rPr>
        <w:t>Revolver Extension Offer Date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93" w:val="left"/>
        </w:tabs>
        <w:numPr>
          <w:ilvl w:val="0"/>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 w:cs="Times New Roman" w:eastAsia="Times New Roman" w:hAnsi="Times New Roman"/>
          <w:sz w:val="22"/>
          <w:szCs w:val="22"/>
          <w:i w:val="1"/>
          <w:iCs w:val="1"/>
          <w:color w:val="auto"/>
        </w:rPr>
        <w:t>Extended Revolving Commitment</w:t>
      </w:r>
      <w:r>
        <w:rPr>
          <w:rFonts w:ascii="Times New Roman" w:cs="Times New Roman" w:eastAsia="Times New Roman" w:hAnsi="Times New Roman"/>
          <w:sz w:val="22"/>
          <w:szCs w:val="22"/>
          <w:color w:val="auto"/>
        </w:rPr>
        <w:t xml:space="preserve">”), and the related outstandings, shall be a Revolving Commitment (or related outstandings, as the case may be) with the same terms as the original Class of Revolving Commitments being extended (and related outstandings);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the borrowing and repayment (except for (A) payments of interest and fees at different rates on Extended Revolving Commitments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outstandings), (B) repayments required upon the maturity date of the non-extending Revolving Commitments and</w:t>
      </w:r>
    </w:p>
    <w:p>
      <w:pPr>
        <w:spacing w:after="0" w:line="28" w:lineRule="exact"/>
        <w:rPr>
          <w:sz w:val="20"/>
          <w:szCs w:val="20"/>
          <w:color w:val="auto"/>
        </w:rPr>
      </w:pPr>
    </w:p>
    <w:p>
      <w:pPr>
        <w:jc w:val="both"/>
        <w:ind w:left="660" w:hanging="4"/>
        <w:spacing w:after="0" w:line="259" w:lineRule="auto"/>
        <w:tabs>
          <w:tab w:leader="none" w:pos="1024" w:val="left"/>
        </w:tabs>
        <w:numPr>
          <w:ilvl w:val="0"/>
          <w:numId w:val="4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 (a) prepayments of Revolving Loans other than in connection with a termination of commitments shall not be required to be on a pro rata basis and (b) the Borrower shall be permitted to permanently repay and terminate commitments of any such tranche of Revolving Loans on a better than pro rata basis as compared to any other tranche of Revolving 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w:t>
      </w:r>
    </w:p>
    <w:p>
      <w:pPr>
        <w:spacing w:after="0" w:line="173"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890" w:val="left"/>
        </w:tabs>
        <w:numPr>
          <w:ilvl w:val="1"/>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81" w:val="left"/>
        </w:tabs>
        <w:numPr>
          <w:ilvl w:val="1"/>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 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each Revolving Lender that does not respond affirmatively by the deadline set forth in the Revolver Extension Offer shall be deemed not to have accepted such Revolver Extension 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to this Section 2.28(b)(iv), if applicable) or the Borrower (in the case of all other amounts), (3) the processing and recordation fee specified in Section 10.02(b)(ii)(D) shall be paid by the Borrower or such assignee and (4) the assigning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Revolving Lender shall continue to be entitled to the rights under Section 10.04 for any period prior to the effectiveness of such assignment;</w:t>
      </w:r>
    </w:p>
    <w:p>
      <w:pPr>
        <w:spacing w:after="0" w:line="158" w:lineRule="exact"/>
        <w:rPr>
          <w:sz w:val="20"/>
          <w:szCs w:val="20"/>
          <w:color w:val="auto"/>
        </w:rPr>
      </w:pPr>
    </w:p>
    <w:p>
      <w:pPr>
        <w:ind w:left="660" w:firstLine="644"/>
        <w:spacing w:after="0" w:line="284" w:lineRule="auto"/>
        <w:tabs>
          <w:tab w:leader="none" w:pos="1929"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Revolver Extension shall be consistent with the foregoing unless otherwise agreed by the Administrative Agent and the Borrower;</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17"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amend, revoke or replace a Revolver Extension Offer at any time prior to the date on which Lenders under the tranche of Revolving Loans are requested to respond to the offer;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82"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Revolving Lender shall be obligated to accept any Revolver Extension Offer.</w:t>
      </w:r>
    </w:p>
    <w:p>
      <w:pPr>
        <w:spacing w:after="0" w:line="167" w:lineRule="exact"/>
        <w:rPr>
          <w:sz w:val="20"/>
          <w:szCs w:val="20"/>
          <w:color w:val="auto"/>
        </w:rPr>
      </w:pPr>
    </w:p>
    <w:p>
      <w:pPr>
        <w:jc w:val="both"/>
        <w:ind w:firstLine="1304"/>
        <w:spacing w:after="0" w:line="248" w:lineRule="auto"/>
        <w:tabs>
          <w:tab w:leader="none" w:pos="1752" w:val="left"/>
        </w:tabs>
        <w:numPr>
          <w:ilvl w:val="1"/>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With respect to all Extensions consummated by the Borrower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2.28, (i) such 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w:t>
      </w:r>
    </w:p>
    <w:p>
      <w:pPr>
        <w:spacing w:after="0" w:line="180"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80" w:val="left"/>
        </w:tabs>
        <w:numPr>
          <w:ilvl w:val="1"/>
          <w:numId w:val="4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Extension Amendment</w:t>
      </w:r>
      <w:r>
        <w:rPr>
          <w:rFonts w:ascii="Times New Roman" w:cs="Times New Roman" w:eastAsia="Times New Roman" w:hAnsi="Times New Roman"/>
          <w:sz w:val="21"/>
          <w:szCs w:val="21"/>
          <w:color w:val="auto"/>
        </w:rPr>
        <w:t>. The consent of the Administrative Agent shall be required to effectuate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Extension, such consent not to be unreasonably withheld. No consent of any Lender shall be required to effectuate any Extension, other than (A) in the case of a Revolver Extension, (i) the consent of each Lender agreeing to such Extension with respect to all or a portion of 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w:t>
      </w:r>
    </w:p>
    <w:p>
      <w:pPr>
        <w:jc w:val="both"/>
        <w:ind w:firstLine="8"/>
        <w:spacing w:after="0" w:line="260" w:lineRule="auto"/>
        <w:tabs>
          <w:tab w:leader="none" w:pos="350" w:val="left"/>
        </w:tabs>
        <w:numPr>
          <w:ilvl w:val="0"/>
          <w:numId w:val="4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Term Loan Extension, the consent of each Lender agreeing to such Extension with respect to all or a portion of its Term Loans, as applicable. All Extended Term Loans and Extended Revolving Commitments and all obligations in respect thereof shall be Obligations under this Agreement and the other Loan Documents that are secured by the Collateral on a </w:t>
      </w:r>
      <w:r>
        <w:rPr>
          <w:rFonts w:ascii="Times New Roman" w:cs="Times New Roman" w:eastAsia="Times New Roman" w:hAnsi="Times New Roman"/>
          <w:sz w:val="21"/>
          <w:szCs w:val="21"/>
          <w:i w:val="1"/>
          <w:iCs w:val="1"/>
          <w:color w:val="auto"/>
        </w:rPr>
        <w:t>pari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passu </w:t>
      </w:r>
      <w:r>
        <w:rPr>
          <w:rFonts w:ascii="Times New Roman" w:cs="Times New Roman" w:eastAsia="Times New Roman" w:hAnsi="Times New Roman"/>
          <w:sz w:val="21"/>
          <w:szCs w:val="21"/>
          <w:color w:val="auto"/>
        </w:rPr>
        <w:t>basis with all other applicable Obligations under this Agreement and the other Loan Documents. Notwithstanding anything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else to the contrary set forth in this Agreement or the other Loan Documents, the Lenders hereby irrevocably authorize each Agent to enter into amendments to this Agreement and the other Loan Documents (each, an “</w:t>
      </w:r>
      <w:r>
        <w:rPr>
          <w:rFonts w:ascii="Times New Roman" w:cs="Times New Roman" w:eastAsia="Times New Roman" w:hAnsi="Times New Roman"/>
          <w:sz w:val="21"/>
          <w:szCs w:val="21"/>
          <w:i w:val="1"/>
          <w:iCs w:val="1"/>
          <w:color w:val="auto"/>
        </w:rPr>
        <w:t>Extension Amendment</w:t>
      </w:r>
      <w:r>
        <w:rPr>
          <w:rFonts w:ascii="Times New Roman" w:cs="Times New Roman" w:eastAsia="Times New Roman" w:hAnsi="Times New Roman"/>
          <w:sz w:val="21"/>
          <w:szCs w:val="21"/>
          <w:color w:val="auto"/>
        </w:rPr>
        <w:t>”) with the Borrower 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w:t>
      </w:r>
    </w:p>
    <w:p>
      <w:pPr>
        <w:spacing w:after="0" w:line="193" w:lineRule="exact"/>
        <w:rPr>
          <w:sz w:val="20"/>
          <w:szCs w:val="20"/>
          <w:color w:val="auto"/>
        </w:rPr>
      </w:pPr>
    </w:p>
    <w:p>
      <w:pPr>
        <w:jc w:val="both"/>
        <w:ind w:firstLine="1304"/>
        <w:spacing w:after="0" w:line="253" w:lineRule="auto"/>
        <w:tabs>
          <w:tab w:leader="none" w:pos="1865" w:val="left"/>
        </w:tabs>
        <w:numPr>
          <w:ilvl w:val="0"/>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w:t>
      </w:r>
    </w:p>
    <w:p>
      <w:pPr>
        <w:spacing w:after="0" w:line="19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and Authority</w:t>
      </w:r>
      <w:r>
        <w:rPr>
          <w:rFonts w:ascii="Times New Roman" w:cs="Times New Roman" w:eastAsia="Times New Roman" w:hAnsi="Times New Roman"/>
          <w:sz w:val="22"/>
          <w:szCs w:val="22"/>
          <w:color w:val="auto"/>
        </w:rPr>
        <w:t>.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w:t>
      </w:r>
    </w:p>
    <w:p>
      <w:pPr>
        <w:spacing w:after="0" w:line="20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Air Carrier Status</w:t>
      </w:r>
      <w:r>
        <w:rPr>
          <w:rFonts w:ascii="Times New Roman" w:cs="Times New Roman" w:eastAsia="Times New Roman" w:hAnsi="Times New Roman"/>
          <w:sz w:val="22"/>
          <w:szCs w:val="22"/>
          <w:color w:val="auto"/>
        </w:rPr>
        <w:t>. As of the date hereof, the Borrower is an “air carrier” within the meaning of Section 40102 of Title 49 and holds a certificate under Section 41102 of Title 49. The Borrower holds or co-holds an air carrier operating certificate issued pursuant to Chapter 447 of Title 49. The Borrower is a “citizen of the United States” as defined in Section 40102(a)(15)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Title 49 and as that statutory provision has been interpreted by the DOT pursuant to its policies (a “</w:t>
      </w:r>
      <w:r>
        <w:rPr>
          <w:rFonts w:ascii="Times New Roman" w:cs="Times New Roman" w:eastAsia="Times New Roman" w:hAnsi="Times New Roman"/>
          <w:sz w:val="22"/>
          <w:szCs w:val="22"/>
          <w:i w:val="1"/>
          <w:iCs w:val="1"/>
          <w:color w:val="auto"/>
        </w:rPr>
        <w:t>United States Citizen</w:t>
      </w:r>
      <w:r>
        <w:rPr>
          <w:rFonts w:ascii="Times New Roman" w:cs="Times New Roman" w:eastAsia="Times New Roman" w:hAnsi="Times New Roman"/>
          <w:sz w:val="22"/>
          <w:szCs w:val="22"/>
          <w:color w:val="auto"/>
        </w:rPr>
        <w:t>”). The Borrower possesses or co-possesses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w:t>
      </w:r>
    </w:p>
    <w:p>
      <w:pPr>
        <w:spacing w:after="0" w:line="17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Due Execution</w:t>
      </w:r>
      <w:r>
        <w:rPr>
          <w:rFonts w:ascii="Times New Roman" w:cs="Times New Roman" w:eastAsia="Times New Roman" w:hAnsi="Times New Roman"/>
          <w:sz w:val="21"/>
          <w:szCs w:val="21"/>
          <w:color w:val="auto"/>
        </w:rPr>
        <w:t>.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 Documents and (b)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7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Statements Made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2" w:lineRule="auto"/>
        <w:tabs>
          <w:tab w:leader="none" w:pos="1810"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2013 of Parent filed with the SEC and all Quarterly Reports 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10-Q or Current Reports on Form 8-K that have been filed after December 31, 2013,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w:t>
      </w:r>
    </w:p>
    <w:p>
      <w:pPr>
        <w:spacing w:after="0" w:line="181" w:lineRule="exact"/>
        <w:rPr>
          <w:sz w:val="20"/>
          <w:szCs w:val="20"/>
          <w:color w:val="auto"/>
        </w:rPr>
      </w:pPr>
    </w:p>
    <w:p>
      <w:pPr>
        <w:jc w:val="both"/>
        <w:ind w:firstLine="1304"/>
        <w:spacing w:after="0" w:line="251" w:lineRule="auto"/>
        <w:tabs>
          <w:tab w:leader="none" w:pos="1782" w:val="left"/>
        </w:tabs>
        <w:numPr>
          <w:ilvl w:val="0"/>
          <w:numId w:val="4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Financial Statements; Material Adverse Change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68"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audited consolidated financial statements of Parent and its Subsidiaries for the fiscal year ended December 31, 2013, included in Parent’s Annual Report on Form 10-K for 2013 filed with the SEC, as amended and (ii) the unaudited consolidated financial statement of Parent and its Subsidiaries for the fiscal quarters ending March 31, 2014 and June 30, 2014, each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w:t>
      </w:r>
    </w:p>
    <w:p>
      <w:pPr>
        <w:spacing w:after="0" w:line="194" w:lineRule="exact"/>
        <w:rPr>
          <w:rFonts w:ascii="Times New Roman" w:cs="Times New Roman" w:eastAsia="Times New Roman" w:hAnsi="Times New Roman"/>
          <w:sz w:val="22"/>
          <w:szCs w:val="22"/>
          <w:color w:val="auto"/>
        </w:rPr>
      </w:pPr>
    </w:p>
    <w:p>
      <w:pPr>
        <w:ind w:firstLine="1304"/>
        <w:spacing w:after="0" w:line="271" w:lineRule="auto"/>
        <w:tabs>
          <w:tab w:leader="none" w:pos="1856"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Parent’s Annual Report on Form 10-K for 2013 or any subsequent report filed by Parent on Form 10-Q or Form 8-K with the SEC, since December 31, 2013, there has been no Material Adverse Change.</w:t>
      </w:r>
    </w:p>
    <w:p>
      <w:pPr>
        <w:spacing w:after="0" w:line="158" w:lineRule="exact"/>
        <w:rPr>
          <w:sz w:val="20"/>
          <w:szCs w:val="20"/>
          <w:color w:val="auto"/>
        </w:rPr>
      </w:pPr>
    </w:p>
    <w:p>
      <w:pPr>
        <w:ind w:left="1300"/>
        <w:spacing w:after="0"/>
        <w:tabs>
          <w:tab w:leader="none" w:pos="298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As of the Closing Date, other than as set forth on Schedule 3.06,</w:t>
      </w:r>
    </w:p>
    <w:p>
      <w:pPr>
        <w:spacing w:after="0" w:line="28" w:lineRule="exact"/>
        <w:rPr>
          <w:sz w:val="20"/>
          <w:szCs w:val="20"/>
          <w:color w:val="auto"/>
        </w:rPr>
      </w:pPr>
    </w:p>
    <w:p>
      <w:pPr>
        <w:ind w:firstLine="8"/>
        <w:spacing w:after="0" w:line="248" w:lineRule="auto"/>
        <w:tabs>
          <w:tab w:leader="none" w:pos="299"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Persons listed on Schedule 3.06 is a wholly-owned, direct or indirect Subsidiary of Parent and (b) Parent owns no other Subsidiaries (other than Immaterial Subsidiaries), whether directly or indirectly.</w:t>
      </w:r>
    </w:p>
    <w:p>
      <w:pPr>
        <w:spacing w:after="0" w:line="196" w:lineRule="exact"/>
        <w:rPr>
          <w:sz w:val="20"/>
          <w:szCs w:val="20"/>
          <w:color w:val="auto"/>
        </w:rPr>
      </w:pPr>
    </w:p>
    <w:p>
      <w:pPr>
        <w:ind w:left="1300"/>
        <w:spacing w:after="0"/>
        <w:tabs>
          <w:tab w:leader="none" w:pos="302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There are no Liens of any nature whatsoever on any Collateral, except for Permitted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Liens.</w:t>
      </w:r>
    </w:p>
    <w:p>
      <w:pPr>
        <w:spacing w:after="0" w:line="196"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and the Letters of Credit, shall be used for general corporate purposes.</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3.09.</w:t>
      </w:r>
      <w:r>
        <w:rPr>
          <w:sz w:val="20"/>
          <w:szCs w:val="20"/>
          <w:color w:val="auto"/>
        </w:rPr>
        <w:tab/>
      </w:r>
      <w:r>
        <w:rPr>
          <w:rFonts w:ascii="Times New Roman" w:cs="Times New Roman" w:eastAsia="Times New Roman" w:hAnsi="Times New Roman"/>
          <w:sz w:val="21"/>
          <w:szCs w:val="21"/>
          <w:u w:val="single" w:color="auto"/>
          <w:color w:val="auto"/>
        </w:rPr>
        <w:t>Litigation and Compliance with Laws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84" w:lineRule="auto"/>
        <w:tabs>
          <w:tab w:leader="none" w:pos="1847"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Parent’s Annual Report on Form 10-K for 2013 or any subsequent report filed by Parent on Form 10-Q or Form 8-K with the SEC since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w:t>
      </w:r>
    </w:p>
    <w:p>
      <w:pPr>
        <w:spacing w:after="0" w:line="179" w:lineRule="exact"/>
        <w:rPr>
          <w:sz w:val="20"/>
          <w:szCs w:val="20"/>
          <w:color w:val="auto"/>
        </w:rPr>
      </w:pPr>
    </w:p>
    <w:p>
      <w:pPr>
        <w:jc w:val="both"/>
        <w:ind w:firstLine="1304"/>
        <w:spacing w:after="0" w:line="256" w:lineRule="auto"/>
        <w:tabs>
          <w:tab w:leader="none" w:pos="1766"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Slots</w:t>
      </w:r>
      <w:r>
        <w:rPr>
          <w:rFonts w:ascii="Times New Roman" w:cs="Times New Roman" w:eastAsia="Times New Roman" w:hAnsi="Times New Roman"/>
          <w:sz w:val="22"/>
          <w:szCs w:val="22"/>
          <w:color w:val="auto"/>
        </w:rPr>
        <w:t>.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Routes</w:t>
      </w:r>
      <w:r>
        <w:rPr>
          <w:rFonts w:ascii="Times New Roman" w:cs="Times New Roman" w:eastAsia="Times New Roman" w:hAnsi="Times New Roman"/>
          <w:sz w:val="21"/>
          <w:szCs w:val="21"/>
          <w:color w:val="auto"/>
        </w:rPr>
        <w:t>. With respect to the Pledged Route Authorities relating to the Scheduled Services, each applicable Grantor holds or co-holds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17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Margin Regulations; Investment Company Act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13"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Guarantor is engaged, principally or as one of its important activities, in the business of purchasing or carrying margin stock (within the meaning of Regulation U issued by the Board, “</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or extending credit for the purpose of purchasing or carrying Margin Stock, and no proceeds of any Loans will be used to purchase or carry any Margin Stock or to extend credit to others for the purpose of purchasing or carrying any Margin Stock in violation of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198" w:lineRule="exact"/>
        <w:rPr>
          <w:sz w:val="20"/>
          <w:szCs w:val="20"/>
          <w:color w:val="auto"/>
        </w:rPr>
      </w:pPr>
    </w:p>
    <w:p>
      <w:pPr>
        <w:ind w:firstLine="1304"/>
        <w:spacing w:after="0" w:line="271" w:lineRule="auto"/>
        <w:tabs>
          <w:tab w:leader="none" w:pos="1838"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Guarantor is, or after the making of the Loans will be, or is required to be, registered as an “investment company” under the Investment Company Act of 1940, as amended.</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Holding of Collateral</w:t>
      </w:r>
      <w:r>
        <w:rPr>
          <w:rFonts w:ascii="Times New Roman" w:cs="Times New Roman" w:eastAsia="Times New Roman" w:hAnsi="Times New Roman"/>
          <w:sz w:val="22"/>
          <w:szCs w:val="22"/>
          <w:color w:val="auto"/>
        </w:rPr>
        <w:t>. Each applicable Grantor is, and as to Collateral acquired by it from time to time after the date hereof such Grantor will be, the holder or a co-holder, of all such Collateral free from any Lien except for</w:t>
      </w:r>
    </w:p>
    <w:p>
      <w:pPr>
        <w:spacing w:after="0"/>
        <w:rPr>
          <w:sz w:val="20"/>
          <w:szCs w:val="20"/>
          <w:color w:val="auto"/>
        </w:rPr>
      </w:pPr>
      <w:r>
        <w:rPr>
          <w:rFonts w:ascii="Times New Roman" w:cs="Times New Roman" w:eastAsia="Times New Roman" w:hAnsi="Times New Roman"/>
          <w:sz w:val="22"/>
          <w:szCs w:val="22"/>
          <w:color w:val="auto"/>
        </w:rPr>
        <w:t>(1) the Lien and security interest created by the Collateral Documents and (2) Permitted Liens.</w:t>
      </w:r>
    </w:p>
    <w:p>
      <w:pPr>
        <w:spacing w:after="0" w:line="19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Perfected Security Interests</w:t>
      </w:r>
      <w:r>
        <w:rPr>
          <w:rFonts w:ascii="Times New Roman" w:cs="Times New Roman" w:eastAsia="Times New Roman" w:hAnsi="Times New Roman"/>
          <w:sz w:val="22"/>
          <w:szCs w:val="22"/>
          <w:color w:val="auto"/>
        </w:rPr>
        <w:t>. All UCC filings necessary or reasonably requested by the Collateral Agent to create, preserve, protect and perfect the security interests granted by the Borrower or any Guarantor, as applicable, to the Collateral Agent for the 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 before the date hereof by execution and delivery of the Account Control Agreement. Subject to any Intercreditor Agreement and any Other Intercreditor Agreement, the security interests granted to the Collateral Agent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Agent is entitled with respect to such perfected security interest to all the rights, priorities and benefits afforded by the UCC to perfected security interests.</w:t>
      </w:r>
    </w:p>
    <w:p>
      <w:pPr>
        <w:spacing w:after="0" w:line="20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w:t>
      </w:r>
    </w:p>
    <w:p>
      <w:pPr>
        <w:spacing w:after="0" w:line="19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No Unlawful Payments</w:t>
      </w:r>
      <w:r>
        <w:rPr>
          <w:rFonts w:ascii="Times New Roman" w:cs="Times New Roman" w:eastAsia="Times New Roman" w:hAnsi="Times New Roman"/>
          <w:sz w:val="22"/>
          <w:szCs w:val="22"/>
          <w:color w:val="auto"/>
        </w:rPr>
        <w:t>.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Borrower and each Guarantor has implemented compliance programs for purposes of (a) informing the appropriate officers and employees of the Borrower,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4" w:name="page465"/>
    <w:bookmarkEnd w:id="464"/>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any purpose in breach of any laws described in clause (1) – (4) above.</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3.17. </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target of any U.S. sanctions administered by the U.S. federal government (including the Office of Foreign Assets Control of the U.S. Treasury Department (“</w:t>
      </w:r>
      <w:r>
        <w:rPr>
          <w:rFonts w:ascii="Times New Roman" w:cs="Times New Roman" w:eastAsia="Times New Roman" w:hAnsi="Times New Roman"/>
          <w:sz w:val="21"/>
          <w:szCs w:val="21"/>
          <w:i w:val="1"/>
          <w:iCs w:val="1"/>
          <w:color w:val="auto"/>
        </w:rPr>
        <w:t>OFAC</w:t>
      </w:r>
      <w:r>
        <w:rPr>
          <w:rFonts w:ascii="Times New Roman" w:cs="Times New Roman" w:eastAsia="Times New Roman" w:hAnsi="Times New Roman"/>
          <w:sz w:val="21"/>
          <w:szCs w:val="21"/>
          <w:color w:val="auto"/>
        </w:rPr>
        <w:t>”)); and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the purpose of financing the activities of any person (individual or entity) or in any country, region or territory, that is at the time of such financing the target of any U.S. sanctions administered by the U.S. federal government (including OFAC) in any manner that would result in the violation of any U.S. sanctions applicable to any party hereto.</w:t>
      </w:r>
    </w:p>
    <w:p>
      <w:pPr>
        <w:spacing w:after="0" w:line="17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The operations of the Borrower, the Guarantors and their respective subsidiaries are and have been conducted at all times in material compliance with all applicable financial recordkeeping and reporting requirements, including those of the Bank Secrecy Act, as amended by the Patriot Act, and the applicable anti-money laundering statutes of jurisdictions where the Borrower, the Guarantors and their respective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Borrower, the Guarantors or any of their respective subsidiaries with respect to the Anti-Money Laundering Laws is pending or, to the best knowledge of the Borrower and the Guarantors, threatened.</w:t>
      </w:r>
    </w:p>
    <w:p>
      <w:pPr>
        <w:spacing w:after="0" w:line="19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the Closing Date, after giving effect to the Loans made on the Closing Date and the payment of all costs and expenses in connection therewith, that the Borrower and the Guarantors, taken as a whole, are Solvent.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OF LENDING</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Precedent to Closing</w:t>
      </w:r>
      <w:r>
        <w:rPr>
          <w:rFonts w:ascii="Times New Roman" w:cs="Times New Roman" w:eastAsia="Times New Roman" w:hAnsi="Times New Roman"/>
          <w:sz w:val="22"/>
          <w:szCs w:val="22"/>
          <w:color w:val="auto"/>
        </w:rPr>
        <w:t>. The Credit Agreement shall become effective on the date on which the following conditions precedent shall have been satisfied (or waived by the Lenders in accordance with Section 10.08 and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194" w:lineRule="exact"/>
        <w:rPr>
          <w:sz w:val="20"/>
          <w:szCs w:val="20"/>
          <w:color w:val="auto"/>
        </w:rPr>
      </w:pPr>
    </w:p>
    <w:p>
      <w:pPr>
        <w:ind w:right="20" w:firstLine="1304"/>
        <w:spacing w:after="0" w:line="275" w:lineRule="auto"/>
        <w:tabs>
          <w:tab w:leader="none" w:pos="1792"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Supporting Documents</w:t>
      </w:r>
      <w:r>
        <w:rPr>
          <w:rFonts w:ascii="Times New Roman" w:cs="Times New Roman" w:eastAsia="Times New Roman" w:hAnsi="Times New Roman"/>
          <w:sz w:val="22"/>
          <w:szCs w:val="22"/>
          <w:color w:val="auto"/>
        </w:rPr>
        <w:t>. The Administrative Agent shall have received with respect to each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Guarantors in form and substance reasonably satisfactory to the Administrative Agent:</w:t>
      </w:r>
    </w:p>
    <w:p>
      <w:pPr>
        <w:spacing w:after="0" w:line="153" w:lineRule="exact"/>
        <w:rPr>
          <w:sz w:val="20"/>
          <w:szCs w:val="20"/>
          <w:color w:val="auto"/>
        </w:rPr>
      </w:pPr>
    </w:p>
    <w:p>
      <w:pPr>
        <w:ind w:left="660" w:firstLine="644"/>
        <w:spacing w:after="0" w:line="284" w:lineRule="auto"/>
        <w:tabs>
          <w:tab w:leader="none" w:pos="1803"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of State of the state of such entity’s incorporation or formation, dated as of a recent date, as to the good standing of that entity (to the extent available in the applicable jurisdiction);</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844" w:val="left"/>
        </w:tabs>
        <w:numPr>
          <w:ilvl w:val="0"/>
          <w:numId w:val="4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the Secretary or an Assistant Secretary (or similar officer), of such entity dated the Closing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and Letter of Credit issuances hereunder, the execution, delivery and performance in accordance with their respective terms of the Credit Agreement, the other Loan Documents and any other documents required or contemplated hereunder or thereunder, and the granting of the security interest in the Letter of Credit Account and other Liens contemplated hereby or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Responsible Officer of that entity executing the Credit Agreement and the Loan Documents or any other document delivered by it in connection herewith or therewith (such certificate to contain a certification by another Responsible Officer of that entity as to the incumbency and signature of the Responsible Officer signing the certificate referred to in this clause (ii)); and</w:t>
      </w:r>
    </w:p>
    <w:p>
      <w:pPr>
        <w:spacing w:after="0" w:line="171"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975"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certifying (A) as to the truth in all material respects of the representations and warranties set forth in Article III hereunder and in the other Loan Documents and made by it as though made on the Closing Date, except to the extent that any such representation or warranty relates to a specified date, in which case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the Closing Date Transactions) and (B) as to the absence of any event occurring and continuing, or resulting from the Closing Date Transactions, that constitutes a Default or an Event of Default.</w:t>
      </w:r>
    </w:p>
    <w:p>
      <w:pPr>
        <w:spacing w:after="0" w:line="176" w:lineRule="exact"/>
        <w:rPr>
          <w:sz w:val="20"/>
          <w:szCs w:val="20"/>
          <w:color w:val="auto"/>
        </w:rPr>
      </w:pPr>
    </w:p>
    <w:p>
      <w:pPr>
        <w:ind w:left="1780" w:hanging="476"/>
        <w:spacing w:after="0"/>
        <w:tabs>
          <w:tab w:leader="none" w:pos="1780" w:val="left"/>
        </w:tabs>
        <w:numPr>
          <w:ilvl w:val="0"/>
          <w:numId w:val="4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Each party hereto shall have duly executed and delivered to the Administrative Agent the</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Credit Agreement.</w:t>
      </w:r>
    </w:p>
    <w:p>
      <w:pPr>
        <w:spacing w:after="0" w:line="191" w:lineRule="exact"/>
        <w:rPr>
          <w:rFonts w:ascii="Times New Roman" w:cs="Times New Roman" w:eastAsia="Times New Roman" w:hAnsi="Times New Roman"/>
          <w:sz w:val="21"/>
          <w:szCs w:val="21"/>
          <w:color w:val="auto"/>
        </w:rPr>
      </w:pPr>
    </w:p>
    <w:p>
      <w:pPr>
        <w:jc w:val="both"/>
        <w:ind w:firstLine="1304"/>
        <w:spacing w:after="0" w:line="265" w:lineRule="auto"/>
        <w:tabs>
          <w:tab w:leader="none" w:pos="1860"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The Borrower shall have duly executed and delivered to the Administrative Agent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 Agreement (Slots, Foreign Gate Leaseholds and Route Authorities), dated the Closing Date in substantially the form of Exhibit A-1, the UK Debenture, in substantially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form of Exhibit A-2, dated the Closing Date, the other Collateral Documents and the other Loan Documents, and has delivered all UCC financing statements in form and substance reasonably acceptable to the Collateral Agent, as may be required to grant, continue and maintain an enforceable security interest in the applicable Collateral (subject to the terms hereof and of the other Loan Documents) in accordance with the UCC as enacted in all relevant jurisdictions.</w:t>
      </w:r>
    </w:p>
    <w:p>
      <w:pPr>
        <w:spacing w:after="0" w:line="172" w:lineRule="exact"/>
        <w:rPr>
          <w:sz w:val="20"/>
          <w:szCs w:val="20"/>
          <w:color w:val="auto"/>
        </w:rPr>
      </w:pPr>
    </w:p>
    <w:p>
      <w:pPr>
        <w:jc w:val="both"/>
        <w:ind w:firstLine="1304"/>
        <w:spacing w:after="0" w:line="253" w:lineRule="auto"/>
        <w:tabs>
          <w:tab w:leader="none" w:pos="1791"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Appraisal</w:t>
      </w:r>
      <w:r>
        <w:rPr>
          <w:rFonts w:ascii="Times New Roman" w:cs="Times New Roman" w:eastAsia="Times New Roman" w:hAnsi="Times New Roman"/>
          <w:sz w:val="22"/>
          <w:szCs w:val="22"/>
          <w:color w:val="auto"/>
        </w:rPr>
        <w:t>. The Administrative Agent shall have received (x) the Initial Appraisal in form reasonably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satisfactory to the Administrative Agent, and (y) an Officer’s Certificate from a Responsible Officer of the Borrower demonstrating that, using the Appraised Value listed in the Initial Appraisal, on the Closing Date and after giving effect to the Extensions of Credit to be made on such date, the Collateral Coverage Ratio shall be no less than 1.6 to 1.0.</w:t>
      </w:r>
    </w:p>
    <w:p>
      <w:pPr>
        <w:spacing w:after="0" w:line="188"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Opinions of Counsel</w:t>
      </w:r>
      <w:r>
        <w:rPr>
          <w:rFonts w:ascii="Times New Roman" w:cs="Times New Roman" w:eastAsia="Times New Roman" w:hAnsi="Times New Roman"/>
          <w:sz w:val="22"/>
          <w:szCs w:val="22"/>
          <w:color w:val="auto"/>
        </w:rPr>
        <w:t>. The Administrative Agent shall have received:</w:t>
      </w:r>
    </w:p>
    <w:p>
      <w:pPr>
        <w:spacing w:after="0" w:line="224" w:lineRule="exact"/>
        <w:rPr>
          <w:sz w:val="20"/>
          <w:szCs w:val="20"/>
          <w:color w:val="auto"/>
        </w:rPr>
      </w:pPr>
    </w:p>
    <w:p>
      <w:pPr>
        <w:ind w:left="660" w:firstLine="644"/>
        <w:spacing w:after="0" w:line="271" w:lineRule="auto"/>
        <w:tabs>
          <w:tab w:leader="none" w:pos="1748" w:val="left"/>
        </w:tabs>
        <w:numPr>
          <w:ilvl w:val="0"/>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opinion of Latham &amp; Watkins LLP, counsel for the Borrower and the Guarantors, dated the Closing Date, in a form and substance reasonably satisfactory to the Administrative Agent;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2" w:val="left"/>
        </w:tabs>
        <w:numPr>
          <w:ilvl w:val="0"/>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opinion of Pillsbury Winthrop Shaw &amp; Pittman LLP, special regulatory counsel to the Borrower and the Guarantors, dated the Closing Date, in form and substance reasonably satisfactory to the Administrative Agent; and</w:t>
      </w:r>
    </w:p>
    <w:p>
      <w:pPr>
        <w:spacing w:after="0" w:line="18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02" w:val="left"/>
        </w:tabs>
        <w:numPr>
          <w:ilvl w:val="0"/>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opinion of White &amp; Case LLP, UK counsel for the Administrative Agent and the Lenders, dated the Closing Date, in a form and substance reasonably satisfactory to the Administrative Agent.</w:t>
      </w:r>
    </w:p>
    <w:p>
      <w:pPr>
        <w:spacing w:after="0" w:line="154" w:lineRule="exact"/>
        <w:rPr>
          <w:sz w:val="20"/>
          <w:szCs w:val="20"/>
          <w:color w:val="auto"/>
        </w:rPr>
      </w:pPr>
    </w:p>
    <w:p>
      <w:pPr>
        <w:jc w:val="both"/>
        <w:ind w:firstLine="1304"/>
        <w:spacing w:after="0" w:line="254" w:lineRule="auto"/>
        <w:tabs>
          <w:tab w:leader="none" w:pos="1795"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Fees and Expenses</w:t>
      </w:r>
      <w:r>
        <w:rPr>
          <w:rFonts w:ascii="Times New Roman" w:cs="Times New Roman" w:eastAsia="Times New Roman" w:hAnsi="Times New Roman"/>
          <w:sz w:val="22"/>
          <w:szCs w:val="22"/>
          <w:color w:val="auto"/>
        </w:rPr>
        <w:t>. The Borrower shall have paid to the Administrative Agent, the Joint Lead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Arrangers and Bookrunners and the Lenders the then-unpaid balance of all accrued and unpaid Fees due, owing and payable under and pursuant to the Credit Agreement, as referred to in Section 2.19, and all reasonable and documented out-of-pocket expenses of the Administrative Agent (including reasonable attorneys’ fees of White &amp; Case LLP) for which invoices have been presented at least one Business Day prior to the Closing Date.</w:t>
      </w:r>
    </w:p>
    <w:p>
      <w:pPr>
        <w:spacing w:after="0" w:line="17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777"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Lien Searches</w:t>
      </w:r>
      <w:r>
        <w:rPr>
          <w:rFonts w:ascii="Times New Roman" w:cs="Times New Roman" w:eastAsia="Times New Roman" w:hAnsi="Times New Roman"/>
          <w:sz w:val="22"/>
          <w:szCs w:val="22"/>
          <w:color w:val="auto"/>
        </w:rPr>
        <w:t>. The Administrative Agent shall have received UCC searches conducted in the jurisdictions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Borrower is incorporated or such other jurisdictions as the Administrative Agent may reasonably require, reflecting the absence of Liens and encumbrances on the assets of the Borrower constituting Collateral on the Closing Date, other than Permitted Liens.</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64"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Consents</w:t>
      </w:r>
      <w:r>
        <w:rPr>
          <w:rFonts w:ascii="Times New Roman" w:cs="Times New Roman" w:eastAsia="Times New Roman" w:hAnsi="Times New Roman"/>
          <w:sz w:val="22"/>
          <w:szCs w:val="22"/>
          <w:color w:val="auto"/>
        </w:rPr>
        <w:t>. All material governmental and third-party consents and approvals necessary in connection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financing contemplated hereby shall have been obtained, in form and substance reasonably satisfactory to the Administrative Agent, and be in full force and effect.</w:t>
      </w:r>
    </w:p>
    <w:p>
      <w:pPr>
        <w:spacing w:after="0" w:line="166"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51"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All representations and warranties of the Borrower and the Guarantors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contained in the Credit Agreement and the other Loan Documents executed and delivered on the Closing Date shall be true and correct in all material respects on and as of the Closing Date, before and after giving effect to the Closing Date Transactions, as though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7" w:name="page468"/>
    <w:bookmarkEnd w:id="467"/>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on and as of such date (except to the extent any such representation or warranty by its terms is made as of a different specified date, in which case as of such specified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the Closing Date Transactions.</w:t>
      </w:r>
    </w:p>
    <w:p>
      <w:pPr>
        <w:spacing w:after="0" w:line="177" w:lineRule="exact"/>
        <w:rPr>
          <w:sz w:val="20"/>
          <w:szCs w:val="20"/>
          <w:color w:val="auto"/>
        </w:rPr>
      </w:pPr>
    </w:p>
    <w:p>
      <w:pPr>
        <w:jc w:val="both"/>
        <w:ind w:firstLine="1304"/>
        <w:spacing w:after="0" w:line="265" w:lineRule="auto"/>
        <w:tabs>
          <w:tab w:leader="none" w:pos="1756"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Event of Default; No Material Adverse Change</w:t>
      </w:r>
      <w:r>
        <w:rPr>
          <w:rFonts w:ascii="Times New Roman" w:cs="Times New Roman" w:eastAsia="Times New Roman" w:hAnsi="Times New Roman"/>
          <w:sz w:val="22"/>
          <w:szCs w:val="22"/>
          <w:color w:val="auto"/>
        </w:rPr>
        <w:t>. No Default or Event of Default shall have occurred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continuing. Except as disclosed in Parent’s Annual Report on Form 10-K for 2013 or any subsequent report filed by Parent on Form 10-Q or Form 8-K with the SEC, since December 31, 2013, there shall not have occurred a Material Adverse Change.</w:t>
      </w:r>
    </w:p>
    <w:p>
      <w:pPr>
        <w:spacing w:after="0" w:line="161" w:lineRule="exact"/>
        <w:rPr>
          <w:rFonts w:ascii="Times New Roman" w:cs="Times New Roman" w:eastAsia="Times New Roman" w:hAnsi="Times New Roman"/>
          <w:sz w:val="22"/>
          <w:szCs w:val="22"/>
          <w:color w:val="auto"/>
        </w:rPr>
      </w:pPr>
    </w:p>
    <w:p>
      <w:pPr>
        <w:jc w:val="both"/>
        <w:ind w:firstLine="1304"/>
        <w:spacing w:after="0" w:line="253" w:lineRule="auto"/>
        <w:tabs>
          <w:tab w:leader="none" w:pos="2007"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The Lenders shall have received at least ten (10) days prior to the Closing Date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documentation and other information required by bank regulatory authorities under applicable “know-your-customer” and anti-money laundering rules and regulations, including the Patriot Act, that such Lenders shall have requested from the Borrower or Guarantor prior to such date.</w:t>
      </w:r>
    </w:p>
    <w:p>
      <w:pPr>
        <w:spacing w:after="0" w:line="175"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83"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Deliverables</w:t>
      </w:r>
      <w:r>
        <w:rPr>
          <w:rFonts w:ascii="Times New Roman" w:cs="Times New Roman" w:eastAsia="Times New Roman" w:hAnsi="Times New Roman"/>
          <w:sz w:val="22"/>
          <w:szCs w:val="22"/>
          <w:color w:val="auto"/>
        </w:rPr>
        <w:t>. The Administrative Agent shall have received the most recent financial statements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to be delivered pursuant to Sections 5.01(a) and (b) and reports of the Borrower and Parent, which have been filed with the SEC.</w:t>
      </w:r>
    </w:p>
    <w:p>
      <w:pPr>
        <w:spacing w:after="0" w:line="161" w:lineRule="exact"/>
        <w:rPr>
          <w:rFonts w:ascii="Times New Roman" w:cs="Times New Roman" w:eastAsia="Times New Roman" w:hAnsi="Times New Roman"/>
          <w:sz w:val="22"/>
          <w:szCs w:val="22"/>
          <w:color w:val="auto"/>
        </w:rPr>
      </w:pPr>
    </w:p>
    <w:p>
      <w:pPr>
        <w:jc w:val="both"/>
        <w:ind w:firstLine="1304"/>
        <w:spacing w:after="0" w:line="254" w:lineRule="auto"/>
        <w:tabs>
          <w:tab w:leader="none" w:pos="1837"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Perfected Liens</w:t>
      </w:r>
      <w:r>
        <w:rPr>
          <w:rFonts w:ascii="Times New Roman" w:cs="Times New Roman" w:eastAsia="Times New Roman" w:hAnsi="Times New Roman"/>
          <w:sz w:val="22"/>
          <w:szCs w:val="22"/>
          <w:color w:val="auto"/>
        </w:rPr>
        <w:t>. The Collateral Agent, for the benefit of the Secured Parties, shall have obtained a valid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perfected first priority lien on and security interest in the Collateral to the extent such security interests can be perfected under the UCC, and all UCC financing statements to be filed in the Borrower’s jurisdiction of organization and the Account Control Agreement in connection with the perfection of such security interests shall have been executed and delivered or made, or shall be delivered or made substantially concurrently with the initial funding.</w:t>
      </w:r>
    </w:p>
    <w:p>
      <w:pPr>
        <w:spacing w:after="0" w:line="173"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72"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Solvency. </w:t>
      </w:r>
      <w:r>
        <w:rPr>
          <w:rFonts w:ascii="Times New Roman" w:cs="Times New Roman" w:eastAsia="Times New Roman" w:hAnsi="Times New Roman"/>
          <w:sz w:val="22"/>
          <w:szCs w:val="22"/>
          <w:color w:val="auto"/>
        </w:rPr>
        <w:t>The Administrative Agent shall have received an Officer’s Certificate certifying that as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after giving effect to the Loans made on the Closing Date and the payment of all costs and expenses in connection therewith, that the Borrower and the Guarantors, taken as a whole, are Solvent.</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execution by each Lender of the Credit Agreement shall be deemed to be confirmation by such Lender that any condition relating to such Lender’s satisfaction or reasonable satisfaction with any documentation set forth in this Section 4.01 has been satisfied as to such Lender.</w:t>
      </w:r>
    </w:p>
    <w:p>
      <w:pPr>
        <w:spacing w:after="0" w:line="173"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u w:val="single" w:color="auto"/>
          <w:color w:val="auto"/>
        </w:rPr>
        <w:t>Conditions Precedent to Each Loan and Each Letter of Credit</w:t>
      </w:r>
      <w:r>
        <w:rPr>
          <w:rFonts w:ascii="Times New Roman" w:cs="Times New Roman" w:eastAsia="Times New Roman" w:hAnsi="Times New Roman"/>
          <w:sz w:val="21"/>
          <w:szCs w:val="21"/>
          <w:color w:val="auto"/>
        </w:rPr>
        <w:t>. The obligation of the Lenders to make each Loan and of the Issuing Lenders to issue each Letter of Credit, including the initial Loans and the initial Letters of Credit, is subject to the satisfaction (or waiver in accordance with Section 10.08) of the following conditions precedent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condition precedent to drawing of a Revolving Loan may be waived only by the Required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194" w:lineRule="exact"/>
        <w:rPr>
          <w:sz w:val="20"/>
          <w:szCs w:val="20"/>
          <w:color w:val="auto"/>
        </w:rPr>
      </w:pPr>
    </w:p>
    <w:p>
      <w:pPr>
        <w:jc w:val="both"/>
        <w:ind w:firstLine="1304"/>
        <w:spacing w:after="0" w:line="299" w:lineRule="auto"/>
        <w:tabs>
          <w:tab w:leader="none" w:pos="1779" w:val="left"/>
        </w:tabs>
        <w:numPr>
          <w:ilvl w:val="0"/>
          <w:numId w:val="4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w:t>
      </w:r>
      <w:r>
        <w:rPr>
          <w:rFonts w:ascii="Times New Roman" w:cs="Times New Roman" w:eastAsia="Times New Roman" w:hAnsi="Times New Roman"/>
          <w:sz w:val="21"/>
          <w:szCs w:val="21"/>
          <w:color w:val="auto"/>
        </w:rPr>
        <w:t>. The Administrative Agent shall have received a Loan Request pursuant to Section 2.03 with respect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such borrowing or a Letter of Credit Request for issuance of such Letter of Credit pursuant to Section 2.02, as the case may be.</w:t>
      </w:r>
    </w:p>
    <w:p>
      <w:pPr>
        <w:spacing w:after="0" w:line="127" w:lineRule="exact"/>
        <w:rPr>
          <w:rFonts w:ascii="Times New Roman" w:cs="Times New Roman" w:eastAsia="Times New Roman" w:hAnsi="Times New Roman"/>
          <w:sz w:val="21"/>
          <w:szCs w:val="21"/>
          <w:color w:val="auto"/>
        </w:rPr>
      </w:pPr>
    </w:p>
    <w:p>
      <w:pPr>
        <w:jc w:val="both"/>
        <w:ind w:firstLine="1304"/>
        <w:spacing w:after="0" w:line="249" w:lineRule="auto"/>
        <w:tabs>
          <w:tab w:leader="none" w:pos="1872"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All representations and warranties contained in this Agreement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 Loan Documents (other than in the case of each Borrowing Date, after the Closing Date, the representations and warranties set forth in Sections 3.05(b), 3.06, 3.09(a) and 3.19) shall be true and correct in all material respects on and as of the date of such Loan or the issuance of such Letter of Credit hereunder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such Loan or the issuance of such Letter of Credit hereunder.</w:t>
      </w:r>
    </w:p>
    <w:p>
      <w:pPr>
        <w:spacing w:after="0" w:line="18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33"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On the date of such Loan or the issuance of such Letter of Credit hereunder, no (i) Event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 or (ii) Default with respect to Section 7.01(b), (e), (f) or (g) shall have occurred and be continuing nor shall any such Default or Event of Default, as the case may be, occur by reason of the making of the requested Borrowing or the issuance of the requested Letter of Credit and, in the case of each Loan, the application of proceeds thereof.</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59" w:lineRule="auto"/>
        <w:tabs>
          <w:tab w:leader="none" w:pos="1777"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 On the date of such Loan or the issuance of such Letter of Credit hereunder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giving pro forma effect thereto), the Collateral Coverage Ratio shall not be less than 1.6 to 1.0 as evidenced by the delivery of a Collateral Coverage Ratio Certificate to the Administrative Agent demonstrating such compliance.</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9"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Going Concern Qualification</w:t>
      </w:r>
      <w:r>
        <w:rPr>
          <w:rFonts w:ascii="Times New Roman" w:cs="Times New Roman" w:eastAsia="Times New Roman" w:hAnsi="Times New Roman"/>
          <w:sz w:val="22"/>
          <w:szCs w:val="22"/>
          <w:color w:val="auto"/>
        </w:rPr>
        <w:t>. For any Loan made or Letter of Credit issued after the filing by Parent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Annual Report on Form 10-K for the fiscal year ended on December 31, 2014, on the date of such Loan or the issuance of such Letter of Credit hereunder,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18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 acceptance by the Borrower of each Extension of Credit hereunder shall be deemed to be a representation and warranty by the Borrower that the conditions specified in this Section 4.02 have been satisfied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22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6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Reports, etc</w:t>
      </w:r>
      <w:r>
        <w:rPr>
          <w:rFonts w:ascii="Times New Roman" w:cs="Times New Roman" w:eastAsia="Times New Roman" w:hAnsi="Times New Roman"/>
          <w:sz w:val="22"/>
          <w:szCs w:val="22"/>
          <w:color w:val="auto"/>
        </w:rPr>
        <w:t>. The Borrower shall deliver to the Administrative Agent on behalf of the Lenders:</w:t>
      </w:r>
    </w:p>
    <w:p>
      <w:pPr>
        <w:spacing w:after="0" w:line="144" w:lineRule="exact"/>
        <w:rPr>
          <w:sz w:val="20"/>
          <w:szCs w:val="20"/>
          <w:color w:val="auto"/>
        </w:rPr>
      </w:pPr>
    </w:p>
    <w:p>
      <w:pPr>
        <w:jc w:val="both"/>
        <w:ind w:firstLine="1304"/>
        <w:spacing w:after="0" w:line="248" w:lineRule="auto"/>
        <w:tabs>
          <w:tab w:leader="none" w:pos="1860"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Parent shall have filed with the SEC its Annual Report on Form 10-K for such fiscal year, which is available to the public via EDGAR or any similar successor system;</w:t>
      </w:r>
    </w:p>
    <w:p>
      <w:pPr>
        <w:spacing w:after="0" w:line="18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1"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Parent shall have filed with the SEC its Quarterly Report on Form 10-Q for such fiscal quarter, which is available to the public via EDGAR or any similar successor system;</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57"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0" w:name="page471"/>
    <w:bookmarkEnd w:id="470"/>
    <w:p>
      <w:pPr>
        <w:spacing w:after="0" w:line="198" w:lineRule="exact"/>
        <w:rPr>
          <w:sz w:val="20"/>
          <w:szCs w:val="20"/>
          <w:color w:val="auto"/>
        </w:rPr>
      </w:pPr>
    </w:p>
    <w:p>
      <w:pPr>
        <w:ind w:firstLine="1304"/>
        <w:spacing w:after="0" w:line="271" w:lineRule="auto"/>
        <w:tabs>
          <w:tab w:leader="none" w:pos="1902"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under (a) and (b) of this Section 5.01, an Officer’s Certificate demonstrating in reasonable detail compliance with Section 6.08 as of the end of the preceding fiscal quarter;</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65"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thereof, written notice of the termination of a Plan of the Borrower or an ERISA Affiliate pursuant to Section 4042 of ERISA, to the extent such termination would constitute an Event of Default under Section 7.01(j);</w:t>
      </w:r>
    </w:p>
    <w:p>
      <w:pPr>
        <w:spacing w:after="0" w:line="16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Collateral Coverage Ratio Certificate, as and when required under Section 6.09(a);</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2"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Commitment, Loan or Letter of Credit is outstanding, promptly after the Chief Financial Officer or the Treasurer of Parent becoming aware of the occurrence of a Default or an Event of Default that is continuing, an Officer’s Certificate specifying such Default or Event of Default and what action Parent and its Subsidiaries are taking or propose to take with respect thereto;</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2"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Company or the Parent in a current report on Form 8-k filed with the SEC), (b) or (c) of the definition thereof;</w:t>
      </w:r>
    </w:p>
    <w:p>
      <w:pPr>
        <w:spacing w:after="0" w:line="17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Collateral Coverage Ratio Certificate as and when required under Section 6.04(ii)(D);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7"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Any certificate to be delivered under this Section 5.01 may, at the Borrower’s option, be combined with any other certificate to be delivered under this Section 5.01 within the same time period.</w:t>
      </w:r>
    </w:p>
    <w:p>
      <w:pPr>
        <w:spacing w:after="0" w:line="15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Subject to the next succeeding sentence, information delivered pursuant to this Section 5.01 to the Administrative Agent may be made available by the Administrative Agent to the Lenders by posting such information on the Intralinks website on the Internet at http://www.intralinks.com. Information required to be delivered pursuant to this Section 5.01 by the Borrower (and solely in the case of Section 5.01(a) or (b) above to the extent not made available on EDGAR) shall be delivered pursuant to Section 10.01 or as set forth the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1" w:name="page472"/>
    <w:bookmarkEnd w:id="471"/>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posted or is available as described in such notice), as such website may be specified by the Borrower to the Administrative Agent from time to time. Information required to be delivered pursuant to this Section 5.01 shall be in a format which is suitable for transmission.</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w:t>
      </w:r>
    </w:p>
    <w:p>
      <w:pPr>
        <w:spacing w:after="0" w:line="3" w:lineRule="exact"/>
        <w:rPr>
          <w:sz w:val="20"/>
          <w:szCs w:val="20"/>
          <w:color w:val="auto"/>
        </w:rPr>
      </w:pPr>
    </w:p>
    <w:p>
      <w:pPr>
        <w:ind w:right="20" w:firstLine="8"/>
        <w:spacing w:after="0" w:line="248" w:lineRule="auto"/>
        <w:tabs>
          <w:tab w:leader="none" w:pos="415"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or communication has been posted on the Borrower’s general commercial website on the Internet, as such website may be specified by the Borrower to the Administrative Agent from time to time.</w:t>
      </w:r>
    </w:p>
    <w:p>
      <w:pPr>
        <w:spacing w:after="0" w:line="19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Parent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 on Parent.</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Parent shall do or cause to be done all things reasonably necessary to preserve and keep in full force and effect:</w:t>
      </w:r>
    </w:p>
    <w:p>
      <w:pPr>
        <w:spacing w:after="0" w:line="144" w:lineRule="exact"/>
        <w:rPr>
          <w:sz w:val="20"/>
          <w:szCs w:val="20"/>
          <w:color w:val="auto"/>
        </w:rPr>
      </w:pPr>
    </w:p>
    <w:p>
      <w:pPr>
        <w:jc w:val="both"/>
        <w:ind w:left="660" w:firstLine="644"/>
        <w:spacing w:after="0" w:line="257" w:lineRule="auto"/>
        <w:tabs>
          <w:tab w:leader="none" w:pos="2031"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corporate existence, and the corporate, partnership or other existence of each of its Restricted Subsidiaries, in accordance with the respective organizational documents (as the same may be amended from time to time) of Parent or any such Restricted Subsidiary;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8"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(charter and statutory) and material franchises of Parent and its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the avoidance of doubt, this Section 5.03 shall not prohibit any actions permitted by Section 6.10 or described in Section 6.10(b).</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2" w:name="page473"/>
    <w:bookmarkEnd w:id="472"/>
    <w:p>
      <w:pPr>
        <w:spacing w:after="0" w:line="19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Designation of Restricted and Unrestricted Subsidiaries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25"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w:t>
      </w:r>
    </w:p>
    <w:p>
      <w:pPr>
        <w:spacing w:after="0" w:line="19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12"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may at any time designate any Unrestricted Subsidiary to be a Restricted Subsidiary of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will be permitted only if no Default or Event of Default would be in existence following such designation.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3"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Delivery of Appraisals</w:t>
      </w:r>
      <w:r>
        <w:rPr>
          <w:rFonts w:ascii="Times New Roman" w:cs="Times New Roman" w:eastAsia="Times New Roman" w:hAnsi="Times New Roman"/>
          <w:sz w:val="21"/>
          <w:szCs w:val="21"/>
          <w:color w:val="auto"/>
        </w:rPr>
        <w:t>. No later than:</w:t>
      </w:r>
    </w:p>
    <w:p>
      <w:pPr>
        <w:spacing w:after="0" w:line="220" w:lineRule="exact"/>
        <w:rPr>
          <w:sz w:val="20"/>
          <w:szCs w:val="20"/>
          <w:color w:val="auto"/>
        </w:rPr>
      </w:pPr>
    </w:p>
    <w:p>
      <w:pPr>
        <w:jc w:val="both"/>
        <w:ind w:left="660" w:firstLine="644"/>
        <w:spacing w:after="0" w:line="257" w:lineRule="auto"/>
        <w:tabs>
          <w:tab w:leader="none" w:pos="1776" w:val="left"/>
        </w:tabs>
        <w:numPr>
          <w:ilvl w:val="0"/>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(x) June 30 of each year and (y) a date to be selected by the Borrower from time to time between July 1 and December 31 of each year, but in any event, no earlier than five (5) months after the delivery of the appraisal set forth in clause (x) for such year; and</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45 day period following a request by the Administrative Agent if an Event of Default has occurred and is</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Borrower will deliver to the Administrative Agent one or more Appraisals establishing the Appraised Value of the Collateral (other than any cash or Cash Equivalents in the Collateral). The delivery of each Additional Appraisal shall solely be made to the Administrative Agent, for the benefit of the Revolving Lenders.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Subject to the next succeeding sentence, the Borrower shall deliver the Appraisals described above to the Administrative Agent and the Administrative Agent shall make such Appraisals available to the Lenders by posting such information on the confidential, non-public portion of Intralinks website on the Internet at http://www.intralinks.com. Information required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this Section 5.06 by the Borrower shall be delivered pursuant to Section 10.01 and shall be deemed to contain material non-public information.</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u w:val="single" w:color="auto"/>
          <w:color w:val="auto"/>
        </w:rPr>
        <w:t>Regulatory Matters; Utilization; Reporting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Borrower will:</w:t>
      </w:r>
    </w:p>
    <w:p>
      <w:pPr>
        <w:spacing w:after="0" w:line="220" w:lineRule="exact"/>
        <w:rPr>
          <w:sz w:val="20"/>
          <w:szCs w:val="20"/>
          <w:color w:val="auto"/>
        </w:rPr>
      </w:pPr>
    </w:p>
    <w:p>
      <w:pPr>
        <w:ind w:left="660" w:firstLine="644"/>
        <w:spacing w:after="0" w:line="271" w:lineRule="auto"/>
        <w:tabs>
          <w:tab w:leader="none" w:pos="1820"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as an “air carrier” within the meaning of Section 40102(a)(2) of Title 49 and hold or co-hold a certificate under Section 41102(a)(1) of Title 49;</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6"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at the FAA as an “air carrier” and hold or co-hold an air carrier operating certificate under Section 44705 of Title 49 and operations specifications issued by the FAA pursuant to Parts 119 and 121 of Title 14;</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03"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the Scheduled Services, except to the extent that any failure to possess or maintain would not reasonably be expected to result in a Material Adverse Effect;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1"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76"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89"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38"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198" w:lineRule="exact"/>
        <w:rPr>
          <w:sz w:val="20"/>
          <w:szCs w:val="20"/>
          <w:color w:val="auto"/>
        </w:rPr>
      </w:pPr>
    </w:p>
    <w:p>
      <w:pPr>
        <w:jc w:val="both"/>
        <w:ind w:left="660" w:firstLine="644"/>
        <w:spacing w:after="0" w:line="257" w:lineRule="auto"/>
        <w:tabs>
          <w:tab w:leader="none" w:pos="1804"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done all things reasonably necessary to preserve and keep in full force and effect its authority to operate the Scheduled Services, except to the extent that any failure to do so would not reasonably be expected to result in a Material Adverse Effect.</w:t>
      </w:r>
    </w:p>
    <w:p>
      <w:pPr>
        <w:spacing w:after="0" w:line="186" w:lineRule="exact"/>
        <w:rPr>
          <w:sz w:val="20"/>
          <w:szCs w:val="20"/>
          <w:color w:val="auto"/>
        </w:rPr>
      </w:pPr>
    </w:p>
    <w:p>
      <w:pPr>
        <w:jc w:val="both"/>
        <w:ind w:firstLine="1304"/>
        <w:spacing w:after="0" w:line="248" w:lineRule="auto"/>
        <w:tabs>
          <w:tab w:leader="none" w:pos="1878" w:val="left"/>
        </w:tabs>
        <w:numPr>
          <w:ilvl w:val="0"/>
          <w:numId w:val="5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w:t>
      </w:r>
    </w:p>
    <w:p>
      <w:pPr>
        <w:spacing w:after="0" w:line="18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w:t>
      </w:r>
    </w:p>
    <w:p>
      <w:pPr>
        <w:spacing w:after="0" w:line="17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Maintenance of Ratings</w:t>
      </w:r>
      <w:r>
        <w:rPr>
          <w:rFonts w:ascii="Times New Roman" w:cs="Times New Roman" w:eastAsia="Times New Roman" w:hAnsi="Times New Roman"/>
          <w:sz w:val="22"/>
          <w:szCs w:val="22"/>
          <w:color w:val="auto"/>
        </w:rPr>
        <w:t>. The Borrower will use commercially reasonable efforts to maintain a rating of the Facilities by each of S&amp;P and Moody’s after such ratings are obtained (but not to obtain or maintain a specific rating).</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u w:val="single" w:color="auto"/>
          <w:color w:val="auto"/>
        </w:rPr>
        <w:t>Additional Guarantors; Additional Collateral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71" w:lineRule="auto"/>
        <w:tabs>
          <w:tab w:leader="none" w:pos="1811" w:val="left"/>
        </w:tabs>
        <w:numPr>
          <w:ilvl w:val="0"/>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(x) Parent or any of its Restricted Subsidiaries acquires or creates another Domestic Subsidiary after the Closing Date or (y) Parent, in its sole discretion, elects to cause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5" w:name="page476"/>
    <w:bookmarkEnd w:id="475"/>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Domestic Subsidiary that constitutes an Immaterial Subsidiary, a Receivables Subsidiary or an Excluded Subsidiary need not become a Guarantor unless and until 30 Business Days after such time as it ceases to be (and is no longer any of) an Immaterial Subsidiary, a Receivables Subsidiary or an Excluded Subsidiary or such time as it guarantees, or pledges any property or assets to secure, any other Obligations.</w:t>
      </w:r>
    </w:p>
    <w:p>
      <w:pPr>
        <w:spacing w:after="0" w:line="181" w:lineRule="exact"/>
        <w:rPr>
          <w:sz w:val="20"/>
          <w:szCs w:val="20"/>
          <w:color w:val="auto"/>
        </w:rPr>
      </w:pPr>
    </w:p>
    <w:p>
      <w:pPr>
        <w:jc w:val="both"/>
        <w:ind w:firstLine="1304"/>
        <w:spacing w:after="0" w:line="250" w:lineRule="auto"/>
        <w:tabs>
          <w:tab w:leader="none" w:pos="1939"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 30 Business Days after such time as it ceases to be (and is no longer any of ) an Immaterial Subsidiary, a Receivables Subsidiary or an Excluded Subsidiary or such time as it guarantees, or pledges any property or assets to secure, any other Obligations.</w:t>
      </w:r>
    </w:p>
    <w:p>
      <w:pPr>
        <w:spacing w:after="0" w:line="180" w:lineRule="exact"/>
        <w:rPr>
          <w:rFonts w:ascii="Times New Roman" w:cs="Times New Roman" w:eastAsia="Times New Roman" w:hAnsi="Times New Roman"/>
          <w:sz w:val="22"/>
          <w:szCs w:val="22"/>
          <w:color w:val="auto"/>
        </w:rPr>
      </w:pPr>
    </w:p>
    <w:p>
      <w:pPr>
        <w:ind w:firstLine="1304"/>
        <w:spacing w:after="0" w:line="284" w:lineRule="auto"/>
        <w:tabs>
          <w:tab w:leader="none" w:pos="1881"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in Section 5.09(a) and 5.09(b), no Regional Airline shall be required to become a Guarantor hereunder at any time. A Regional Airline may become a Guarantor at the sole discretion of the Borrower.</w:t>
      </w:r>
    </w:p>
    <w:p>
      <w:pPr>
        <w:spacing w:after="0" w:line="143" w:lineRule="exact"/>
        <w:rPr>
          <w:rFonts w:ascii="Times New Roman" w:cs="Times New Roman" w:eastAsia="Times New Roman" w:hAnsi="Times New Roman"/>
          <w:sz w:val="22"/>
          <w:szCs w:val="22"/>
          <w:color w:val="auto"/>
        </w:rPr>
      </w:pPr>
    </w:p>
    <w:p>
      <w:pPr>
        <w:ind w:right="20" w:firstLine="1304"/>
        <w:spacing w:after="0" w:line="271" w:lineRule="auto"/>
        <w:tabs>
          <w:tab w:leader="none" w:pos="1819"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with prior written notice to the Administrative Agent and the Collateral Agent, the Borrower may, and may cause any other Guarantor to, at its sole discretion, pledge additional assets as Additional Collateral.</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Access to Books and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17"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14"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Event of Default has occurred and is continuing, the Borrower and the Guarantors shall be responsible for the reasonable costs and expenses of any visits of the Administrative Agent and the Lenders,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6" w:name="page477"/>
    <w:bookmarkEnd w:id="476"/>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together (but not separately)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with respect to Collateral and matters relating thereto, the rights of Administrative Agent and the Lenders under this Section 5.10 shall be limited to the following: upon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 (ii) 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w:t>
      </w:r>
    </w:p>
    <w:p>
      <w:pPr>
        <w:spacing w:after="0" w:line="193" w:lineRule="exact"/>
        <w:rPr>
          <w:sz w:val="20"/>
          <w:szCs w:val="20"/>
          <w:color w:val="auto"/>
        </w:rPr>
      </w:pPr>
    </w:p>
    <w:p>
      <w:pPr>
        <w:ind w:left="130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7" w:lineRule="auto"/>
        <w:tabs>
          <w:tab w:leader="none" w:pos="1932"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Pledged Route Authorities, Pledged Slots, Pledged Foreign Gate Leaseholds and any Additional Route Authorities or Gate Leaseholds otherwise constituting Collateral, upon the reasonable request of the Collateral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such SGR Security Agreement or other applicable Collateral Document is in effect, the perfection of the security interests created by such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Collateral Agent will furnish the Collateral Agent, together with such financing statements and continuation statements, as may be required to enable the Collateral Agent to take such action.</w:t>
      </w:r>
    </w:p>
    <w:p>
      <w:pPr>
        <w:spacing w:after="0" w:line="20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7"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constituting aircraft or spare engines, each of the applicable Aircraft Security Agreements will provide that the Borrower or the applicable Grantor shall take, or cause to be taken, upon the reasonable request of the Collateral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trustee appointed pursuant to Section 8.01(d) will furnish such trustee with such instruments, in execution form, and such other information, as may be required to enable such trustee to take such action.</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837"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constituting Real Property Assets, each of the applicable Collateral Documents relating to such Collateral will provide that the Borrower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7" w:name="page478"/>
    <w:bookmarkEnd w:id="477"/>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applicable Grantor shall provide, or cause to be provided to the Collateral Agent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Administrative Agent for such title insurer to deliver endorsements to such title insurance as reasonably requested by the Administrative Agent), environmental assessments, flood certifications and flood insurance (if applicable) and reports and evidence regarding recording and payment of fees, insurance premium and taxes) that the Administrative Agent may reasonably request, to create, register, perfect, maintain, evidence the existence, substance, form or validity of or enforce a valid lien on such parcel of or leasehold interest in real property subject only to Permitted Liens.</w:t>
      </w:r>
    </w:p>
    <w:p>
      <w:pPr>
        <w:spacing w:after="0" w:line="195" w:lineRule="exact"/>
        <w:rPr>
          <w:sz w:val="20"/>
          <w:szCs w:val="20"/>
          <w:color w:val="auto"/>
        </w:rPr>
      </w:pPr>
    </w:p>
    <w:p>
      <w:pPr>
        <w:jc w:val="both"/>
        <w:ind w:firstLine="1304"/>
        <w:spacing w:after="0" w:line="249" w:lineRule="auto"/>
        <w:tabs>
          <w:tab w:leader="none" w:pos="1925"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other than Pledged Route Authorities, Pledged Slots, Pledged Foreign Gate Leaseholds, Additional Route Authorities, Gate Leaseholds, aircraft or spare engines, each of the applicable Collateral Documents relating to such Collateral will provide that the Borrower or the applicable Grantor shall take, or cause to be taken, upon the reasonable request of the Collateral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Agent, will furnish the Collateral Agent with such instruments, in execution form, and such other information, as may be required to enable the Collateral Agent to take such action.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AND FINANCIAL COVENANTS</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center"/>
        <w:ind w:right="80"/>
        <w:spacing w:after="0"/>
        <w:tabs>
          <w:tab w:leader="none" w:pos="2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Parent will not, and will not permit any of its Restricted Subsidiaries to, directly or indirectly:</w:t>
      </w:r>
    </w:p>
    <w:p>
      <w:pPr>
        <w:spacing w:after="0" w:line="220" w:lineRule="exact"/>
        <w:rPr>
          <w:sz w:val="20"/>
          <w:szCs w:val="20"/>
          <w:color w:val="auto"/>
        </w:rPr>
      </w:pPr>
    </w:p>
    <w:p>
      <w:pPr>
        <w:jc w:val="both"/>
        <w:ind w:left="660" w:firstLine="644"/>
        <w:spacing w:after="0" w:line="265" w:lineRule="auto"/>
        <w:tabs>
          <w:tab w:leader="none" w:pos="1787" w:val="left"/>
        </w:tabs>
        <w:numPr>
          <w:ilvl w:val="0"/>
          <w:numId w:val="5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8" w:name="page479"/>
    <w:bookmarkEnd w:id="478"/>
    <w:p>
      <w:pPr>
        <w:spacing w:after="0" w:line="198" w:lineRule="exact"/>
        <w:rPr>
          <w:sz w:val="20"/>
          <w:szCs w:val="20"/>
          <w:color w:val="auto"/>
        </w:rPr>
      </w:pPr>
    </w:p>
    <w:p>
      <w:pPr>
        <w:ind w:left="1780" w:hanging="476"/>
        <w:spacing w:after="0"/>
        <w:tabs>
          <w:tab w:leader="none" w:pos="1780" w:val="left"/>
        </w:tabs>
        <w:numPr>
          <w:ilvl w:val="1"/>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redeem or otherwise acquire or retire for value any Equity Interests of Parent;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35" w:val="left"/>
        </w:tabs>
        <w:numPr>
          <w:ilvl w:val="1"/>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 on or with respect to, or purchase, redeem, defease or otherwise acquire or retire for value (collectively for purposes of this clause (iii), a “</w:t>
      </w:r>
      <w:r>
        <w:rPr>
          <w:rFonts w:ascii="Times New Roman" w:cs="Times New Roman" w:eastAsia="Times New Roman" w:hAnsi="Times New Roman"/>
          <w:sz w:val="22"/>
          <w:szCs w:val="22"/>
          <w:i w:val="1"/>
          <w:iCs w:val="1"/>
          <w:color w:val="auto"/>
        </w:rPr>
        <w:t>purchase</w:t>
      </w:r>
      <w:r>
        <w:rPr>
          <w:rFonts w:ascii="Times New Roman" w:cs="Times New Roman" w:eastAsia="Times New Roman" w:hAnsi="Times New Roman"/>
          <w:sz w:val="22"/>
          <w:szCs w:val="22"/>
          <w:color w:val="auto"/>
        </w:rPr>
        <w:t>”)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w:t>
      </w:r>
    </w:p>
    <w:p>
      <w:pPr>
        <w:spacing w:after="0" w:line="17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Restricted Investment (all such payments and other actions set forth in these clauses (i) through</w:t>
      </w:r>
    </w:p>
    <w:p>
      <w:pPr>
        <w:spacing w:after="0" w:line="2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5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being collectively referred to as “</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at the time of and after giving effect to such Restricted Payment:</w:t>
      </w:r>
    </w:p>
    <w:p>
      <w:pPr>
        <w:spacing w:after="0" w:line="220" w:lineRule="exact"/>
        <w:rPr>
          <w:sz w:val="20"/>
          <w:szCs w:val="20"/>
          <w:color w:val="auto"/>
        </w:rPr>
      </w:pPr>
    </w:p>
    <w:p>
      <w:pPr>
        <w:jc w:val="both"/>
        <w:ind w:firstLine="8"/>
        <w:spacing w:after="0" w:line="259" w:lineRule="auto"/>
        <w:tabs>
          <w:tab w:leader="none" w:pos="490" w:val="left"/>
        </w:tabs>
        <w:numPr>
          <w:ilvl w:val="0"/>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w:t>
      </w:r>
      <w:r>
        <w:rPr>
          <w:rFonts w:ascii="Times New Roman" w:cs="Times New Roman" w:eastAsia="Times New Roman" w:hAnsi="Times New Roman"/>
          <w:sz w:val="22"/>
          <w:szCs w:val="22"/>
          <w:b w:val="1"/>
          <w:bCs w:val="1"/>
          <w:color w:val="FF0000"/>
          <w:strike w:val="1"/>
        </w:rPr>
        <w:t>4,200,000,000</w:t>
      </w:r>
      <w:r>
        <w:rPr>
          <w:rFonts w:ascii="Times New Roman" w:cs="Times New Roman" w:eastAsia="Times New Roman" w:hAnsi="Times New Roman"/>
          <w:sz w:val="22"/>
          <w:szCs w:val="22"/>
          <w:b w:val="1"/>
          <w:bCs w:val="1"/>
          <w:u w:val="single" w:color="auto"/>
          <w:color w:val="0000FF"/>
        </w:rPr>
        <w:t>4,000,000,000</w:t>
      </w:r>
      <w:r>
        <w:rPr>
          <w:rFonts w:ascii="Times New Roman" w:cs="Times New Roman" w:eastAsia="Times New Roman" w:hAnsi="Times New Roman"/>
          <w:sz w:val="28"/>
          <w:szCs w:val="28"/>
          <w:b w:val="1"/>
          <w:bCs w:val="1"/>
          <w:u w:val="single" w:color="auto"/>
          <w:color w:val="0000FF"/>
          <w:vertAlign w:val="superscript"/>
        </w:rPr>
        <w:t>3</w:t>
      </w:r>
      <w:r>
        <w:rPr>
          <w:rFonts w:ascii="Times New Roman" w:cs="Times New Roman" w:eastAsia="Times New Roman" w:hAnsi="Times New Roman"/>
          <w:sz w:val="22"/>
          <w:szCs w:val="22"/>
          <w:color w:val="auto"/>
        </w:rPr>
        <w:t>, or</w:t>
      </w:r>
    </w:p>
    <w:p>
      <w:pPr>
        <w:spacing w:after="0" w:line="75" w:lineRule="exact"/>
        <w:rPr>
          <w:rFonts w:ascii="Times New Roman" w:cs="Times New Roman" w:eastAsia="Times New Roman" w:hAnsi="Times New Roman"/>
          <w:sz w:val="22"/>
          <w:szCs w:val="22"/>
          <w:color w:val="auto"/>
        </w:rPr>
      </w:pPr>
    </w:p>
    <w:p>
      <w:pPr>
        <w:jc w:val="both"/>
        <w:ind w:firstLine="8"/>
        <w:spacing w:after="0" w:line="256" w:lineRule="auto"/>
        <w:tabs>
          <w:tab w:leader="none" w:pos="492" w:val="left"/>
        </w:tabs>
        <w:numPr>
          <w:ilvl w:val="0"/>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826" w:val="left"/>
        </w:tabs>
        <w:numPr>
          <w:ilvl w:val="1"/>
          <w:numId w:val="5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 of the Consolidated Net Income of Parent for the period (taken as one accounting period) from June 30,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w:t>
      </w:r>
    </w:p>
    <w:p>
      <w:pPr>
        <w:spacing w:after="0" w:line="168"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861" w:val="left"/>
        </w:tabs>
        <w:numPr>
          <w:ilvl w:val="1"/>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855" w:val="left"/>
        </w:tabs>
        <w:numPr>
          <w:ilvl w:val="1"/>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100% of the aggregate net cash proceeds and the Fair Market Value of non-cash consideration received by Parent or a Restricted Subsidiary of Parent from the issue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41" w:lineRule="exact"/>
        <w:rPr>
          <w:sz w:val="20"/>
          <w:szCs w:val="20"/>
          <w:color w:val="auto"/>
        </w:rPr>
      </w:pPr>
    </w:p>
    <w:p>
      <w:pPr>
        <w:ind w:left="140" w:hanging="132"/>
        <w:spacing w:after="0"/>
        <w:tabs>
          <w:tab w:leader="none" w:pos="140" w:val="left"/>
        </w:tabs>
        <w:numPr>
          <w:ilvl w:val="0"/>
          <w:numId w:val="517"/>
        </w:numPr>
        <w:rPr>
          <w:rFonts w:ascii="Times New Roman" w:cs="Times New Roman" w:eastAsia="Times New Roman" w:hAnsi="Times New Roman"/>
          <w:sz w:val="28"/>
          <w:szCs w:val="28"/>
          <w:b w:val="1"/>
          <w:bCs w:val="1"/>
          <w:u w:val="single" w:color="auto"/>
          <w:color w:val="0000FF"/>
          <w:vertAlign w:val="superscript"/>
        </w:rPr>
      </w:pPr>
      <w:r>
        <w:rPr>
          <w:rFonts w:ascii="Times New Roman" w:cs="Times New Roman" w:eastAsia="Times New Roman" w:hAnsi="Times New Roman"/>
          <w:sz w:val="22"/>
          <w:szCs w:val="22"/>
          <w:b w:val="1"/>
          <w:bCs w:val="1"/>
          <w:u w:val="single" w:color="auto"/>
          <w:color w:val="0000FF"/>
        </w:rPr>
        <w:t>NTD: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79" w:name="page480"/>
    <w:bookmarkEnd w:id="479"/>
    <w:p>
      <w:pPr>
        <w:spacing w:after="0" w:line="198"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w:t>
      </w:r>
    </w:p>
    <w:p>
      <w:pPr>
        <w:spacing w:after="0" w:line="183" w:lineRule="exact"/>
        <w:rPr>
          <w:sz w:val="20"/>
          <w:szCs w:val="20"/>
          <w:color w:val="auto"/>
        </w:rPr>
      </w:pPr>
    </w:p>
    <w:p>
      <w:pPr>
        <w:jc w:val="both"/>
        <w:ind w:left="660" w:firstLine="644"/>
        <w:spacing w:after="0" w:line="252" w:lineRule="auto"/>
        <w:tabs>
          <w:tab w:leader="none" w:pos="1922" w:val="left"/>
        </w:tabs>
        <w:numPr>
          <w:ilvl w:val="0"/>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Restricted Investment that was made after the Closing Date is (i) sold for cash or otherwise cancelled, liquidated or repaid for cash or (ii) made in an entity that subsequently becomes a Restricted Subsidiary of Parent, the initial amount of such Restricted Investment (or, if less, the amount of cash received upon repayment or sale); plus</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931" w:val="left"/>
        </w:tabs>
        <w:numPr>
          <w:ilvl w:val="0"/>
          <w:numId w:val="5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w:t>
      </w:r>
    </w:p>
    <w:p>
      <w:pPr>
        <w:spacing w:after="0" w:line="178"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795" w:val="left"/>
        </w:tabs>
        <w:numPr>
          <w:ilvl w:val="0"/>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w:t>
      </w:r>
    </w:p>
    <w:p>
      <w:pPr>
        <w:spacing w:after="0" w:line="179"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provisions of Section 6.01(a) will not prohibit:</w:t>
      </w:r>
    </w:p>
    <w:p>
      <w:pPr>
        <w:spacing w:after="0" w:line="220" w:lineRule="exact"/>
        <w:rPr>
          <w:sz w:val="20"/>
          <w:szCs w:val="20"/>
          <w:color w:val="auto"/>
        </w:rPr>
      </w:pPr>
    </w:p>
    <w:p>
      <w:pPr>
        <w:jc w:val="both"/>
        <w:ind w:left="660" w:firstLine="644"/>
        <w:spacing w:after="0" w:line="263" w:lineRule="auto"/>
        <w:tabs>
          <w:tab w:leader="none" w:pos="1899" w:val="left"/>
        </w:tabs>
        <w:numPr>
          <w:ilvl w:val="0"/>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0" w:name="page481"/>
    <w:bookmarkEnd w:id="480"/>
    <w:p>
      <w:pPr>
        <w:spacing w:after="0" w:line="198"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or notice, the dividend or distribution or redemption payment would have complied with the provisions of this Agreement;</w:t>
      </w:r>
    </w:p>
    <w:p>
      <w:pPr>
        <w:spacing w:after="0" w:line="158" w:lineRule="exact"/>
        <w:rPr>
          <w:sz w:val="20"/>
          <w:szCs w:val="20"/>
          <w:color w:val="auto"/>
        </w:rPr>
      </w:pPr>
    </w:p>
    <w:p>
      <w:pPr>
        <w:jc w:val="both"/>
        <w:ind w:left="660" w:firstLine="644"/>
        <w:spacing w:after="0" w:line="268" w:lineRule="auto"/>
        <w:tabs>
          <w:tab w:leader="none" w:pos="1914" w:val="left"/>
        </w:tabs>
        <w:numPr>
          <w:ilvl w:val="0"/>
          <w:numId w:val="5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874" w:val="left"/>
        </w:tabs>
        <w:numPr>
          <w:ilvl w:val="0"/>
          <w:numId w:val="5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in the case of any partnership or limited liability company, any similar distribution), distribution or payment by a Restricted Subsidiary of Parent to the holders of its Equity Interests on a pro rata basis;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4" w:val="left"/>
        </w:tabs>
        <w:numPr>
          <w:ilvl w:val="0"/>
          <w:numId w:val="5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redemption, defeasance or other acquisition or retirement for value of Indebtedness of the Borrower or any Guarantor that is contractually subordinated in right of payment to the Loans with the net cash proceeds from an incurrence of Permitted Refinancing Indebtedness;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04" w:val="left"/>
        </w:tabs>
        <w:numPr>
          <w:ilvl w:val="0"/>
          <w:numId w:val="5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89" w:val="left"/>
        </w:tabs>
        <w:numPr>
          <w:ilvl w:val="0"/>
          <w:numId w:val="5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198" w:lineRule="exact"/>
        <w:rPr>
          <w:sz w:val="20"/>
          <w:szCs w:val="20"/>
          <w:color w:val="auto"/>
        </w:rPr>
      </w:pPr>
    </w:p>
    <w:p>
      <w:pPr>
        <w:jc w:val="both"/>
        <w:ind w:left="660" w:firstLine="644"/>
        <w:spacing w:after="0" w:line="257" w:lineRule="auto"/>
        <w:tabs>
          <w:tab w:leader="none" w:pos="1852"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804"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cash, dividends, distributions, advances, common stock or other Restricted Payments by Parent or any of its Restricted Subsidiaries to allow the payment of cash in lieu of the issuance of fractional shares;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3"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w:t>
      </w:r>
    </w:p>
    <w:p>
      <w:pPr>
        <w:spacing w:after="0" w:line="186"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with Excluded Contributions;</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83"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as a dividend or otherwise, of shares of Capital Stock of, or Indebtedness owed to Parent or any of its Restricted Subsidiaries by, any Unrestricted Subsidiary;</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74"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Payment in connection with any full or partial “spin-off” of a Subsidiary or similar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or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assets distributed or dividended do not include, directly or indirectly, any property or asset that constitutes Collateral;</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35"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distribution or dividend of assets or Capital Stock of any Person in connection with any full or partial “spin-off” of a Subsidiary or similar transactions having an aggregate Fair Market Value not to exceed $600,000,000 since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assets distributed or dividended do not include, directly or indirectly, any property or asset that constitutes Collateral;</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896" w:val="left"/>
        </w:tabs>
        <w:numPr>
          <w:ilvl w:val="0"/>
          <w:numId w:val="5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Default or Event of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958"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2070"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2" w:name="page483"/>
    <w:bookmarkEnd w:id="482"/>
    <w:p>
      <w:pPr>
        <w:spacing w:after="0" w:line="198" w:lineRule="exact"/>
        <w:rPr>
          <w:sz w:val="20"/>
          <w:szCs w:val="20"/>
          <w:color w:val="auto"/>
        </w:rPr>
      </w:pPr>
    </w:p>
    <w:p>
      <w:pPr>
        <w:jc w:val="both"/>
        <w:ind w:left="660" w:firstLine="644"/>
        <w:spacing w:after="0" w:line="254" w:lineRule="auto"/>
        <w:tabs>
          <w:tab w:leader="none" w:pos="1968" w:val="left"/>
        </w:tabs>
        <w:numPr>
          <w:ilvl w:val="1"/>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payments in connection with a Permitted Bond Hedge Transaction and (b) the settlement of any related Permitted Warrant Transaction (i) by delivery of shares of Parent’s common stock upon settlement thereof or</w:t>
      </w:r>
    </w:p>
    <w:p>
      <w:pPr>
        <w:spacing w:after="0" w:line="1" w:lineRule="exact"/>
        <w:rPr>
          <w:rFonts w:ascii="Times New Roman" w:cs="Times New Roman" w:eastAsia="Times New Roman" w:hAnsi="Times New Roman"/>
          <w:sz w:val="22"/>
          <w:szCs w:val="22"/>
          <w:color w:val="auto"/>
        </w:rPr>
      </w:pPr>
    </w:p>
    <w:p>
      <w:pPr>
        <w:jc w:val="both"/>
        <w:ind w:left="660" w:hanging="4"/>
        <w:spacing w:after="0" w:line="265" w:lineRule="auto"/>
        <w:tabs>
          <w:tab w:leader="none" w:pos="991" w:val="left"/>
        </w:tabs>
        <w:numPr>
          <w:ilvl w:val="0"/>
          <w:numId w:val="5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 or such common stock, cash and/or other property;</w:t>
      </w:r>
    </w:p>
    <w:p>
      <w:pPr>
        <w:spacing w:after="0" w:line="164"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1"/>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23" w:val="left"/>
        </w:tabs>
        <w:numPr>
          <w:ilvl w:val="1"/>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has occurred and is continuing, Restricted Payments (i) made to purchase or redeem Equity Interests of Parent or (ii) consisting of payments in respect of any Indebtedness (whether for purchase or prepayment thereof or otherwise);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4" w:val="left"/>
        </w:tabs>
        <w:numPr>
          <w:ilvl w:val="1"/>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04" w:val="left"/>
        </w:tabs>
        <w:numPr>
          <w:ilvl w:val="1"/>
          <w:numId w:val="5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w:t>
      </w:r>
    </w:p>
    <w:p>
      <w:pPr>
        <w:spacing w:after="0" w:line="163"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1"/>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repurchase of Accounts and/or related assets pursuant to a Receivables Repurchase Obligation.</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date of its payment or later reclassify such Restricted Payment (or portion thereof) in any manner that complies with this Section 6.01.</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179" w:lineRule="exact"/>
        <w:rPr>
          <w:sz w:val="20"/>
          <w:szCs w:val="20"/>
          <w:color w:val="auto"/>
        </w:rPr>
      </w:pPr>
    </w:p>
    <w:p>
      <w:pPr>
        <w:jc w:val="right"/>
        <w:spacing w:after="0"/>
        <w:tabs>
          <w:tab w:leader="none" w:pos="820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2"/>
          <w:szCs w:val="22"/>
          <w:u w:val="single" w:color="auto"/>
          <w:color w:val="auto"/>
        </w:rPr>
        <w:t>Restrictions on Ability of Restricted Subsidiaries to Pay Dividends and Make Certain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304"/>
        <w:spacing w:after="0" w:line="263" w:lineRule="auto"/>
        <w:tabs>
          <w:tab w:leader="none" w:pos="1789" w:val="left"/>
        </w:tabs>
        <w:numPr>
          <w:ilvl w:val="0"/>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will not, and will not permit any of its Restricted Subsidiaries other than the Borrower to, directly or indirectly, create or permit to exist or become effective any consensual encumbrance or restriction on the ability of any such Restricted Subsidiary to:</w:t>
      </w:r>
    </w:p>
    <w:p>
      <w:pPr>
        <w:spacing w:after="0" w:line="167" w:lineRule="exact"/>
        <w:rPr>
          <w:sz w:val="20"/>
          <w:szCs w:val="20"/>
          <w:color w:val="auto"/>
        </w:rPr>
      </w:pPr>
    </w:p>
    <w:p>
      <w:pPr>
        <w:jc w:val="both"/>
        <w:ind w:left="660" w:firstLine="644"/>
        <w:spacing w:after="0" w:line="257" w:lineRule="auto"/>
        <w:tabs>
          <w:tab w:leader="none" w:pos="1948" w:val="left"/>
        </w:tabs>
        <w:numPr>
          <w:ilvl w:val="0"/>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on its Capital Stock to Parent or any of its Restricted Subsidiaries or with respect to any other interest or participation in the profits of such Restricted Subsidiary, or measured by the profits of such Restricted Subsidiary;</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Indebtedness owed to Parent or any of its Restricted Subsidiaries;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loans or advances to Parent or any of its Restricted Subsidiaries;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or transfer any of its properties or assets to Parent or any of its Restricted Subsidiaries.</w:t>
      </w:r>
    </w:p>
    <w:p>
      <w:pPr>
        <w:spacing w:after="0" w:line="220" w:lineRule="exact"/>
        <w:rPr>
          <w:sz w:val="20"/>
          <w:szCs w:val="20"/>
          <w:color w:val="auto"/>
        </w:rPr>
      </w:pPr>
    </w:p>
    <w:p>
      <w:pPr>
        <w:ind w:left="1780" w:hanging="476"/>
        <w:spacing w:after="0"/>
        <w:tabs>
          <w:tab w:leader="none" w:pos="1780" w:val="left"/>
        </w:tabs>
        <w:numPr>
          <w:ilvl w:val="0"/>
          <w:numId w:val="5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restrictions in Section 6.02(a) will not apply to encumbrances or restrictions existing under or by reason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209" w:lineRule="exact"/>
        <w:rPr>
          <w:sz w:val="20"/>
          <w:szCs w:val="20"/>
          <w:color w:val="auto"/>
        </w:rPr>
      </w:pPr>
    </w:p>
    <w:p>
      <w:pPr>
        <w:ind w:left="660" w:firstLine="644"/>
        <w:spacing w:after="0" w:line="271" w:lineRule="auto"/>
        <w:tabs>
          <w:tab w:leader="none" w:pos="1803" w:val="left"/>
        </w:tabs>
        <w:numPr>
          <w:ilvl w:val="0"/>
          <w:numId w:val="5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(A) governing Existing Indebtedness, Credit Facilities and any other obligations, in each case as in effect on (or required by agreements in effect on) the Closing Date or (B) in effect on the Closing Date;</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75" w:val="left"/>
        </w:tabs>
        <w:numPr>
          <w:ilvl w:val="0"/>
          <w:numId w:val="5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Collateral Documents, including any Intercreditor Agreement and any Other Intercreditor Agreement;</w:t>
      </w:r>
    </w:p>
    <w:p>
      <w:pPr>
        <w:spacing w:after="0" w:line="157"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909" w:val="left"/>
        </w:tabs>
        <w:numPr>
          <w:ilvl w:val="0"/>
          <w:numId w:val="5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agreements governing other Indebtedness or shares of preferred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Restricted Subsidiary incurring or issuing such Indebtedness or shares of preferred stock is not a Guarantor, the restrictions therein are either (in each case, as determined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440"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type w:val="continuous"/>
        </w:sectPr>
      </w:pPr>
    </w:p>
    <w:bookmarkStart w:id="484" w:name="page485"/>
    <w:bookmarkEnd w:id="484"/>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 or any reimbursement obligation with respect to LC Disbursements;</w:t>
      </w:r>
    </w:p>
    <w:p>
      <w:pPr>
        <w:spacing w:after="0" w:line="176" w:lineRule="exact"/>
        <w:rPr>
          <w:sz w:val="20"/>
          <w:szCs w:val="20"/>
          <w:color w:val="auto"/>
        </w:rPr>
      </w:pPr>
    </w:p>
    <w:p>
      <w:pPr>
        <w:ind w:left="1780" w:hanging="476"/>
        <w:spacing w:after="0"/>
        <w:tabs>
          <w:tab w:leader="none" w:pos="1780"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 rule, regulation or order;</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38"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customary provisions in contracts, licenses, leases and asset sale agreements entered into in the Ordinary Course of Business;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75"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obligations for property acquired in the Ordinary Course of Business and Capital Lease Obligations that impose restrictions on the property (or proceeds thereof) purchased or leased of the nature described in clause (4) of Section 6.02(a);</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98"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agreement for the sale or other disposition of a Restricted Subsidiary that restricts distributions, asset sales or loans by that Restricted Subsidiary pending its sale or other disposition;</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 and Liens that limit the right of the debtor to dispose of the assets subject to such Liens;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05"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w:t>
      </w:r>
    </w:p>
    <w:p>
      <w:pPr>
        <w:spacing w:after="0" w:line="194" w:lineRule="exact"/>
        <w:rPr>
          <w:rFonts w:ascii="Times New Roman" w:cs="Times New Roman" w:eastAsia="Times New Roman" w:hAnsi="Times New Roman"/>
          <w:sz w:val="22"/>
          <w:szCs w:val="22"/>
          <w:color w:val="auto"/>
        </w:rPr>
      </w:pPr>
    </w:p>
    <w:p>
      <w:pPr>
        <w:ind w:left="660" w:firstLine="644"/>
        <w:spacing w:after="0" w:line="271" w:lineRule="auto"/>
        <w:tabs>
          <w:tab w:leader="none" w:pos="1896"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cash or other deposits or net worth imposed by customers under contracts entered into in the Ordinary Course of Business;</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99"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or agreement entered into in connection with (or in anticipation of) any full or partial “spin-off” or similar transactions;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80"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of the type referred to in clauses (1), (2), (3) and (4) of Section 6.02(a) imposed by any amendments, modifications, restatements, renewals, extensions, increases, supplements, refundings, replacements or refinancings of the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98"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instruments or obligations referred to in clauses (1) through (13) of this Section 6.02(b);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w:t>
      </w:r>
    </w:p>
    <w:p>
      <w:pPr>
        <w:spacing w:after="0" w:line="181" w:lineRule="exact"/>
        <w:rPr>
          <w:sz w:val="20"/>
          <w:szCs w:val="20"/>
          <w:color w:val="auto"/>
        </w:rPr>
      </w:pPr>
    </w:p>
    <w:p>
      <w:pPr>
        <w:jc w:val="both"/>
        <w:ind w:left="660" w:firstLine="644"/>
        <w:spacing w:after="0" w:line="263" w:lineRule="auto"/>
        <w:tabs>
          <w:tab w:leader="none" w:pos="2144" w:val="left"/>
        </w:tabs>
        <w:numPr>
          <w:ilvl w:val="0"/>
          <w:numId w:val="5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existing under or by reason of Indebtedness or other contractual requirements of a Receivables Subsidiary or any Standard Securitization Undertaking, in each case, in connection with a Qualified Receivables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apply only to such Receivables Subsidiary.</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Disposition of Collateral</w:t>
      </w:r>
      <w:r>
        <w:rPr>
          <w:rFonts w:ascii="Times New Roman" w:cs="Times New Roman" w:eastAsia="Times New Roman" w:hAnsi="Times New Roman"/>
          <w:sz w:val="21"/>
          <w:szCs w:val="21"/>
          <w:color w:val="auto"/>
        </w:rPr>
        <w:t xml:space="preserve">. 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Disposition of Collateral that is not a Permitted Disposition (A) upon consummation of any such Disposition, no Event of Default shall have occurred and be continuing, (B) either (I) there is no Collateral Coverage Failure after giving effect to such Disposition (including any deposit of any Net Proceeds received upon consummation thereof in the Collateral Proceeds Account subject to an Account Control Agreement);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w:t>
      </w:r>
    </w:p>
    <w:p>
      <w:pPr>
        <w:spacing w:after="0" w:line="3" w:lineRule="exact"/>
        <w:rPr>
          <w:sz w:val="20"/>
          <w:szCs w:val="20"/>
          <w:color w:val="auto"/>
        </w:rPr>
      </w:pPr>
    </w:p>
    <w:p>
      <w:pPr>
        <w:jc w:val="both"/>
        <w:ind w:firstLine="8"/>
        <w:spacing w:after="0" w:line="259" w:lineRule="auto"/>
        <w:tabs>
          <w:tab w:leader="none" w:pos="306" w:val="left"/>
        </w:tabs>
        <w:numPr>
          <w:ilvl w:val="0"/>
          <w:numId w:val="5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less than 1.6 to 1.0 and (y) the Collateral shall include at least one category of Core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Disposition that is not a voluntary Disposition of Collateral by the Borrower or such Grantor, the Borrower shall have up to 45 days after such Disposition to accomplish the actions contemplated by this clause (II); or (III) the Borrower shall comply with its obligations set forth in Section 2.12(a), (C) [Reserved] and (D) the Borrower shall promptly provide to the Administrative Agent a Collateral Coverage Ratio Certificate calculating the Collateral Coverage Ratio and certifying that the Collateral includes at least one category of Core Collateral after giving effect to such Disposition and any actions taken pursuant to clause (B)(II) above. For the avoidance of doubt, none of (v) the reduction of the frequency of flight operations over any Scheduled Service, (w) 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 Leasehold constituting Collateral,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6" w:name="page487"/>
    <w:bookmarkEnd w:id="486"/>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 or Gate Leasehold otherwise constituting Collateral, as applicable, shall constitute a Disposition.</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72" w:lineRule="auto"/>
        <w:tabs>
          <w:tab w:leader="none" w:pos="1782" w:val="left"/>
        </w:tabs>
        <w:numPr>
          <w:ilvl w:val="0"/>
          <w:numId w:val="5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 w:cs="Times New Roman" w:eastAsia="Times New Roman" w:hAnsi="Times New Roman"/>
          <w:sz w:val="21"/>
          <w:szCs w:val="21"/>
          <w:i w:val="1"/>
          <w:iCs w:val="1"/>
          <w:color w:val="auto"/>
        </w:rPr>
        <w:t>Affiliate Transaction</w:t>
      </w:r>
      <w:r>
        <w:rPr>
          <w:rFonts w:ascii="Times New Roman" w:cs="Times New Roman" w:eastAsia="Times New Roman" w:hAnsi="Times New Roman"/>
          <w:sz w:val="21"/>
          <w:szCs w:val="21"/>
          <w:color w:val="auto"/>
        </w:rPr>
        <w:t>”) involving aggregate payments or consideration in excess of $60,000,000, unless:</w:t>
      </w:r>
    </w:p>
    <w:p>
      <w:pPr>
        <w:spacing w:after="0" w:line="161" w:lineRule="exact"/>
        <w:rPr>
          <w:sz w:val="20"/>
          <w:szCs w:val="20"/>
          <w:color w:val="auto"/>
        </w:rPr>
      </w:pPr>
    </w:p>
    <w:p>
      <w:pPr>
        <w:jc w:val="both"/>
        <w:ind w:left="660" w:firstLine="644"/>
        <w:spacing w:after="0" w:line="252" w:lineRule="auto"/>
        <w:tabs>
          <w:tab w:leader="none" w:pos="1791"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delivers to the Administrative Agent:</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666" w:val="left"/>
        </w:tabs>
        <w:numPr>
          <w:ilvl w:val="1"/>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Affiliate Transaction or series of related Affiliate Transactions involving aggregate consideration in excess of $150,000,000, an Officer’s Certificate certifying that such Affiliate Transaction complies with clause (1) of this Section 6.05(a); and</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658" w:val="left"/>
        </w:tabs>
        <w:numPr>
          <w:ilvl w:val="1"/>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w:t>
      </w:r>
    </w:p>
    <w:p>
      <w:pPr>
        <w:spacing w:after="0" w:line="176" w:lineRule="exact"/>
        <w:rPr>
          <w:sz w:val="20"/>
          <w:szCs w:val="20"/>
          <w:color w:val="auto"/>
        </w:rPr>
      </w:pPr>
    </w:p>
    <w:p>
      <w:pPr>
        <w:ind w:firstLine="1304"/>
        <w:spacing w:after="0" w:line="271" w:lineRule="auto"/>
        <w:tabs>
          <w:tab w:leader="none" w:pos="1780" w:val="left"/>
        </w:tabs>
        <w:numPr>
          <w:ilvl w:val="0"/>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items will not be deemed to be Affiliate Transactions and, therefore, will not be subject to the provisions of Section 6.05(a):</w:t>
      </w:r>
    </w:p>
    <w:p>
      <w:pPr>
        <w:spacing w:after="0" w:line="158" w:lineRule="exact"/>
        <w:rPr>
          <w:sz w:val="20"/>
          <w:szCs w:val="20"/>
          <w:color w:val="auto"/>
        </w:rPr>
      </w:pPr>
    </w:p>
    <w:p>
      <w:pPr>
        <w:jc w:val="both"/>
        <w:ind w:left="660" w:firstLine="644"/>
        <w:spacing w:after="0" w:line="256" w:lineRule="auto"/>
        <w:tabs>
          <w:tab w:leader="none" w:pos="2068"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804"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Restricted Subsidiaries (including without limitation in connection with (or in anticipation of) any full or partial “spin-off” or similar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98" w:lineRule="exact"/>
        <w:rPr>
          <w:sz w:val="20"/>
          <w:szCs w:val="20"/>
          <w:color w:val="auto"/>
        </w:rPr>
      </w:pPr>
    </w:p>
    <w:p>
      <w:pPr>
        <w:ind w:left="660" w:firstLine="644"/>
        <w:spacing w:after="0" w:line="271" w:lineRule="auto"/>
        <w:tabs>
          <w:tab w:leader="none" w:pos="1873"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a Person (other than an Unrestricted Subsidiary of Parent) that is an Affiliate of Parent solely because Parent owns, directly or through a Restricted Subsidiary, an Equity Interest in, or controls, such Person;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74"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issuance of Qualifying Equity Interests or any increase in the liquidation preference of preferred stock of</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Parent;</w:t>
      </w:r>
    </w:p>
    <w:p>
      <w:pPr>
        <w:spacing w:after="0" w:line="195"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836"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and Restricted Payments that do not violate Section 6.01;</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27"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employees in the Ordinary Course of Business not to exceed $30,000,000 in the aggregate at any one time outstanding;</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61"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w:t>
      </w:r>
    </w:p>
    <w:p>
      <w:pPr>
        <w:spacing w:after="0" w:line="183"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17"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Subsidiaries or transactions between a Receivables Subsidiary and any Person in which the Receivables Subsidiary has an Investment;</w:t>
      </w:r>
    </w:p>
    <w:p>
      <w:pPr>
        <w:spacing w:after="0" w:line="143"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effected as part of a Qualified Receivables Transaction;</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2006"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by Parent’s Affiliates of Indebtedness of Parent or any of its Restricted Subsidiaries, the majority of which Indebtedness is offered to Persons who are not Affiliates of Parent;</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contemplated by the Marketing and Service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98" w:lineRule="exact"/>
        <w:rPr>
          <w:sz w:val="20"/>
          <w:szCs w:val="20"/>
          <w:color w:val="auto"/>
        </w:rPr>
      </w:pPr>
    </w:p>
    <w:p>
      <w:pPr>
        <w:jc w:val="both"/>
        <w:ind w:left="660" w:firstLine="644"/>
        <w:spacing w:after="0" w:line="257" w:lineRule="auto"/>
        <w:tabs>
          <w:tab w:leader="none" w:pos="1938"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Parent or any of its Restricted Subsidiaries with any employee labor unions or other employee groups of Parent or such Restricted Subsidiary provided such transactions are not otherwise prohibited by this Agreement;</w:t>
      </w:r>
    </w:p>
    <w:p>
      <w:pPr>
        <w:spacing w:after="0" w:line="186"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captive insurance companies of Parent or any of its Restricted Subsidiaries;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2052"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Subsidiaries or transactions between a Non-Recourse Financing Subsidiary and any Person in which the Non-Recourse Financing Subsidiary has an Investment.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Parent will not, and will not permit any of its Restricted Subsidiaries to, directly or indirectly, create, incur, assume or suffer to exist any Lien of any kind on any property or asset that constitutes Collateral, except Permitted Liens.</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Business Activities</w:t>
      </w:r>
      <w:r>
        <w:rPr>
          <w:rFonts w:ascii="Times New Roman" w:cs="Times New Roman" w:eastAsia="Times New Roman" w:hAnsi="Times New Roman"/>
          <w:sz w:val="22"/>
          <w:szCs w:val="22"/>
          <w:color w:val="auto"/>
        </w:rPr>
        <w:t>. Parent will not, and will not permit any of its Restricted Subsidiaries to, engage in any business other than Permitted Businesses, except to such extent as would not be material to Parent and its Restricted Subsidiaries taken as a whole.</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Parent will not permit the aggregate amount of Liquidity at the close of any Business Day to be less than $</w:t>
      </w:r>
      <w:r>
        <w:rPr>
          <w:rFonts w:ascii="Times New Roman" w:cs="Times New Roman" w:eastAsia="Times New Roman" w:hAnsi="Times New Roman"/>
          <w:sz w:val="22"/>
          <w:szCs w:val="22"/>
          <w:b w:val="1"/>
          <w:bCs w:val="1"/>
          <w:color w:val="FF0000"/>
          <w:strike w:val="1"/>
        </w:rPr>
        <w:t>2,200,000,000</w:t>
      </w:r>
      <w:r>
        <w:rPr>
          <w:rFonts w:ascii="Times New Roman" w:cs="Times New Roman" w:eastAsia="Times New Roman" w:hAnsi="Times New Roman"/>
          <w:sz w:val="22"/>
          <w:szCs w:val="22"/>
          <w:b w:val="1"/>
          <w:bCs w:val="1"/>
          <w:u w:val="single" w:color="auto"/>
          <w:color w:val="0000FF"/>
        </w:rPr>
        <w:t>2,000,000,000</w:t>
      </w:r>
      <w:r>
        <w:rPr>
          <w:rFonts w:ascii="Times New Roman" w:cs="Times New Roman" w:eastAsia="Times New Roman" w:hAnsi="Times New Roman"/>
          <w:sz w:val="28"/>
          <w:szCs w:val="28"/>
          <w:b w:val="1"/>
          <w:bCs w:val="1"/>
          <w:u w:val="single" w:color="auto"/>
          <w:color w:val="0000FF"/>
          <w:vertAlign w:val="superscript"/>
        </w:rPr>
        <w:t>4</w:t>
      </w:r>
      <w:r>
        <w:rPr>
          <w:rFonts w:ascii="Times New Roman" w:cs="Times New Roman" w:eastAsia="Times New Roman" w:hAnsi="Times New Roman"/>
          <w:sz w:val="22"/>
          <w:szCs w:val="22"/>
          <w:color w:val="auto"/>
        </w:rPr>
        <w:t>.</w:t>
      </w:r>
    </w:p>
    <w:p>
      <w:pPr>
        <w:spacing w:after="0" w:line="6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6.09.</w:t>
      </w:r>
      <w:r>
        <w:rPr>
          <w:sz w:val="20"/>
          <w:szCs w:val="20"/>
          <w:color w:val="auto"/>
        </w:rPr>
        <w:tab/>
      </w:r>
      <w:r>
        <w:rPr>
          <w:rFonts w:ascii="Times New Roman" w:cs="Times New Roman" w:eastAsia="Times New Roman" w:hAnsi="Times New Roman"/>
          <w:sz w:val="21"/>
          <w:szCs w:val="21"/>
          <w:u w:val="single" w:color="auto"/>
          <w:color w:val="auto"/>
        </w:rPr>
        <w:t>Collateral Coverage Ratio</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774" w:val="left"/>
        </w:tabs>
        <w:numPr>
          <w:ilvl w:val="1"/>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the delivery of an Appraisal pursuant to Section 5.06(1) (each such day, a “</w:t>
      </w:r>
      <w:r>
        <w:rPr>
          <w:rFonts w:ascii="Times New Roman" w:cs="Times New Roman" w:eastAsia="Times New Roman" w:hAnsi="Times New Roman"/>
          <w:sz w:val="22"/>
          <w:szCs w:val="22"/>
          <w:i w:val="1"/>
          <w:iCs w:val="1"/>
          <w:color w:val="auto"/>
        </w:rPr>
        <w:t>Reference Date</w:t>
      </w:r>
      <w:r>
        <w:rPr>
          <w:rFonts w:ascii="Times New Roman" w:cs="Times New Roman" w:eastAsia="Times New Roman" w:hAnsi="Times New Roman"/>
          <w:sz w:val="22"/>
          <w:szCs w:val="22"/>
          <w:color w:val="auto"/>
        </w:rPr>
        <w:t>,” and the tenth Business Day after a Reference Date, the “</w:t>
      </w:r>
      <w:r>
        <w:rPr>
          <w:rFonts w:ascii="Times New Roman" w:cs="Times New Roman" w:eastAsia="Times New Roman" w:hAnsi="Times New Roman"/>
          <w:sz w:val="22"/>
          <w:szCs w:val="22"/>
          <w:i w:val="1"/>
          <w:iCs w:val="1"/>
          <w:color w:val="auto"/>
        </w:rPr>
        <w:t>Certificate Delivery Date</w:t>
      </w:r>
      <w:r>
        <w:rPr>
          <w:rFonts w:ascii="Times New Roman" w:cs="Times New Roman" w:eastAsia="Times New Roman" w:hAnsi="Times New Roman"/>
          <w:sz w:val="22"/>
          <w:szCs w:val="22"/>
          <w:color w:val="auto"/>
        </w:rPr>
        <w:t>”), the Borrower will deliver to the Administrative Agent a Collateral Coverage Ratio Certificate calculating the Collateral Coverage Ratio and certifying that the Collateral includes at least one category of Core Collateral with respect to such Reference Date.</w:t>
      </w:r>
    </w:p>
    <w:p>
      <w:pPr>
        <w:spacing w:after="0" w:line="192"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94" w:val="left"/>
        </w:tabs>
        <w:numPr>
          <w:ilvl w:val="1"/>
          <w:numId w:val="5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If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or (y) if at any time, it is determined that a Core Collateral Failure has occurred, the Borrower shall, no later than forty-five</w:t>
      </w:r>
    </w:p>
    <w:p>
      <w:pPr>
        <w:spacing w:after="0" w:line="4" w:lineRule="exact"/>
        <w:rPr>
          <w:rFonts w:ascii="Times New Roman" w:cs="Times New Roman" w:eastAsia="Times New Roman" w:hAnsi="Times New Roman"/>
          <w:sz w:val="21"/>
          <w:szCs w:val="21"/>
          <w:color w:val="auto"/>
        </w:rPr>
      </w:pPr>
    </w:p>
    <w:p>
      <w:pPr>
        <w:jc w:val="both"/>
        <w:ind w:firstLine="8"/>
        <w:spacing w:after="0" w:line="245" w:lineRule="auto"/>
        <w:tabs>
          <w:tab w:leader="none" w:pos="416" w:val="left"/>
        </w:tabs>
        <w:numPr>
          <w:ilvl w:val="0"/>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of such determination, either (A) grant (or cause another grantor to grant) a security interest in Additional Collateral such that following such grant the Collateral shall include at least one category of Core Collateral or (B) prepay the Loans in full in accordance with Section 2.12(h).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714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70" w:lineRule="exact"/>
        <w:rPr>
          <w:sz w:val="20"/>
          <w:szCs w:val="20"/>
          <w:color w:val="auto"/>
        </w:rPr>
      </w:pPr>
    </w:p>
    <w:p>
      <w:pPr>
        <w:ind w:left="140" w:hanging="132"/>
        <w:spacing w:after="0"/>
        <w:tabs>
          <w:tab w:leader="none" w:pos="140" w:val="left"/>
        </w:tabs>
        <w:numPr>
          <w:ilvl w:val="0"/>
          <w:numId w:val="539"/>
        </w:numPr>
        <w:rPr>
          <w:rFonts w:ascii="Times New Roman" w:cs="Times New Roman" w:eastAsia="Times New Roman" w:hAnsi="Times New Roman"/>
          <w:sz w:val="28"/>
          <w:szCs w:val="28"/>
          <w:b w:val="1"/>
          <w:bCs w:val="1"/>
          <w:u w:val="single" w:color="auto"/>
          <w:color w:val="0000FF"/>
          <w:vertAlign w:val="superscript"/>
        </w:rPr>
      </w:pPr>
      <w:r>
        <w:rPr>
          <w:rFonts w:ascii="Times New Roman" w:cs="Times New Roman" w:eastAsia="Times New Roman" w:hAnsi="Times New Roman"/>
          <w:sz w:val="22"/>
          <w:szCs w:val="22"/>
          <w:b w:val="1"/>
          <w:bCs w:val="1"/>
          <w:u w:val="single" w:color="auto"/>
          <w:color w:val="0000FF"/>
        </w:rPr>
        <w:t>NTD: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89" w:name="page490"/>
    <w:bookmarkEnd w:id="489"/>
    <w:p>
      <w:pPr>
        <w:spacing w:after="0" w:line="198" w:lineRule="exact"/>
        <w:rPr>
          <w:sz w:val="20"/>
          <w:szCs w:val="20"/>
          <w:color w:val="auto"/>
        </w:rPr>
      </w:pPr>
    </w:p>
    <w:p>
      <w:pPr>
        <w:jc w:val="both"/>
        <w:ind w:firstLine="1304"/>
        <w:spacing w:after="0" w:line="247" w:lineRule="auto"/>
        <w:tabs>
          <w:tab w:leader="none" w:pos="1765"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provided, in each case, that the following conditions are satisfied or waived: (A) no Event of Default shall have occurred and be continuing, (B) either (x) after giving effect to such release, the Collateral Coverage Ratio is not less than 1.6 to 1.0 or (y)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(C) either (x) no Core Collateral Failure shall have occurred as a result of such Borrower Release or (y) the Borrower shall grant (or cause another Grantor to grant) a security interest in additional assets pledged as Additional Collateral that constitute at least one category of Core Collateral and (D) the Borrower shall deliver an Officer’s Certificate and a Collateral Coverage Ratio Certificate (which may be delivered in a combined certificate) demonstrating compliance with this Section 6.09(c) following such release. In connection herewith, the Collateral Agent agrees to promptly provide any documents or releases reasonably requested by the Borrower to evidence such release.</w:t>
      </w:r>
    </w:p>
    <w:p>
      <w:pPr>
        <w:spacing w:after="0" w:line="19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6.10.</w:t>
      </w:r>
      <w:r>
        <w:rPr>
          <w:sz w:val="20"/>
          <w:szCs w:val="20"/>
          <w:color w:val="auto"/>
        </w:rPr>
        <w:tab/>
      </w:r>
      <w:r>
        <w:rPr>
          <w:rFonts w:ascii="Times New Roman" w:cs="Times New Roman" w:eastAsia="Times New Roman" w:hAnsi="Times New Roman"/>
          <w:sz w:val="21"/>
          <w:szCs w:val="21"/>
          <w:u w:val="single" w:color="auto"/>
          <w:color w:val="auto"/>
        </w:rPr>
        <w:t>Merger, Consolidation, or Sale of Assets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980" w:hanging="676"/>
        <w:spacing w:after="0"/>
        <w:tabs>
          <w:tab w:leader="none" w:pos="1980"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Parent nor the Borrower (whichever is applicable, the “</w:t>
      </w:r>
      <w:r>
        <w:rPr>
          <w:rFonts w:ascii="Times New Roman" w:cs="Times New Roman" w:eastAsia="Times New Roman" w:hAnsi="Times New Roman"/>
          <w:sz w:val="22"/>
          <w:szCs w:val="22"/>
          <w:i w:val="1"/>
          <w:iCs w:val="1"/>
          <w:color w:val="auto"/>
        </w:rPr>
        <w:t>Subject Company</w:t>
      </w:r>
      <w:r>
        <w:rPr>
          <w:rFonts w:ascii="Times New Roman" w:cs="Times New Roman" w:eastAsia="Times New Roman" w:hAnsi="Times New Roman"/>
          <w:sz w:val="22"/>
          <w:szCs w:val="22"/>
          <w:color w:val="auto"/>
        </w:rPr>
        <w:t>”) shall directly or</w:t>
      </w:r>
    </w:p>
    <w:p>
      <w:pPr>
        <w:spacing w:after="0" w:line="31" w:lineRule="exact"/>
        <w:rPr>
          <w:rFonts w:ascii="Times New Roman" w:cs="Times New Roman" w:eastAsia="Times New Roman" w:hAnsi="Times New Roman"/>
          <w:sz w:val="22"/>
          <w:szCs w:val="22"/>
          <w:color w:val="auto"/>
        </w:rPr>
      </w:pPr>
    </w:p>
    <w:p>
      <w:pPr>
        <w:jc w:val="both"/>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w:t>
      </w:r>
    </w:p>
    <w:p>
      <w:pPr>
        <w:spacing w:after="0" w:line="178" w:lineRule="exact"/>
        <w:rPr>
          <w:sz w:val="20"/>
          <w:szCs w:val="20"/>
          <w:color w:val="auto"/>
        </w:rPr>
      </w:pPr>
    </w:p>
    <w:p>
      <w:pPr>
        <w:ind w:left="1780" w:hanging="476"/>
        <w:spacing w:after="0"/>
        <w:tabs>
          <w:tab w:leader="none" w:pos="1780" w:val="left"/>
        </w:tabs>
        <w:numPr>
          <w:ilvl w:val="0"/>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1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Company is the surviving corporation; or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97" w:val="left"/>
        </w:tabs>
        <w:numPr>
          <w:ilvl w:val="1"/>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9" w:val="left"/>
        </w:tabs>
        <w:numPr>
          <w:ilvl w:val="0"/>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such transaction, no Event of Default exists;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198" w:lineRule="exact"/>
        <w:rPr>
          <w:sz w:val="20"/>
          <w:szCs w:val="20"/>
          <w:color w:val="auto"/>
        </w:rPr>
      </w:pPr>
    </w:p>
    <w:p>
      <w:pPr>
        <w:ind w:left="660" w:firstLine="644"/>
        <w:spacing w:after="0" w:line="271" w:lineRule="auto"/>
        <w:tabs>
          <w:tab w:leader="none" w:pos="1842" w:val="left"/>
        </w:tabs>
        <w:numPr>
          <w:ilvl w:val="0"/>
          <w:numId w:val="5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Company shall have delivered to the Administrative Agent an Officer’s Certificate stating that such consolidation, merger or transfer complies with this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167" w:lineRule="exact"/>
        <w:rPr>
          <w:sz w:val="20"/>
          <w:szCs w:val="20"/>
          <w:color w:val="auto"/>
        </w:rPr>
      </w:pPr>
    </w:p>
    <w:p>
      <w:pPr>
        <w:ind w:right="20" w:firstLine="1304"/>
        <w:spacing w:after="0" w:line="271" w:lineRule="auto"/>
        <w:tabs>
          <w:tab w:leader="none" w:pos="1855" w:val="left"/>
        </w:tabs>
        <w:numPr>
          <w:ilvl w:val="0"/>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6.10(a) will not apply to any sale, assignment, transfer, conveyance, lease or other disposition of assets between or among Parent and/or its Restricted Subsidiaries.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Clauses (3) and (4) of Section 6.10(a) will not apply to any merger, consolidation or transfer of assets:</w:t>
      </w:r>
    </w:p>
    <w:p>
      <w:pPr>
        <w:spacing w:after="0" w:line="233" w:lineRule="exact"/>
        <w:rPr>
          <w:sz w:val="20"/>
          <w:szCs w:val="20"/>
          <w:color w:val="auto"/>
        </w:rPr>
      </w:pPr>
    </w:p>
    <w:p>
      <w:pPr>
        <w:ind w:left="1780" w:hanging="476"/>
        <w:spacing w:after="0"/>
        <w:tabs>
          <w:tab w:leader="none" w:pos="1780"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or among Parent and any of Parent’s Restricted Subsidiaries;</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or among any of Parent’s Restricted Subsidiaries or by a Restricted Subsidiary that is not a</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or</w:t>
      </w:r>
    </w:p>
    <w:p>
      <w:pPr>
        <w:spacing w:after="0" w:line="19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or into an Affiliate solely for the purpose of reincorporating a Subject Company in another jurisdiction.</w:t>
      </w:r>
    </w:p>
    <w:p>
      <w:pPr>
        <w:spacing w:after="0" w:line="231" w:lineRule="exact"/>
        <w:rPr>
          <w:sz w:val="20"/>
          <w:szCs w:val="20"/>
          <w:color w:val="auto"/>
        </w:rPr>
      </w:pPr>
    </w:p>
    <w:p>
      <w:pPr>
        <w:jc w:val="both"/>
        <w:ind w:firstLine="1304"/>
        <w:spacing w:after="0" w:line="248" w:lineRule="auto"/>
        <w:tabs>
          <w:tab w:leader="none" w:pos="1752"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w:t>
      </w:r>
    </w:p>
    <w:p>
      <w:pPr>
        <w:spacing w:after="0" w:line="188" w:lineRule="exact"/>
        <w:rPr>
          <w:rFonts w:ascii="Times New Roman" w:cs="Times New Roman" w:eastAsia="Times New Roman" w:hAnsi="Times New Roman"/>
          <w:sz w:val="22"/>
          <w:szCs w:val="22"/>
          <w:color w:val="auto"/>
        </w:rPr>
      </w:pPr>
    </w:p>
    <w:p>
      <w:pPr>
        <w:ind w:right="20" w:firstLine="1304"/>
        <w:spacing w:after="0" w:line="309" w:lineRule="auto"/>
        <w:tabs>
          <w:tab w:leader="none" w:pos="1787" w:val="left"/>
        </w:tabs>
        <w:numPr>
          <w:ilvl w:val="0"/>
          <w:numId w:val="5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merger of the Borrower with US Airways, where US Airways is the surviving entity, US Airways shall grant a security interest in, to and under all Collateral in which the Borrower had previously granted a security interest.</w:t>
      </w:r>
    </w:p>
    <w:p>
      <w:pPr>
        <w:spacing w:after="0" w:line="12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SECTION 6.11.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The Borrower will not, directly or indirectly, use the proceeds of the Loans or any Letter of Credit issued hereunder, or lend, contribute or otherwise make available such proceeds to any subsidiary, joint venture partner or other Person to fund any activities or business of or with any Person, or in any country or territory, that, at the time of such funding, is the subject of U.S. sanctions administered by the U.S. federal government (including OFAC),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1" w:name="page492"/>
    <w:bookmarkEnd w:id="491"/>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manner that would result in a violation of U.S. sanctions administered by the U.S. federal government (including OFAC) by any Person (including any Person participating in the Loans, whether as Administrative Agent, arranger, Lender, underwriter, advisor, investor, or otherwise).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In the case of the happening of any of the following events and the continuance thereof beyond the applicable grace period if any (each, an “</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53" w:lineRule="auto"/>
        <w:tabs>
          <w:tab w:leader="none" w:pos="1826"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1"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6"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5"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Default by the Borrower under Section 5.06(1)(y) for failure to deliver an Additional Appraisal or under Section 6.09(a) for failure to deliver a Collateral Coverage Ratio Certificate in connection with such Additional Appraisal (each, an “</w:t>
      </w:r>
      <w:r>
        <w:rPr>
          <w:rFonts w:ascii="Times New Roman" w:cs="Times New Roman" w:eastAsia="Times New Roman" w:hAnsi="Times New Roman"/>
          <w:sz w:val="22"/>
          <w:szCs w:val="22"/>
          <w:u w:val="single" w:color="auto"/>
          <w:color w:val="auto"/>
        </w:rPr>
        <w:t>Additional Appraisal Event of Default</w:t>
      </w:r>
      <w:r>
        <w:rPr>
          <w:rFonts w:ascii="Times New Roman" w:cs="Times New Roman" w:eastAsia="Times New Roman" w:hAnsi="Times New Roman"/>
          <w:sz w:val="22"/>
          <w:szCs w:val="22"/>
          <w:color w:val="auto"/>
        </w:rPr>
        <w:t>”) shall not constitute an Event of Default with respect to any Term Loan Facility unless and until the Required Revolving Lenders shall have terminated their Revolving Commitments and declared all amounts outstanding under the Revolving Facilities to be due and payable and such termination and acceleration has not been rescinded;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2" w:name="page493"/>
    <w:bookmarkEnd w:id="492"/>
    <w:p>
      <w:pPr>
        <w:spacing w:after="0" w:line="198" w:lineRule="exact"/>
        <w:rPr>
          <w:sz w:val="20"/>
          <w:szCs w:val="20"/>
          <w:color w:val="auto"/>
        </w:rPr>
      </w:pPr>
    </w:p>
    <w:p>
      <w:pPr>
        <w:jc w:val="both"/>
        <w:ind w:firstLine="1304"/>
        <w:spacing w:after="0" w:line="249" w:lineRule="auto"/>
        <w:tabs>
          <w:tab w:leader="none" w:pos="1886"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Loan Document ceases to be in full force and effect (except as permitted by the terms of this Agreement or the Loan Documents or other than as a result of the action or inaction of any Agent) for a period of 60 consecutive days after the Borrower receives notice thereof or (B) any of the Collateral Documents ceases to give the Collateral Agent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w:t>
      </w:r>
    </w:p>
    <w:p>
      <w:pPr>
        <w:spacing w:after="0" w:line="183" w:lineRule="exact"/>
        <w:rPr>
          <w:rFonts w:ascii="Times New Roman" w:cs="Times New Roman" w:eastAsia="Times New Roman" w:hAnsi="Times New Roman"/>
          <w:sz w:val="22"/>
          <w:szCs w:val="22"/>
          <w:color w:val="auto"/>
        </w:rPr>
      </w:pPr>
    </w:p>
    <w:p>
      <w:pPr>
        <w:ind w:firstLine="1304"/>
        <w:spacing w:after="0" w:line="271" w:lineRule="auto"/>
        <w:tabs>
          <w:tab w:leader="none" w:pos="1893"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any Significant Subsidiary or any group of Restricted Subsidiaries of Parent that, taken together, would constitute a Significant Subsidiary pursuant to or within the meaning of Bankruptcy Law:</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 or</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all or substantially all of its property,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admits in writing its inability generally to pay its debts;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w:t>
      </w:r>
    </w:p>
    <w:p>
      <w:pPr>
        <w:spacing w:after="0" w:line="219" w:lineRule="exact"/>
        <w:rPr>
          <w:rFonts w:ascii="Times New Roman" w:cs="Times New Roman" w:eastAsia="Times New Roman" w:hAnsi="Times New Roman"/>
          <w:sz w:val="22"/>
          <w:szCs w:val="22"/>
          <w:color w:val="auto"/>
        </w:rPr>
      </w:pPr>
    </w:p>
    <w:p>
      <w:pPr>
        <w:ind w:left="1300" w:firstLine="652"/>
        <w:spacing w:after="0" w:line="284" w:lineRule="auto"/>
        <w:tabs>
          <w:tab w:leader="none" w:pos="2554"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Parent, the Borrower, any Significant Subsidiary or any group of Restricted Subsidiaries of Parent that, taken together, would constitute a Significant Subsidiary in an involuntary case;</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70"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w:t>
      </w:r>
    </w:p>
    <w:p>
      <w:pPr>
        <w:spacing w:after="0" w:line="192" w:lineRule="exact"/>
        <w:rPr>
          <w:rFonts w:ascii="Times New Roman" w:cs="Times New Roman" w:eastAsia="Times New Roman" w:hAnsi="Times New Roman"/>
          <w:sz w:val="22"/>
          <w:szCs w:val="22"/>
          <w:color w:val="auto"/>
        </w:rPr>
      </w:pPr>
    </w:p>
    <w:p>
      <w:pPr>
        <w:ind w:left="1300" w:firstLine="652"/>
        <w:spacing w:after="0" w:line="271" w:lineRule="auto"/>
        <w:tabs>
          <w:tab w:leader="none" w:pos="2452"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liquidation of Parent, the Borrower, any Significant Subsidiary or any group of Restricted Subsidiaries of Parent that, taken together, would constitute a Significant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3" w:name="page494"/>
    <w:bookmarkEnd w:id="493"/>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and in each case the order or decree remains unstayed and in effect for sixty (60) consecutive days;</w:t>
      </w:r>
    </w:p>
    <w:p>
      <w:pPr>
        <w:spacing w:after="0" w:line="220" w:lineRule="exact"/>
        <w:rPr>
          <w:sz w:val="20"/>
          <w:szCs w:val="20"/>
          <w:color w:val="auto"/>
        </w:rPr>
      </w:pPr>
    </w:p>
    <w:p>
      <w:pPr>
        <w:jc w:val="both"/>
        <w:ind w:firstLine="1304"/>
        <w:spacing w:after="0" w:line="264" w:lineRule="auto"/>
        <w:tabs>
          <w:tab w:leader="none" w:pos="1779" w:val="left"/>
        </w:tabs>
        <w:numPr>
          <w:ilvl w:val="1"/>
          <w:numId w:val="5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w:t>
      </w:r>
    </w:p>
    <w:p>
      <w:pPr>
        <w:ind w:left="420" w:hanging="412"/>
        <w:spacing w:after="0"/>
        <w:tabs>
          <w:tab w:leader="none" w:pos="420" w:val="left"/>
        </w:tabs>
        <w:numPr>
          <w:ilvl w:val="0"/>
          <w:numId w:val="5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days;</w:t>
      </w:r>
    </w:p>
    <w:p>
      <w:pPr>
        <w:spacing w:after="0" w:line="19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0" w:val="left"/>
        </w:tabs>
        <w:numPr>
          <w:ilvl w:val="1"/>
          <w:numId w:val="5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w:t>
      </w:r>
    </w:p>
    <w:p>
      <w:pPr>
        <w:spacing w:after="0" w:line="183" w:lineRule="exact"/>
        <w:rPr>
          <w:rFonts w:ascii="Times New Roman" w:cs="Times New Roman" w:eastAsia="Times New Roman" w:hAnsi="Times New Roman"/>
          <w:sz w:val="22"/>
          <w:szCs w:val="22"/>
          <w:color w:val="auto"/>
        </w:rPr>
      </w:pPr>
    </w:p>
    <w:p>
      <w:pPr>
        <w:ind w:right="20" w:firstLine="1304"/>
        <w:spacing w:after="0" w:line="271" w:lineRule="auto"/>
        <w:tabs>
          <w:tab w:leader="none" w:pos="1753" w:val="left"/>
        </w:tabs>
        <w:numPr>
          <w:ilvl w:val="1"/>
          <w:numId w:val="5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a Plan of the Borrower or an ERISA Affiliate pursuant to Section 4042 of ERISA and such termination would reasonably be expected to result in a Material Adverse Effect;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then, and in every such event and at any time thereafter during the continuance of such event, the Administrative Agent may, and at the request of the Required Lenders (or, in the case of an Additional Appraisal Event of Default, the Required Revolving Lenders and, in such case, only with respect to the Revolving Facility), the Administrative Agent shall, by written notice to the Borrower, take one or more of the following actions, at the same or different times:</w:t>
      </w:r>
    </w:p>
    <w:p>
      <w:pPr>
        <w:spacing w:after="0" w:line="176" w:lineRule="exact"/>
        <w:rPr>
          <w:sz w:val="20"/>
          <w:szCs w:val="20"/>
          <w:color w:val="auto"/>
        </w:rPr>
      </w:pPr>
    </w:p>
    <w:p>
      <w:pPr>
        <w:ind w:left="1720" w:hanging="416"/>
        <w:spacing w:after="0"/>
        <w:tabs>
          <w:tab w:leader="none" w:pos="1720" w:val="left"/>
        </w:tabs>
        <w:numPr>
          <w:ilvl w:val="0"/>
          <w:numId w:val="5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forthwith the Commitments;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50" w:val="left"/>
        </w:tabs>
        <w:numPr>
          <w:ilvl w:val="0"/>
          <w:numId w:val="5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w:t>
      </w:r>
    </w:p>
    <w:p>
      <w:pPr>
        <w:spacing w:after="0" w:line="181" w:lineRule="exact"/>
        <w:rPr>
          <w:rFonts w:ascii="Times New Roman" w:cs="Times New Roman" w:eastAsia="Times New Roman" w:hAnsi="Times New Roman"/>
          <w:sz w:val="22"/>
          <w:szCs w:val="22"/>
          <w:color w:val="auto"/>
        </w:rPr>
      </w:pPr>
    </w:p>
    <w:p>
      <w:pPr>
        <w:ind w:left="660" w:firstLine="644"/>
        <w:spacing w:after="0" w:line="284" w:lineRule="auto"/>
        <w:tabs>
          <w:tab w:leader="none" w:pos="1910" w:val="left"/>
        </w:tabs>
        <w:numPr>
          <w:ilvl w:val="0"/>
          <w:numId w:val="5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Borrower and the Guarantors promptly upon written demand to deposit in the Letter of Credit Account Cash Collateralization for the LC Exposure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4" w:name="page495"/>
    <w:bookmarkEnd w:id="494"/>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w:t>
      </w:r>
    </w:p>
    <w:p>
      <w:pPr>
        <w:spacing w:after="0" w:line="176" w:lineRule="exact"/>
        <w:rPr>
          <w:sz w:val="20"/>
          <w:szCs w:val="20"/>
          <w:color w:val="auto"/>
        </w:rPr>
      </w:pPr>
    </w:p>
    <w:p>
      <w:pPr>
        <w:jc w:val="both"/>
        <w:ind w:left="660" w:firstLine="644"/>
        <w:spacing w:after="0" w:line="252" w:lineRule="auto"/>
        <w:tabs>
          <w:tab w:leader="none" w:pos="1860" w:val="left"/>
        </w:tabs>
        <w:numPr>
          <w:ilvl w:val="0"/>
          <w:numId w:val="5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w:t>
      </w:r>
    </w:p>
    <w:p>
      <w:pPr>
        <w:spacing w:after="0" w:line="192" w:lineRule="exact"/>
        <w:rPr>
          <w:rFonts w:ascii="Times New Roman" w:cs="Times New Roman" w:eastAsia="Times New Roman" w:hAnsi="Times New Roman"/>
          <w:sz w:val="22"/>
          <w:szCs w:val="22"/>
          <w:color w:val="auto"/>
        </w:rPr>
      </w:pPr>
    </w:p>
    <w:p>
      <w:pPr>
        <w:ind w:left="660" w:firstLine="644"/>
        <w:spacing w:after="0" w:line="271" w:lineRule="auto"/>
        <w:tabs>
          <w:tab w:leader="none" w:pos="1972" w:val="left"/>
        </w:tabs>
        <w:numPr>
          <w:ilvl w:val="0"/>
          <w:numId w:val="5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and all remedies under the Loan Documents and under applicable law available to the Administrative Agent and the Lenders.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THE AGENTS</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Administration by Agents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92"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w:t>
      </w:r>
    </w:p>
    <w:p>
      <w:pPr>
        <w:spacing w:after="0" w:line="178" w:lineRule="exact"/>
        <w:rPr>
          <w:rFonts w:ascii="Times New Roman" w:cs="Times New Roman" w:eastAsia="Times New Roman" w:hAnsi="Times New Roman"/>
          <w:sz w:val="22"/>
          <w:szCs w:val="22"/>
          <w:color w:val="auto"/>
        </w:rPr>
      </w:pPr>
    </w:p>
    <w:p>
      <w:pPr>
        <w:ind w:right="20" w:firstLine="1304"/>
        <w:spacing w:after="0" w:line="284" w:lineRule="auto"/>
        <w:tabs>
          <w:tab w:leader="none" w:pos="1837"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authorizes each of the Administrative Agent and the Collateral Agent, in its sole discretion, where applicable:</w:t>
      </w:r>
    </w:p>
    <w:p>
      <w:pPr>
        <w:spacing w:after="0" w:line="144" w:lineRule="exact"/>
        <w:rPr>
          <w:sz w:val="20"/>
          <w:szCs w:val="20"/>
          <w:color w:val="auto"/>
        </w:rPr>
      </w:pPr>
    </w:p>
    <w:p>
      <w:pPr>
        <w:jc w:val="both"/>
        <w:ind w:left="660" w:firstLine="644"/>
        <w:spacing w:after="0" w:line="250" w:lineRule="auto"/>
        <w:tabs>
          <w:tab w:leader="none" w:pos="1756" w:val="left"/>
        </w:tabs>
        <w:numPr>
          <w:ilvl w:val="0"/>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Agent,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5" w:name="page496"/>
    <w:bookmarkEnd w:id="495"/>
    <w:p>
      <w:pPr>
        <w:spacing w:after="0" w:line="19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the Lenders hereunder, to the extent required by this Agreement) or (z) as otherwise may be expressly provided in the relevant Collateral Documents, to release a Lien granted to the Collateral Agent, for the benefit of the Secured Parties, on any asset that is part of the Collateral of the Borrower or any other Grantor, as the case may be;</w:t>
      </w:r>
    </w:p>
    <w:p>
      <w:pPr>
        <w:spacing w:after="0" w:line="186" w:lineRule="exact"/>
        <w:rPr>
          <w:sz w:val="20"/>
          <w:szCs w:val="20"/>
          <w:color w:val="auto"/>
        </w:rPr>
      </w:pPr>
    </w:p>
    <w:p>
      <w:pPr>
        <w:jc w:val="both"/>
        <w:ind w:left="660" w:firstLine="644"/>
        <w:spacing w:after="0" w:line="252" w:lineRule="auto"/>
        <w:tabs>
          <w:tab w:leader="none" w:pos="1797"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Agent, for the benefit of the Secured Parties;</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07"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other Loan Documents on terms acceptable to the Administrative Agent or the Collateral Agent, as applicable, and to perform its respective obligations thereunder;</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84"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any documents or instruments necessary to release any Guarantor from the guarantees provided herein pursuant to Section 9.05;</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46"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Collateral Documents, any Intercreditor Agreement or any Other Intercreditor Agreement (and/or subordination agreements on terms reasonably acceptable to the Collateral Agent and the Administrative Agent) and in each case to perform its obligations thereunder and to take such action and to exercise the powers, rights and remedies granted to it thereunder and with respect thereto;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9"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any other agreements in the forms contemplated hereby or otherwise reasonably satisfactory to the Administrative Agent granting Liens to the Collateral Agent, for the benefit of the Secured Parties, on any assets of the Borrower or any other Grantor to secure the Obligations.</w:t>
      </w:r>
    </w:p>
    <w:p>
      <w:pPr>
        <w:spacing w:after="0" w:line="173" w:lineRule="exact"/>
        <w:rPr>
          <w:sz w:val="20"/>
          <w:szCs w:val="20"/>
          <w:color w:val="auto"/>
        </w:rPr>
      </w:pPr>
    </w:p>
    <w:p>
      <w:pPr>
        <w:jc w:val="both"/>
        <w:ind w:firstLine="1304"/>
        <w:spacing w:after="0" w:line="263" w:lineRule="auto"/>
        <w:tabs>
          <w:tab w:leader="none" w:pos="1848" w:val="left"/>
        </w:tabs>
        <w:numPr>
          <w:ilvl w:val="0"/>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may appoint the Administrative Agent as its agent for the purposes of holding any Collateral and/or perfecting the Collateral Agent’s security interest therein and for the purpose of taking such other action with respect to the Collateral as such Agents may from time to time agree.</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6" w:val="left"/>
        </w:tabs>
        <w:numPr>
          <w:ilvl w:val="0"/>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property described in clause (d) of the definition of “Additional Collateral” is to be pledged by the Borrower or any other Grantor as Additional Collateral, the Collateral Agent will appoint Wilmington Trust Company or another trustee designated by the Borrower and reasonably acceptable to the Collateral Agent to serve as the security trustee under the applicable Aircraft Security Agreement with respect to such Additional Collateral, and in such event, references herein to the “Collateral Agent” with respect to such Additional Collateral and such Aircraft Security Agreement, as the context requires, shall be deemed to refer to such security trustee. The Collateral Agent will cause such trustee to join any Intercreditor Agreements and/or any Other Intercreditor Agreements.</w:t>
      </w:r>
    </w:p>
    <w:p>
      <w:pPr>
        <w:spacing w:after="0" w:line="18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Rights of Agents</w:t>
      </w:r>
      <w:r>
        <w:rPr>
          <w:rFonts w:ascii="Times New Roman" w:cs="Times New Roman" w:eastAsia="Times New Roman" w:hAnsi="Times New Roman"/>
          <w:sz w:val="22"/>
          <w:szCs w:val="22"/>
          <w:color w:val="auto"/>
        </w:rPr>
        <w:t>. Each institution serving as an Agent hereunder shall have the same rights and powers in its capacity as a Lender as any other Lender and may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6" w:name="page497"/>
    <w:bookmarkEnd w:id="496"/>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Liability of Agents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6" w:lineRule="auto"/>
        <w:tabs>
          <w:tab w:leader="none" w:pos="1798"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w:t>
      </w:r>
    </w:p>
    <w:p>
      <w:pPr>
        <w:spacing w:after="0" w:line="19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74"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7" w:name="page498"/>
    <w:bookmarkEnd w:id="49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selected by it, and shall not be liable for any action taken or not taken by it in accordance with the advice of any such counsel, accountants or experts.</w:t>
      </w:r>
    </w:p>
    <w:p>
      <w:pPr>
        <w:spacing w:after="0" w:line="158" w:lineRule="exact"/>
        <w:rPr>
          <w:sz w:val="20"/>
          <w:szCs w:val="20"/>
          <w:color w:val="auto"/>
        </w:rPr>
      </w:pPr>
    </w:p>
    <w:p>
      <w:pPr>
        <w:jc w:val="both"/>
        <w:ind w:firstLine="1304"/>
        <w:spacing w:after="0" w:line="251" w:lineRule="auto"/>
        <w:tabs>
          <w:tab w:leader="none" w:pos="1760"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may perform any and all of its duties and exercise its rights and powers by or through any one or more sub-agents appointed by it (including the Collateral Agent, in the case of the Administrative Agent). Each Agent and any such sub-agent may perform any and all of its duties and exercise its rights and powers through its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Administrative Agent or Collateral Agent.</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23"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herein to the contrary notwithstanding, none of the Left Lead Arranger, Syndication Agent, Documentation Agents or Joint Lead Arrangers and Bookrunners listed on the cover page hereof shall have any powers, duties or responsibilities under this Agreement or any of the other Loan Documents, except in its capacity, as applicable, as the Administrative Agent, Collateral Agent, a Lender or the Issuing Lender.</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62"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have any obligation whatsoever to the Lenders or to any other Person to assure that the Collateral exists or is owned by the applicable Grantor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 it being understood and agreed that (as between the Collateral Agent and the Lenders)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in a final non-appealable judgment by a court of competent jurisdiction.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9"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assignor of a Loan or seller of a participation hereunder shall be entitled to rely conclusively on a representation of the assignee Lender or Participant in the relevant Assignment and Acceptance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Reimbursement and Indemnification</w:t>
      </w:r>
      <w:r>
        <w:rPr>
          <w:rFonts w:ascii="Times New Roman" w:cs="Times New Roman" w:eastAsia="Times New Roman" w:hAnsi="Times New Roman"/>
          <w:sz w:val="22"/>
          <w:szCs w:val="22"/>
          <w:color w:val="auto"/>
        </w:rPr>
        <w:t>.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8" w:name="page499"/>
    <w:bookmarkEnd w:id="498"/>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the Collateral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w:t>
      </w:r>
    </w:p>
    <w:p>
      <w:pPr>
        <w:spacing w:after="0" w:line="18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Successor Agents</w:t>
      </w:r>
      <w:r>
        <w:rPr>
          <w:rFonts w:ascii="Times New Roman" w:cs="Times New Roman" w:eastAsia="Times New Roman" w:hAnsi="Times New Roman"/>
          <w:sz w:val="22"/>
          <w:szCs w:val="22"/>
          <w:color w:val="auto"/>
        </w:rPr>
        <w:t>. Subject to the appointment and acceptance of a successor agent as provided in this paragraph, (i) each Agent may be removed by the Borrower or the Required Lenders if such Agent or a controlling affiliate of such Agent is a Defaulting Lender and (ii) any Agent may resign upon ten (10) days’ notice to the Lenders, the Issuing Lenders and the Borrower. Upon any such removal or resignation by any Agent, the Required Lenders shall appoint, with the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 days after the retiring Agent gives notice of its resignation, then the retiring Agent may, with the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Independent Lenders</w:t>
      </w:r>
      <w:r>
        <w:rPr>
          <w:rFonts w:ascii="Times New Roman" w:cs="Times New Roman" w:eastAsia="Times New Roman" w:hAnsi="Times New Roman"/>
          <w:sz w:val="22"/>
          <w:szCs w:val="22"/>
          <w:color w:val="auto"/>
        </w:rPr>
        <w:t>.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499" w:name="page500"/>
    <w:bookmarkEnd w:id="49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based upon this Agreement, any related agreement or any document furnished hereunder or thereunder.</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Advances and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08"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4"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received by the Administrative Agent in connection with this Agreement (other than amounts to which the Administrative Agent is entitled pursuant to Sections 2.19, 2.20,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spacing w:after="0" w:line="20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8.08. </w:t>
      </w:r>
      <w:r>
        <w:rPr>
          <w:rFonts w:ascii="Times New Roman" w:cs="Times New Roman" w:eastAsia="Times New Roman" w:hAnsi="Times New Roman"/>
          <w:sz w:val="21"/>
          <w:szCs w:val="21"/>
          <w:u w:val="single" w:color="auto"/>
          <w:color w:val="auto"/>
        </w:rPr>
        <w:t>Sharing of Setoffs</w:t>
      </w:r>
      <w:r>
        <w:rPr>
          <w:rFonts w:ascii="Times New Roman" w:cs="Times New Roman" w:eastAsia="Times New Roman" w:hAnsi="Times New Roman"/>
          <w:sz w:val="21"/>
          <w:szCs w:val="21"/>
          <w:color w:val="auto"/>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00" w:name="page501"/>
    <w:bookmarkEnd w:id="500"/>
    <w:p>
      <w:pPr>
        <w:spacing w:after="0" w:line="19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8.09.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including any penalties or interest and together with any expenses incurred.</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Appointment by Secured Parties</w:t>
      </w:r>
      <w:r>
        <w:rPr>
          <w:rFonts w:ascii="Times New Roman" w:cs="Times New Roman" w:eastAsia="Times New Roman" w:hAnsi="Times New Roman"/>
          <w:sz w:val="22"/>
          <w:szCs w:val="22"/>
          <w:color w:val="auto"/>
        </w:rPr>
        <w:t xml:space="preserve">. Each Secured Party that is not a party to this Agreement shall be deemed to have appointed each of the Administrative Agent and the Collateral Agent as its agent under the Loan Documents in accordance with the terms of this Article VIII and to have acknowledged that the provisions of this Article VIII apply to such Secured Party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as though it were a party hereto (and any acceptance by such Secured Party of the benefits of this Agreement or any other Loan Document shall be deemed an acknowledgment of the foregoing).</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Delivery of Information</w:t>
      </w:r>
      <w:r>
        <w:rPr>
          <w:rFonts w:ascii="Times New Roman" w:cs="Times New Roman" w:eastAsia="Times New Roman" w:hAnsi="Times New Roman"/>
          <w:sz w:val="22"/>
          <w:szCs w:val="22"/>
          <w:color w:val="auto"/>
        </w:rPr>
        <w:t>.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Erroneous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8" w:lineRule="auto"/>
        <w:tabs>
          <w:tab w:leader="none" w:pos="1844" w:val="left"/>
        </w:tabs>
        <w:numPr>
          <w:ilvl w:val="0"/>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2"/>
          <w:szCs w:val="22"/>
          <w:i w:val="1"/>
          <w:iCs w:val="1"/>
          <w:color w:val="auto"/>
        </w:rPr>
        <w:t>Erroneous Payment</w:t>
      </w:r>
      <w:r>
        <w:rPr>
          <w:rFonts w:ascii="Times New Roman" w:cs="Times New Roman" w:eastAsia="Times New Roman" w:hAnsi="Times New Roman"/>
          <w:sz w:val="22"/>
          <w:szCs w:val="22"/>
          <w:color w:val="auto"/>
        </w:rPr>
        <w:t>”) and (y) demands in writing the return of such Erroneous Payment (or a portion thereof), such Erroneous Payment shall at all times remain the property of the Administrative Agent pending its return or repayment as contemplated below in this Section 8.12 and held in trust for the benefit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01" w:name="page502"/>
    <w:bookmarkEnd w:id="501"/>
    <w:p>
      <w:pPr>
        <w:jc w:val="both"/>
        <w:spacing w:after="0" w:line="258" w:lineRule="auto"/>
        <w:rPr>
          <w:sz w:val="20"/>
          <w:szCs w:val="20"/>
          <w:color w:val="auto"/>
        </w:rPr>
      </w:pPr>
      <w:r>
        <w:rPr>
          <w:rFonts w:ascii="Times New Roman" w:cs="Times New Roman" w:eastAsia="Times New Roman" w:hAnsi="Times New Roman"/>
          <w:sz w:val="22"/>
          <w:szCs w:val="22"/>
          <w:color w:val="auto"/>
        </w:rPr>
        <w:t>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A notice of the Administrative Agent to any Payment Recipient under this clause</w:t>
      </w:r>
    </w:p>
    <w:p>
      <w:pPr>
        <w:spacing w:after="0" w:line="3" w:lineRule="exact"/>
        <w:rPr>
          <w:sz w:val="20"/>
          <w:szCs w:val="20"/>
          <w:color w:val="auto"/>
        </w:rPr>
      </w:pPr>
    </w:p>
    <w:p>
      <w:pPr>
        <w:ind w:left="300" w:hanging="292"/>
        <w:spacing w:after="0"/>
        <w:tabs>
          <w:tab w:leader="none" w:pos="300" w:val="left"/>
        </w:tabs>
        <w:numPr>
          <w:ilvl w:val="0"/>
          <w:numId w:val="5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conclusive, absent manifest error.</w:t>
      </w:r>
    </w:p>
    <w:p>
      <w:pPr>
        <w:spacing w:after="0" w:line="396" w:lineRule="exact"/>
        <w:rPr>
          <w:rFonts w:ascii="Times New Roman" w:cs="Times New Roman" w:eastAsia="Times New Roman" w:hAnsi="Times New Roman"/>
          <w:sz w:val="22"/>
          <w:szCs w:val="22"/>
          <w:color w:val="auto"/>
        </w:rPr>
      </w:pPr>
    </w:p>
    <w:p>
      <w:pPr>
        <w:jc w:val="both"/>
        <w:ind w:firstLine="1385"/>
        <w:spacing w:after="0" w:line="259" w:lineRule="auto"/>
        <w:tabs>
          <w:tab w:leader="none" w:pos="1856" w:val="left"/>
        </w:tabs>
        <w:numPr>
          <w:ilvl w:val="2"/>
          <w:numId w:val="5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immediately preceding clause (a),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spacing w:after="0" w:line="350" w:lineRule="exact"/>
        <w:rPr>
          <w:rFonts w:ascii="Times New Roman" w:cs="Times New Roman" w:eastAsia="Times New Roman" w:hAnsi="Times New Roman"/>
          <w:sz w:val="22"/>
          <w:szCs w:val="22"/>
          <w:color w:val="auto"/>
        </w:rPr>
      </w:pPr>
    </w:p>
    <w:p>
      <w:pPr>
        <w:ind w:left="1960" w:hanging="656"/>
        <w:spacing w:after="0" w:line="265" w:lineRule="auto"/>
        <w:tabs>
          <w:tab w:leader="none" w:pos="1823" w:val="left"/>
        </w:tabs>
        <w:numPr>
          <w:ilvl w:val="1"/>
          <w:numId w:val="5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354" w:lineRule="exact"/>
        <w:rPr>
          <w:rFonts w:ascii="Times New Roman" w:cs="Times New Roman" w:eastAsia="Times New Roman" w:hAnsi="Times New Roman"/>
          <w:sz w:val="22"/>
          <w:szCs w:val="22"/>
          <w:color w:val="auto"/>
        </w:rPr>
      </w:pPr>
    </w:p>
    <w:p>
      <w:pPr>
        <w:ind w:left="1960" w:hanging="656"/>
        <w:spacing w:after="0" w:line="278" w:lineRule="auto"/>
        <w:tabs>
          <w:tab w:leader="none" w:pos="1820" w:val="left"/>
        </w:tabs>
        <w:numPr>
          <w:ilvl w:val="1"/>
          <w:numId w:val="5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Issuing Bank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8.12(b).</w:t>
      </w:r>
    </w:p>
    <w:p>
      <w:pPr>
        <w:spacing w:after="0" w:line="34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For the avoidance of doubt, the failure to deliver a notice to the Administrative Agent pursuant to this Section 8.12(b) shall not have any effect on a Payment Recipient’s obligations pursuant to Section 8.12(a) or on whether or not an Erroneous Payment has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21" w:right="339" w:bottom="1440" w:gutter="0" w:footer="0" w:header="0"/>
        </w:sectPr>
      </w:pPr>
    </w:p>
    <w:bookmarkStart w:id="502" w:name="page503"/>
    <w:bookmarkEnd w:id="502"/>
    <w:p>
      <w:pPr>
        <w:jc w:val="both"/>
        <w:ind w:firstLine="1304"/>
        <w:spacing w:after="0" w:line="263" w:lineRule="auto"/>
        <w:tabs>
          <w:tab w:leader="none" w:pos="1803" w:val="left"/>
        </w:tabs>
        <w:numPr>
          <w:ilvl w:val="0"/>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clause (a).</w:t>
      </w:r>
    </w:p>
    <w:p>
      <w:pPr>
        <w:spacing w:after="0" w:line="35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7" w:val="left"/>
        </w:tabs>
        <w:numPr>
          <w:ilvl w:val="0"/>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i w:val="1"/>
          <w:iCs w:val="1"/>
          <w:color w:val="auto"/>
        </w:rPr>
        <w:t>Erroneous Payment Return Deficiency</w:t>
      </w:r>
      <w:r>
        <w:rPr>
          <w:rFonts w:ascii="Times New Roman" w:cs="Times New Roman" w:eastAsia="Times New Roman" w:hAnsi="Times New Roman"/>
          <w:sz w:val="22"/>
          <w:szCs w:val="22"/>
          <w:color w:val="auto"/>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cs="Times New Roman" w:eastAsia="Times New Roman" w:hAnsi="Times New Roman"/>
          <w:sz w:val="22"/>
          <w:szCs w:val="22"/>
          <w:i w:val="1"/>
          <w:iCs w:val="1"/>
          <w:color w:val="auto"/>
        </w:rPr>
        <w:t>Erroneous Payment Impacted Class</w:t>
      </w:r>
      <w:r>
        <w:rPr>
          <w:rFonts w:ascii="Times New Roman" w:cs="Times New Roman" w:eastAsia="Times New Roman" w:hAnsi="Times New Roman"/>
          <w:sz w:val="22"/>
          <w:szCs w:val="22"/>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2"/>
          <w:szCs w:val="22"/>
          <w:i w:val="1"/>
          <w:iCs w:val="1"/>
          <w:color w:val="auto"/>
        </w:rPr>
        <w:t>Erroneous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Deficiency Assignment</w:t>
      </w:r>
      <w:r>
        <w:rPr>
          <w:rFonts w:ascii="Times New Roman" w:cs="Times New Roman" w:eastAsia="Times New Roman" w:hAnsi="Times New Roman"/>
          <w:sz w:val="22"/>
          <w:szCs w:val="22"/>
          <w:color w:val="auto"/>
        </w:rPr>
        <w:t>”) (on a cashless basis and such amount calculated at par plus any accrued and unpaid interest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1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262" w:val="left"/>
        </w:tabs>
        <w:numPr>
          <w:ilvl w:val="1"/>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10.02 (but excluding, in all events, any assignment consent or approval requirements (whether from the Borrower or otherwise)), the Administrative Agent may, in its discretion, sell any Loans acquired pursuant to an Erroneous Payment Deficiency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21" w:right="339" w:bottom="1440" w:gutter="0" w:footer="0" w:header="0"/>
        </w:sectPr>
      </w:pPr>
    </w:p>
    <w:bookmarkStart w:id="503" w:name="page504"/>
    <w:bookmarkEnd w:id="503"/>
    <w:p>
      <w:pPr>
        <w:jc w:val="both"/>
        <w:spacing w:after="0" w:line="250" w:lineRule="auto"/>
        <w:rPr>
          <w:sz w:val="20"/>
          <w:szCs w:val="20"/>
          <w:color w:val="auto"/>
        </w:rPr>
      </w:pPr>
      <w:r>
        <w:rPr>
          <w:rFonts w:ascii="Times New Roman" w:cs="Times New Roman" w:eastAsia="Times New Roman" w:hAnsi="Times New Roman"/>
          <w:sz w:val="22"/>
          <w:szCs w:val="22"/>
          <w:color w:val="auto"/>
        </w:rPr>
        <w:t>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207" w:lineRule="exact"/>
        <w:rPr>
          <w:sz w:val="20"/>
          <w:szCs w:val="20"/>
          <w:color w:val="auto"/>
        </w:rPr>
      </w:pPr>
    </w:p>
    <w:p>
      <w:pPr>
        <w:jc w:val="both"/>
        <w:ind w:firstLine="1304"/>
        <w:spacing w:after="0" w:line="258" w:lineRule="auto"/>
        <w:tabs>
          <w:tab w:leader="none" w:pos="1943"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22"/>
          <w:szCs w:val="22"/>
          <w:i w:val="1"/>
          <w:iCs w:val="1"/>
          <w:color w:val="auto"/>
        </w:rPr>
        <w:t>Erroneous Payment Subrogation Rights</w:t>
      </w:r>
      <w:r>
        <w:rPr>
          <w:rFonts w:ascii="Times New Roman" w:cs="Times New Roman" w:eastAsia="Times New Roman" w:hAnsi="Times New Roman"/>
          <w:sz w:val="22"/>
          <w:szCs w:val="22"/>
          <w:color w:val="auto"/>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8.12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34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58"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354" w:lineRule="exact"/>
        <w:rPr>
          <w:rFonts w:ascii="Times New Roman" w:cs="Times New Roman" w:eastAsia="Times New Roman" w:hAnsi="Times New Roman"/>
          <w:sz w:val="22"/>
          <w:szCs w:val="22"/>
          <w:color w:val="auto"/>
        </w:rPr>
      </w:pPr>
    </w:p>
    <w:p>
      <w:pPr>
        <w:jc w:val="both"/>
        <w:ind w:firstLine="1304"/>
        <w:spacing w:after="0" w:line="270" w:lineRule="auto"/>
        <w:tabs>
          <w:tab w:leader="none" w:pos="1860"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agreements and waivers under this Section 8.12 shall survive the resignation or replacement of the Administrative Agent, any transfer of rights or obligations by, or the replacement of, a Lender or Issuing Bank, the termination of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21" w:right="33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22"/>
          <w:szCs w:val="22"/>
          <w:color w:val="auto"/>
        </w:rPr>
        <w:t>and/or the repayment, satisfaction or discharge of all Obligations (or any portion thereof) under any Loan Document.</w:t>
      </w:r>
    </w:p>
    <w:p>
      <w:pPr>
        <w:spacing w:after="0" w:line="2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IX</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GUARANTY</w:t>
      </w:r>
    </w:p>
    <w:p>
      <w:pPr>
        <w:spacing w:after="0" w:line="19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2" w:lineRule="auto"/>
        <w:tabs>
          <w:tab w:leader="none" w:pos="1854" w:val="left"/>
        </w:tabs>
        <w:numPr>
          <w:ilvl w:val="0"/>
          <w:numId w:val="5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cs="Times New Roman" w:eastAsia="Times New Roman" w:hAnsi="Times New Roman"/>
          <w:sz w:val="21"/>
          <w:szCs w:val="21"/>
          <w:i w:val="1"/>
          <w:iCs w:val="1"/>
          <w:color w:val="auto"/>
        </w:rPr>
        <w:t>Guaranteed Obligations</w:t>
      </w:r>
      <w:r>
        <w:rPr>
          <w:rFonts w:ascii="Times New Roman" w:cs="Times New Roman" w:eastAsia="Times New Roman" w:hAnsi="Times New Roman"/>
          <w:sz w:val="21"/>
          <w:szCs w:val="21"/>
          <w:color w:val="auto"/>
        </w:rPr>
        <w:t>” and the obligations of each Guarantor in respect thereof, its “</w:t>
      </w:r>
      <w:r>
        <w:rPr>
          <w:rFonts w:ascii="Times New Roman" w:cs="Times New Roman" w:eastAsia="Times New Roman" w:hAnsi="Times New Roman"/>
          <w:sz w:val="21"/>
          <w:szCs w:val="21"/>
          <w:i w:val="1"/>
          <w:iCs w:val="1"/>
          <w:color w:val="auto"/>
        </w:rPr>
        <w:t>Guaranty Obligations</w:t>
      </w:r>
      <w:r>
        <w:rPr>
          <w:rFonts w:ascii="Times New Roman" w:cs="Times New Roman" w:eastAsia="Times New Roman" w:hAnsi="Times New Roman"/>
          <w:sz w:val="21"/>
          <w:szCs w:val="21"/>
          <w:color w:val="auto"/>
        </w:rPr>
        <w:t>”). Each of the Guarantors further agrees that, to the extent permitted by applicable law, the Obligations may be extended or renewed, in whole or in part, without notice to or further assent from such Guarantor,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w:t>
      </w:r>
    </w:p>
    <w:p>
      <w:pPr>
        <w:spacing w:after="0" w:line="172"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09"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herein or in any other Loan Document to the contrary notwithstanding,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w:t>
      </w:r>
    </w:p>
    <w:p>
      <w:pPr>
        <w:spacing w:after="0" w:line="18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07"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other than pursuant to a written agreement in compliance with Section 10.08; (iv) the release, exchange, waiver or foreclosure of any security held by the Collateral Agent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21" w:right="339" w:bottom="1440" w:gutter="0" w:footer="0" w:header="0"/>
        </w:sectPr>
      </w:pPr>
    </w:p>
    <w:bookmarkStart w:id="505" w:name="page506"/>
    <w:bookmarkEnd w:id="505"/>
    <w:p>
      <w:pPr>
        <w:spacing w:after="0" w:line="198" w:lineRule="exact"/>
        <w:rPr>
          <w:sz w:val="20"/>
          <w:szCs w:val="20"/>
          <w:color w:val="auto"/>
        </w:rPr>
      </w:pPr>
    </w:p>
    <w:p>
      <w:pPr>
        <w:jc w:val="both"/>
        <w:ind w:firstLine="1304"/>
        <w:spacing w:after="0" w:line="268" w:lineRule="auto"/>
        <w:tabs>
          <w:tab w:leader="none" w:pos="1824" w:val="left"/>
        </w:tabs>
        <w:numPr>
          <w:ilvl w:val="0"/>
          <w:numId w:val="5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w:t>
      </w:r>
    </w:p>
    <w:p>
      <w:pPr>
        <w:spacing w:after="0" w:line="163"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87"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87"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the Obligations becoming due and payable (by acceleration or otherwise), the Lenders shall be entitled to prompt and complete payment of such Obligations by the Guarantors upon written demand by the Administrative Agent.</w:t>
      </w:r>
    </w:p>
    <w:p>
      <w:pPr>
        <w:spacing w:after="0" w:line="16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Right of Contribution</w:t>
      </w:r>
      <w:r>
        <w:rPr>
          <w:rFonts w:ascii="Times New Roman" w:cs="Times New Roman" w:eastAsia="Times New Roman" w:hAnsi="Times New Roman"/>
          <w:sz w:val="21"/>
          <w:szCs w:val="21"/>
          <w:color w:val="auto"/>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Times New Roman" w:cs="Times New Roman" w:eastAsia="Times New Roman" w:hAnsi="Times New Roman"/>
          <w:sz w:val="21"/>
          <w:szCs w:val="21"/>
          <w:i w:val="1"/>
          <w:iCs w:val="1"/>
          <w:color w:val="auto"/>
        </w:rPr>
        <w:t>Adjusted Net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Worth</w:t>
      </w:r>
      <w:r>
        <w:rPr>
          <w:rFonts w:ascii="Times New Roman" w:cs="Times New Roman" w:eastAsia="Times New Roman" w:hAnsi="Times New Roman"/>
          <w:sz w:val="21"/>
          <w:szCs w:val="21"/>
          <w:color w:val="auto"/>
        </w:rPr>
        <w:t>” of any Guarantor shall mean at any time, the greater of (x) $0 and (y) the amount by which the fair saleable value of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Guarantor’s assets on the date of the respective payment hereunder exceeds its debts and other liabilities (including contingent liabilities, but without giving effect to any of its obligations under this Agreement or any other Loan Documents) on such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Continuation and Reinstatement, etc</w:t>
      </w:r>
      <w:r>
        <w:rPr>
          <w:rFonts w:ascii="Times New Roman" w:cs="Times New Roman" w:eastAsia="Times New Roman" w:hAnsi="Times New Roman"/>
          <w:sz w:val="22"/>
          <w:szCs w:val="22"/>
          <w:color w:val="auto"/>
        </w:rPr>
        <w:t>.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06" w:name="page507"/>
    <w:bookmarkEnd w:id="506"/>
    <w:p>
      <w:pPr>
        <w:spacing w:after="0" w:line="19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spacing w:after="0" w:line="19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9.05.</w:t>
      </w:r>
      <w:r>
        <w:rPr>
          <w:sz w:val="20"/>
          <w:szCs w:val="20"/>
          <w:color w:val="auto"/>
        </w:rPr>
        <w:tab/>
      </w:r>
      <w:r>
        <w:rPr>
          <w:rFonts w:ascii="Times New Roman" w:cs="Times New Roman" w:eastAsia="Times New Roman" w:hAnsi="Times New Roman"/>
          <w:sz w:val="21"/>
          <w:szCs w:val="21"/>
          <w:u w:val="single" w:color="auto"/>
          <w:color w:val="auto"/>
        </w:rPr>
        <w:t>Discharge of Guaranty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12" w:val="left"/>
        </w:tabs>
        <w:numPr>
          <w:ilvl w:val="0"/>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06" w:val="left"/>
        </w:tabs>
        <w:numPr>
          <w:ilvl w:val="0"/>
          <w:numId w:val="5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Junior Secured Debt shall be irrevocably released and discharged substantially simultaneously with the release of such guarantee hereunder.</w:t>
      </w:r>
    </w:p>
    <w:p>
      <w:pPr>
        <w:spacing w:after="0" w:line="171" w:lineRule="exact"/>
        <w:rPr>
          <w:rFonts w:ascii="Times New Roman" w:cs="Times New Roman" w:eastAsia="Times New Roman" w:hAnsi="Times New Roman"/>
          <w:sz w:val="21"/>
          <w:szCs w:val="21"/>
          <w:color w:val="auto"/>
        </w:rPr>
      </w:pPr>
    </w:p>
    <w:p>
      <w:pPr>
        <w:jc w:val="both"/>
        <w:ind w:firstLine="1304"/>
        <w:spacing w:after="0" w:line="257" w:lineRule="auto"/>
        <w:tabs>
          <w:tab w:leader="none" w:pos="1751" w:val="left"/>
        </w:tabs>
        <w:numPr>
          <w:ilvl w:val="0"/>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use commercially reasonable efforts to execute and deliver, at the Borrower’s expense, such documents as the Borrower or any such Guarantor may reasonably request to evidence the release of the guaranty of such Guarantor provided herein.</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5" w:val="left"/>
        </w:tabs>
        <w:numPr>
          <w:ilvl w:val="0"/>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will be automatically released and relieved of any obligations under its Guarantee of the Guaranteed Obligations upon the first date on which all of the Loans and Obligations (other than any Obligations owing to a Non-Lender Secured Party) then due and owing shall have been satisfied by payment in full in cash, no Letter of Credit shall be outstanding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07" w:name="page508"/>
    <w:bookmarkEnd w:id="50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Letters of Credit that have been Cash Collateralized or otherwise provided for in a manner reasonably satisfactory to the Administrative Agent) and the Commitments shall be terminated.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11"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or sent by facsimile, as follows:</w:t>
      </w:r>
    </w:p>
    <w:p>
      <w:pPr>
        <w:spacing w:after="0" w:line="176" w:lineRule="exact"/>
        <w:rPr>
          <w:sz w:val="20"/>
          <w:szCs w:val="20"/>
          <w:color w:val="auto"/>
        </w:rPr>
      </w:pPr>
    </w:p>
    <w:p>
      <w:pPr>
        <w:jc w:val="both"/>
        <w:ind w:left="660" w:firstLine="644"/>
        <w:spacing w:after="0" w:line="252" w:lineRule="auto"/>
        <w:tabs>
          <w:tab w:leader="none" w:pos="1829"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or any Guarantor, to it at American Airlines, Inc., 1 Skyview Drive, MD 8B361, Fort Worth, Texas, 76155, facsimile: ###; Attention: Treasurer and, in respect of notices of proposed assignments of Loans or Commitments to the Borrower by email at ###; with copies (which shall not constitute notice) to: Latham &amp; Watkins LLP, 885 Third Avenue, New York, NY 10022, facsimile: ###; Attention: Kevin T. Fingeret;</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810"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to it at 1615 Brett Road, Ops III, New Castle, DE 19720, facsimile: ###, and by email at ###;</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83"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Collateral Agent, to it at CRMS Documentation Unit, 580 Crosspoint Pkwy, Getzville, NY 14068, and by email at ###;</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71"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80"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telecopy number) set forth in Annex A hereto or, if subsequently delivered, an Assignment and Acceptance.</w:t>
      </w:r>
    </w:p>
    <w:p>
      <w:pPr>
        <w:spacing w:after="0" w:line="158" w:lineRule="exact"/>
        <w:rPr>
          <w:sz w:val="20"/>
          <w:szCs w:val="20"/>
          <w:color w:val="auto"/>
        </w:rPr>
      </w:pPr>
    </w:p>
    <w:p>
      <w:pPr>
        <w:jc w:val="both"/>
        <w:ind w:firstLine="1304"/>
        <w:spacing w:after="0" w:line="250" w:lineRule="auto"/>
        <w:tabs>
          <w:tab w:leader="none" w:pos="1860" w:val="left"/>
        </w:tabs>
        <w:numPr>
          <w:ilvl w:val="0"/>
          <w:numId w:val="5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approval shall be required for any notice delivered to the Administrative Agent by electronic mail pursuant to Section 2.05(b) or Section 2.13(a).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198" w:lineRule="exact"/>
        <w:rPr>
          <w:sz w:val="20"/>
          <w:szCs w:val="20"/>
          <w:color w:val="auto"/>
        </w:rPr>
      </w:pPr>
    </w:p>
    <w:p>
      <w:pPr>
        <w:jc w:val="both"/>
        <w:ind w:firstLine="1304"/>
        <w:spacing w:after="0" w:line="257" w:lineRule="auto"/>
        <w:tabs>
          <w:tab w:leader="none" w:pos="1932" w:val="left"/>
        </w:tabs>
        <w:numPr>
          <w:ilvl w:val="0"/>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6"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48" w:val="left"/>
        </w:tabs>
        <w:numPr>
          <w:ilvl w:val="0"/>
          <w:numId w:val="5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w:t>
      </w:r>
    </w:p>
    <w:p>
      <w:pPr>
        <w:spacing w:after="0" w:line="18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93" w:val="left"/>
        </w:tabs>
        <w:numPr>
          <w:ilvl w:val="0"/>
          <w:numId w:val="5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 Commitment and the Loans at the time owing to it), pursuant to an Assignment and Acceptance with the prior written consent (such consent not to be unreasonably withheld or delayed) of:</w:t>
      </w:r>
    </w:p>
    <w:p>
      <w:pPr>
        <w:spacing w:after="0" w:line="179" w:lineRule="exact"/>
        <w:rPr>
          <w:sz w:val="20"/>
          <w:szCs w:val="20"/>
          <w:color w:val="auto"/>
        </w:rPr>
      </w:pPr>
    </w:p>
    <w:p>
      <w:pPr>
        <w:jc w:val="both"/>
        <w:ind w:left="660" w:firstLine="644"/>
        <w:spacing w:after="0" w:line="252" w:lineRule="auto"/>
        <w:tabs>
          <w:tab w:leader="none" w:pos="1916" w:val="left"/>
        </w:tabs>
        <w:numPr>
          <w:ilvl w:val="0"/>
          <w:numId w:val="5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 pursuant to Section 10.02(g) and (III) of Loans made pursuant to Section 2.18(b) or 2.26(a);</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57" w:val="left"/>
        </w:tabs>
        <w:numPr>
          <w:ilvl w:val="0"/>
          <w:numId w:val="5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(a) in the case of Term Loan, if the assignee is a Lender, an Affiliate of a Lender or an Approved Fund of a Lender, in each case so long as such assignee is an Eligible Assignee and (b) (a) in the case of Revolving Commitment or Loans, if the assignee is a Revolving Lender, an Affiliate of a Revolving Lender or an Approved Fund of a Revolving Lender, in each case so long as such assignee is an Eligible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Borrower’s consent will be deemed given with respect to a proposed assignment if no response is received within ten (10) Business Days after having received a written request from such Lender pursuant to this Section 10.02(b)(i)(B);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09" w:name="page510"/>
    <w:bookmarkEnd w:id="509"/>
    <w:p>
      <w:pPr>
        <w:spacing w:after="0" w:line="198" w:lineRule="exact"/>
        <w:rPr>
          <w:sz w:val="20"/>
          <w:szCs w:val="20"/>
          <w:color w:val="auto"/>
        </w:rPr>
      </w:pPr>
    </w:p>
    <w:p>
      <w:pPr>
        <w:ind w:left="660" w:right="20" w:firstLine="644"/>
        <w:spacing w:after="0" w:line="271" w:lineRule="auto"/>
        <w:tabs>
          <w:tab w:leader="none" w:pos="1843"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any Issuing Lender shall be required for an assignment of all or any portion of a Term Loan.</w:t>
      </w:r>
    </w:p>
    <w:p>
      <w:pPr>
        <w:spacing w:after="0" w:line="158"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Assignments shall be subject to the following additional conditions:</w:t>
      </w:r>
    </w:p>
    <w:p>
      <w:pPr>
        <w:spacing w:after="0" w:line="233" w:lineRule="exact"/>
        <w:rPr>
          <w:sz w:val="20"/>
          <w:szCs w:val="20"/>
          <w:color w:val="auto"/>
        </w:rPr>
      </w:pPr>
    </w:p>
    <w:p>
      <w:pPr>
        <w:ind w:left="660" w:firstLine="644"/>
        <w:spacing w:after="0" w:line="271" w:lineRule="auto"/>
        <w:tabs>
          <w:tab w:leader="none" w:pos="1911"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any portion of the Total Revolving Commitment, Revolving Loans, LC Exposure and Term Loans shall be made to an Eligible Assignee;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814" w:val="left"/>
        </w:tabs>
        <w:numPr>
          <w:ilvl w:val="0"/>
          <w:numId w:val="5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the case of an assignment to a Lender, an Affiliate of a Lender or an Approved Fund of a Lender or an assignment of the entire remaining amount of the assigning Lender’s Revolving Commitment or Loans, the amount of such Commitment or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Borrower shall be required with respect to such assignment if an Event of Default has occurred and is continuing;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any such assignment shall be in increments of $500,000 in excess of the minimum amount described above;</w:t>
      </w:r>
    </w:p>
    <w:p>
      <w:pPr>
        <w:spacing w:after="0" w:line="188" w:lineRule="exact"/>
        <w:rPr>
          <w:rFonts w:ascii="Times New Roman" w:cs="Times New Roman" w:eastAsia="Times New Roman" w:hAnsi="Times New Roman"/>
          <w:sz w:val="21"/>
          <w:szCs w:val="21"/>
          <w:color w:val="auto"/>
        </w:rPr>
      </w:pPr>
    </w:p>
    <w:p>
      <w:pPr>
        <w:ind w:left="660" w:firstLine="644"/>
        <w:spacing w:after="0" w:line="271" w:lineRule="auto"/>
        <w:tabs>
          <w:tab w:leader="none" w:pos="1838"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18"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concurrent assignments to two or more Approved Funds such assignment fee shall be required to be paid only once in respect of and at the time of such assignment;</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13"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was not a Lender immediately prior to such assignment, shall deliver to the Administrative Agent an administrative questionnaire in a form as the Administrative Agent may require; and</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01"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any assignment of any Term Loans to the Borrower shall be subject to the requirements of Section 10.02(g).</w:t>
      </w:r>
    </w:p>
    <w:p>
      <w:pPr>
        <w:spacing w:after="0" w:line="14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For the purposes of this Section 10.02(b), the term “</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except to the extent the Borrower, the Administrative Agent and each Issuing Lender have consented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0" w:name="page511"/>
    <w:bookmarkEnd w:id="510"/>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assignment in writing (in which case such Lender will not be considered a Defaulting Lender, Disqualified Institution or natural person solely for that particular assignment).</w:t>
      </w:r>
    </w:p>
    <w:p>
      <w:pPr>
        <w:spacing w:after="0" w:line="158" w:lineRule="exact"/>
        <w:rPr>
          <w:sz w:val="20"/>
          <w:szCs w:val="20"/>
          <w:color w:val="auto"/>
        </w:rPr>
      </w:pPr>
    </w:p>
    <w:p>
      <w:pPr>
        <w:jc w:val="both"/>
        <w:ind w:firstLine="1304"/>
        <w:spacing w:after="0" w:line="249" w:lineRule="auto"/>
        <w:tabs>
          <w:tab w:leader="none" w:pos="1901"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w:t>
      </w:r>
    </w:p>
    <w:p>
      <w:pPr>
        <w:spacing w:after="0" w:line="18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7"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at its offices a copy of each Assignment and Acceptance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54"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89" w:val="left"/>
        </w:tabs>
        <w:numPr>
          <w:ilvl w:val="0"/>
          <w:numId w:val="5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1" w:name="page512"/>
    <w:bookmarkEnd w:id="511"/>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81" w:lineRule="exact"/>
        <w:rPr>
          <w:sz w:val="20"/>
          <w:szCs w:val="20"/>
          <w:color w:val="auto"/>
        </w:rPr>
      </w:pPr>
    </w:p>
    <w:p>
      <w:pPr>
        <w:jc w:val="both"/>
        <w:ind w:firstLine="1304"/>
        <w:spacing w:after="0" w:line="249" w:lineRule="auto"/>
        <w:tabs>
          <w:tab w:leader="none" w:pos="1811"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the assigning Lender or the assignee shall have failed to make any payment required to be made by it pursuant to Section 2.02(d) or (e), 2.04(a) or (b),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3"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07" w:val="left"/>
        </w:tabs>
        <w:numPr>
          <w:ilvl w:val="0"/>
          <w:numId w:val="5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may, without the consent of the Borrower, the Administrative Agent or any Issuing Lender, sell participations (other than to any Defaulting Lender, Disqualified Institution or natural person) to one or more banks or other entities (a “</w:t>
      </w:r>
      <w:r>
        <w:rPr>
          <w:rFonts w:ascii="Times New Roman" w:cs="Times New Roman" w:eastAsia="Times New Roman" w:hAnsi="Times New Roman"/>
          <w:sz w:val="21"/>
          <w:szCs w:val="21"/>
          <w:i w:val="1"/>
          <w:iCs w:val="1"/>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21"/>
          <w:szCs w:val="21"/>
          <w:i w:val="1"/>
          <w:i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2" w:name="page513"/>
    <w:bookmarkEnd w:id="512"/>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no Lender shall have any obligation to disclose all or any portion of the Participant Register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w:t>
      </w:r>
    </w:p>
    <w:p>
      <w:pPr>
        <w:spacing w:after="0" w:line="188" w:lineRule="exact"/>
        <w:rPr>
          <w:sz w:val="20"/>
          <w:szCs w:val="20"/>
          <w:color w:val="auto"/>
        </w:rPr>
      </w:pPr>
    </w:p>
    <w:p>
      <w:pPr>
        <w:jc w:val="both"/>
        <w:ind w:firstLine="1304"/>
        <w:spacing w:after="0" w:line="251" w:lineRule="auto"/>
        <w:tabs>
          <w:tab w:leader="none" w:pos="1908" w:val="left"/>
        </w:tabs>
        <w:numPr>
          <w:ilvl w:val="0"/>
          <w:numId w:val="5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w:t>
      </w:r>
    </w:p>
    <w:p>
      <w:pPr>
        <w:spacing w:after="0" w:line="181" w:lineRule="exact"/>
        <w:rPr>
          <w:sz w:val="20"/>
          <w:szCs w:val="20"/>
          <w:color w:val="auto"/>
        </w:rPr>
      </w:pPr>
    </w:p>
    <w:p>
      <w:pPr>
        <w:jc w:val="both"/>
        <w:ind w:firstLine="1304"/>
        <w:spacing w:after="0" w:line="253" w:lineRule="auto"/>
        <w:tabs>
          <w:tab w:leader="none" w:pos="1781"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37"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815"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else to the contrary contained in this Agreement, any Lender may assign all or a portion of its Term Loans of any Class to the Borrower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3" w:name="page514"/>
    <w:bookmarkEnd w:id="51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10.02(b) pursuant to a Dutch Auction or open market purchase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20" w:lineRule="exact"/>
        <w:rPr>
          <w:sz w:val="20"/>
          <w:szCs w:val="20"/>
          <w:color w:val="auto"/>
        </w:rPr>
      </w:pPr>
    </w:p>
    <w:p>
      <w:pPr>
        <w:ind w:left="660" w:right="20" w:firstLine="644"/>
        <w:spacing w:after="0" w:line="271" w:lineRule="auto"/>
        <w:tabs>
          <w:tab w:leader="none" w:pos="1800"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assigning Lender and the Borrower purchasing such Lender’s Term Loans, as applicable, shall execute and deliver to the Administrative Agent an Assignment and Acceptance;</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44"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 Loans assigned to the Borrower shall be automatically and permanently cancelled upon the effectiveness of such assignment and will thereafter no longer be outstanding for any purpose hereunder;</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has occurred or is continuing;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2015"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Times New Roman" w:cs="Times New Roman" w:eastAsia="Times New Roman" w:hAnsi="Times New Roman"/>
          <w:sz w:val="22"/>
          <w:szCs w:val="22"/>
          <w:i w:val="1"/>
          <w:iCs w:val="1"/>
          <w:color w:val="auto"/>
        </w:rPr>
        <w:t>Excluded Information</w:t>
      </w:r>
      <w:r>
        <w:rPr>
          <w:rFonts w:ascii="Times New Roman" w:cs="Times New Roman" w:eastAsia="Times New Roman" w:hAnsi="Times New Roman"/>
          <w:sz w:val="22"/>
          <w:szCs w:val="22"/>
          <w:color w:val="auto"/>
        </w:rPr>
        <w:t>”),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189" w:lineRule="exact"/>
        <w:rPr>
          <w:sz w:val="20"/>
          <w:szCs w:val="20"/>
          <w:color w:val="auto"/>
        </w:rPr>
      </w:pPr>
    </w:p>
    <w:p>
      <w:pPr>
        <w:jc w:val="both"/>
        <w:ind w:firstLine="1304"/>
        <w:spacing w:after="0" w:line="251" w:lineRule="auto"/>
        <w:tabs>
          <w:tab w:leader="none" w:pos="1766" w:val="left"/>
        </w:tabs>
        <w:numPr>
          <w:ilvl w:val="0"/>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726" w:val="left"/>
        </w:tabs>
        <w:numPr>
          <w:ilvl w:val="0"/>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wishes to replace any Loans under any Facility hereunder with ones having different terms, it shall have the option, with the consent of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4" w:name="page515"/>
    <w:bookmarkEnd w:id="514"/>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subject to at least three (3) Business Days’ advance notice to the Lenders under such Facility, instead of prepaying the Loan to be replaced, to (i) require the Lenders under such Facility to assign such Loans to the Administrative Agent or its designees and</w:t>
      </w:r>
    </w:p>
    <w:p>
      <w:pPr>
        <w:spacing w:after="0" w:line="2" w:lineRule="exact"/>
        <w:rPr>
          <w:sz w:val="20"/>
          <w:szCs w:val="20"/>
          <w:color w:val="auto"/>
        </w:rPr>
      </w:pPr>
    </w:p>
    <w:p>
      <w:pPr>
        <w:jc w:val="both"/>
        <w:ind w:firstLine="8"/>
        <w:spacing w:after="0" w:line="247" w:lineRule="auto"/>
        <w:tabs>
          <w:tab w:leader="none" w:pos="321" w:val="left"/>
        </w:tabs>
        <w:numPr>
          <w:ilvl w:val="0"/>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w:t>
      </w:r>
    </w:p>
    <w:p>
      <w:pPr>
        <w:spacing w:after="0" w:line="18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24" w:val="left"/>
        </w:tabs>
        <w:numPr>
          <w:ilvl w:val="1"/>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replacement of a Lender pursuant to Section 2.18, 2.26(a), 10.08(b) or other provision hereof (collectively, a “</w:t>
      </w:r>
      <w:r>
        <w:rPr>
          <w:rFonts w:ascii="Times New Roman" w:cs="Times New Roman" w:eastAsia="Times New Roman" w:hAnsi="Times New Roman"/>
          <w:sz w:val="22"/>
          <w:szCs w:val="22"/>
          <w:i w:val="1"/>
          <w:iCs w:val="1"/>
          <w:color w:val="auto"/>
        </w:rPr>
        <w:t>Replaceable Lender</w:t>
      </w:r>
      <w:r>
        <w:rPr>
          <w:rFonts w:ascii="Times New Roman" w:cs="Times New Roman" w:eastAsia="Times New Roman" w:hAnsi="Times New Roman"/>
          <w:sz w:val="22"/>
          <w:szCs w:val="22"/>
          <w:color w:val="auto"/>
        </w:rPr>
        <w:t>”),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w:t>
      </w:r>
    </w:p>
    <w:p>
      <w:pPr>
        <w:spacing w:after="0" w:line="181" w:lineRule="exact"/>
        <w:rPr>
          <w:sz w:val="20"/>
          <w:szCs w:val="20"/>
          <w:color w:val="auto"/>
        </w:rPr>
      </w:pPr>
    </w:p>
    <w:p>
      <w:pPr>
        <w:ind w:left="130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Agent and each Lender agrees to keep confidential any information</w:t>
      </w:r>
    </w:p>
    <w:p>
      <w:pPr>
        <w:spacing w:after="0" w:line="28" w:lineRule="exact"/>
        <w:rPr>
          <w:sz w:val="20"/>
          <w:szCs w:val="20"/>
          <w:color w:val="auto"/>
        </w:rPr>
      </w:pPr>
    </w:p>
    <w:p>
      <w:pPr>
        <w:ind w:left="300" w:hanging="292"/>
        <w:spacing w:after="0"/>
        <w:tabs>
          <w:tab w:leader="none" w:pos="300" w:val="left"/>
        </w:tabs>
        <w:numPr>
          <w:ilvl w:val="0"/>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or made available by Parent, the Borrower or any of the Guarantors or any of their respective Subsidiaries or</w:t>
      </w:r>
    </w:p>
    <w:p>
      <w:pPr>
        <w:spacing w:after="0" w:line="3" w:lineRule="exact"/>
        <w:rPr>
          <w:rFonts w:ascii="Times New Roman" w:cs="Times New Roman" w:eastAsia="Times New Roman" w:hAnsi="Times New Roman"/>
          <w:sz w:val="22"/>
          <w:szCs w:val="22"/>
          <w:color w:val="auto"/>
        </w:rPr>
      </w:pPr>
    </w:p>
    <w:p>
      <w:pPr>
        <w:jc w:val="both"/>
        <w:ind w:firstLine="8"/>
        <w:spacing w:after="0" w:line="257" w:lineRule="auto"/>
        <w:tabs>
          <w:tab w:leader="none" w:pos="328" w:val="left"/>
        </w:tabs>
        <w:numPr>
          <w:ilvl w:val="0"/>
          <w:numId w:val="5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prevent any Agent or any Lender from disclosing such information (a) to any of its Affiliates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w:t>
      </w:r>
    </w:p>
    <w:p>
      <w:pPr>
        <w:spacing w:after="0" w:line="4" w:lineRule="exact"/>
        <w:rPr>
          <w:rFonts w:ascii="Times New Roman" w:cs="Times New Roman" w:eastAsia="Times New Roman" w:hAnsi="Times New Roman"/>
          <w:sz w:val="21"/>
          <w:szCs w:val="21"/>
          <w:color w:val="auto"/>
        </w:rPr>
      </w:pPr>
    </w:p>
    <w:p>
      <w:pPr>
        <w:jc w:val="both"/>
        <w:spacing w:after="0" w:line="26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w:t>
      </w:r>
    </w:p>
    <w:p>
      <w:pPr>
        <w:spacing w:after="0" w:line="2" w:lineRule="exact"/>
        <w:rPr>
          <w:sz w:val="20"/>
          <w:szCs w:val="20"/>
          <w:color w:val="auto"/>
        </w:rPr>
      </w:pPr>
    </w:p>
    <w:p>
      <w:pPr>
        <w:jc w:val="both"/>
        <w:ind w:firstLine="8"/>
        <w:spacing w:after="0" w:line="249" w:lineRule="auto"/>
        <w:tabs>
          <w:tab w:leader="none" w:pos="308" w:val="left"/>
        </w:tabs>
        <w:numPr>
          <w:ilvl w:val="0"/>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w:t>
      </w:r>
    </w:p>
    <w:p>
      <w:pPr>
        <w:spacing w:after="0" w:line="182"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u w:val="single" w:color="auto"/>
          <w:color w:val="auto"/>
        </w:rPr>
        <w:t>Expenses; Indemnity; Damage 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8" w:lineRule="auto"/>
        <w:tabs>
          <w:tab w:leader="none" w:pos="1849" w:val="left"/>
        </w:tabs>
        <w:numPr>
          <w:ilvl w:val="1"/>
          <w:numId w:val="5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Borrower shall pay or reimburse: (A) all reasonable fees and reasonable and documented out-of-pocket expenses of each Agent and the Joint Lead Arrangers and Bookrunners (including the reasonable fees, disbursements and other charges of White &amp; Case LLP, special counsel to the Agents) associated with the syndication of the credit 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 connection with any enforcement of the Loan Documents, all fees and documented out-of-pocket expenses of each Agent and any trustee appointed pursuant to Section 8.01(d) (including the reasonable fees, disbursements and other charges of counsel for the Agents and such trustee and one local counsel and one regulatory counsel, in each case, for each relevant jurisdiction, and, in each case, if necessary in the case of an actual or perceived conflict of interest, an additional local and regulatory counsel in each such applicable jurisdiction) and each Lender (including the reasonable fees, disbursements and other charges of counsel for such Lender) incurred during the continuance of a Default and</w:t>
      </w:r>
    </w:p>
    <w:p>
      <w:pPr>
        <w:spacing w:after="0" w:line="10" w:lineRule="exact"/>
        <w:rPr>
          <w:rFonts w:ascii="Times New Roman" w:cs="Times New Roman" w:eastAsia="Times New Roman" w:hAnsi="Times New Roman"/>
          <w:sz w:val="21"/>
          <w:szCs w:val="21"/>
          <w:color w:val="auto"/>
        </w:rPr>
      </w:pPr>
    </w:p>
    <w:p>
      <w:pPr>
        <w:jc w:val="both"/>
        <w:ind w:firstLine="8"/>
        <w:spacing w:after="0" w:line="246" w:lineRule="auto"/>
        <w:tabs>
          <w:tab w:leader="none" w:pos="367" w:val="left"/>
        </w:tabs>
        <w:numPr>
          <w:ilvl w:val="0"/>
          <w:numId w:val="5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reasonable, documented, out-of-pocket costs, expenses, taxes, assessments and other charges (including the reasonable fees, disbursements and other charges of counsel for the Collateral Agent) incurred by the Collateral Agent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 long as no Event of Default shall have occurred and be continuing, the Borrower shall not, in connection with this Section 10.04(a), be responsible hereunder for the reasonable fees and expenses of more than one such firm of separate counsel and one regulatory counsel, in addition to any local counsel.</w:t>
      </w:r>
    </w:p>
    <w:p>
      <w:pPr>
        <w:spacing w:after="0" w:line="199" w:lineRule="exact"/>
        <w:rPr>
          <w:rFonts w:ascii="Times New Roman" w:cs="Times New Roman" w:eastAsia="Times New Roman" w:hAnsi="Times New Roman"/>
          <w:sz w:val="22"/>
          <w:szCs w:val="22"/>
          <w:color w:val="auto"/>
        </w:rPr>
      </w:pPr>
    </w:p>
    <w:p>
      <w:pPr>
        <w:ind w:firstLine="1304"/>
        <w:spacing w:after="0" w:line="271" w:lineRule="auto"/>
        <w:tabs>
          <w:tab w:leader="none" w:pos="1799" w:val="left"/>
        </w:tabs>
        <w:numPr>
          <w:ilvl w:val="1"/>
          <w:numId w:val="5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or reimbursements pursuant to the foregoing clause (a)(i) shall be paid within thirty (30) days of written demand together with back-up documentation supporting such reimbursement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98" w:lineRule="exact"/>
        <w:rPr>
          <w:sz w:val="20"/>
          <w:szCs w:val="20"/>
          <w:color w:val="auto"/>
        </w:rPr>
      </w:pPr>
    </w:p>
    <w:p>
      <w:pPr>
        <w:jc w:val="both"/>
        <w:ind w:firstLine="1304"/>
        <w:spacing w:after="0" w:line="246" w:lineRule="auto"/>
        <w:tabs>
          <w:tab w:leader="none" w:pos="1850"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each Agent, any trustee appointed pursuant to Section 8.01(d), the Issuing Lenders and each Lender, and each Related Party of any of the foregoing Persons (each such Person being called an “</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xml:space="preserve">”) against, and hold each Indemnitee harmless from, any and all losses, claims, damages, liabilities and related expenses, including the reasonable fees, charges and disbursements of one firm counsel for all Indemnitees and, if necessary, one regulatory counsel and one firm of local counsel in each appropriate jurisdiction,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Parent or any of its Subsidiaries, or any Environmental Liability related in any way to, or asserted against, Parent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the Borrower or its Affiliates (other than claims against any Indemnitee in its capacity or in fulfilling its role as an Agent, trustee or Joint Lead Arranger or any other similar role under the Facilities (excluding its role as a Lender)). This Section 10.04(b) shall not apply with respect to Taxes other than Taxes that represent losses or damages arising from any non-Tax claim. Neither the Borrower nor any Indemnitee shall be liable for any indirect, special, punitive or consequential damages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w:t>
      </w:r>
    </w:p>
    <w:p>
      <w:pPr>
        <w:spacing w:after="0" w:line="21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65"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occurred and be continuing and (ii) such action or proceeding does not involve any risk of criminal liability or material risk of material civil money penalties being imposed on such Indemnitee. The Borrower shall not enter into any settlement of any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w:t>
      </w:r>
    </w:p>
    <w:p>
      <w:pPr>
        <w:spacing w:after="0" w:line="7" w:lineRule="exact"/>
        <w:rPr>
          <w:sz w:val="20"/>
          <w:szCs w:val="20"/>
          <w:color w:val="auto"/>
        </w:rPr>
      </w:pPr>
    </w:p>
    <w:p>
      <w:pPr>
        <w:jc w:val="both"/>
        <w:ind w:firstLine="8"/>
        <w:spacing w:after="0" w:line="259" w:lineRule="auto"/>
        <w:tabs>
          <w:tab w:leader="none" w:pos="326" w:val="left"/>
        </w:tabs>
        <w:numPr>
          <w:ilvl w:val="0"/>
          <w:numId w:val="5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w:t>
      </w:r>
    </w:p>
    <w:p>
      <w:pPr>
        <w:spacing w:after="0" w:line="176"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70" w:val="left"/>
        </w:tabs>
        <w:numPr>
          <w:ilvl w:val="1"/>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applicable Issuing Lender in its capacity as such.</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7" w:val="left"/>
        </w:tabs>
        <w:numPr>
          <w:ilvl w:val="1"/>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79"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946" w:val="left"/>
        </w:tabs>
        <w:numPr>
          <w:ilvl w:val="0"/>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AND OBLIGATIONS OF THE PARTIES UNDER THIS AGREEMENT SHALL BE GOVERNED BY, AND CONSTRUED AND INTERPRETED IN ACCORDANCE WITH, THE LAWS OF THE STATE OF NEW YORK.</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858" w:val="left"/>
        </w:tabs>
        <w:numPr>
          <w:ilvl w:val="0"/>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in any legal action or proceeding relating to this Agreement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81" w:lineRule="exact"/>
        <w:rPr>
          <w:sz w:val="20"/>
          <w:szCs w:val="20"/>
          <w:color w:val="auto"/>
        </w:rPr>
      </w:pPr>
    </w:p>
    <w:p>
      <w:pPr>
        <w:jc w:val="both"/>
        <w:ind w:firstLine="1304"/>
        <w:spacing w:after="0" w:line="253" w:lineRule="auto"/>
        <w:tabs>
          <w:tab w:leader="none" w:pos="1848"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2"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consents to service of process in the manner provided for notices in Section 10.01. Nothing in this Agreement will affect the right of any party to this Agreement to serve process in any other manner permitted by law.</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Extension of Maturity</w:t>
      </w:r>
      <w:r>
        <w:rPr>
          <w:rFonts w:ascii="Times New Roman" w:cs="Times New Roman" w:eastAsia="Times New Roman" w:hAnsi="Times New Roman"/>
          <w:sz w:val="22"/>
          <w:szCs w:val="22"/>
          <w:color w:val="auto"/>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79"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10.08.</w:t>
      </w:r>
      <w:r>
        <w:rPr>
          <w:sz w:val="20"/>
          <w:szCs w:val="20"/>
          <w:color w:val="auto"/>
        </w:rPr>
        <w:tab/>
      </w:r>
      <w:r>
        <w:rPr>
          <w:rFonts w:ascii="Times New Roman" w:cs="Times New Roman" w:eastAsia="Times New Roman" w:hAnsi="Times New Roman"/>
          <w:sz w:val="21"/>
          <w:szCs w:val="21"/>
          <w:u w:val="single" w:color="auto"/>
          <w:color w:val="auto"/>
        </w:rPr>
        <w:t>Amendments, etc</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8" w:lineRule="auto"/>
        <w:tabs>
          <w:tab w:leader="none" w:pos="1811"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Required Class Lenders (as applicable) (or signed by the Administrative Agent with the consent of the Required Lenders), and then such waiver or consent shall be effective only in the specific instance and for the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modification or amendment shall without the prior written consent of:</w:t>
      </w:r>
    </w:p>
    <w:p>
      <w:pPr>
        <w:spacing w:after="0" w:line="200" w:lineRule="exact"/>
        <w:rPr>
          <w:sz w:val="20"/>
          <w:szCs w:val="20"/>
          <w:color w:val="auto"/>
        </w:rPr>
      </w:pPr>
    </w:p>
    <w:p>
      <w:pPr>
        <w:jc w:val="both"/>
        <w:ind w:left="660" w:firstLine="644"/>
        <w:spacing w:after="0" w:line="257" w:lineRule="auto"/>
        <w:tabs>
          <w:tab w:leader="none" w:pos="1779"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directly and adversely affected thereby, (A) increase the Commitment of any Lender or extend the termination date of the Commitment of any Lender (it being understood that a waiver of an Event of Default shall not constitute an increase 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198"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extension of the termination date of the Commitment of a Lender), or (B) reduce the principal amount of any Loan, any reimbursement obligation in respect of any Letter of Credit, or the rate of interest payable on any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w:t>
      </w:r>
      <w:r>
        <w:rPr>
          <w:rFonts w:ascii="Times New Roman" w:cs="Times New Roman" w:eastAsia="Times New Roman" w:hAnsi="Times New Roman"/>
          <w:sz w:val="21"/>
          <w:szCs w:val="21"/>
          <w:b w:val="1"/>
          <w:bCs w:val="1"/>
          <w:color w:val="FF0000"/>
          <w:strike w:val="1"/>
        </w:rPr>
        <w:t>or</w:t>
      </w:r>
      <w:r>
        <w:rPr>
          <w:rFonts w:ascii="Times New Roman" w:cs="Times New Roman" w:eastAsia="Times New Roman" w:hAnsi="Times New Roman"/>
          <w:sz w:val="21"/>
          <w:szCs w:val="21"/>
          <w:color w:val="auto"/>
        </w:rPr>
        <w:t xml:space="preserve"> (D) amend or modify the terms of Section 2.17(e) in any manner that would alter the pro rata sharing of payments required thereby</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or</w:t>
      </w:r>
    </w:p>
    <w:p>
      <w:pPr>
        <w:spacing w:after="0" w:line="2" w:lineRule="exact"/>
        <w:rPr>
          <w:sz w:val="20"/>
          <w:szCs w:val="20"/>
          <w:color w:val="auto"/>
        </w:rPr>
      </w:pPr>
    </w:p>
    <w:p>
      <w:pPr>
        <w:jc w:val="both"/>
        <w:ind w:left="660" w:hanging="4"/>
        <w:spacing w:after="0" w:line="259" w:lineRule="auto"/>
        <w:tabs>
          <w:tab w:leader="none" w:pos="1032" w:val="left"/>
        </w:tabs>
        <w:numPr>
          <w:ilvl w:val="0"/>
          <w:numId w:val="592"/>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other than in connection with any debtor-in-possession financing or use of the Collateral in any insolvency proceeding, subordinate, or have the effect of subordinating the Obligations (or any portion thereof) or the Liens securing the Obligations (or any portion thereof) to any other Indebtedness, unless such affected Lender has been offered a bona fide opportunity to fund or otherwise provide its pro rata share (based on the amount of obligations under the Facility that are adversely affected thereby held by such Lender) of such other Indebtedness on the same terms (other than bona fide backstop fees, any arrangement or restructuring fees and reimbursement of counsel fees and other expenses in connection with the negotiation of the terms of such transaction; such fees and expenses, as offered to all other providers (or their Affiliates) of such other Indebtedness pursuant to a written offer made to such Lender describing the material terms of the arrangements pursuant to which such other Indebtedness is to be provided, which offer shall remain open to such Lenders for a period of not less than ten (10) Business Days;</w:t>
      </w:r>
    </w:p>
    <w:p>
      <w:pPr>
        <w:spacing w:after="0" w:line="178" w:lineRule="exact"/>
        <w:rPr>
          <w:rFonts w:ascii="Times New Roman" w:cs="Times New Roman" w:eastAsia="Times New Roman" w:hAnsi="Times New Roman"/>
          <w:sz w:val="21"/>
          <w:szCs w:val="21"/>
          <w:b w:val="1"/>
          <w:bCs w:val="1"/>
          <w:u w:val="single" w:color="auto"/>
          <w:color w:val="0000FF"/>
        </w:rPr>
      </w:pPr>
    </w:p>
    <w:p>
      <w:pPr>
        <w:jc w:val="both"/>
        <w:ind w:left="660" w:firstLine="644"/>
        <w:spacing w:after="0" w:line="253" w:lineRule="auto"/>
        <w:tabs>
          <w:tab w:leader="none" w:pos="1811" w:val="left"/>
        </w:tabs>
        <w:numPr>
          <w:ilvl w:val="1"/>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Lenders, (A) amend or modify any provision of this Agreement which provides for the unanimous consent or approval of the Lenders, (B) release all or substantially all of the Liens granted to the Collateral Agent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854" w:val="left"/>
        </w:tabs>
        <w:numPr>
          <w:ilvl w:val="1"/>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Revolving Lenders, change the definition of the term “Required Revolving Lenders” or the percentage of Lenders which shall be required for Revolving Lenders to take any action hereunder; and</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72" w:val="left"/>
        </w:tabs>
        <w:numPr>
          <w:ilvl w:val="1"/>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Revolving Lenders, amend the provisions of Section 5.06, Section 6.09(a) or Section 7.01(d), in each case, as they apply to any Additional Appraisal.</w:t>
      </w:r>
    </w:p>
    <w:p>
      <w:pPr>
        <w:spacing w:after="0" w:line="158" w:lineRule="exact"/>
        <w:rPr>
          <w:sz w:val="20"/>
          <w:szCs w:val="20"/>
          <w:color w:val="auto"/>
        </w:rPr>
      </w:pPr>
    </w:p>
    <w:p>
      <w:pPr>
        <w:ind w:firstLine="1304"/>
        <w:spacing w:after="0" w:line="271" w:lineRule="auto"/>
        <w:tabs>
          <w:tab w:leader="none" w:pos="1824"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or modification shall adversely affect the rights and obligations of the Administrative Agent or any Issuing Lender hereunder without its prior written consent.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3"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20" w:name="page521"/>
    <w:bookmarkEnd w:id="520"/>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any Person subsequently acquiring an interest on the Loans held by such Lender. No amendment to this Agreement shall be effective against the Borrower or any Guarantor unless signed by the Borrower or such Guarantor, as the case may be.</w:t>
      </w:r>
    </w:p>
    <w:p>
      <w:pPr>
        <w:spacing w:after="0" w:line="158" w:lineRule="exact"/>
        <w:rPr>
          <w:sz w:val="20"/>
          <w:szCs w:val="20"/>
          <w:color w:val="auto"/>
        </w:rPr>
      </w:pPr>
    </w:p>
    <w:p>
      <w:pPr>
        <w:jc w:val="both"/>
        <w:ind w:firstLine="1304"/>
        <w:spacing w:after="0" w:line="258" w:lineRule="auto"/>
        <w:tabs>
          <w:tab w:leader="none" w:pos="1838" w:val="left"/>
        </w:tabs>
        <w:numPr>
          <w:ilvl w:val="0"/>
          <w:numId w:val="5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 (A) may replace any non-consenting Lender with respect to all or a portion of its Loans or Commitments, as applicable, in accordance with Section 10.02;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amendment or modification can be effected as a result of 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non-consenting Lender in whole or in part, without premium or penalty, subject to Sections 2.13(d) and 10.04(b) and reallocate the LC Exposure of such non-consenting Lender under Section 2.26(d) (as if such Lender were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such termination of Commitments shall be permitted 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Defaulting  Lender  shall  be  excluded  for  a  vote  of  the  Lenders  hereunder  requiring  any  consent  of  the  Lenders);</w:t>
      </w:r>
    </w:p>
    <w:p>
      <w:pPr>
        <w:spacing w:after="0" w:line="15" w:lineRule="exact"/>
        <w:rPr>
          <w:sz w:val="20"/>
          <w:szCs w:val="20"/>
          <w:color w:val="auto"/>
        </w:rPr>
      </w:pPr>
    </w:p>
    <w:p>
      <w:pPr>
        <w:jc w:val="both"/>
        <w:ind w:firstLine="8"/>
        <w:spacing w:after="0" w:line="245" w:lineRule="auto"/>
        <w:tabs>
          <w:tab w:leader="none" w:pos="379"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21" w:name="page522"/>
    <w:bookmarkEnd w:id="521"/>
    <w:p>
      <w:pPr>
        <w:spacing w:after="0" w:line="198" w:lineRule="exact"/>
        <w:rPr>
          <w:sz w:val="20"/>
          <w:szCs w:val="20"/>
          <w:color w:val="auto"/>
        </w:rPr>
      </w:pPr>
    </w:p>
    <w:p>
      <w:pPr>
        <w:jc w:val="both"/>
        <w:ind w:firstLine="1304"/>
        <w:spacing w:after="0" w:line="246" w:lineRule="auto"/>
        <w:tabs>
          <w:tab w:leader="none" w:pos="1783"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Times New Roman" w:cs="Times New Roman" w:eastAsia="Times New Roman" w:hAnsi="Times New Roman"/>
          <w:sz w:val="22"/>
          <w:szCs w:val="22"/>
          <w:i w:val="1"/>
          <w:iCs w:val="1"/>
          <w:color w:val="auto"/>
        </w:rPr>
        <w:t>Refinanced Term Loans</w:t>
      </w:r>
      <w:r>
        <w:rPr>
          <w:rFonts w:ascii="Times New Roman" w:cs="Times New Roman" w:eastAsia="Times New Roman" w:hAnsi="Times New Roman"/>
          <w:sz w:val="22"/>
          <w:szCs w:val="22"/>
          <w:color w:val="auto"/>
        </w:rPr>
        <w:t>”) with a replacement term loan tranche (“</w:t>
      </w:r>
      <w:r>
        <w:rPr>
          <w:rFonts w:ascii="Times New Roman" w:cs="Times New Roman" w:eastAsia="Times New Roman" w:hAnsi="Times New Roman"/>
          <w:sz w:val="22"/>
          <w:szCs w:val="22"/>
          <w:i w:val="1"/>
          <w:iCs w:val="1"/>
          <w:color w:val="auto"/>
        </w:rPr>
        <w:t>Replacement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or the refinancing, replacement or modification of all or a portion of the outstanding Revolving Loans of any tranche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Revolving Loans</w:t>
      </w:r>
      <w:r>
        <w:rPr>
          <w:rFonts w:ascii="Times New Roman" w:cs="Times New Roman" w:eastAsia="Times New Roman" w:hAnsi="Times New Roman"/>
          <w:sz w:val="22"/>
          <w:szCs w:val="22"/>
          <w:color w:val="auto"/>
        </w:rPr>
        <w:t>” and, together with the Refinanced Term Loans, the “</w:t>
      </w:r>
      <w:r>
        <w:rPr>
          <w:rFonts w:ascii="Times New Roman" w:cs="Times New Roman" w:eastAsia="Times New Roman" w:hAnsi="Times New Roman"/>
          <w:sz w:val="22"/>
          <w:szCs w:val="22"/>
          <w:i w:val="1"/>
          <w:iCs w:val="1"/>
          <w:color w:val="auto"/>
        </w:rPr>
        <w:t>Refinanced Loans</w:t>
      </w:r>
      <w:r>
        <w:rPr>
          <w:rFonts w:ascii="Times New Roman" w:cs="Times New Roman" w:eastAsia="Times New Roman" w:hAnsi="Times New Roman"/>
          <w:sz w:val="22"/>
          <w:szCs w:val="22"/>
          <w:color w:val="auto"/>
        </w:rPr>
        <w:t>”) with a replacement revolving loan tranche (“</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and, together with the “</w:t>
      </w:r>
      <w:r>
        <w:rPr>
          <w:rFonts w:ascii="Times New Roman" w:cs="Times New Roman" w:eastAsia="Times New Roman" w:hAnsi="Times New Roman"/>
          <w:sz w:val="22"/>
          <w:szCs w:val="22"/>
          <w:i w:val="1"/>
          <w:iCs w:val="1"/>
          <w:color w:val="auto"/>
        </w:rPr>
        <w:t>Replacement Term Loans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i w:val="1"/>
          <w:iCs w:val="1"/>
          <w:color w:val="auto"/>
        </w:rPr>
        <w:t>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hereunder and (y) to include appropriately the Lenders holding such credit facilities in any determination of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Lenders, Required Class Lenders, Required Term Lenders in Required Revolving Lenders,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 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w:t>
      </w:r>
    </w:p>
    <w:p>
      <w:pPr>
        <w:spacing w:after="0" w:line="21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66"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70"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notwithstanding anything to the contrary contained in Section 7.01 or Section 10.08(a), following the consummation of any Extension pursuant to Section 2.28, no modification, amendment or waiver (including, for the avoidance of doubt, any forbearance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22" w:name="page523"/>
    <w:bookmarkEnd w:id="522"/>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entered into with respect to this Agreement) shall limit the right of any non-extending Lender (each, a “</w:t>
      </w:r>
      <w:r>
        <w:rPr>
          <w:rFonts w:ascii="Times New Roman" w:cs="Times New Roman" w:eastAsia="Times New Roman" w:hAnsi="Times New Roman"/>
          <w:sz w:val="21"/>
          <w:szCs w:val="21"/>
          <w:i w:val="1"/>
          <w:iCs w:val="1"/>
          <w:color w:val="auto"/>
        </w:rPr>
        <w:t>Non-Extending Lender</w:t>
      </w:r>
      <w:r>
        <w:rPr>
          <w:rFonts w:ascii="Times New Roman" w:cs="Times New Roman" w:eastAsia="Times New Roman" w:hAnsi="Times New Roman"/>
          <w:sz w:val="21"/>
          <w:szCs w:val="21"/>
          <w:color w:val="auto"/>
        </w:rPr>
        <w:t>”)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w:t>
      </w:r>
    </w:p>
    <w:p>
      <w:pPr>
        <w:spacing w:after="0" w:line="163" w:lineRule="exact"/>
        <w:rPr>
          <w:sz w:val="20"/>
          <w:szCs w:val="20"/>
          <w:color w:val="auto"/>
        </w:rPr>
      </w:pPr>
    </w:p>
    <w:p>
      <w:pPr>
        <w:jc w:val="both"/>
        <w:ind w:firstLine="1304"/>
        <w:spacing w:after="0" w:line="257" w:lineRule="auto"/>
        <w:tabs>
          <w:tab w:leader="none" w:pos="1859"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the amendment provisions of this Section 10.08 shall not apply to extensions of the Revolving Facility Maturity Date, the Term Loan Maturity Date or the maturity date of any tranche of Revolving Commitments, in each case, made in accordance with Section 2.28.</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57"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Agent to such collateral trustee.</w:t>
      </w:r>
    </w:p>
    <w:p>
      <w:pPr>
        <w:spacing w:after="0" w:line="20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8"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after-acquired assets of that type or category) from the Collateral covered by such Collateral Document to the extent the release thereof is permitted by Section 6.09(c) or constitutes a Permitted Disposition.</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used herein are for convenience only and are not to affect the construction of or be taken into consideration in interpreting this Agreement.</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23" w:name="page524"/>
    <w:bookmarkEnd w:id="523"/>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Letters of Credit and the Commitments, or the termination of this Agreement or any provision hereof.</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Execution in Counterparts; Integration; Effectiveness</w:t>
      </w:r>
      <w:r>
        <w:rPr>
          <w:rFonts w:ascii="Times New Roman" w:cs="Times New Roman" w:eastAsia="Times New Roman" w:hAnsi="Times New Roman"/>
          <w:sz w:val="22"/>
          <w:szCs w:val="22"/>
          <w:color w:val="auto"/>
        </w:rPr>
        <w:t>.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w:t>
      </w:r>
    </w:p>
    <w:p>
      <w:pPr>
        <w:spacing w:after="0" w:line="17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New Value</w:t>
      </w:r>
      <w:r>
        <w:rPr>
          <w:rFonts w:ascii="Times New Roman" w:cs="Times New Roman" w:eastAsia="Times New Roman" w:hAnsi="Times New Roman"/>
          <w:sz w:val="21"/>
          <w:szCs w:val="21"/>
          <w:color w:val="auto"/>
        </w:rPr>
        <w:t>.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w:t>
      </w:r>
    </w:p>
    <w:p>
      <w:pPr>
        <w:spacing w:after="0" w:line="15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jc w:val="both"/>
        <w:ind w:firstLine="8"/>
        <w:spacing w:after="0" w:line="251" w:lineRule="auto"/>
        <w:tabs>
          <w:tab w:leader="none" w:pos="344"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BY, AMONG OTHER THINGS, THE MUTUAL WAIVERS AND CERTIFICATIONS IN THIS SECTION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24" w:name="page525"/>
    <w:bookmarkEnd w:id="524"/>
    <w:p>
      <w:pPr>
        <w:spacing w:after="0" w:line="19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No Fiduciary Duty</w:t>
      </w:r>
      <w:r>
        <w:rPr>
          <w:rFonts w:ascii="Times New Roman" w:cs="Times New Roman" w:eastAsia="Times New Roman" w:hAnsi="Times New Roman"/>
          <w:sz w:val="22"/>
          <w:szCs w:val="22"/>
          <w:color w:val="auto"/>
        </w:rPr>
        <w:t>. Each Agent, each Lender and their Affiliates (collectively, solely for purposes of this paragraph,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Lender Action</w:t>
      </w:r>
      <w:r>
        <w:rPr>
          <w:rFonts w:ascii="Times New Roman" w:cs="Times New Roman" w:eastAsia="Times New Roman" w:hAnsi="Times New Roman"/>
          <w:sz w:val="22"/>
          <w:szCs w:val="22"/>
          <w:color w:val="auto"/>
        </w:rPr>
        <w:t>.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w:t>
      </w:r>
    </w:p>
    <w:p>
      <w:pPr>
        <w:spacing w:after="0" w:line="18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Intercreditor Agreements</w:t>
      </w:r>
      <w:r>
        <w:rPr>
          <w:rFonts w:ascii="Times New Roman" w:cs="Times New Roman" w:eastAsia="Times New Roman" w:hAnsi="Times New Roman"/>
          <w:sz w:val="22"/>
          <w:szCs w:val="22"/>
          <w:color w:val="auto"/>
        </w:rPr>
        <w:t>. Notwithstanding anything to the contrary contained in this Agreement, if at any time the Administrative Agent or the Collateral Agent shall enter into any Intercreditor Agreement, pursuant to and as permitted by the terms of this Agreement or any Other Intercreditor Agreement and such Intercreditor Agreement or such Other Intercreditor Agreement shall remain outstanding, the rights granted to the Secured Parties hereunder and under the other Loan Documents, the Liens and security interest granted to the Collateral Agent pursuant to this Agreement or any other Loan Document and the exercise of any right or remedy by any Agent hereunder or under any other Loan Document shall be subject to the terms and conditions of such Intercreditor Agreement or such Other Intercreditor Agreement. In the event of any conflict between the terms of this Agreement, any other Loan Document and such Intercreditor Agreement or such Other Intercreditor Agreements, the terms of such Intercreditor Agreement or such Other Intercreditor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 or such Other Intercreditor Agreement.</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4" w:lineRule="exact"/>
        <w:rPr>
          <w:sz w:val="20"/>
          <w:szCs w:val="20"/>
          <w:color w:val="auto"/>
        </w:rPr>
      </w:pPr>
    </w:p>
    <w:p>
      <w:pPr>
        <w:ind w:firstLine="1304"/>
        <w:spacing w:after="0" w:line="271" w:lineRule="auto"/>
        <w:tabs>
          <w:tab w:leader="none" w:pos="1830" w:val="left"/>
        </w:tabs>
        <w:numPr>
          <w:ilvl w:val="0"/>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2100" w:hanging="472"/>
        <w:spacing w:after="0"/>
        <w:tabs>
          <w:tab w:leader="none" w:pos="2100" w:val="left"/>
        </w:tabs>
        <w:numPr>
          <w:ilvl w:val="1"/>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firstLine="1628"/>
        <w:spacing w:after="0" w:line="256" w:lineRule="auto"/>
        <w:tabs>
          <w:tab w:leader="none" w:pos="2208" w:val="left"/>
        </w:tabs>
        <w:numPr>
          <w:ilvl w:val="1"/>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right="20" w:firstLine="1628"/>
        <w:spacing w:after="0" w:line="271" w:lineRule="auto"/>
        <w:tabs>
          <w:tab w:leader="none" w:pos="2376" w:val="left"/>
        </w:tabs>
        <w:numPr>
          <w:ilvl w:val="1"/>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Loan Documents provide support, through a guarantee or otherwise, for Swap Contracts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w:t>
      </w:r>
    </w:p>
    <w:p>
      <w:pPr>
        <w:spacing w:after="0" w:line="187" w:lineRule="exact"/>
        <w:rPr>
          <w:sz w:val="20"/>
          <w:szCs w:val="20"/>
          <w:color w:val="auto"/>
        </w:rPr>
      </w:pPr>
    </w:p>
    <w:p>
      <w:pPr>
        <w:jc w:val="both"/>
        <w:ind w:firstLine="1304"/>
        <w:spacing w:after="0" w:line="253" w:lineRule="auto"/>
        <w:tabs>
          <w:tab w:leader="none" w:pos="1769"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26" w:name="page527"/>
    <w:bookmarkEnd w:id="526"/>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8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As used in this Section 10.20, the following terms have the following meanings:</w:t>
      </w:r>
    </w:p>
    <w:p>
      <w:pPr>
        <w:spacing w:after="0" w:line="233" w:lineRule="exact"/>
        <w:rPr>
          <w:sz w:val="20"/>
          <w:szCs w:val="20"/>
          <w:color w:val="auto"/>
        </w:rPr>
      </w:pPr>
    </w:p>
    <w:p>
      <w:pPr>
        <w:ind w:right="2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left="1780" w:hanging="476"/>
        <w:spacing w:after="0"/>
        <w:tabs>
          <w:tab w:leader="none" w:pos="1780"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33"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ind w:left="660" w:right="9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1240"/>
          </w:cols>
          <w:pgMar w:left="320" w:top="1440" w:right="339" w:bottom="1440" w:gutter="0" w:footer="0" w:header="0"/>
        </w:sectPr>
      </w:pPr>
    </w:p>
    <w:bookmarkStart w:id="527" w:name="page528"/>
    <w:bookmarkEnd w:id="527"/>
    <w:p>
      <w:pPr>
        <w:spacing w:after="0" w:line="198"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22"/>
          <w:szCs w:val="22"/>
          <w:color w:val="auto"/>
        </w:rPr>
        <w:t>[signature pages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AA (LHR) - Exhibit A to Tenth Amendment (Conformed Credit Agreement)</w:t>
      </w:r>
    </w:p>
    <w:p>
      <w:pPr>
        <w:sectPr>
          <w:pgSz w:w="11900" w:h="16838" w:orient="portrait"/>
          <w:cols w:equalWidth="0" w:num="1">
            <w:col w:w="10139"/>
          </w:cols>
          <w:pgMar w:left="320" w:top="1440" w:right="1440" w:bottom="1440" w:gutter="0" w:footer="0" w:header="0"/>
        </w:sectPr>
      </w:pPr>
    </w:p>
    <w:bookmarkStart w:id="528" w:name="page529"/>
    <w:bookmarkEnd w:id="528"/>
    <w:p>
      <w:pPr>
        <w:ind w:left="10180"/>
        <w:spacing w:after="0"/>
        <w:rPr>
          <w:sz w:val="20"/>
          <w:szCs w:val="20"/>
          <w:color w:val="auto"/>
        </w:rPr>
      </w:pPr>
      <w:r>
        <w:rPr>
          <w:rFonts w:ascii="Times New Roman" w:cs="Times New Roman" w:eastAsia="Times New Roman" w:hAnsi="Times New Roman"/>
          <w:sz w:val="21"/>
          <w:szCs w:val="2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40575" cy="3771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0575" cy="377190"/>
                    </a:xfrm>
                    <a:prstGeom prst="rect">
                      <a:avLst/>
                    </a:prstGeom>
                    <a:noFill/>
                  </pic:spPr>
                </pic:pic>
              </a:graphicData>
            </a:graphic>
          </wp:anchor>
        </w:drawing>
      </w:r>
    </w:p>
    <w:p>
      <w:pPr>
        <w:spacing w:after="0" w:line="59" w:lineRule="exact"/>
        <w:rPr>
          <w:sz w:val="20"/>
          <w:szCs w:val="20"/>
          <w:color w:val="auto"/>
        </w:rPr>
      </w:pPr>
    </w:p>
    <w:p>
      <w:pPr>
        <w:ind w:left="40" w:right="80"/>
        <w:spacing w:after="0" w:line="275" w:lineRule="auto"/>
        <w:rPr>
          <w:sz w:val="20"/>
          <w:szCs w:val="20"/>
          <w:color w:val="auto"/>
        </w:rPr>
      </w:pPr>
      <w:r>
        <w:rPr>
          <w:rFonts w:ascii="Times New Roman" w:cs="Times New Roman" w:eastAsia="Times New Roman" w:hAnsi="Times New Roman"/>
          <w:sz w:val="22"/>
          <w:szCs w:val="22"/>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TO CREDIT AND GUARANTY AGREEMENT</w:t>
      </w:r>
    </w:p>
    <w:p>
      <w:pPr>
        <w:spacing w:after="0" w:line="21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THIS FIRST AMENDMENT TO CREDIT AND GUARANTY AGREEMENT (this “</w:t>
      </w:r>
      <w:r>
        <w:rPr>
          <w:rFonts w:ascii="Times New Roman" w:cs="Times New Roman" w:eastAsia="Times New Roman" w:hAnsi="Times New Roman"/>
          <w:sz w:val="22"/>
          <w:szCs w:val="22"/>
          <w:i w:val="1"/>
          <w:iCs w:val="1"/>
          <w:color w:val="auto"/>
        </w:rPr>
        <w:t>First Amendment</w:t>
      </w:r>
      <w:r>
        <w:rPr>
          <w:rFonts w:ascii="Times New Roman" w:cs="Times New Roman" w:eastAsia="Times New Roman" w:hAnsi="Times New Roman"/>
          <w:sz w:val="22"/>
          <w:szCs w:val="22"/>
          <w:color w:val="auto"/>
        </w:rPr>
        <w:t>”), dated as of June 4, 2024, is entered into among American Airlines,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American Airlines Group Inc., a Delaware corporation (the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the Lenders party hereto as 2024 Incremental Revolving Lenders, the parties party hereto and Citibank, N.A. (“</w:t>
      </w:r>
      <w:r>
        <w:rPr>
          <w:rFonts w:ascii="Times New Roman" w:cs="Times New Roman" w:eastAsia="Times New Roman" w:hAnsi="Times New Roman"/>
          <w:sz w:val="22"/>
          <w:szCs w:val="22"/>
          <w:i w:val="1"/>
          <w:iCs w:val="1"/>
          <w:color w:val="auto"/>
        </w:rPr>
        <w:t>Citi</w:t>
      </w:r>
      <w:r>
        <w:rPr>
          <w:rFonts w:ascii="Times New Roman" w:cs="Times New Roman" w:eastAsia="Times New Roman" w:hAnsi="Times New Roman"/>
          <w:sz w:val="22"/>
          <w:szCs w:val="22"/>
          <w:color w:val="auto"/>
        </w:rPr>
        <w:t>”), as administrative agent (in such capacity, the “</w:t>
      </w:r>
      <w:r>
        <w:rPr>
          <w:rFonts w:ascii="Times New Roman" w:cs="Times New Roman" w:eastAsia="Times New Roman" w:hAnsi="Times New Roman"/>
          <w:sz w:val="22"/>
          <w:szCs w:val="22"/>
          <w:i w:val="1"/>
          <w:iCs w:val="1"/>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Unless otherwise indicated, all capitalized terms used herein and not otherwise defined shall have the respective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meanings provided to such terms in the Credit Agreement referred to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WHEREAS, the Borrower, the Guarantor, the lenders from time to time party thereto, the Administrative Agent and certain other parties thereto are parties to that certain Credit and Guaranty Agreement, dated as of December 4, 2023 (as amended, amended and restated, supplemented or otherwise modified up to, but not including the First Amendment Effective Date (as defined below),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WHEREAS, as of the date hereof immediately prior to giving effect to this First Amendment, there are no existing Revolving Commitments or LC Commitments and there are no Revolving Loans outstanding under the Credit Agreement;</w:t>
      </w:r>
    </w:p>
    <w:p>
      <w:pPr>
        <w:spacing w:after="0" w:line="14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WHEREAS, pursuant to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 xml:space="preserve"> of the Credit Agreement, the Borrower may request the establishment of Incremental Revolving Commitments, subject to and on the terms and conditions provided therein;</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WHEREAS, the Borrower hereby notifies the Administrative Agent of the Borrower’s request for new Incremental Revolving Commitments to be established on the First Amendment Effective Date in an aggregate amount of $890,000,000 (the “</w:t>
      </w:r>
      <w:r>
        <w:rPr>
          <w:rFonts w:ascii="Times New Roman" w:cs="Times New Roman" w:eastAsia="Times New Roman" w:hAnsi="Times New Roman"/>
          <w:sz w:val="22"/>
          <w:szCs w:val="22"/>
          <w:i w:val="1"/>
          <w:iCs w:val="1"/>
          <w:color w:val="auto"/>
        </w:rPr>
        <w:t>2024 Incremental Revolving Commitments</w:t>
      </w:r>
      <w:r>
        <w:rPr>
          <w:rFonts w:ascii="Times New Roman" w:cs="Times New Roman" w:eastAsia="Times New Roman" w:hAnsi="Times New Roman"/>
          <w:sz w:val="22"/>
          <w:szCs w:val="22"/>
          <w:color w:val="auto"/>
        </w:rPr>
        <w:t xml:space="preserve">”) to be made available by the Revolving Lenders specified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as holding 2024 Incremental Revolving Commitments (such Revolving Lenders, the “</w:t>
      </w:r>
      <w:r>
        <w:rPr>
          <w:rFonts w:ascii="Times New Roman" w:cs="Times New Roman" w:eastAsia="Times New Roman" w:hAnsi="Times New Roman"/>
          <w:sz w:val="22"/>
          <w:szCs w:val="22"/>
          <w:i w:val="1"/>
          <w:iCs w:val="1"/>
          <w:color w:val="auto"/>
        </w:rPr>
        <w:t>2024 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Revolving Lenders</w:t>
      </w:r>
      <w:r>
        <w:rPr>
          <w:rFonts w:ascii="Times New Roman" w:cs="Times New Roman" w:eastAsia="Times New Roman" w:hAnsi="Times New Roman"/>
          <w:sz w:val="22"/>
          <w:szCs w:val="22"/>
          <w:color w:val="auto"/>
        </w:rPr>
        <w:t>”) in the amounts specified therefor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hereto; and</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WHEREAS, each 2024 Incremental Revolving Lender is willing to provide its 2024 Incremental Revolving Commitment in the amount set forth opposite its name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hereto, subject to and on the terms and conditions set forth herein and in the Credit Agreement;</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the Borrower wishes to (a) incur the 2024 Incremental Revolving Commitments and (b) make certain amendments to the Credit Agreement to provide for, among other things, the incurrence of the 2024 Incremental Revolving Commitments on the terms and subject to the conditions set forth herein; and</w:t>
      </w:r>
    </w:p>
    <w:p>
      <w:pPr>
        <w:sectPr>
          <w:pgSz w:w="11900" w:h="16838" w:orient="portrait"/>
          <w:cols w:equalWidth="0" w:num="1">
            <w:col w:w="11240"/>
          </w:cols>
          <w:pgMar w:left="320" w:top="125" w:right="339" w:bottom="1440" w:gutter="0" w:footer="0" w:header="0"/>
        </w:sectPr>
      </w:pPr>
    </w:p>
    <w:bookmarkStart w:id="529" w:name="page530"/>
    <w:bookmarkEnd w:id="529"/>
    <w:p>
      <w:pPr>
        <w:spacing w:after="0" w:line="200" w:lineRule="exact"/>
        <w:rPr>
          <w:sz w:val="20"/>
          <w:szCs w:val="20"/>
          <w:color w:val="auto"/>
        </w:rPr>
      </w:pPr>
    </w:p>
    <w:p>
      <w:pPr>
        <w:spacing w:after="0" w:line="322"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u w:val="single" w:color="auto"/>
          <w:color w:val="auto"/>
        </w:rPr>
        <w:t>SECTION ONE - Credit Agreement Amendments</w:t>
      </w:r>
      <w:r>
        <w:rPr>
          <w:rFonts w:ascii="Times New Roman" w:cs="Times New Roman" w:eastAsia="Times New Roman" w:hAnsi="Times New Roman"/>
          <w:sz w:val="21"/>
          <w:szCs w:val="21"/>
          <w:color w:val="auto"/>
        </w:rPr>
        <w:t>. Effective as of the First Amendment Effective Date (as defined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07" w:lineRule="exact"/>
        <w:rPr>
          <w:sz w:val="20"/>
          <w:szCs w:val="20"/>
          <w:color w:val="auto"/>
        </w:rPr>
      </w:pPr>
    </w:p>
    <w:p>
      <w:pPr>
        <w:jc w:val="both"/>
        <w:ind w:firstLine="1304"/>
        <w:spacing w:after="0" w:line="268" w:lineRule="auto"/>
        <w:tabs>
          <w:tab w:leader="none" w:pos="1782" w:val="left"/>
        </w:tabs>
        <w:numPr>
          <w:ilvl w:val="0"/>
          <w:numId w:val="6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the First Amendment Effective Date, the Borrower, the Administrative Agent and each 2024 Incremental Revolving Lender agree that the Credit Agreement is amended to delete the stricken text (indicated textually in the same manner as the following example: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xml:space="preserve">) and to add the bolded, underlined text (indicated textually in the same manner as the following example: </w:t>
      </w:r>
      <w:r>
        <w:rPr>
          <w:rFonts w:ascii="Times New Roman" w:cs="Times New Roman" w:eastAsia="Times New Roman" w:hAnsi="Times New Roman"/>
          <w:sz w:val="21"/>
          <w:szCs w:val="21"/>
          <w:b w:val="1"/>
          <w:bCs w:val="1"/>
          <w:u w:val="single" w:color="auto"/>
          <w:color w:val="0000FF"/>
        </w:rPr>
        <w:t>underlined text</w:t>
      </w:r>
      <w:r>
        <w:rPr>
          <w:rFonts w:ascii="Times New Roman" w:cs="Times New Roman" w:eastAsia="Times New Roman" w:hAnsi="Times New Roman"/>
          <w:sz w:val="21"/>
          <w:szCs w:val="21"/>
          <w:color w:val="auto"/>
        </w:rPr>
        <w:t xml:space="preserve">) as set forth in the pages of the Credit Agreement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and</w:t>
      </w:r>
    </w:p>
    <w:p>
      <w:pPr>
        <w:spacing w:after="0" w:line="176" w:lineRule="exact"/>
        <w:rPr>
          <w:rFonts w:ascii="Times New Roman" w:cs="Times New Roman" w:eastAsia="Times New Roman" w:hAnsi="Times New Roman"/>
          <w:sz w:val="21"/>
          <w:szCs w:val="21"/>
          <w:color w:val="auto"/>
        </w:rPr>
      </w:pPr>
    </w:p>
    <w:p>
      <w:pPr>
        <w:jc w:val="both"/>
        <w:ind w:firstLine="1304"/>
        <w:spacing w:after="0" w:line="257" w:lineRule="auto"/>
        <w:tabs>
          <w:tab w:leader="none" w:pos="1770" w:val="left"/>
        </w:tabs>
        <w:numPr>
          <w:ilvl w:val="0"/>
          <w:numId w:val="6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“Annex A” of the Credit Agreement is hereby amended to delete the heading "Revolving Commitments" and the text thereunder, and the heading "LC Commitments" and the text thereunder, and to replace such items with the headings and table attached hereto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56" w:val="left"/>
        </w:tabs>
        <w:numPr>
          <w:ilvl w:val="0"/>
          <w:numId w:val="6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confirms that it has received at least ten (10) business days written notice pursuant to the requirements of 2.27(a)(i) of the Credit Agreement in connection with the establishment of the 2024 Incremental Revolving Commitments.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TWO - Titles and Roles</w:t>
      </w:r>
      <w:r>
        <w:rPr>
          <w:rFonts w:ascii="Times New Roman" w:cs="Times New Roman" w:eastAsia="Times New Roman" w:hAnsi="Times New Roman"/>
          <w:sz w:val="22"/>
          <w:szCs w:val="22"/>
          <w:color w:val="auto"/>
        </w:rPr>
        <w:t>. The parties hereto agree that, as of the First Amendment Effective Date (as defined below) and in connection with the First Amendment: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Citibank, N.A. (“</w:t>
      </w:r>
      <w:r>
        <w:rPr>
          <w:rFonts w:ascii="Times New Roman" w:cs="Times New Roman" w:eastAsia="Times New Roman" w:hAnsi="Times New Roman"/>
          <w:sz w:val="22"/>
          <w:szCs w:val="22"/>
          <w:i w:val="1"/>
          <w:iCs w:val="1"/>
          <w:color w:val="auto"/>
        </w:rPr>
        <w:t>Citi</w:t>
      </w:r>
      <w:r>
        <w:rPr>
          <w:rFonts w:ascii="Times New Roman" w:cs="Times New Roman" w:eastAsia="Times New Roman" w:hAnsi="Times New Roman"/>
          <w:sz w:val="22"/>
          <w:szCs w:val="22"/>
          <w:color w:val="auto"/>
        </w:rPr>
        <w:t>”) shall be designated as, and perform the roles associated with, a lead arranger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bookrunner.</w:t>
      </w:r>
    </w:p>
    <w:p>
      <w:pPr>
        <w:spacing w:after="0" w:line="19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THREE - Conditions to Effectiveness</w:t>
      </w:r>
      <w:r>
        <w:rPr>
          <w:rFonts w:ascii="Times New Roman" w:cs="Times New Roman" w:eastAsia="Times New Roman" w:hAnsi="Times New Roman"/>
          <w:sz w:val="22"/>
          <w:szCs w:val="22"/>
          <w:color w:val="auto"/>
        </w:rPr>
        <w:t>. The provisions of Section One of this First Amendment shall become effective on the date (the “</w:t>
      </w:r>
      <w:r>
        <w:rPr>
          <w:rFonts w:ascii="Times New Roman" w:cs="Times New Roman" w:eastAsia="Times New Roman" w:hAnsi="Times New Roman"/>
          <w:sz w:val="22"/>
          <w:szCs w:val="22"/>
          <w:i w:val="1"/>
          <w:iCs w:val="1"/>
          <w:color w:val="auto"/>
        </w:rPr>
        <w:t>First Amendment Effective Date</w:t>
      </w:r>
      <w:r>
        <w:rPr>
          <w:rFonts w:ascii="Times New Roman" w:cs="Times New Roman" w:eastAsia="Times New Roman" w:hAnsi="Times New Roman"/>
          <w:sz w:val="22"/>
          <w:szCs w:val="22"/>
          <w:color w:val="auto"/>
        </w:rPr>
        <w:t>”) when each of the following conditions specified below shall have been satisfied:</w:t>
      </w:r>
    </w:p>
    <w:p>
      <w:pPr>
        <w:spacing w:after="0" w:line="167" w:lineRule="exact"/>
        <w:rPr>
          <w:sz w:val="20"/>
          <w:szCs w:val="20"/>
          <w:color w:val="auto"/>
        </w:rPr>
      </w:pPr>
    </w:p>
    <w:p>
      <w:pPr>
        <w:ind w:firstLine="1304"/>
        <w:spacing w:after="0" w:line="271" w:lineRule="auto"/>
        <w:tabs>
          <w:tab w:leader="none" w:pos="1815"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 the Administrative Agent and each 2024 Incremental Revolving Lender shall have signed a counterpart hereof (whether the same or different counterparts);</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3"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reasonable invoiced out-of-pocket expenses incurred by the 2024 Incremental Revolving Lenders and the Administrative Agent pursuant to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of the Credit Agreement (including the reasonable and documented fees, charges and disbursements of counsel) and all accrued and unpaid fees, owing and payable under the Credit Agreement (including any fees agreed to in connection with this First Amendment) shall have been paid to the extent invoiced at least two (2) Business Days prior to the First Amendment Effective Date (or such shorter period as may be agreed by the Borrower);</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837"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(or caused to be paid), for the account of each 2024 Incremental Revolving Lender, a one-time, non-refundable fee equal to the amount set forth in that</w:t>
      </w:r>
    </w:p>
    <w:p>
      <w:pPr>
        <w:sectPr>
          <w:pgSz w:w="11900" w:h="16838" w:orient="portrait"/>
          <w:cols w:equalWidth="0" w:num="1">
            <w:col w:w="11240"/>
          </w:cols>
          <w:pgMar w:left="320" w:top="1440" w:right="339" w:bottom="1440" w:gutter="0" w:footer="0" w:header="0"/>
        </w:sectPr>
      </w:pPr>
    </w:p>
    <w:bookmarkStart w:id="530" w:name="page531"/>
    <w:bookmarkEnd w:id="530"/>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certain fee letter, among the 2024 Incremental Revolving Lenders and the Borrower, dated as of the First Amendment Effective Date;</w:t>
      </w:r>
    </w:p>
    <w:p>
      <w:pPr>
        <w:spacing w:after="0" w:line="158" w:lineRule="exact"/>
        <w:rPr>
          <w:sz w:val="20"/>
          <w:szCs w:val="20"/>
          <w:color w:val="auto"/>
        </w:rPr>
      </w:pPr>
    </w:p>
    <w:p>
      <w:pPr>
        <w:ind w:left="1820" w:hanging="516"/>
        <w:spacing w:after="0"/>
        <w:tabs>
          <w:tab w:leader="none" w:pos="1820"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767"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an Officer’s Certificate certifying as to the Collateral Coverage Ratio and Liquidity in accordance with </w:t>
      </w:r>
      <w:r>
        <w:rPr>
          <w:rFonts w:ascii="Times New Roman" w:cs="Times New Roman" w:eastAsia="Times New Roman" w:hAnsi="Times New Roman"/>
          <w:sz w:val="22"/>
          <w:szCs w:val="22"/>
          <w:u w:val="single" w:color="auto"/>
          <w:color w:val="auto"/>
        </w:rPr>
        <w:t>Section 2.27(b)(iii)</w:t>
      </w:r>
      <w:r>
        <w:rPr>
          <w:rFonts w:ascii="Times New Roman" w:cs="Times New Roman" w:eastAsia="Times New Roman" w:hAnsi="Times New Roman"/>
          <w:sz w:val="22"/>
          <w:szCs w:val="22"/>
          <w:color w:val="auto"/>
        </w:rPr>
        <w:t xml:space="preserve"> of the Credit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42"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customary written opinion of Latham &amp; Watkins LLP, special counsel for the Borrower and the Guarantor addressed to the Administrative Agent, the 2024 Incremental Revolving Lenders, dated the First Amendment Effective Date;</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98"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the Secretary or Assistant Secretary (or similar Responsible Officer), dated the First Amendment Effective Date (i) certifying as to the incumbency and specimen signature of each Responsible Officer of the Borrower and the Guarantor executing this First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First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200"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12" w:val="left"/>
        </w:tabs>
        <w:numPr>
          <w:ilvl w:val="0"/>
          <w:numId w:val="6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w:t>
      </w:r>
      <w:r>
        <w:rPr>
          <w:rFonts w:ascii="Times New Roman" w:cs="Times New Roman" w:eastAsia="Times New Roman" w:hAnsi="Times New Roman"/>
          <w:sz w:val="21"/>
          <w:szCs w:val="21"/>
          <w:u w:val="single" w:color="auto"/>
          <w:color w:val="auto"/>
        </w:rPr>
        <w:t>Sections 3.05(b)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3.09(a)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3.19</w:t>
      </w:r>
      <w:r>
        <w:rPr>
          <w:rFonts w:ascii="Times New Roman" w:cs="Times New Roman" w:eastAsia="Times New Roman" w:hAnsi="Times New Roman"/>
          <w:sz w:val="21"/>
          <w:szCs w:val="21"/>
          <w:color w:val="auto"/>
        </w:rPr>
        <w:t xml:space="preserve"> of the Credit Agreement) as though made on the date hereof, or, in the case of any such representation and warranty that relates to a specified date, as though made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for purposes of this clause (h), the representations and warranties contained in </w:t>
      </w:r>
      <w:r>
        <w:rPr>
          <w:rFonts w:ascii="Times New Roman" w:cs="Times New Roman" w:eastAsia="Times New Roman" w:hAnsi="Times New Roman"/>
          <w:sz w:val="21"/>
          <w:szCs w:val="21"/>
          <w:u w:val="single" w:color="auto"/>
          <w:color w:val="auto"/>
        </w:rPr>
        <w:t>Sections 3.04(a)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3.05(a)</w:t>
      </w:r>
      <w:r>
        <w:rPr>
          <w:rFonts w:ascii="Times New Roman" w:cs="Times New Roman" w:eastAsia="Times New Roman" w:hAnsi="Times New Roman"/>
          <w:sz w:val="21"/>
          <w:szCs w:val="21"/>
          <w:color w:val="auto"/>
        </w:rPr>
        <w:t xml:space="preserve"> of the Credit Agreement shall be deemed to refer to the audited consolidated financial statements of Parent and its Subsidiaries for the fiscal year ended December 31, 2023, included in Parent’s Annual Report on Form 10-K for 2023 (as amended) and the unaudited consolidated financial statements of Parent and its Subsidiaries for the fiscal quarter ended March 31, 2024, Annual Report on Form 10-K for 2023 and Quarterly Reports on Form 10-Q, or Current Reports on Form 8-K that have been filed after December 31, 2023 by Parent with the SEC) shall be true and</w:t>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correct in all respects as of the applicable date, before and after giving effect to this First Amendment and (B) as to the absence of any event occurring and continuing, or resulting from this First Amendment on, the First Amendment Effective Date, that constitutes a Default or Event of Default;</w:t>
      </w:r>
    </w:p>
    <w:p>
      <w:pPr>
        <w:spacing w:after="0" w:line="186" w:lineRule="exact"/>
        <w:rPr>
          <w:sz w:val="20"/>
          <w:szCs w:val="20"/>
          <w:color w:val="auto"/>
        </w:rPr>
      </w:pPr>
    </w:p>
    <w:p>
      <w:pPr>
        <w:ind w:firstLine="1304"/>
        <w:spacing w:after="0" w:line="271" w:lineRule="auto"/>
        <w:tabs>
          <w:tab w:leader="none" w:pos="1788"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to the establishment of the 2024 Incremental Revolving Commitments pursuant to this First Amendment set forth in </w:t>
      </w:r>
      <w:r>
        <w:rPr>
          <w:rFonts w:ascii="Times New Roman" w:cs="Times New Roman" w:eastAsia="Times New Roman" w:hAnsi="Times New Roman"/>
          <w:sz w:val="22"/>
          <w:szCs w:val="22"/>
          <w:u w:val="single" w:color="auto"/>
          <w:color w:val="auto"/>
        </w:rPr>
        <w:t>Section 2.27(b)(i)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the Credit Agreement shall have been satisfied;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11"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evidence that (1) the Ninth Amendment to that certain Amended and Restated Credit and Guaranty Agreement dated as of May 21, 2015,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Barclays Bank PLC, as administrative agent, (2) the Tenth Amendment to that certain Amended and Restated Credit and Guaranty Agreement dated as of April 20, 2015,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Citibank, N.A., as administrative agent and (3) the termination of the revolving commitments under that certain Credit and Guaranty Agreement, dated as of April 29, 2016,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the Borrower and Barclays Bank PLC as administrative agent, have, or will contemporaneously with the First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Effective Date, become effective.</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FOUR - No Default; Representations and Warranties</w:t>
      </w:r>
      <w:r>
        <w:rPr>
          <w:rFonts w:ascii="Times New Roman" w:cs="Times New Roman" w:eastAsia="Times New Roman" w:hAnsi="Times New Roman"/>
          <w:sz w:val="22"/>
          <w:szCs w:val="22"/>
          <w:color w:val="auto"/>
        </w:rPr>
        <w:t xml:space="preserve">. In order to induce the 2024 Incremental Revolving Lenders and the Administrative Agent to enter into this First Amendment, the Borrower represents and warrants to the 2024 Incremental Revolving Lenders and the Administrative Agent that, on and as of the date hereof after giving effect to this First Amendment, (i) no Default or Event of Default has occurred and is continuing or would result from giving effect to this First Amendment and (ii) the representations and warranties contained in the Credit Agreement and the other Loan Documents (other than representations and warranties set forth in </w:t>
      </w:r>
      <w:r>
        <w:rPr>
          <w:rFonts w:ascii="Times New Roman" w:cs="Times New Roman" w:eastAsia="Times New Roman" w:hAnsi="Times New Roman"/>
          <w:sz w:val="22"/>
          <w:szCs w:val="22"/>
          <w:u w:val="single" w:color="auto"/>
          <w:color w:val="auto"/>
        </w:rPr>
        <w:t>Sections 3.05(b)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3.09(a)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3.19</w:t>
      </w:r>
      <w:r>
        <w:rPr>
          <w:rFonts w:ascii="Times New Roman" w:cs="Times New Roman" w:eastAsia="Times New Roman" w:hAnsi="Times New Roman"/>
          <w:sz w:val="22"/>
          <w:szCs w:val="22"/>
          <w:color w:val="auto"/>
        </w:rPr>
        <w:t xml:space="preserve">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purposes of this Section Four, the representations and warranties contained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3.05(a)</w:t>
      </w:r>
      <w:r>
        <w:rPr>
          <w:rFonts w:ascii="Times New Roman" w:cs="Times New Roman" w:eastAsia="Times New Roman" w:hAnsi="Times New Roman"/>
          <w:sz w:val="22"/>
          <w:szCs w:val="22"/>
          <w:color w:val="auto"/>
        </w:rPr>
        <w:t xml:space="preserve"> of the Credit Agreement shall be deemed to refer to the audited consolidated financial statements of Parent and its Subsidiaries for the fiscal year ended December 31, 2023, included in Parent’s Annual Report on Form 10-K (as amended) and the unaudited consolidated financial statements of Parent and its Subsidiaries for the fiscal quarter ended March 31, 2024, Annual Report on Form 10-K for 2023 and Quarterly Reports on Form 10-Q, or Current Reports on Form 8-K that have been filed after December 31, 2023 by Parent with the SEC) shall be true and correct in all respects as of the applicable date, before and after giving effect to this First Amendment.</w:t>
      </w:r>
    </w:p>
    <w:p>
      <w:pPr>
        <w:spacing w:after="0" w:line="201" w:lineRule="exact"/>
        <w:rPr>
          <w:sz w:val="20"/>
          <w:szCs w:val="20"/>
          <w:color w:val="auto"/>
        </w:rPr>
      </w:pPr>
    </w:p>
    <w:p>
      <w:pPr>
        <w:jc w:val="both"/>
        <w:ind w:left="80" w:firstLine="1296"/>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FIVE - Confirmation</w:t>
      </w:r>
      <w:r>
        <w:rPr>
          <w:rFonts w:ascii="Times New Roman" w:cs="Times New Roman" w:eastAsia="Times New Roman" w:hAnsi="Times New Roman"/>
          <w:sz w:val="22"/>
          <w:szCs w:val="22"/>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w:t>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200" w:lineRule="exact"/>
        <w:rPr>
          <w:sz w:val="20"/>
          <w:szCs w:val="20"/>
          <w:color w:val="auto"/>
        </w:rPr>
      </w:pPr>
    </w:p>
    <w:p>
      <w:pPr>
        <w:spacing w:after="0" w:line="3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include, without limitation, all obligations of the Borrower with respect to the 2024 Incremental Revolving Commitments (after giving effect to this First Amendment) and all obligations of the Guarantor with respect to the guarantee of such obligations, and</w:t>
      </w:r>
    </w:p>
    <w:p>
      <w:pPr>
        <w:spacing w:after="0" w:line="2" w:lineRule="exact"/>
        <w:rPr>
          <w:sz w:val="20"/>
          <w:szCs w:val="20"/>
          <w:color w:val="auto"/>
        </w:rPr>
      </w:pPr>
    </w:p>
    <w:p>
      <w:pPr>
        <w:ind w:firstLine="9"/>
        <w:spacing w:after="0" w:line="261" w:lineRule="auto"/>
        <w:tabs>
          <w:tab w:leader="none" w:pos="324" w:val="left"/>
        </w:tabs>
        <w:numPr>
          <w:ilvl w:val="0"/>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reaffirm the grant of Liens on the Collateral to secure the Obligations (including the Obligations under the Revolving Loans incurred pursuant to this First Amendment) pursuant to the Collateral Documents.</w:t>
      </w:r>
    </w:p>
    <w:p>
      <w:pPr>
        <w:spacing w:after="0" w:line="16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SIX - Reference to and Effect on the Credit Agreement</w:t>
      </w:r>
      <w:r>
        <w:rPr>
          <w:rFonts w:ascii="Times New Roman" w:cs="Times New Roman" w:eastAsia="Times New Roman" w:hAnsi="Times New Roman"/>
          <w:sz w:val="22"/>
          <w:szCs w:val="22"/>
          <w:color w:val="auto"/>
        </w:rPr>
        <w:t>. On and after the First Amendment Effective Date, each reference in the Credit Agreement to “this Agreement,” “hereunder,” “hereof” or words of like import referring to the Credit Agreement, shall mean and be a reference to the Credit Agreement as amended by this First Amendment. The Credit Agreement and each of the other Loan Documents, as specifically amended by this First Amendment, are and shall continue to be in full force and effect and are hereby in all respects ratified and confirmed. This First Amendment shall be deemed to be a “Loan Document” for all purposes of the Credit Agreement (as amended hereby) and the other Loan Documents. The execution, delivery and effectiveness of this First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SECTION SEVEN - Execution in Counterparts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80" w:firstLine="1304"/>
        <w:spacing w:after="0" w:line="250" w:lineRule="auto"/>
        <w:tabs>
          <w:tab w:leader="none" w:pos="1866" w:val="left"/>
        </w:tabs>
        <w:numPr>
          <w:ilvl w:val="0"/>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First Amendment may be executed in counterparts (and by different parties hereto on different counterparts), each of which shall constitute an original, but all of which when taken together shall constitute a single contract. This First Amendment shall be binding upon and inure to the benefit of the parties hereto and their respective successors and assigns. Delivery of an executed counterpart of a signature page of this First Amendment by facsimile or electronic (e.g., “pdf” or “tif) format shall be effective as delivery of a manually executed counterpart of this First Amendment.</w:t>
      </w:r>
    </w:p>
    <w:p>
      <w:pPr>
        <w:spacing w:after="0" w:line="194" w:lineRule="exact"/>
        <w:rPr>
          <w:rFonts w:ascii="Times New Roman" w:cs="Times New Roman" w:eastAsia="Times New Roman" w:hAnsi="Times New Roman"/>
          <w:sz w:val="22"/>
          <w:szCs w:val="22"/>
          <w:color w:val="auto"/>
        </w:rPr>
      </w:pPr>
    </w:p>
    <w:p>
      <w:pPr>
        <w:jc w:val="both"/>
        <w:ind w:left="-80" w:firstLine="1304"/>
        <w:spacing w:after="0" w:line="251" w:lineRule="auto"/>
        <w:tabs>
          <w:tab w:leader="none" w:pos="1768" w:val="left"/>
        </w:tabs>
        <w:numPr>
          <w:ilvl w:val="0"/>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“execution,” “signed,” “signature,” and words of like import in this First Amendment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EIGHT - Governing Law</w:t>
      </w:r>
      <w:r>
        <w:rPr>
          <w:rFonts w:ascii="Times New Roman" w:cs="Times New Roman" w:eastAsia="Times New Roman" w:hAnsi="Times New Roman"/>
          <w:sz w:val="22"/>
          <w:szCs w:val="22"/>
          <w:color w:val="auto"/>
        </w:rPr>
        <w:t>. THIS FIRST AMENDMENT AND THE RIGHTS AND OBLIGATIONS OF THE PARTIES UNDER THIS FIRST AMENDMENT (WHETHER IN CONTRACT, TORT OR OTHERWISE AND IN LAW OR EQUITY) SHALL BE GOVERNED BY, AND CONSTRUED AND INTERPRETED IN ACCORDANCE WITH, THE LAWS OF THE STATE OF NEW YORK.</w:t>
      </w:r>
    </w:p>
    <w:p>
      <w:pPr>
        <w:sectPr>
          <w:pgSz w:w="11900" w:h="16838" w:orient="portrait"/>
          <w:cols w:equalWidth="0" w:num="1">
            <w:col w:w="11160"/>
          </w:cols>
          <w:pgMar w:left="400" w:top="1440" w:right="339" w:bottom="1440" w:gutter="0" w:footer="0" w:header="0"/>
        </w:sectPr>
      </w:pPr>
    </w:p>
    <w:bookmarkStart w:id="533" w:name="page534"/>
    <w:bookmarkEnd w:id="533"/>
    <w:p>
      <w:pPr>
        <w:spacing w:after="0" w:line="200" w:lineRule="exact"/>
        <w:rPr>
          <w:sz w:val="20"/>
          <w:szCs w:val="20"/>
          <w:color w:val="auto"/>
        </w:rPr>
      </w:pPr>
    </w:p>
    <w:p>
      <w:pPr>
        <w:spacing w:after="0" w:line="32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NINE - Miscellaneous</w:t>
      </w:r>
      <w:r>
        <w:rPr>
          <w:rFonts w:ascii="Times New Roman" w:cs="Times New Roman" w:eastAsia="Times New Roman" w:hAnsi="Times New Roman"/>
          <w:sz w:val="22"/>
          <w:szCs w:val="22"/>
          <w:color w:val="auto"/>
        </w:rPr>
        <w:t xml:space="preserve">. The provisions set forth in </w:t>
      </w:r>
      <w:r>
        <w:rPr>
          <w:rFonts w:ascii="Times New Roman" w:cs="Times New Roman" w:eastAsia="Times New Roman" w:hAnsi="Times New Roman"/>
          <w:sz w:val="22"/>
          <w:szCs w:val="22"/>
          <w:u w:val="single" w:color="auto"/>
          <w:color w:val="auto"/>
        </w:rPr>
        <w:t>Sections 10.03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10.05(b)-(d)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10.17</w:t>
      </w:r>
      <w:r>
        <w:rPr>
          <w:rFonts w:ascii="Times New Roman" w:cs="Times New Roman" w:eastAsia="Times New Roman" w:hAnsi="Times New Roman"/>
          <w:sz w:val="22"/>
          <w:szCs w:val="22"/>
          <w:color w:val="auto"/>
        </w:rPr>
        <w:t xml:space="preserve"> of the Credit Agreement are hereby incorporated mutatis mutandis herein by reference thereto as fully and to the same extent as if set forth herein.</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[REMAINDER OF THIS PAGE IS LEFT BLANK INTENTIONALLY]</w:t>
      </w:r>
    </w:p>
    <w:p>
      <w:pPr>
        <w:sectPr>
          <w:pgSz w:w="11900" w:h="16838" w:orient="portrait"/>
          <w:cols w:equalWidth="0" w:num="1">
            <w:col w:w="11160"/>
          </w:cols>
          <w:pgMar w:left="400" w:top="1440" w:right="339" w:bottom="1440" w:gutter="0" w:footer="0" w:header="0"/>
        </w:sectPr>
      </w:pPr>
    </w:p>
    <w:bookmarkStart w:id="534" w:name="page535"/>
    <w:bookmarkEnd w:id="534"/>
    <w:p>
      <w:pPr>
        <w:spacing w:after="0" w:line="19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First Amendment to be duly executed and delivered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Meghan Montana</w:t>
      </w:r>
      <w:r>
        <w:rPr>
          <w:rFonts w:ascii="Times New Roman" w:cs="Times New Roman" w:eastAsia="Times New Roman" w:hAnsi="Times New Roman"/>
          <w:sz w:val="22"/>
          <w:szCs w:val="22"/>
          <w:color w:val="auto"/>
        </w:rPr>
        <w:t>____________________</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Meghan Montana</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Meghan Montana</w:t>
      </w:r>
      <w:r>
        <w:rPr>
          <w:rFonts w:ascii="Times New Roman" w:cs="Times New Roman" w:eastAsia="Times New Roman" w:hAnsi="Times New Roman"/>
          <w:sz w:val="22"/>
          <w:szCs w:val="22"/>
          <w:color w:val="auto"/>
        </w:rPr>
        <w:t>____________________</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Meghan Montana</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[First </w:t>
      </w:r>
      <w:r>
        <w:rPr>
          <w:rFonts w:ascii="Times New Roman" w:cs="Times New Roman" w:eastAsia="Times New Roman" w:hAnsi="Times New Roman"/>
          <w:sz w:val="18"/>
          <w:szCs w:val="18"/>
          <w:i w:val="1"/>
          <w:iCs w:val="1"/>
          <w:color w:val="auto"/>
        </w:rPr>
        <w:t>Amendment to Credit and Guaranty Agreement</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40" w:right="359" w:bottom="1440" w:gutter="0" w:footer="0" w:header="0"/>
        </w:sectPr>
      </w:pPr>
    </w:p>
    <w:bookmarkStart w:id="535" w:name="page536"/>
    <w:bookmarkEnd w:id="535"/>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CITIBANK,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Michael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85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Michael Leonard</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[First </w:t>
      </w:r>
      <w:r>
        <w:rPr>
          <w:rFonts w:ascii="Times New Roman" w:cs="Times New Roman" w:eastAsia="Times New Roman" w:hAnsi="Times New Roman"/>
          <w:sz w:val="17"/>
          <w:szCs w:val="17"/>
          <w:i w:val="1"/>
          <w:iCs w:val="1"/>
          <w:color w:val="auto"/>
        </w:rPr>
        <w:t>Amendment to Credit and Guaranty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536" w:name="page537"/>
    <w:bookmarkEnd w:id="536"/>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 </w:t>
      </w:r>
      <w:r>
        <w:rPr>
          <w:sz w:val="1"/>
          <w:szCs w:val="1"/>
          <w:color w:val="auto"/>
        </w:rPr>
        <w:drawing>
          <wp:inline distT="0" distB="0" distL="0" distR="0">
            <wp:extent cx="94615" cy="9398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as a [ </w:t>
      </w:r>
      <w:r>
        <w:rPr>
          <w:sz w:val="1"/>
          <w:szCs w:val="1"/>
          <w:color w:val="auto"/>
        </w:rPr>
        <w:drawing>
          <wp:inline distT="0" distB="0" distL="0" distR="0">
            <wp:extent cx="94615" cy="9398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274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[First </w:t>
      </w:r>
      <w:r>
        <w:rPr>
          <w:rFonts w:ascii="Times New Roman" w:cs="Times New Roman" w:eastAsia="Times New Roman" w:hAnsi="Times New Roman"/>
          <w:sz w:val="17"/>
          <w:szCs w:val="17"/>
          <w:i w:val="1"/>
          <w:iCs w:val="1"/>
          <w:color w:val="auto"/>
        </w:rPr>
        <w:t>Amendment to Credit and Guaranty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537" w:name="page538"/>
    <w:bookmarkEnd w:id="537"/>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Schedule 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Revolving Commitments and LC Commitments</w:t>
      </w:r>
    </w:p>
    <w:p>
      <w:pPr>
        <w:spacing w:after="0" w:line="200" w:lineRule="exact"/>
        <w:rPr>
          <w:sz w:val="20"/>
          <w:szCs w:val="20"/>
          <w:color w:val="auto"/>
        </w:rPr>
      </w:pPr>
    </w:p>
    <w:p>
      <w:pPr>
        <w:spacing w:after="0" w:line="260" w:lineRule="exact"/>
        <w:rPr>
          <w:sz w:val="20"/>
          <w:szCs w:val="20"/>
          <w:color w:val="auto"/>
        </w:rPr>
      </w:pPr>
    </w:p>
    <w:tbl>
      <w:tblPr>
        <w:tblLayout w:type="fixed"/>
        <w:tblInd w:w="670" w:type="dxa"/>
        <w:tblCellMar>
          <w:top w:w="0" w:type="dxa"/>
          <w:left w:w="0" w:type="dxa"/>
          <w:bottom w:w="0" w:type="dxa"/>
          <w:right w:w="0" w:type="dxa"/>
        </w:tblCellMar>
      </w:tblPr>
      <w:tr>
        <w:trPr>
          <w:trHeight w:val="216"/>
        </w:trPr>
        <w:tc>
          <w:tcPr>
            <w:tcW w:w="3840" w:type="dxa"/>
            <w:vAlign w:val="bottom"/>
            <w:tcBorders>
              <w:top w:val="single" w:sz="8" w:color="auto"/>
              <w:left w:val="single" w:sz="8" w:color="auto"/>
              <w:right w:val="single" w:sz="8" w:color="auto"/>
            </w:tcBorders>
            <w:shd w:val="clear" w:color="auto" w:fill="DBDBDB"/>
          </w:tcPr>
          <w:p>
            <w:pPr>
              <w:ind w:left="200"/>
              <w:spacing w:after="0" w:line="216" w:lineRule="exact"/>
              <w:rPr>
                <w:sz w:val="20"/>
                <w:szCs w:val="20"/>
                <w:color w:val="auto"/>
              </w:rPr>
            </w:pPr>
            <w:r>
              <w:rPr>
                <w:rFonts w:ascii="Times New Roman" w:cs="Times New Roman" w:eastAsia="Times New Roman" w:hAnsi="Times New Roman"/>
                <w:sz w:val="22"/>
                <w:szCs w:val="22"/>
                <w:b w:val="1"/>
                <w:bCs w:val="1"/>
                <w:color w:val="auto"/>
              </w:rPr>
              <w:t>Name of 2024 Incremental Revolving</w:t>
            </w:r>
          </w:p>
        </w:tc>
        <w:tc>
          <w:tcPr>
            <w:tcW w:w="2500" w:type="dxa"/>
            <w:vAlign w:val="bottom"/>
            <w:tcBorders>
              <w:top w:val="single" w:sz="8" w:color="auto"/>
              <w:right w:val="single" w:sz="8" w:color="auto"/>
            </w:tcBorders>
            <w:shd w:val="clear" w:color="auto" w:fill="DBDBDB"/>
          </w:tcPr>
          <w:p>
            <w:pPr>
              <w:ind w:left="440"/>
              <w:spacing w:after="0" w:line="216" w:lineRule="exact"/>
              <w:rPr>
                <w:sz w:val="20"/>
                <w:szCs w:val="20"/>
                <w:color w:val="auto"/>
              </w:rPr>
            </w:pPr>
            <w:r>
              <w:rPr>
                <w:rFonts w:ascii="Times New Roman" w:cs="Times New Roman" w:eastAsia="Times New Roman" w:hAnsi="Times New Roman"/>
                <w:sz w:val="22"/>
                <w:szCs w:val="22"/>
                <w:b w:val="1"/>
                <w:bCs w:val="1"/>
                <w:color w:val="auto"/>
              </w:rPr>
              <w:t>2024 Incremental</w:t>
            </w:r>
          </w:p>
        </w:tc>
        <w:tc>
          <w:tcPr>
            <w:tcW w:w="2140" w:type="dxa"/>
            <w:vAlign w:val="bottom"/>
            <w:tcBorders>
              <w:top w:val="single" w:sz="8" w:color="auto"/>
              <w:right w:val="single" w:sz="8" w:color="auto"/>
            </w:tcBorders>
            <w:vMerge w:val="restart"/>
            <w:shd w:val="clear" w:color="auto" w:fill="DBDBDB"/>
          </w:tcPr>
          <w:p>
            <w:pPr>
              <w:jc w:val="right"/>
              <w:ind w:right="180"/>
              <w:spacing w:after="0"/>
              <w:rPr>
                <w:sz w:val="20"/>
                <w:szCs w:val="20"/>
                <w:color w:val="auto"/>
              </w:rPr>
            </w:pPr>
            <w:r>
              <w:rPr>
                <w:rFonts w:ascii="Times New Roman" w:cs="Times New Roman" w:eastAsia="Times New Roman" w:hAnsi="Times New Roman"/>
                <w:sz w:val="22"/>
                <w:szCs w:val="22"/>
                <w:b w:val="1"/>
                <w:bCs w:val="1"/>
                <w:color w:val="auto"/>
              </w:rPr>
              <w:t>LC Commitment</w:t>
            </w:r>
          </w:p>
        </w:tc>
        <w:tc>
          <w:tcPr>
            <w:tcW w:w="0" w:type="dxa"/>
            <w:vAlign w:val="bottom"/>
          </w:tcPr>
          <w:p>
            <w:pPr>
              <w:spacing w:after="0"/>
              <w:rPr>
                <w:sz w:val="1"/>
                <w:szCs w:val="1"/>
                <w:color w:val="auto"/>
              </w:rPr>
            </w:pPr>
          </w:p>
        </w:tc>
      </w:tr>
      <w:tr>
        <w:trPr>
          <w:trHeight w:val="174"/>
        </w:trPr>
        <w:tc>
          <w:tcPr>
            <w:tcW w:w="3840" w:type="dxa"/>
            <w:vAlign w:val="bottom"/>
            <w:tcBorders>
              <w:left w:val="single" w:sz="8" w:color="auto"/>
              <w:right w:val="single" w:sz="8" w:color="auto"/>
            </w:tcBorders>
            <w:vMerge w:val="restart"/>
            <w:shd w:val="clear" w:color="auto" w:fill="DBDBDB"/>
          </w:tcPr>
          <w:p>
            <w:pPr>
              <w:ind w:left="1580"/>
              <w:spacing w:after="0"/>
              <w:rPr>
                <w:sz w:val="20"/>
                <w:szCs w:val="20"/>
                <w:color w:val="auto"/>
              </w:rPr>
            </w:pPr>
            <w:r>
              <w:rPr>
                <w:rFonts w:ascii="Times New Roman" w:cs="Times New Roman" w:eastAsia="Times New Roman" w:hAnsi="Times New Roman"/>
                <w:sz w:val="22"/>
                <w:szCs w:val="22"/>
                <w:b w:val="1"/>
                <w:bCs w:val="1"/>
                <w:color w:val="auto"/>
              </w:rPr>
              <w:t>Lender</w:t>
            </w:r>
          </w:p>
        </w:tc>
        <w:tc>
          <w:tcPr>
            <w:tcW w:w="2500" w:type="dxa"/>
            <w:vAlign w:val="bottom"/>
            <w:tcBorders>
              <w:right w:val="single" w:sz="8" w:color="auto"/>
            </w:tcBorders>
            <w:vMerge w:val="restart"/>
            <w:shd w:val="clear" w:color="auto" w:fill="DBDBDB"/>
          </w:tcPr>
          <w:p>
            <w:pPr>
              <w:ind w:left="100"/>
              <w:spacing w:after="0"/>
              <w:rPr>
                <w:sz w:val="20"/>
                <w:szCs w:val="20"/>
                <w:color w:val="auto"/>
              </w:rPr>
            </w:pPr>
            <w:r>
              <w:rPr>
                <w:rFonts w:ascii="Times New Roman" w:cs="Times New Roman" w:eastAsia="Times New Roman" w:hAnsi="Times New Roman"/>
                <w:sz w:val="22"/>
                <w:szCs w:val="22"/>
                <w:b w:val="1"/>
                <w:bCs w:val="1"/>
                <w:color w:val="auto"/>
              </w:rPr>
              <w:t>Revolving Commitments</w:t>
            </w:r>
          </w:p>
        </w:tc>
        <w:tc>
          <w:tcPr>
            <w:tcW w:w="2140" w:type="dxa"/>
            <w:vAlign w:val="bottom"/>
            <w:tcBorders>
              <w:right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3840" w:type="dxa"/>
            <w:vAlign w:val="bottom"/>
            <w:tcBorders>
              <w:left w:val="single" w:sz="8" w:color="auto"/>
              <w:bottom w:val="single" w:sz="8" w:color="auto"/>
              <w:right w:val="single" w:sz="8" w:color="auto"/>
            </w:tcBorders>
            <w:vMerge w:val="continue"/>
            <w:shd w:val="clear" w:color="auto" w:fill="DBDBDB"/>
          </w:tcPr>
          <w:p>
            <w:pPr>
              <w:spacing w:after="0"/>
              <w:rPr>
                <w:sz w:val="9"/>
                <w:szCs w:val="9"/>
                <w:color w:val="auto"/>
              </w:rPr>
            </w:pPr>
          </w:p>
        </w:tc>
        <w:tc>
          <w:tcPr>
            <w:tcW w:w="2500" w:type="dxa"/>
            <w:vAlign w:val="bottom"/>
            <w:tcBorders>
              <w:bottom w:val="single" w:sz="8" w:color="auto"/>
              <w:right w:val="single" w:sz="8" w:color="auto"/>
            </w:tcBorders>
            <w:vMerge w:val="continue"/>
            <w:shd w:val="clear" w:color="auto" w:fill="DBDBDB"/>
          </w:tcPr>
          <w:p>
            <w:pPr>
              <w:spacing w:after="0"/>
              <w:rPr>
                <w:sz w:val="9"/>
                <w:szCs w:val="9"/>
                <w:color w:val="auto"/>
              </w:rPr>
            </w:pPr>
          </w:p>
        </w:tc>
        <w:tc>
          <w:tcPr>
            <w:tcW w:w="214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2140" w:type="dxa"/>
            <w:vAlign w:val="bottom"/>
            <w:tcBorders>
              <w:right w:val="single" w:sz="8" w:color="auto"/>
            </w:tcBorders>
          </w:tcPr>
          <w:p>
            <w:pPr>
              <w:jc w:val="right"/>
              <w:ind w:right="12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77"/>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384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2500" w:type="dxa"/>
            <w:vAlign w:val="bottom"/>
            <w:tcBorders>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$890,000,000.00</w:t>
            </w:r>
          </w:p>
        </w:tc>
        <w:tc>
          <w:tcPr>
            <w:tcW w:w="2140" w:type="dxa"/>
            <w:vAlign w:val="bottom"/>
            <w:tcBorders>
              <w:bottom w:val="single" w:sz="8" w:color="auto"/>
              <w:right w:val="single" w:sz="8" w:color="auto"/>
            </w:tcBorders>
            <w:shd w:val="clear" w:color="auto" w:fill="D9D9D9"/>
          </w:tcPr>
          <w:p>
            <w:pPr>
              <w:jc w:val="right"/>
              <w:ind w:right="1480"/>
              <w:spacing w:after="0"/>
              <w:rPr>
                <w:sz w:val="20"/>
                <w:szCs w:val="20"/>
                <w:color w:val="auto"/>
              </w:rPr>
            </w:pPr>
            <w:r>
              <w:rPr>
                <w:rFonts w:ascii="Times New Roman" w:cs="Times New Roman" w:eastAsia="Times New Roman" w:hAnsi="Times New Roman"/>
                <w:sz w:val="22"/>
                <w:szCs w:val="22"/>
                <w:b w:val="1"/>
                <w:bCs w:val="1"/>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47000.00068</w:t>
      </w:r>
    </w:p>
    <w:p>
      <w:pPr>
        <w:sectPr>
          <w:pgSz w:w="11900" w:h="16838" w:orient="portrait"/>
          <w:cols w:equalWidth="0" w:num="1">
            <w:col w:w="11240"/>
          </w:cols>
          <w:pgMar w:left="320" w:top="1440" w:right="339" w:bottom="1143"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0000"/>
          <w:strike w:val="1"/>
        </w:rPr>
        <w:t>US-DOCS\116541633.10</w:t>
      </w:r>
    </w:p>
    <w:p>
      <w:pPr>
        <w:sectPr>
          <w:pgSz w:w="11900" w:h="16838" w:orient="portrait"/>
          <w:cols w:equalWidth="0" w:num="1">
            <w:col w:w="11240"/>
          </w:cols>
          <w:pgMar w:left="320" w:top="1440" w:right="339" w:bottom="1143" w:gutter="0" w:footer="0" w:header="0"/>
          <w:type w:val="continuous"/>
        </w:sectPr>
      </w:pPr>
    </w:p>
    <w:bookmarkStart w:id="538" w:name="page539"/>
    <w:bookmarkEnd w:id="5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EXHIBIT A TO FIRST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AND GUARANTY AGREEMENT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December 4, 2023</w:t>
      </w:r>
    </w:p>
    <w:p>
      <w:pPr>
        <w:spacing w:after="0" w:line="19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19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as Parent and a Guarantor,</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SUBSIDIARIES OF PARENT FROM TIME TO TIME PARTY HERETO OTHER THAN THE BORROWER,</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as Guarantors,</w:t>
      </w:r>
    </w:p>
    <w:p>
      <w:pPr>
        <w:spacing w:after="0" w:line="19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CITIBANK, N.A.,</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CITIGROUP GLOBAL MARKETS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Structuring Agent,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with</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CITIGROUP GLOBAL MARKETS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BOFA SECURITIES, INC.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MORGAN STANLEY SENIOR FUNDING,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Lead Arrangers and Bookrunners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BARCLAYS BANK PLC, DEUTSCHE BANK SECURITIES INC., GOLDMAN SACHS LENDING PARTNERS LLC,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JPMORGAN CHASE BANK, N.A., SUMITOMO MITSUI BANKING CORPORATION, BNP PARIBAS SECURITIES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CORP., CREDIT AGRICOLE CORPORATE AND INVESTMENT BANK, MUFG BANK, LTD., U.S. BANK NATIONAL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ASSOCIATION, and BOK FINANCIAL SECURITIES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47000.00068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0000"/>
          <w:strike w:val="1"/>
        </w:rPr>
        <w:t>US-DOCS\116541633.10</w:t>
      </w:r>
    </w:p>
    <w:p>
      <w:pPr>
        <w:sectPr>
          <w:pgSz w:w="11900" w:h="16838" w:orient="portrait"/>
          <w:cols w:equalWidth="0" w:num="1">
            <w:col w:w="11240"/>
          </w:cols>
          <w:pgMar w:left="320" w:top="117" w:right="339" w:bottom="1440" w:gutter="0" w:footer="0" w:header="0"/>
        </w:sectPr>
      </w:pPr>
    </w:p>
    <w:bookmarkStart w:id="539" w:name="page540"/>
    <w:bookmarkEnd w:id="539"/>
    <w:p>
      <w:pPr>
        <w:spacing w:after="0" w:line="194" w:lineRule="exact"/>
        <w:rPr>
          <w:sz w:val="20"/>
          <w:szCs w:val="20"/>
          <w:color w:val="auto"/>
        </w:rPr>
      </w:pPr>
    </w:p>
    <w:tbl>
      <w:tblPr>
        <w:tblLayout w:type="fixed"/>
        <w:tblInd w:w="520" w:type="dxa"/>
        <w:tblCellMar>
          <w:top w:w="0" w:type="dxa"/>
          <w:left w:w="0" w:type="dxa"/>
          <w:bottom w:w="0" w:type="dxa"/>
          <w:right w:w="0" w:type="dxa"/>
        </w:tblCellMar>
      </w:tblPr>
      <w:tr>
        <w:trPr>
          <w:trHeight w:val="286"/>
        </w:trPr>
        <w:tc>
          <w:tcPr>
            <w:tcW w:w="1720" w:type="dxa"/>
            <w:vAlign w:val="bottom"/>
          </w:tcPr>
          <w:p>
            <w:pPr>
              <w:spacing w:after="0"/>
              <w:rPr>
                <w:sz w:val="24"/>
                <w:szCs w:val="24"/>
                <w:color w:val="auto"/>
              </w:rPr>
            </w:pPr>
          </w:p>
        </w:tc>
        <w:tc>
          <w:tcPr>
            <w:tcW w:w="708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7"/>
        </w:trPr>
        <w:tc>
          <w:tcPr>
            <w:tcW w:w="17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18"/>
        </w:trPr>
        <w:tc>
          <w:tcPr>
            <w:tcW w:w="1720" w:type="dxa"/>
            <w:vAlign w:val="bottom"/>
          </w:tcPr>
          <w:p>
            <w:pPr>
              <w:spacing w:after="0"/>
              <w:rPr>
                <w:sz w:val="24"/>
                <w:szCs w:val="24"/>
                <w:color w:val="auto"/>
              </w:rPr>
            </w:pPr>
          </w:p>
        </w:tc>
        <w:tc>
          <w:tcPr>
            <w:tcW w:w="708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7"/>
              </w:rPr>
              <w:t>Article I</w:t>
            </w:r>
          </w:p>
        </w:tc>
        <w:tc>
          <w:tcPr>
            <w:tcW w:w="7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08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7"/>
              </w:rPr>
              <w:t>DEFINITIONS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Defined Terms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Terms Generally</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Accounting Terms; GAAP</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Divisions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64</w:t>
            </w:r>
          </w:p>
        </w:tc>
      </w:tr>
      <w:tr>
        <w:trPr>
          <w:trHeight w:val="486"/>
        </w:trPr>
        <w:tc>
          <w:tcPr>
            <w:tcW w:w="1720" w:type="dxa"/>
            <w:vAlign w:val="bottom"/>
          </w:tcPr>
          <w:p>
            <w:pPr>
              <w:spacing w:after="0"/>
              <w:rPr>
                <w:sz w:val="24"/>
                <w:szCs w:val="24"/>
                <w:color w:val="auto"/>
              </w:rPr>
            </w:pPr>
          </w:p>
        </w:tc>
        <w:tc>
          <w:tcPr>
            <w:tcW w:w="708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8"/>
              </w:rPr>
              <w:t>Article II</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08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7"/>
              </w:rPr>
              <w:t>AMOUNT AND TERMS OF CREDIT</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Commitments of the Lenders; Term Loans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Letters of Credit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Requests for Loans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Funding of Loans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2.05.</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Interest Elections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Limitation on Term SOFR Tranches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2.07.</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Interest on Loans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Default Interest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2.09.</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Benchmark Replacement Setting</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Amortization of Term Loans; Repayment of Loans; Evidence of Debt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Optional Termination or Reduction of Revolving Commitments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Mandatory Prepayment of Loans; Commitment Termination</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Optional Prepayment of Loans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Increased Costs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2.15.</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Break Funding Payments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2.16.</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Taxes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2.17.</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Payments Generally; Pro Rata Treatment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2.18.</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2.19.</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Certain Fees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2.20.</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Commitment Fee</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2.21.</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Letter of Credit Fees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2.22.</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Nature of Fees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2.23.</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Right of Set-Off</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2.24.</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Security Interest in Letter of Credit Account</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91</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2.25.</w:t>
            </w:r>
          </w:p>
        </w:tc>
        <w:tc>
          <w:tcPr>
            <w:tcW w:w="7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 of Obligations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22"/>
                <w:szCs w:val="22"/>
                <w:color w:val="auto"/>
              </w:rPr>
              <w:t>91</w:t>
            </w:r>
          </w:p>
        </w:tc>
      </w:tr>
    </w:tbl>
    <w:p>
      <w:pPr>
        <w:spacing w:after="0" w:line="200" w:lineRule="exact"/>
        <w:rPr>
          <w:sz w:val="20"/>
          <w:szCs w:val="20"/>
          <w:color w:val="auto"/>
        </w:rPr>
      </w:pP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520"/>
          </w:cols>
          <w:pgMar w:left="32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strike w:val="1"/>
        </w:rPr>
        <w:t>US-DOCS\116541633.10</w:t>
      </w:r>
    </w:p>
    <w:p>
      <w:pPr>
        <w:sectPr>
          <w:pgSz w:w="11900" w:h="16838" w:orient="portrait"/>
          <w:cols w:equalWidth="0" w:num="1">
            <w:col w:w="10520"/>
          </w:cols>
          <w:pgMar w:left="320" w:top="1440" w:right="1059" w:bottom="1440" w:gutter="0" w:footer="0" w:header="0"/>
          <w:type w:val="continuous"/>
        </w:sectPr>
      </w:pPr>
    </w:p>
    <w:bookmarkStart w:id="540" w:name="page541"/>
    <w:bookmarkEnd w:id="540"/>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2.26.</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Defaulting Lenders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2.27.</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Increase in Commitment</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95</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2.28.</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Extension of Term Loans; Extension of the Revolving Facility</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98</w:t>
            </w:r>
          </w:p>
        </w:tc>
      </w:tr>
      <w:tr>
        <w:trPr>
          <w:trHeight w:val="486"/>
        </w:trPr>
        <w:tc>
          <w:tcPr>
            <w:tcW w:w="1720" w:type="dxa"/>
            <w:vAlign w:val="bottom"/>
          </w:tcPr>
          <w:p>
            <w:pPr>
              <w:spacing w:after="0"/>
              <w:rPr>
                <w:sz w:val="24"/>
                <w:szCs w:val="24"/>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Article III</w:t>
            </w:r>
          </w:p>
        </w:tc>
        <w:tc>
          <w:tcPr>
            <w:tcW w:w="140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REPRESENTATIONS AND WARRANTIES</w:t>
            </w:r>
          </w:p>
        </w:tc>
        <w:tc>
          <w:tcPr>
            <w:tcW w:w="140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Organization and Authority</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3.02.</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Air Carrier Status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Due Execution</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Statements Made</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Financial Statements; Material Adverse Change</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Ownership of Subsidiaries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Liens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3.08.</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Use of Proceeds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3.09.</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Litigation and Compliance with Laws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Slots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3.11.</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Routes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3.12.</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Margin Regulations; Investment Company Act</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3.13.</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Holding of Collateral</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3.14.</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Perfected Security Interests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3.15.</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 of Taxes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3.16.</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No Unlawful Payments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3.17.</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OFAC</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107</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3.18.</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Compliance with Anti-Money Laundering Laws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107</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3.19.</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Solvency</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107</w:t>
            </w:r>
          </w:p>
        </w:tc>
      </w:tr>
      <w:tr>
        <w:trPr>
          <w:trHeight w:val="486"/>
        </w:trPr>
        <w:tc>
          <w:tcPr>
            <w:tcW w:w="1720" w:type="dxa"/>
            <w:vAlign w:val="bottom"/>
          </w:tcPr>
          <w:p>
            <w:pPr>
              <w:spacing w:after="0"/>
              <w:rPr>
                <w:sz w:val="24"/>
                <w:szCs w:val="24"/>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IV</w:t>
            </w:r>
          </w:p>
        </w:tc>
        <w:tc>
          <w:tcPr>
            <w:tcW w:w="140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CONDITIONS OF LENDING</w:t>
            </w:r>
          </w:p>
        </w:tc>
        <w:tc>
          <w:tcPr>
            <w:tcW w:w="140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Conditions Precedent to Closing</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108</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4.02.</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Conditions Precedent to Each Loan and Each Letter of Credit</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110</w:t>
            </w:r>
          </w:p>
        </w:tc>
      </w:tr>
      <w:tr>
        <w:trPr>
          <w:trHeight w:val="486"/>
        </w:trPr>
        <w:tc>
          <w:tcPr>
            <w:tcW w:w="1720" w:type="dxa"/>
            <w:vAlign w:val="bottom"/>
          </w:tcPr>
          <w:p>
            <w:pPr>
              <w:spacing w:after="0"/>
              <w:rPr>
                <w:sz w:val="24"/>
                <w:szCs w:val="24"/>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Article V</w:t>
            </w:r>
          </w:p>
        </w:tc>
        <w:tc>
          <w:tcPr>
            <w:tcW w:w="140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AFFIRMATIVE COVENANTS</w:t>
            </w:r>
          </w:p>
        </w:tc>
        <w:tc>
          <w:tcPr>
            <w:tcW w:w="140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Financial Statements, Reports, etc.</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111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5.02.</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Taxes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113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5.03.</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Corporate Existence</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113</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5.04.</w:t>
            </w:r>
          </w:p>
        </w:tc>
        <w:tc>
          <w:tcPr>
            <w:tcW w:w="6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Compliance with Laws</w:t>
            </w:r>
          </w:p>
        </w:tc>
        <w:tc>
          <w:tcPr>
            <w:tcW w:w="140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0"/>
              </w:rPr>
              <w:t>114</w:t>
            </w:r>
          </w:p>
        </w:tc>
      </w:tr>
    </w:tbl>
    <w:p>
      <w:pPr>
        <w:spacing w:after="0" w:line="200" w:lineRule="exact"/>
        <w:rPr>
          <w:sz w:val="20"/>
          <w:szCs w:val="20"/>
          <w:color w:val="auto"/>
        </w:rPr>
      </w:pPr>
    </w:p>
    <w:p>
      <w:pPr>
        <w:sectPr>
          <w:pgSz w:w="11900" w:h="16838" w:orient="portrait"/>
          <w:cols w:equalWidth="0" w:num="1">
            <w:col w:w="9880"/>
          </w:cols>
          <w:pgMar w:left="840" w:top="1440" w:right="1179" w:bottom="1440" w:gutter="0" w:footer="0" w:header="0"/>
        </w:sect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9880"/>
          </w:cols>
          <w:pgMar w:left="840" w:top="1440" w:right="1179" w:bottom="1440" w:gutter="0" w:footer="0" w:header="0"/>
          <w:type w:val="continuous"/>
        </w:sectPr>
      </w:pPr>
    </w:p>
    <w:bookmarkStart w:id="541" w:name="page542"/>
    <w:bookmarkEnd w:id="541"/>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5.05.</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Designation of Restricted and Unrestricted Subsidiaries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5.06.</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Delivery of Appraisals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5.07.</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Regulatory Matters; Utilization; Reporting</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5.08.</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Maintenance of Ratings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5.09.</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Additional Guarantors; Additional Collateral</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Access to Books and Records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5.11.</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Further Assurances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776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7"/>
              </w:rPr>
              <w:t>Article VI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776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7"/>
              </w:rPr>
              <w:t>NEGATIVE AND FINANCIAL COVENANTS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Restricted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c>
          <w:tcPr>
            <w:tcW w:w="0" w:type="dxa"/>
            <w:vAlign w:val="bottom"/>
          </w:tcPr>
          <w:p>
            <w:pPr>
              <w:spacing w:after="0"/>
              <w:rPr>
                <w:sz w:val="1"/>
                <w:szCs w:val="1"/>
                <w:color w:val="auto"/>
              </w:rPr>
            </w:pPr>
          </w:p>
        </w:tc>
      </w:tr>
      <w:tr>
        <w:trPr>
          <w:trHeight w:val="216"/>
        </w:trPr>
        <w:tc>
          <w:tcPr>
            <w:tcW w:w="17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 6.02.</w:t>
            </w:r>
          </w:p>
        </w:tc>
        <w:tc>
          <w:tcPr>
            <w:tcW w:w="776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w w:val="98"/>
              </w:rPr>
              <w:t>Restrictions on Ability of Restricted Subsidiaries to Pay Dividends and Make Certain</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Other Payments</w:t>
            </w:r>
          </w:p>
        </w:tc>
        <w:tc>
          <w:tcPr>
            <w:tcW w:w="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6.03.</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6.04.</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Disposition of Collateral</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6.05.</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6.06.</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Liens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6.07.</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Business Activities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6.08.</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Liquidity</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6.09.</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Collateral Coverage Ratio</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Merger, Consolidation, or Sale of Assets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Sanctions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776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8"/>
              </w:rPr>
              <w:t>Article VII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776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6"/>
              </w:rPr>
              <w:t>EVENTS OF DEFAULT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Events of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7760" w:type="dxa"/>
            <w:vAlign w:val="bottom"/>
          </w:tcPr>
          <w:p>
            <w:pPr>
              <w:jc w:val="center"/>
              <w:ind w:right="872"/>
              <w:spacing w:after="0"/>
              <w:rPr>
                <w:sz w:val="20"/>
                <w:szCs w:val="20"/>
                <w:color w:val="auto"/>
              </w:rPr>
            </w:pPr>
            <w:r>
              <w:rPr>
                <w:rFonts w:ascii="Times New Roman" w:cs="Times New Roman" w:eastAsia="Times New Roman" w:hAnsi="Times New Roman"/>
                <w:sz w:val="22"/>
                <w:szCs w:val="22"/>
                <w:color w:val="auto"/>
                <w:w w:val="97"/>
              </w:rPr>
              <w:t>Article VIII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776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7"/>
              </w:rPr>
              <w:t>THE AGENTS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Administration by Agents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Rights of Agents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8.03.</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Liability of Agents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8.04.</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Reimbursement and Indemnification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8.05.</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Successor Agents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8.06.</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Independent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8.07.</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Advances and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8.08.</w:t>
            </w:r>
          </w:p>
        </w:tc>
        <w:tc>
          <w:tcPr>
            <w:tcW w:w="7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Sharing of Setoffs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840" w:top="1440" w:right="1179" w:bottom="1440" w:gutter="0" w:footer="0" w:header="0"/>
        </w:sectPr>
      </w:pPr>
    </w:p>
    <w:p>
      <w:pPr>
        <w:spacing w:after="0" w:line="3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9880"/>
          </w:cols>
          <w:pgMar w:left="840" w:top="1440" w:right="1179" w:bottom="1440" w:gutter="0" w:footer="0" w:header="0"/>
          <w:type w:val="continuous"/>
        </w:sectPr>
      </w:pPr>
    </w:p>
    <w:bookmarkStart w:id="542" w:name="page543"/>
    <w:bookmarkEnd w:id="542"/>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8.09.</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Withholding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8.10.</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Appointment by Secured Parties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8.11.</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Delivery of Information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8.12.</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Erroneous Payments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486"/>
        </w:trPr>
        <w:tc>
          <w:tcPr>
            <w:tcW w:w="1760" w:type="dxa"/>
            <w:vAlign w:val="bottom"/>
          </w:tcPr>
          <w:p>
            <w:pPr>
              <w:spacing w:after="0"/>
              <w:rPr>
                <w:sz w:val="24"/>
                <w:szCs w:val="24"/>
                <w:color w:val="auto"/>
              </w:rPr>
            </w:pPr>
          </w:p>
        </w:tc>
        <w:tc>
          <w:tcPr>
            <w:tcW w:w="726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Article IX</w:t>
            </w:r>
          </w:p>
        </w:tc>
        <w:tc>
          <w:tcPr>
            <w:tcW w:w="860" w:type="dxa"/>
            <w:vAlign w:val="bottom"/>
          </w:tcPr>
          <w:p>
            <w:pPr>
              <w:spacing w:after="0"/>
              <w:rPr>
                <w:sz w:val="24"/>
                <w:szCs w:val="24"/>
                <w:color w:val="auto"/>
              </w:rPr>
            </w:pPr>
          </w:p>
        </w:tc>
      </w:tr>
      <w:tr>
        <w:trPr>
          <w:trHeight w:val="486"/>
        </w:trPr>
        <w:tc>
          <w:tcPr>
            <w:tcW w:w="1760" w:type="dxa"/>
            <w:vAlign w:val="bottom"/>
          </w:tcPr>
          <w:p>
            <w:pPr>
              <w:spacing w:after="0"/>
              <w:rPr>
                <w:sz w:val="24"/>
                <w:szCs w:val="24"/>
                <w:color w:val="auto"/>
              </w:rPr>
            </w:pPr>
          </w:p>
        </w:tc>
        <w:tc>
          <w:tcPr>
            <w:tcW w:w="726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GUARANTY</w:t>
            </w:r>
          </w:p>
        </w:tc>
        <w:tc>
          <w:tcPr>
            <w:tcW w:w="860" w:type="dxa"/>
            <w:vAlign w:val="bottom"/>
          </w:tcPr>
          <w:p>
            <w:pPr>
              <w:spacing w:after="0"/>
              <w:rPr>
                <w:sz w:val="24"/>
                <w:szCs w:val="24"/>
                <w:color w:val="auto"/>
              </w:rPr>
            </w:pPr>
          </w:p>
        </w:tc>
      </w:tr>
      <w:tr>
        <w:trPr>
          <w:trHeight w:val="474"/>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Guaranty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Right of Contribution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Continuation and Reinstatement, etc</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9.04.</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Subrogation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9.05.</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Guaranty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486"/>
        </w:trPr>
        <w:tc>
          <w:tcPr>
            <w:tcW w:w="1760" w:type="dxa"/>
            <w:vAlign w:val="bottom"/>
          </w:tcPr>
          <w:p>
            <w:pPr>
              <w:spacing w:after="0"/>
              <w:rPr>
                <w:sz w:val="24"/>
                <w:szCs w:val="24"/>
                <w:color w:val="auto"/>
              </w:rPr>
            </w:pPr>
          </w:p>
        </w:tc>
        <w:tc>
          <w:tcPr>
            <w:tcW w:w="726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6"/>
              </w:rPr>
              <w:t>Article X</w:t>
            </w:r>
          </w:p>
        </w:tc>
        <w:tc>
          <w:tcPr>
            <w:tcW w:w="860" w:type="dxa"/>
            <w:vAlign w:val="bottom"/>
          </w:tcPr>
          <w:p>
            <w:pPr>
              <w:spacing w:after="0"/>
              <w:rPr>
                <w:sz w:val="24"/>
                <w:szCs w:val="24"/>
                <w:color w:val="auto"/>
              </w:rPr>
            </w:pPr>
          </w:p>
        </w:tc>
      </w:tr>
      <w:tr>
        <w:trPr>
          <w:trHeight w:val="486"/>
        </w:trPr>
        <w:tc>
          <w:tcPr>
            <w:tcW w:w="1760" w:type="dxa"/>
            <w:vAlign w:val="bottom"/>
          </w:tcPr>
          <w:p>
            <w:pPr>
              <w:spacing w:after="0"/>
              <w:rPr>
                <w:sz w:val="24"/>
                <w:szCs w:val="24"/>
                <w:color w:val="auto"/>
              </w:rPr>
            </w:pPr>
          </w:p>
        </w:tc>
        <w:tc>
          <w:tcPr>
            <w:tcW w:w="726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8"/>
              </w:rPr>
              <w:t>MISCELLANEOUS</w:t>
            </w:r>
          </w:p>
        </w:tc>
        <w:tc>
          <w:tcPr>
            <w:tcW w:w="860" w:type="dxa"/>
            <w:vAlign w:val="bottom"/>
          </w:tcPr>
          <w:p>
            <w:pPr>
              <w:spacing w:after="0"/>
              <w:rPr>
                <w:sz w:val="24"/>
                <w:szCs w:val="24"/>
                <w:color w:val="auto"/>
              </w:rPr>
            </w:pPr>
          </w:p>
        </w:tc>
      </w:tr>
      <w:tr>
        <w:trPr>
          <w:trHeight w:val="474"/>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10.01.</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10.02.</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Successors and Assigns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10.03.</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Confidentiality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10.04.</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Expenses; Indemnity; Damage Waiver</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10.05.</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10.06.</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Waiver</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10.07.</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Extension of Maturity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10.08.</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 etc.</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10.09.</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Severability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10.10.</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Headings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10.11.</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Survival</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10.12.</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Execution in Counterparts; Integration; Effectiveness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10.13.</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USA Patriot Act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10.14.</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New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10.15.</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10.16.</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Fiduciary Duty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10.17.</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Lender Action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10.18.</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Intercreditor Agreements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10.19.</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Acknowledgment and Consent to Bail-In of Affected Financial Institutions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10.20.</w:t>
            </w:r>
          </w:p>
        </w:tc>
        <w:tc>
          <w:tcPr>
            <w:tcW w:w="72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Acknowledgment Regarding Any Supported QFCs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9880"/>
          </w:cols>
          <w:pgMar w:left="840" w:top="1440" w:right="1179" w:bottom="1440" w:gutter="0" w:footer="0" w:header="0"/>
        </w:sectPr>
      </w:pPr>
    </w:p>
    <w:bookmarkStart w:id="543" w:name="page544"/>
    <w:bookmarkEnd w:id="543"/>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INDEX OF APPENDICES</w:t>
      </w:r>
    </w:p>
    <w:p>
      <w:pPr>
        <w:spacing w:after="0" w:line="2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ANNEX A –</w:t>
      </w:r>
    </w:p>
    <w:p>
      <w:pPr>
        <w:spacing w:after="0" w:line="200" w:lineRule="exact"/>
        <w:rPr>
          <w:sz w:val="20"/>
          <w:szCs w:val="20"/>
          <w:color w:val="auto"/>
        </w:rPr>
      </w:pPr>
    </w:p>
    <w:p>
      <w:pPr>
        <w:spacing w:after="0" w:line="35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color w:val="auto"/>
        </w:rPr>
        <w:t>SCHEDULE 3.06</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A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B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C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D-1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D-2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E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F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G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H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and Commitments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SGR Security Agreement</w:t>
      </w:r>
    </w:p>
    <w:p>
      <w:pPr>
        <w:spacing w:after="0" w:line="233" w:lineRule="exact"/>
        <w:rPr>
          <w:sz w:val="20"/>
          <w:szCs w:val="20"/>
          <w:color w:val="auto"/>
        </w:rPr>
      </w:pPr>
    </w:p>
    <w:p>
      <w:pPr>
        <w:ind w:right="2819"/>
        <w:spacing w:after="0" w:line="461" w:lineRule="auto"/>
        <w:rPr>
          <w:sz w:val="20"/>
          <w:szCs w:val="20"/>
          <w:color w:val="auto"/>
        </w:rPr>
      </w:pPr>
      <w:r>
        <w:rPr>
          <w:rFonts w:ascii="Times New Roman" w:cs="Times New Roman" w:eastAsia="Times New Roman" w:hAnsi="Times New Roman"/>
          <w:sz w:val="22"/>
          <w:szCs w:val="22"/>
          <w:color w:val="auto"/>
        </w:rPr>
        <w:t>Form of Instrument of Assumption and Joinder Form of Assignment and Acceptance Form of Loan Request</w:t>
      </w:r>
    </w:p>
    <w:p>
      <w:pPr>
        <w:spacing w:after="0"/>
        <w:rPr>
          <w:sz w:val="20"/>
          <w:szCs w:val="20"/>
          <w:color w:val="auto"/>
        </w:rPr>
      </w:pPr>
      <w:r>
        <w:rPr>
          <w:rFonts w:ascii="Times New Roman" w:cs="Times New Roman" w:eastAsia="Times New Roman" w:hAnsi="Times New Roman"/>
          <w:sz w:val="22"/>
          <w:szCs w:val="22"/>
          <w:color w:val="auto"/>
        </w:rPr>
        <w:t>Form of Letter of Credit Request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Account Control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Aircraft Security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Collateral Coverage Ratio Certificate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2">
            <w:col w:w="2500" w:space="720"/>
            <w:col w:w="6899"/>
          </w:cols>
          <w:pgMar w:left="340" w:top="1440" w:right="1440" w:bottom="1440" w:gutter="0" w:footer="0" w:header="0"/>
        </w:sectPr>
      </w:pPr>
    </w:p>
    <w:bookmarkStart w:id="544" w:name="page545"/>
    <w:bookmarkEnd w:id="544"/>
    <w:p>
      <w:pPr>
        <w:spacing w:after="0" w:line="19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CREDIT AND GUARANTY AGREEMENT, dated as of December 4, 2023, by and among AMERICAN AIRLINES,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AMERICAN AIRLINES GROUP INC., a Delaware corporation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the direct and indirect Domestic Subsidiaries of Parent from time to time party hereto other than the Borrower, the Lenders (as defined below), CITIBANK, N.A., as administrative agent for the Lenders (together with its permitted successors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and CITIGROUP GLOBAL MARKETS INC., BOFA SECURITIES, INC. and MORGAN STANLEY SENIOR FUNDING, INC., as joint lead arrangers and bookrunners (collectively, the “</w:t>
      </w:r>
      <w:r>
        <w:rPr>
          <w:rFonts w:ascii="Times New Roman" w:cs="Times New Roman" w:eastAsia="Times New Roman" w:hAnsi="Times New Roman"/>
          <w:sz w:val="22"/>
          <w:szCs w:val="22"/>
          <w:i w:val="1"/>
          <w:iCs w:val="1"/>
          <w:color w:val="auto"/>
        </w:rPr>
        <w:t>Joint Lead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Arrangers and Bookrunners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INTRODUCTORY STATEMENT</w:t>
      </w:r>
    </w:p>
    <w:p>
      <w:pPr>
        <w:spacing w:after="0" w:line="23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proceeds of the Loans may be used (x) to pay fees and expenses in connection with the Transactions, (y) to fund the Refinancing of the Existing Notes and (z) for other general corporate purposes.</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w:t>
      </w:r>
    </w:p>
    <w:p>
      <w:pPr>
        <w:spacing w:after="0" w:line="193" w:lineRule="exact"/>
        <w:rPr>
          <w:sz w:val="20"/>
          <w:szCs w:val="20"/>
          <w:color w:val="auto"/>
        </w:rPr>
      </w:pPr>
    </w:p>
    <w:p>
      <w:pPr>
        <w:ind w:left="660" w:firstLine="644"/>
        <w:spacing w:after="0" w:line="271" w:lineRule="auto"/>
        <w:tabs>
          <w:tab w:leader="none" w:pos="1795"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guaranty from each Guarantor of the due and punctual payment and performance of the Obligations of the Borrower pursuant to Article IX;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12"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interest with respect to the Collateral from the Borrower and each other Grantor (if any) pursuant to the Collateral Documents.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parties hereto hereby agree as follows: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2024 Incremental Revolving Commitments</w:t>
      </w:r>
      <w:r>
        <w:rPr>
          <w:rFonts w:ascii="Times New Roman" w:cs="Times New Roman" w:eastAsia="Times New Roman" w:hAnsi="Times New Roman"/>
          <w:sz w:val="22"/>
          <w:szCs w:val="22"/>
          <w:b w:val="1"/>
          <w:bCs w:val="1"/>
          <w:u w:val="single" w:color="auto"/>
          <w:color w:val="0000FF"/>
        </w:rPr>
        <w:t>” shall mean the commitment of each applicable Revolving Lender to make Revolving Loans and participate in Letters of Credit hereunder in an aggregate principal and/or face amount not to exceed the amount set forth under the heading “2024 Incremental Revolving Commitments” opposite its name in Annex A hereto or in the Assignment and Acceptance pursuant to which such Revolving Lender became a party 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2024 Incremental Revolving Lenders</w:t>
      </w:r>
      <w:r>
        <w:rPr>
          <w:rFonts w:ascii="Times New Roman" w:cs="Times New Roman" w:eastAsia="Times New Roman" w:hAnsi="Times New Roman"/>
          <w:sz w:val="22"/>
          <w:szCs w:val="22"/>
          <w:b w:val="1"/>
          <w:bCs w:val="1"/>
          <w:u w:val="single" w:color="auto"/>
          <w:color w:val="0000FF"/>
        </w:rPr>
        <w:t>” shall mean each Lender having a 2024 Incremental Revolving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Commitment.</w:t>
      </w:r>
    </w:p>
    <w:p>
      <w:pPr>
        <w:sectPr>
          <w:pgSz w:w="11900" w:h="16838" w:orient="portrait"/>
          <w:cols w:equalWidth="0" w:num="1">
            <w:col w:w="11240"/>
          </w:cols>
          <w:pgMar w:left="320" w:top="1440" w:right="339" w:bottom="1440" w:gutter="0" w:footer="0" w:header="0"/>
        </w:sectPr>
      </w:pPr>
    </w:p>
    <w:bookmarkStart w:id="545" w:name="page546"/>
    <w:bookmarkEnd w:id="545"/>
    <w:p>
      <w:pPr>
        <w:spacing w:after="0" w:line="194"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 shall mean all “accounts” as defined in the UCC, and all rights to payment for interest (other than with respect to debt and credit card receivables).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 Collateral</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 Control Agreements</w:t>
      </w:r>
      <w:r>
        <w:rPr>
          <w:rFonts w:ascii="Times New Roman" w:cs="Times New Roman" w:eastAsia="Times New Roman" w:hAnsi="Times New Roman"/>
          <w:sz w:val="22"/>
          <w:szCs w:val="22"/>
          <w:color w:val="auto"/>
        </w:rPr>
        <w:t>” shall mean (a) an account control agreement in the form of Exhibit E hereto with such changes as the Administrative Agent and the Borrower shall agree and (b) each other three-party security and control agreement entered into by any Grantor, the Collateral Trustee and a financial institution which maintains one or more deposit accounts or securities accounts that have been pledged to the Collateral Trustee as Collateral hereunder or under any other Loan Document, in each case giving the Collateral Trustee exclusive control over the applicable account and in form and substance reasonably satisfactory to the Administrative Agent.</w:t>
      </w:r>
    </w:p>
    <w:p>
      <w:pPr>
        <w:spacing w:after="0" w:line="17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Collateral</w:t>
      </w:r>
      <w:r>
        <w:rPr>
          <w:rFonts w:ascii="Times New Roman" w:cs="Times New Roman" w:eastAsia="Times New Roman" w:hAnsi="Times New Roman"/>
          <w:sz w:val="22"/>
          <w:szCs w:val="22"/>
          <w:color w:val="auto"/>
        </w:rPr>
        <w:t xml:space="preserve">” shall mean (a) cash or Cash Equivalents pledged to the Collateral Trustee pursuant to the applicable Collateral Document, (b) Additional Route Authorities, Slots and/or Foreign Gate Leaseholds pledged to the Collateral Trustee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Trustee pursuant to a security agreement that is usual and customary for a pledge of assets of such types and reasonably acceptable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(d) aircraft or spare engines pledged to a trustee as provided in Section 8.01(d) pursuant to Aircraft Security Agreement(s) or supplement(s) thereto, (e) Ground Service Equipment, Flight Simulators, Spare Parts, QEC Kits or Real Property Assets located in the United States pledged to the Collateral Trustee pursuant to security agreement(s) (or mortgage(s) in the case of Real Property Assets) in a form reasonably satisfactory to the Administrative Agent and (f) any other assets acceptable to the Required Lenders that may be appraised pursuant to an appropriate Appraisal and pledged to the Collateral Trustee pursuant to security agreement(s) or mortgage(s), as applicable, in a form reasonably satisfactory to the Administrative Agent.</w:t>
      </w:r>
    </w:p>
    <w:p>
      <w:pPr>
        <w:spacing w:after="0" w:line="19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Route Authority</w:t>
      </w:r>
      <w:r>
        <w:rPr>
          <w:rFonts w:ascii="Times New Roman" w:cs="Times New Roman" w:eastAsia="Times New Roman" w:hAnsi="Times New Roman"/>
          <w:sz w:val="22"/>
          <w:szCs w:val="22"/>
          <w:color w:val="auto"/>
        </w:rPr>
        <w:t>” shall mean any route authority (including any applicable certificate, exemption and frequency authorities, or portion thereof) granted by the DOT or any other Governmental Authority and held by any Person pursuant to any treaties or agreements entered into by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46" w:name="page547"/>
    <w:bookmarkEnd w:id="546"/>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any applicable Governmental Authority and as in effect from time to time that permit such Person to operate international air carrier service.</w:t>
      </w:r>
    </w:p>
    <w:p>
      <w:pPr>
        <w:spacing w:after="0" w:line="15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Term SOFR</w:t>
      </w:r>
      <w:r>
        <w:rPr>
          <w:rFonts w:ascii="Times New Roman" w:cs="Times New Roman" w:eastAsia="Times New Roman" w:hAnsi="Times New Roman"/>
          <w:sz w:val="22"/>
          <w:szCs w:val="22"/>
          <w:color w:val="auto"/>
        </w:rPr>
        <w:t xml:space="preserve">” shall mean, for purposes of any calculation, the rate per annum equal to Term SOFR for such calculation;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Adjusted Term SOFR as so determined shall ever be less than the Floor, then Adjusted Term SOFR shall be deemed to be the Floor.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 Transaction</w:t>
      </w:r>
      <w:r>
        <w:rPr>
          <w:rFonts w:ascii="Times New Roman" w:cs="Times New Roman" w:eastAsia="Times New Roman" w:hAnsi="Times New Roman"/>
          <w:sz w:val="22"/>
          <w:szCs w:val="22"/>
          <w:color w:val="auto"/>
        </w:rPr>
        <w:t>” shall have the meaning set forth in Section 6.05(a).</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Agents</w:t>
      </w:r>
      <w:r>
        <w:rPr>
          <w:rFonts w:ascii="Times New Roman" w:cs="Times New Roman" w:eastAsia="Times New Roman" w:hAnsi="Times New Roman"/>
          <w:sz w:val="22"/>
          <w:szCs w:val="22"/>
          <w:color w:val="auto"/>
        </w:rPr>
        <w:t>” shall mean, collectively, the Administrative Agent and the Collateral Trustee, and “</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shall mean either one of them.</w:t>
      </w:r>
    </w:p>
    <w:p>
      <w:pPr>
        <w:spacing w:after="0" w:line="16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Exposure</w:t>
      </w:r>
      <w:r>
        <w:rPr>
          <w:rFonts w:ascii="Times New Roman" w:cs="Times New Roman" w:eastAsia="Times New Roman" w:hAnsi="Times New Roman"/>
          <w:sz w:val="22"/>
          <w:szCs w:val="22"/>
          <w:color w:val="auto"/>
        </w:rPr>
        <w:t>”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Revolving Commitment then in effect or, if the Revolving Commitments have been terminated, the amount of such Lender’s Revolving Extensions of Credit then outstanding.</w:t>
      </w:r>
    </w:p>
    <w:p>
      <w:pPr>
        <w:spacing w:after="0" w:line="18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Exposure Percentage</w:t>
      </w:r>
      <w:r>
        <w:rPr>
          <w:rFonts w:ascii="Times New Roman" w:cs="Times New Roman" w:eastAsia="Times New Roman" w:hAnsi="Times New Roman"/>
          <w:sz w:val="22"/>
          <w:szCs w:val="22"/>
          <w:color w:val="auto"/>
        </w:rPr>
        <w:t>” shall mean, with respect to any Lender at any time, the ratio (expressed as a percentage) of such Lender’s Aggregate Exposure at such time to the Aggregate Exposure of all Lenders at such time.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shall mean this Credit and Guaranty Agreement.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Aircraft Related Equipment</w:t>
      </w:r>
      <w:r>
        <w:rPr>
          <w:rFonts w:ascii="Times New Roman" w:cs="Times New Roman" w:eastAsia="Times New Roman" w:hAnsi="Times New Roman"/>
          <w:sz w:val="22"/>
          <w:szCs w:val="22"/>
          <w:color w:val="auto"/>
        </w:rPr>
        <w:t>” shall mean aircraft (including engines, airframes, propellers and appliances), engines, propellers, spare parts, aircraft parts, Flight Simulators and other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47" w:name="page548"/>
    <w:bookmarkEnd w:id="547"/>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training devices, QEC Kits, passenger loading bridges, other flight equipment or Ground Service Equipment and other operating assets.</w:t>
      </w:r>
    </w:p>
    <w:p>
      <w:pPr>
        <w:spacing w:after="0" w:line="15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Aircraft Security Agreement</w:t>
      </w:r>
      <w:r>
        <w:rPr>
          <w:rFonts w:ascii="Times New Roman" w:cs="Times New Roman" w:eastAsia="Times New Roman" w:hAnsi="Times New Roman"/>
          <w:sz w:val="22"/>
          <w:szCs w:val="22"/>
          <w:color w:val="auto"/>
        </w:rPr>
        <w:t>”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 to conform such form of aircraft security agreement to the description of terms of the SGR Security Agreement as applicable and (y) such other changes proposed by the Borrower and reasonably acceptable to the Administrative Agent.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Airline/Parent Merger</w:t>
      </w:r>
      <w:r>
        <w:rPr>
          <w:rFonts w:ascii="Times New Roman" w:cs="Times New Roman" w:eastAsia="Times New Roman" w:hAnsi="Times New Roman"/>
          <w:sz w:val="22"/>
          <w:szCs w:val="22"/>
          <w:color w:val="auto"/>
        </w:rPr>
        <w:t>” shall mean the merger or consolidation, if any, of Parent with any Subsidiary of Parent.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Airlines Merger</w:t>
      </w:r>
      <w:r>
        <w:rPr>
          <w:rFonts w:ascii="Times New Roman" w:cs="Times New Roman" w:eastAsia="Times New Roman" w:hAnsi="Times New Roman"/>
          <w:sz w:val="22"/>
          <w:szCs w:val="22"/>
          <w:color w:val="auto"/>
        </w:rPr>
        <w:t>” shall mean the merger, asset transfer, consolidation or any similar transaction involving one or more airline Subsidiaries of Parent (including, without limitation, any such transaction that results in such Subsidiaries operating under a single operating certificate).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Airport Authority</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AISI”</w:t>
      </w:r>
      <w:r>
        <w:rPr>
          <w:rFonts w:ascii="Times New Roman" w:cs="Times New Roman" w:eastAsia="Times New Roman" w:hAnsi="Times New Roman"/>
          <w:sz w:val="22"/>
          <w:szCs w:val="22"/>
          <w:color w:val="auto"/>
        </w:rPr>
        <w:t xml:space="preserve"> shall mean Aircraft Information Services, Inc.</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All-In Initial Yield</w:t>
      </w:r>
      <w:r>
        <w:rPr>
          <w:rFonts w:ascii="Times New Roman" w:cs="Times New Roman" w:eastAsia="Times New Roman" w:hAnsi="Times New Roman"/>
          <w:sz w:val="22"/>
          <w:szCs w:val="22"/>
          <w:color w:val="auto"/>
        </w:rPr>
        <w:t>” shall mean with respect to any Class, the initial yield on such Class payable or allocable to all Lenders as determined by the Administrative Agent to be equal to the sum of (x) the margin above Adjusted Term SOFR that is applicable to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with such OID being equated to interest based on an assumed four-year life to maturity) and (z) with respect to any Class of Incremental Term Loans that contains an interest rate “floor” with respect to Adjusted Term SOFR, the amount, if any, by which (1) such Adjusted Term SOFR floor exceeds (2) the Adjusted Term SOFR floor applicable to the Original Term Loans provided an increase in such floor would cause an increase in the interest rate applicable to the Original Term Loans.</w:t>
      </w:r>
    </w:p>
    <w:p>
      <w:pPr>
        <w:spacing w:after="0" w:line="19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Alternate Base Rate</w:t>
      </w:r>
      <w:r>
        <w:rPr>
          <w:rFonts w:ascii="Times New Roman" w:cs="Times New Roman" w:eastAsia="Times New Roman" w:hAnsi="Times New Roman"/>
          <w:sz w:val="22"/>
          <w:szCs w:val="22"/>
          <w:color w:val="auto"/>
        </w:rPr>
        <w:t>” shall mean, for any day, a rate per annum equal to the greatest of (a) the Prime Rate in effect on such day, (b) the sum of the Federal Funds Effective Rate in effect on such day plus 1/2 of 1% and (c) the sum of the Term SOFR Reference Rate for an Interest Period of one month in effect on such day plus 1%. Any change in the Alternate Base Rate due to a change in the Prime Rate, the Federal Funds Effective Rate or the Term SOFR Reference Rate for an Interest Period of one month shall be effective from and including the effective date of such change in the Prime Rate or the Federal Funds Effective Rate or the Term SOFR Reference Rate for an Interest Period of one month, respectively. For the avoidance of doubt, if the Alternate Base Rate as determined pursuant to the foregoing definition shall be less than 1.00%, the Alternate Base Rate shall be deemed to be 1.00% for all purposes of this Agreement.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48" w:name="page549"/>
    <w:bookmarkEnd w:id="548"/>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AMR/US Airways Merger</w:t>
      </w:r>
      <w:r>
        <w:rPr>
          <w:rFonts w:ascii="Times New Roman" w:cs="Times New Roman" w:eastAsia="Times New Roman" w:hAnsi="Times New Roman"/>
          <w:sz w:val="22"/>
          <w:szCs w:val="22"/>
          <w:color w:val="auto"/>
        </w:rPr>
        <w:t>” shall mean the merger consummated by the AMR/US Airways Merger Agreement.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Merger Agreement</w:t>
      </w:r>
      <w:r>
        <w:rPr>
          <w:rFonts w:ascii="Times New Roman" w:cs="Times New Roman" w:eastAsia="Times New Roman" w:hAnsi="Times New Roman"/>
          <w:sz w:val="22"/>
          <w:szCs w:val="22"/>
          <w:color w:val="auto"/>
        </w:rPr>
        <w:t>” shall mean the Agreement and Plan of Merger, dated as of February 13, 2013, among Parent, AMR Merger Sub, Inc. and US Airways Group, Inc., as amended through December 9, 2013.</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shall have the meaning set forth in Section 3.18.</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xml:space="preserve">” shall mean (a) with respect to Revolving Loans, </w:t>
      </w:r>
      <w:r>
        <w:rPr>
          <w:rFonts w:ascii="Times New Roman" w:cs="Times New Roman" w:eastAsia="Times New Roman" w:hAnsi="Times New Roman"/>
          <w:sz w:val="22"/>
          <w:szCs w:val="22"/>
          <w:b w:val="1"/>
          <w:bCs w:val="1"/>
          <w:color w:val="FF0000"/>
          <w:strike w:val="1"/>
        </w:rPr>
        <w:t>such percentage per annum as may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agreed in writing by the Borrower and the Revolving Lenders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from time to time</w:t>
      </w:r>
      <w:r>
        <w:rPr>
          <w:rFonts w:ascii="Times New Roman" w:cs="Times New Roman" w:eastAsia="Times New Roman" w:hAnsi="Times New Roman"/>
          <w:sz w:val="22"/>
          <w:szCs w:val="22"/>
          <w:b w:val="1"/>
          <w:bCs w:val="1"/>
          <w:u w:val="single" w:color="auto"/>
          <w:color w:val="0000FF"/>
        </w:rPr>
        <w:t>, the applicable rate per annum set forth in</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u w:val="single" w:color="auto"/>
          <w:color w:val="0000FF"/>
        </w:rPr>
        <w:t>the below table based upon the public corporate rating of the Parent from Moody’s and S&amp;P</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and (b) with respect to Term</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Loans (i) that are Term SOFR Loans, 3.50% per annum and (ii) that are ABR Loans, 2.50% per annum.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80" w:type="dxa"/>
            <w:vAlign w:val="bottom"/>
            <w:tcBorders>
              <w:top w:val="single" w:sz="8" w:color="auto"/>
              <w:left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20" w:type="dxa"/>
            <w:vAlign w:val="bottom"/>
            <w:tcBorders>
              <w:top w:val="single" w:sz="8" w:color="auto"/>
              <w:bottom w:val="single" w:sz="8" w:color="auto"/>
            </w:tcBorders>
            <w:gridSpan w:val="7"/>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0000FF"/>
                <w:w w:val="99"/>
              </w:rPr>
              <w:t>Debt Ratings</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60" w:type="dxa"/>
            <w:vAlign w:val="bottom"/>
            <w:tcBorders>
              <w:top w:val="single" w:sz="8" w:color="auto"/>
              <w:bottom w:val="single" w:sz="8" w:color="auto"/>
            </w:tcBorders>
            <w:shd w:val="clear" w:color="auto" w:fill="A6A6A6"/>
          </w:tcPr>
          <w:p>
            <w:pPr>
              <w:spacing w:after="0"/>
              <w:rPr>
                <w:sz w:val="24"/>
                <w:szCs w:val="24"/>
                <w:color w:val="auto"/>
              </w:rPr>
            </w:pPr>
          </w:p>
        </w:tc>
        <w:tc>
          <w:tcPr>
            <w:tcW w:w="580" w:type="dxa"/>
            <w:vAlign w:val="bottom"/>
            <w:tcBorders>
              <w:top w:val="single" w:sz="8" w:color="auto"/>
              <w:bottom w:val="single" w:sz="8" w:color="auto"/>
            </w:tcBorders>
            <w:shd w:val="clear" w:color="auto" w:fill="A6A6A6"/>
          </w:tcPr>
          <w:p>
            <w:pPr>
              <w:spacing w:after="0"/>
              <w:rPr>
                <w:sz w:val="24"/>
                <w:szCs w:val="24"/>
                <w:color w:val="auto"/>
              </w:rPr>
            </w:pPr>
          </w:p>
        </w:tc>
        <w:tc>
          <w:tcPr>
            <w:tcW w:w="300" w:type="dxa"/>
            <w:vAlign w:val="bottom"/>
            <w:tcBorders>
              <w:top w:val="single" w:sz="8" w:color="auto"/>
              <w:bottom w:val="single" w:sz="8" w:color="auto"/>
            </w:tcBorders>
            <w:shd w:val="clear" w:color="auto" w:fill="A6A6A6"/>
          </w:tcPr>
          <w:p>
            <w:pPr>
              <w:spacing w:after="0"/>
              <w:rPr>
                <w:sz w:val="24"/>
                <w:szCs w:val="24"/>
                <w:color w:val="auto"/>
              </w:rPr>
            </w:pPr>
          </w:p>
        </w:tc>
        <w:tc>
          <w:tcPr>
            <w:tcW w:w="580" w:type="dxa"/>
            <w:vAlign w:val="bottom"/>
            <w:tcBorders>
              <w:top w:val="single" w:sz="8" w:color="auto"/>
              <w:bottom w:val="single" w:sz="8" w:color="auto"/>
            </w:tcBorders>
            <w:shd w:val="clear" w:color="auto" w:fill="A6A6A6"/>
          </w:tcPr>
          <w:p>
            <w:pPr>
              <w:spacing w:after="0"/>
              <w:rPr>
                <w:sz w:val="24"/>
                <w:szCs w:val="24"/>
                <w:color w:val="auto"/>
              </w:rPr>
            </w:pPr>
          </w:p>
        </w:tc>
        <w:tc>
          <w:tcPr>
            <w:tcW w:w="300" w:type="dxa"/>
            <w:vAlign w:val="bottom"/>
            <w:tcBorders>
              <w:top w:val="single" w:sz="8" w:color="auto"/>
              <w:bottom w:val="single" w:sz="8" w:color="auto"/>
            </w:tcBorders>
            <w:shd w:val="clear" w:color="auto" w:fill="A6A6A6"/>
          </w:tcPr>
          <w:p>
            <w:pPr>
              <w:spacing w:after="0"/>
              <w:rPr>
                <w:sz w:val="24"/>
                <w:szCs w:val="24"/>
                <w:color w:val="auto"/>
              </w:rPr>
            </w:pPr>
          </w:p>
        </w:tc>
        <w:tc>
          <w:tcPr>
            <w:tcW w:w="60" w:type="dxa"/>
            <w:vAlign w:val="bottom"/>
            <w:tcBorders>
              <w:top w:val="single" w:sz="8" w:color="auto"/>
              <w:bottom w:val="single" w:sz="8" w:color="auto"/>
            </w:tcBorders>
            <w:shd w:val="clear" w:color="auto" w:fill="A6A6A6"/>
          </w:tcPr>
          <w:p>
            <w:pPr>
              <w:spacing w:after="0"/>
              <w:rPr>
                <w:sz w:val="24"/>
                <w:szCs w:val="24"/>
                <w:color w:val="auto"/>
              </w:rPr>
            </w:pPr>
          </w:p>
        </w:tc>
        <w:tc>
          <w:tcPr>
            <w:tcW w:w="3660" w:type="dxa"/>
            <w:vAlign w:val="bottom"/>
            <w:tcBorders>
              <w:top w:val="single" w:sz="8" w:color="auto"/>
              <w:bottom w:val="single" w:sz="8" w:color="auto"/>
              <w:right w:val="single" w:sz="8" w:color="auto"/>
            </w:tcBorders>
            <w:gridSpan w:val="7"/>
            <w:shd w:val="clear" w:color="auto" w:fill="A6A6A6"/>
          </w:tcPr>
          <w:p>
            <w:pPr>
              <w:spacing w:after="0" w:line="229" w:lineRule="exact"/>
              <w:rPr>
                <w:sz w:val="20"/>
                <w:szCs w:val="20"/>
                <w:color w:val="auto"/>
              </w:rPr>
            </w:pPr>
            <w:r>
              <w:rPr>
                <w:rFonts w:ascii="Times New Roman" w:cs="Times New Roman" w:eastAsia="Times New Roman" w:hAnsi="Times New Roman"/>
                <w:sz w:val="22"/>
                <w:szCs w:val="22"/>
                <w:b w:val="1"/>
                <w:bCs w:val="1"/>
                <w:color w:val="0000FF"/>
              </w:rPr>
              <w:t>Revolving Loans</w:t>
            </w:r>
          </w:p>
        </w:tc>
        <w:tc>
          <w:tcPr>
            <w:tcW w:w="0" w:type="dxa"/>
            <w:vAlign w:val="bottom"/>
          </w:tcPr>
          <w:p>
            <w:pPr>
              <w:spacing w:after="0"/>
              <w:rPr>
                <w:sz w:val="1"/>
                <w:szCs w:val="1"/>
                <w:color w:val="auto"/>
              </w:rPr>
            </w:pPr>
          </w:p>
        </w:tc>
      </w:tr>
      <w:tr>
        <w:trPr>
          <w:trHeight w:val="156"/>
        </w:trPr>
        <w:tc>
          <w:tcPr>
            <w:tcW w:w="180" w:type="dxa"/>
            <w:vAlign w:val="bottom"/>
            <w:tcBorders>
              <w:lef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78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220" w:type="dxa"/>
            <w:vAlign w:val="bottom"/>
            <w:tcBorders>
              <w:bottom w:val="single" w:sz="8" w:color="0000FF"/>
            </w:tcBorders>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900" w:type="dxa"/>
            <w:vAlign w:val="bottom"/>
            <w:tcBorders>
              <w:right w:val="single" w:sz="8" w:color="auto"/>
            </w:tcBorders>
            <w:gridSpan w:val="8"/>
            <w:vMerge w:val="restart"/>
          </w:tcPr>
          <w:p>
            <w:pPr>
              <w:jc w:val="center"/>
              <w:ind w:right="20"/>
              <w:spacing w:after="0" w:line="209" w:lineRule="exact"/>
              <w:rPr>
                <w:sz w:val="20"/>
                <w:szCs w:val="20"/>
                <w:color w:val="auto"/>
              </w:rPr>
            </w:pPr>
            <w:r>
              <w:rPr>
                <w:rFonts w:ascii="Times New Roman" w:cs="Times New Roman" w:eastAsia="Times New Roman" w:hAnsi="Times New Roman"/>
                <w:sz w:val="22"/>
                <w:szCs w:val="22"/>
                <w:b w:val="1"/>
                <w:bCs w:val="1"/>
                <w:color w:val="0000FF"/>
                <w:w w:val="97"/>
              </w:rPr>
              <w:t>Applicable Rate for Term</w:t>
            </w:r>
          </w:p>
        </w:tc>
        <w:tc>
          <w:tcPr>
            <w:tcW w:w="2840" w:type="dxa"/>
            <w:vAlign w:val="bottom"/>
            <w:tcBorders>
              <w:right w:val="single" w:sz="8" w:color="auto"/>
            </w:tcBorders>
            <w:gridSpan w:val="5"/>
            <w:vMerge w:val="restart"/>
          </w:tcPr>
          <w:p>
            <w:pPr>
              <w:jc w:val="center"/>
              <w:ind w:right="20"/>
              <w:spacing w:after="0" w:line="209" w:lineRule="exact"/>
              <w:rPr>
                <w:sz w:val="20"/>
                <w:szCs w:val="20"/>
                <w:color w:val="auto"/>
              </w:rPr>
            </w:pPr>
            <w:r>
              <w:rPr>
                <w:rFonts w:ascii="Times New Roman" w:cs="Times New Roman" w:eastAsia="Times New Roman" w:hAnsi="Times New Roman"/>
                <w:sz w:val="22"/>
                <w:szCs w:val="22"/>
                <w:b w:val="1"/>
                <w:bCs w:val="1"/>
                <w:color w:val="0000FF"/>
                <w:w w:val="98"/>
              </w:rPr>
              <w:t>Applicable Rate for Base Rate</w:t>
            </w:r>
          </w:p>
        </w:tc>
        <w:tc>
          <w:tcPr>
            <w:tcW w:w="0" w:type="dxa"/>
            <w:vAlign w:val="bottom"/>
          </w:tcPr>
          <w:p>
            <w:pPr>
              <w:spacing w:after="0"/>
              <w:rPr>
                <w:sz w:val="1"/>
                <w:szCs w:val="1"/>
                <w:color w:val="auto"/>
              </w:rPr>
            </w:pPr>
          </w:p>
        </w:tc>
      </w:tr>
      <w:tr>
        <w:trPr>
          <w:trHeight w:val="34"/>
        </w:trPr>
        <w:tc>
          <w:tcPr>
            <w:tcW w:w="18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40" w:type="dxa"/>
            <w:vAlign w:val="bottom"/>
            <w:vMerge w:val="restart"/>
          </w:tcPr>
          <w:p>
            <w:pPr>
              <w:spacing w:after="0"/>
              <w:rPr>
                <w:sz w:val="2"/>
                <w:szCs w:val="2"/>
                <w:color w:val="auto"/>
              </w:rPr>
            </w:pPr>
          </w:p>
        </w:tc>
        <w:tc>
          <w:tcPr>
            <w:tcW w:w="940" w:type="dxa"/>
            <w:vAlign w:val="bottom"/>
            <w:gridSpan w:val="5"/>
            <w:vMerge w:val="restart"/>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0000FF"/>
                <w:w w:val="98"/>
              </w:rPr>
              <w:t>(Moody’s/</w:t>
            </w:r>
          </w:p>
        </w:tc>
        <w:tc>
          <w:tcPr>
            <w:tcW w:w="1180" w:type="dxa"/>
            <w:vAlign w:val="bottom"/>
            <w:tcBorders>
              <w:right w:val="single" w:sz="8" w:color="auto"/>
            </w:tcBorders>
            <w:gridSpan w:val="4"/>
            <w:vMerge w:val="restart"/>
          </w:tcPr>
          <w:p>
            <w:pPr>
              <w:spacing w:after="0"/>
              <w:rPr>
                <w:sz w:val="2"/>
                <w:szCs w:val="2"/>
                <w:color w:val="auto"/>
              </w:rPr>
            </w:pPr>
          </w:p>
        </w:tc>
        <w:tc>
          <w:tcPr>
            <w:tcW w:w="2900" w:type="dxa"/>
            <w:vAlign w:val="bottom"/>
            <w:tcBorders>
              <w:right w:val="single" w:sz="8" w:color="auto"/>
            </w:tcBorders>
            <w:gridSpan w:val="8"/>
            <w:vMerge w:val="continue"/>
          </w:tcPr>
          <w:p>
            <w:pPr>
              <w:spacing w:after="0"/>
              <w:rPr>
                <w:sz w:val="2"/>
                <w:szCs w:val="2"/>
                <w:color w:val="auto"/>
              </w:rPr>
            </w:pPr>
          </w:p>
        </w:tc>
        <w:tc>
          <w:tcPr>
            <w:tcW w:w="2840" w:type="dxa"/>
            <w:vAlign w:val="bottom"/>
            <w:tcBorders>
              <w:right w:val="single" w:sz="8" w:color="auto"/>
            </w:tcBorders>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tcBorders>
              <w:bottom w:val="single" w:sz="8" w:color="0000FF"/>
            </w:tcBorders>
            <w:gridSpan w:val="5"/>
            <w:vMerge w:val="continue"/>
          </w:tcPr>
          <w:p>
            <w:pPr>
              <w:spacing w:after="0"/>
              <w:rPr>
                <w:sz w:val="17"/>
                <w:szCs w:val="17"/>
                <w:color w:val="auto"/>
              </w:rPr>
            </w:pPr>
          </w:p>
        </w:tc>
        <w:tc>
          <w:tcPr>
            <w:tcW w:w="1180" w:type="dxa"/>
            <w:vAlign w:val="bottom"/>
            <w:tcBorders>
              <w:right w:val="single" w:sz="8" w:color="auto"/>
            </w:tcBorders>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gridSpan w:val="5"/>
          </w:tcPr>
          <w:p>
            <w:pPr>
              <w:jc w:val="center"/>
              <w:ind w:right="492"/>
              <w:spacing w:after="0" w:line="169" w:lineRule="exact"/>
              <w:rPr>
                <w:sz w:val="20"/>
                <w:szCs w:val="20"/>
                <w:color w:val="auto"/>
              </w:rPr>
            </w:pPr>
            <w:r>
              <w:rPr>
                <w:rFonts w:ascii="Times New Roman" w:cs="Times New Roman" w:eastAsia="Times New Roman" w:hAnsi="Times New Roman"/>
                <w:sz w:val="19"/>
                <w:szCs w:val="19"/>
                <w:b w:val="1"/>
                <w:bCs w:val="1"/>
                <w:color w:val="0000FF"/>
              </w:rPr>
              <w:t>SOFR Loans</w:t>
            </w:r>
          </w:p>
        </w:tc>
        <w:tc>
          <w:tcPr>
            <w:tcW w:w="2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20" w:type="dxa"/>
            <w:vAlign w:val="bottom"/>
            <w:tcBorders>
              <w:top w:val="single" w:sz="8" w:color="0000FF"/>
              <w:right w:val="single" w:sz="8" w:color="auto"/>
            </w:tcBorders>
            <w:gridSpan w:val="2"/>
          </w:tcPr>
          <w:p>
            <w:pPr>
              <w:jc w:val="center"/>
              <w:ind w:right="1140"/>
              <w:spacing w:after="0" w:line="169" w:lineRule="exact"/>
              <w:rPr>
                <w:sz w:val="20"/>
                <w:szCs w:val="20"/>
                <w:color w:val="auto"/>
              </w:rPr>
            </w:pPr>
            <w:r>
              <w:rPr>
                <w:rFonts w:ascii="Times New Roman" w:cs="Times New Roman" w:eastAsia="Times New Roman" w:hAnsi="Times New Roman"/>
                <w:sz w:val="19"/>
                <w:szCs w:val="19"/>
                <w:b w:val="1"/>
                <w:bCs w:val="1"/>
                <w:color w:val="0000FF"/>
              </w:rPr>
              <w:t>Loans</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gridSpan w:val="9"/>
          </w:tcPr>
          <w:p>
            <w:pPr>
              <w:jc w:val="center"/>
              <w:spacing w:after="0" w:line="217" w:lineRule="exact"/>
              <w:rPr>
                <w:sz w:val="20"/>
                <w:szCs w:val="20"/>
                <w:color w:val="auto"/>
              </w:rPr>
            </w:pPr>
            <w:r>
              <w:rPr>
                <w:rFonts w:ascii="Times New Roman" w:cs="Times New Roman" w:eastAsia="Times New Roman" w:hAnsi="Times New Roman"/>
                <w:sz w:val="22"/>
                <w:szCs w:val="22"/>
                <w:b w:val="1"/>
                <w:bCs w:val="1"/>
                <w:color w:val="0000FF"/>
                <w:w w:val="98"/>
              </w:rPr>
              <w:t>Pricing Level</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bottom w:val="single" w:sz="8" w:color="0000FF"/>
            </w:tcBorders>
          </w:tcPr>
          <w:p>
            <w:pPr>
              <w:jc w:val="center"/>
              <w:spacing w:after="0" w:line="203" w:lineRule="exact"/>
              <w:rPr>
                <w:sz w:val="20"/>
                <w:szCs w:val="20"/>
                <w:color w:val="auto"/>
              </w:rPr>
            </w:pPr>
            <w:r>
              <w:rPr>
                <w:rFonts w:ascii="Times New Roman" w:cs="Times New Roman" w:eastAsia="Times New Roman" w:hAnsi="Times New Roman"/>
                <w:sz w:val="22"/>
                <w:szCs w:val="22"/>
                <w:b w:val="1"/>
                <w:bCs w:val="1"/>
                <w:color w:val="0000FF"/>
                <w:w w:val="97"/>
              </w:rPr>
              <w:t>S&amp;P)</w:t>
            </w:r>
          </w:p>
        </w:tc>
        <w:tc>
          <w:tcPr>
            <w:tcW w:w="4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80" w:type="dxa"/>
            <w:vAlign w:val="bottom"/>
            <w:tcBorders>
              <w:left w:val="single" w:sz="8" w:color="auto"/>
              <w:bottom w:val="single" w:sz="8" w:color="auto"/>
            </w:tcBorders>
            <w:shd w:val="clear" w:color="auto" w:fill="E6E6FA"/>
          </w:tcPr>
          <w:p>
            <w:pPr>
              <w:spacing w:after="0"/>
              <w:rPr>
                <w:sz w:val="22"/>
                <w:szCs w:val="22"/>
                <w:color w:val="auto"/>
              </w:rPr>
            </w:pPr>
          </w:p>
        </w:tc>
        <w:tc>
          <w:tcPr>
            <w:tcW w:w="500" w:type="dxa"/>
            <w:vAlign w:val="bottom"/>
            <w:tcBorders>
              <w:bottom w:val="single" w:sz="8" w:color="auto"/>
            </w:tcBorders>
            <w:shd w:val="clear" w:color="auto" w:fill="E6E6FA"/>
          </w:tcPr>
          <w:p>
            <w:pPr>
              <w:spacing w:after="0"/>
              <w:rPr>
                <w:sz w:val="22"/>
                <w:szCs w:val="22"/>
                <w:color w:val="auto"/>
              </w:rPr>
            </w:pPr>
          </w:p>
        </w:tc>
        <w:tc>
          <w:tcPr>
            <w:tcW w:w="40" w:type="dxa"/>
            <w:vAlign w:val="bottom"/>
            <w:tcBorders>
              <w:bottom w:val="single" w:sz="8" w:color="auto"/>
            </w:tcBorders>
            <w:shd w:val="clear" w:color="auto" w:fill="E6E6FA"/>
          </w:tcPr>
          <w:p>
            <w:pPr>
              <w:spacing w:after="0"/>
              <w:rPr>
                <w:sz w:val="22"/>
                <w:szCs w:val="22"/>
                <w:color w:val="auto"/>
              </w:rPr>
            </w:pPr>
          </w:p>
        </w:tc>
        <w:tc>
          <w:tcPr>
            <w:tcW w:w="40" w:type="dxa"/>
            <w:vAlign w:val="bottom"/>
            <w:tcBorders>
              <w:bottom w:val="single" w:sz="8" w:color="auto"/>
            </w:tcBorders>
            <w:shd w:val="clear" w:color="auto" w:fill="E6E6FA"/>
          </w:tcPr>
          <w:p>
            <w:pPr>
              <w:spacing w:after="0"/>
              <w:rPr>
                <w:sz w:val="22"/>
                <w:szCs w:val="22"/>
                <w:color w:val="auto"/>
              </w:rPr>
            </w:pPr>
          </w:p>
        </w:tc>
        <w:tc>
          <w:tcPr>
            <w:tcW w:w="840" w:type="dxa"/>
            <w:vAlign w:val="bottom"/>
            <w:tcBorders>
              <w:bottom w:val="single" w:sz="8" w:color="auto"/>
              <w:right w:val="single" w:sz="8" w:color="auto"/>
            </w:tcBorders>
            <w:gridSpan w:val="5"/>
            <w:shd w:val="clear" w:color="auto" w:fill="E6E6FA"/>
          </w:tcPr>
          <w:p>
            <w:pPr>
              <w:jc w:val="center"/>
              <w:ind w:right="760"/>
              <w:spacing w:after="0" w:line="209" w:lineRule="exact"/>
              <w:rPr>
                <w:sz w:val="20"/>
                <w:szCs w:val="20"/>
                <w:color w:val="auto"/>
              </w:rPr>
            </w:pPr>
            <w:r>
              <w:rPr>
                <w:rFonts w:ascii="Times New Roman" w:cs="Times New Roman" w:eastAsia="Times New Roman" w:hAnsi="Times New Roman"/>
                <w:sz w:val="22"/>
                <w:szCs w:val="22"/>
                <w:b w:val="1"/>
                <w:bCs w:val="1"/>
                <w:color w:val="0000FF"/>
                <w:w w:val="92"/>
              </w:rPr>
              <w:t>I</w:t>
            </w:r>
          </w:p>
        </w:tc>
        <w:tc>
          <w:tcPr>
            <w:tcW w:w="3280" w:type="dxa"/>
            <w:vAlign w:val="bottom"/>
            <w:tcBorders>
              <w:bottom w:val="single" w:sz="8" w:color="auto"/>
              <w:right w:val="single" w:sz="8" w:color="auto"/>
            </w:tcBorders>
            <w:gridSpan w:val="13"/>
            <w:shd w:val="clear" w:color="auto" w:fill="E6E6FA"/>
          </w:tcPr>
          <w:p>
            <w:pPr>
              <w:jc w:val="center"/>
              <w:ind w:right="20"/>
              <w:spacing w:after="0" w:line="209" w:lineRule="exact"/>
              <w:rPr>
                <w:sz w:val="20"/>
                <w:szCs w:val="20"/>
                <w:color w:val="auto"/>
              </w:rPr>
            </w:pPr>
            <w:r>
              <w:rPr>
                <w:rFonts w:ascii="Times New Roman" w:cs="Times New Roman" w:eastAsia="Times New Roman" w:hAnsi="Times New Roman"/>
                <w:sz w:val="22"/>
                <w:szCs w:val="22"/>
                <w:b w:val="1"/>
                <w:bCs w:val="1"/>
                <w:color w:val="0000FF"/>
                <w:w w:val="98"/>
              </w:rPr>
              <w:t>Ba3/BB- or higher</w:t>
            </w:r>
          </w:p>
        </w:tc>
        <w:tc>
          <w:tcPr>
            <w:tcW w:w="1720" w:type="dxa"/>
            <w:vAlign w:val="bottom"/>
            <w:tcBorders>
              <w:bottom w:val="single" w:sz="8" w:color="auto"/>
            </w:tcBorders>
            <w:gridSpan w:val="4"/>
            <w:shd w:val="clear" w:color="auto" w:fill="E6E6FA"/>
          </w:tcPr>
          <w:p>
            <w:pPr>
              <w:jc w:val="center"/>
              <w:ind w:left="1032"/>
              <w:spacing w:after="0" w:line="209" w:lineRule="exact"/>
              <w:rPr>
                <w:sz w:val="20"/>
                <w:szCs w:val="20"/>
                <w:color w:val="auto"/>
              </w:rPr>
            </w:pPr>
            <w:r>
              <w:rPr>
                <w:rFonts w:ascii="Times New Roman" w:cs="Times New Roman" w:eastAsia="Times New Roman" w:hAnsi="Times New Roman"/>
                <w:sz w:val="22"/>
                <w:szCs w:val="22"/>
                <w:b w:val="1"/>
                <w:bCs w:val="1"/>
                <w:color w:val="0000FF"/>
                <w:w w:val="95"/>
              </w:rPr>
              <w:t>3.00%</w:t>
            </w:r>
          </w:p>
        </w:tc>
        <w:tc>
          <w:tcPr>
            <w:tcW w:w="300" w:type="dxa"/>
            <w:vAlign w:val="bottom"/>
            <w:tcBorders>
              <w:bottom w:val="single" w:sz="8" w:color="auto"/>
            </w:tcBorders>
            <w:shd w:val="clear" w:color="auto" w:fill="E6E6FA"/>
          </w:tcPr>
          <w:p>
            <w:pPr>
              <w:spacing w:after="0"/>
              <w:rPr>
                <w:sz w:val="22"/>
                <w:szCs w:val="22"/>
                <w:color w:val="auto"/>
              </w:rPr>
            </w:pPr>
          </w:p>
        </w:tc>
        <w:tc>
          <w:tcPr>
            <w:tcW w:w="60" w:type="dxa"/>
            <w:vAlign w:val="bottom"/>
            <w:tcBorders>
              <w:bottom w:val="single" w:sz="8" w:color="auto"/>
            </w:tcBorders>
            <w:shd w:val="clear" w:color="auto" w:fill="E6E6FA"/>
          </w:tcPr>
          <w:p>
            <w:pPr>
              <w:spacing w:after="0"/>
              <w:rPr>
                <w:sz w:val="22"/>
                <w:szCs w:val="22"/>
                <w:color w:val="auto"/>
              </w:rPr>
            </w:pPr>
          </w:p>
        </w:tc>
        <w:tc>
          <w:tcPr>
            <w:tcW w:w="540" w:type="dxa"/>
            <w:vAlign w:val="bottom"/>
            <w:tcBorders>
              <w:bottom w:val="single" w:sz="8" w:color="auto"/>
            </w:tcBorders>
            <w:shd w:val="clear" w:color="auto" w:fill="E6E6FA"/>
          </w:tcPr>
          <w:p>
            <w:pPr>
              <w:spacing w:after="0"/>
              <w:rPr>
                <w:sz w:val="22"/>
                <w:szCs w:val="22"/>
                <w:color w:val="auto"/>
              </w:rPr>
            </w:pPr>
          </w:p>
        </w:tc>
        <w:tc>
          <w:tcPr>
            <w:tcW w:w="280" w:type="dxa"/>
            <w:vAlign w:val="bottom"/>
            <w:tcBorders>
              <w:bottom w:val="single" w:sz="8" w:color="auto"/>
              <w:right w:val="single" w:sz="8" w:color="auto"/>
            </w:tcBorders>
            <w:shd w:val="clear" w:color="auto" w:fill="E6E6FA"/>
          </w:tcPr>
          <w:p>
            <w:pPr>
              <w:spacing w:after="0"/>
              <w:rPr>
                <w:sz w:val="22"/>
                <w:szCs w:val="22"/>
                <w:color w:val="auto"/>
              </w:rPr>
            </w:pPr>
          </w:p>
        </w:tc>
        <w:tc>
          <w:tcPr>
            <w:tcW w:w="2840" w:type="dxa"/>
            <w:vAlign w:val="bottom"/>
            <w:tcBorders>
              <w:bottom w:val="single" w:sz="8" w:color="auto"/>
              <w:right w:val="single" w:sz="8" w:color="auto"/>
            </w:tcBorders>
            <w:gridSpan w:val="5"/>
            <w:shd w:val="clear" w:color="auto" w:fill="E6E6FA"/>
          </w:tcPr>
          <w:p>
            <w:pPr>
              <w:jc w:val="center"/>
              <w:ind w:right="20"/>
              <w:spacing w:after="0" w:line="209" w:lineRule="exact"/>
              <w:rPr>
                <w:sz w:val="20"/>
                <w:szCs w:val="20"/>
                <w:color w:val="auto"/>
              </w:rPr>
            </w:pPr>
            <w:r>
              <w:rPr>
                <w:rFonts w:ascii="Times New Roman" w:cs="Times New Roman" w:eastAsia="Times New Roman" w:hAnsi="Times New Roman"/>
                <w:sz w:val="22"/>
                <w:szCs w:val="22"/>
                <w:b w:val="1"/>
                <w:bCs w:val="1"/>
                <w:color w:val="0000FF"/>
                <w:w w:val="95"/>
              </w:rPr>
              <w:t>2.00%</w:t>
            </w:r>
          </w:p>
        </w:tc>
        <w:tc>
          <w:tcPr>
            <w:tcW w:w="0" w:type="dxa"/>
            <w:vAlign w:val="bottom"/>
          </w:tcPr>
          <w:p>
            <w:pPr>
              <w:spacing w:after="0"/>
              <w:rPr>
                <w:sz w:val="1"/>
                <w:szCs w:val="1"/>
                <w:color w:val="auto"/>
              </w:rPr>
            </w:pPr>
          </w:p>
        </w:tc>
      </w:tr>
      <w:tr>
        <w:trPr>
          <w:trHeight w:val="264"/>
        </w:trPr>
        <w:tc>
          <w:tcPr>
            <w:tcW w:w="180" w:type="dxa"/>
            <w:vAlign w:val="bottom"/>
            <w:tcBorders>
              <w:left w:val="single" w:sz="8" w:color="auto"/>
              <w:bottom w:val="single" w:sz="8" w:color="auto"/>
            </w:tcBorders>
            <w:shd w:val="clear" w:color="auto" w:fill="E6E6FA"/>
          </w:tcPr>
          <w:p>
            <w:pPr>
              <w:spacing w:after="0"/>
              <w:rPr>
                <w:sz w:val="22"/>
                <w:szCs w:val="22"/>
                <w:color w:val="auto"/>
              </w:rPr>
            </w:pPr>
          </w:p>
        </w:tc>
        <w:tc>
          <w:tcPr>
            <w:tcW w:w="500" w:type="dxa"/>
            <w:vAlign w:val="bottom"/>
            <w:tcBorders>
              <w:bottom w:val="single" w:sz="8" w:color="auto"/>
            </w:tcBorders>
            <w:shd w:val="clear" w:color="auto" w:fill="E6E6FA"/>
          </w:tcPr>
          <w:p>
            <w:pPr>
              <w:spacing w:after="0"/>
              <w:rPr>
                <w:sz w:val="22"/>
                <w:szCs w:val="22"/>
                <w:color w:val="auto"/>
              </w:rPr>
            </w:pPr>
          </w:p>
        </w:tc>
        <w:tc>
          <w:tcPr>
            <w:tcW w:w="40" w:type="dxa"/>
            <w:vAlign w:val="bottom"/>
            <w:tcBorders>
              <w:bottom w:val="single" w:sz="8" w:color="auto"/>
            </w:tcBorders>
            <w:shd w:val="clear" w:color="auto" w:fill="E6E6FA"/>
          </w:tcPr>
          <w:p>
            <w:pPr>
              <w:spacing w:after="0"/>
              <w:rPr>
                <w:sz w:val="22"/>
                <w:szCs w:val="22"/>
                <w:color w:val="auto"/>
              </w:rPr>
            </w:pPr>
          </w:p>
        </w:tc>
        <w:tc>
          <w:tcPr>
            <w:tcW w:w="880" w:type="dxa"/>
            <w:vAlign w:val="bottom"/>
            <w:tcBorders>
              <w:bottom w:val="single" w:sz="8" w:color="auto"/>
              <w:right w:val="single" w:sz="8" w:color="auto"/>
            </w:tcBorders>
            <w:gridSpan w:val="6"/>
            <w:shd w:val="clear" w:color="auto" w:fill="E6E6FA"/>
          </w:tcPr>
          <w:p>
            <w:pPr>
              <w:jc w:val="center"/>
              <w:ind w:right="720"/>
              <w:spacing w:after="0" w:line="209" w:lineRule="exact"/>
              <w:rPr>
                <w:sz w:val="20"/>
                <w:szCs w:val="20"/>
                <w:color w:val="auto"/>
              </w:rPr>
            </w:pPr>
            <w:r>
              <w:rPr>
                <w:rFonts w:ascii="Times New Roman" w:cs="Times New Roman" w:eastAsia="Times New Roman" w:hAnsi="Times New Roman"/>
                <w:sz w:val="22"/>
                <w:szCs w:val="22"/>
                <w:b w:val="1"/>
                <w:bCs w:val="1"/>
                <w:color w:val="0000FF"/>
                <w:w w:val="93"/>
              </w:rPr>
              <w:t>II</w:t>
            </w:r>
          </w:p>
        </w:tc>
        <w:tc>
          <w:tcPr>
            <w:tcW w:w="780" w:type="dxa"/>
            <w:vAlign w:val="bottom"/>
            <w:tcBorders>
              <w:bottom w:val="single" w:sz="8" w:color="auto"/>
            </w:tcBorders>
            <w:shd w:val="clear" w:color="auto" w:fill="E6E6FA"/>
          </w:tcPr>
          <w:p>
            <w:pPr>
              <w:spacing w:after="0"/>
              <w:rPr>
                <w:sz w:val="22"/>
                <w:szCs w:val="22"/>
                <w:color w:val="auto"/>
              </w:rPr>
            </w:pPr>
          </w:p>
        </w:tc>
        <w:tc>
          <w:tcPr>
            <w:tcW w:w="200" w:type="dxa"/>
            <w:vAlign w:val="bottom"/>
            <w:tcBorders>
              <w:bottom w:val="single" w:sz="8" w:color="auto"/>
            </w:tcBorders>
            <w:shd w:val="clear" w:color="auto" w:fill="E6E6FA"/>
          </w:tcPr>
          <w:p>
            <w:pPr>
              <w:spacing w:after="0"/>
              <w:rPr>
                <w:sz w:val="22"/>
                <w:szCs w:val="22"/>
                <w:color w:val="auto"/>
              </w:rPr>
            </w:pPr>
          </w:p>
        </w:tc>
        <w:tc>
          <w:tcPr>
            <w:tcW w:w="40" w:type="dxa"/>
            <w:vAlign w:val="bottom"/>
            <w:tcBorders>
              <w:bottom w:val="single" w:sz="8" w:color="auto"/>
            </w:tcBorders>
            <w:shd w:val="clear" w:color="auto" w:fill="E6E6FA"/>
          </w:tcPr>
          <w:p>
            <w:pPr>
              <w:spacing w:after="0"/>
              <w:rPr>
                <w:sz w:val="22"/>
                <w:szCs w:val="22"/>
                <w:color w:val="auto"/>
              </w:rPr>
            </w:pPr>
          </w:p>
        </w:tc>
        <w:tc>
          <w:tcPr>
            <w:tcW w:w="140" w:type="dxa"/>
            <w:vAlign w:val="bottom"/>
            <w:tcBorders>
              <w:bottom w:val="single" w:sz="8" w:color="auto"/>
            </w:tcBorders>
            <w:shd w:val="clear" w:color="auto" w:fill="E6E6FA"/>
          </w:tcPr>
          <w:p>
            <w:pPr>
              <w:spacing w:after="0"/>
              <w:rPr>
                <w:sz w:val="22"/>
                <w:szCs w:val="22"/>
                <w:color w:val="auto"/>
              </w:rPr>
            </w:pPr>
          </w:p>
        </w:tc>
        <w:tc>
          <w:tcPr>
            <w:tcW w:w="180" w:type="dxa"/>
            <w:vAlign w:val="bottom"/>
            <w:tcBorders>
              <w:bottom w:val="single" w:sz="8" w:color="auto"/>
            </w:tcBorders>
            <w:shd w:val="clear" w:color="auto" w:fill="E6E6FA"/>
          </w:tcPr>
          <w:p>
            <w:pPr>
              <w:spacing w:after="0"/>
              <w:rPr>
                <w:sz w:val="22"/>
                <w:szCs w:val="22"/>
                <w:color w:val="auto"/>
              </w:rPr>
            </w:pPr>
          </w:p>
        </w:tc>
        <w:tc>
          <w:tcPr>
            <w:tcW w:w="1940" w:type="dxa"/>
            <w:vAlign w:val="bottom"/>
            <w:tcBorders>
              <w:bottom w:val="single" w:sz="8" w:color="auto"/>
              <w:right w:val="single" w:sz="8" w:color="auto"/>
            </w:tcBorders>
            <w:gridSpan w:val="8"/>
            <w:shd w:val="clear" w:color="auto" w:fill="E6E6FA"/>
          </w:tcPr>
          <w:p>
            <w:pPr>
              <w:jc w:val="center"/>
              <w:ind w:right="1360"/>
              <w:spacing w:after="0" w:line="209" w:lineRule="exact"/>
              <w:rPr>
                <w:sz w:val="20"/>
                <w:szCs w:val="20"/>
                <w:color w:val="auto"/>
              </w:rPr>
            </w:pPr>
            <w:r>
              <w:rPr>
                <w:rFonts w:ascii="Times New Roman" w:cs="Times New Roman" w:eastAsia="Times New Roman" w:hAnsi="Times New Roman"/>
                <w:sz w:val="22"/>
                <w:szCs w:val="22"/>
                <w:b w:val="1"/>
                <w:bCs w:val="1"/>
                <w:color w:val="0000FF"/>
                <w:w w:val="98"/>
              </w:rPr>
              <w:t>B1/B+</w:t>
            </w:r>
          </w:p>
        </w:tc>
        <w:tc>
          <w:tcPr>
            <w:tcW w:w="1720" w:type="dxa"/>
            <w:vAlign w:val="bottom"/>
            <w:tcBorders>
              <w:bottom w:val="single" w:sz="8" w:color="auto"/>
            </w:tcBorders>
            <w:gridSpan w:val="4"/>
            <w:shd w:val="clear" w:color="auto" w:fill="E6E6FA"/>
          </w:tcPr>
          <w:p>
            <w:pPr>
              <w:jc w:val="center"/>
              <w:ind w:left="1032"/>
              <w:spacing w:after="0" w:line="209" w:lineRule="exact"/>
              <w:rPr>
                <w:sz w:val="20"/>
                <w:szCs w:val="20"/>
                <w:color w:val="auto"/>
              </w:rPr>
            </w:pPr>
            <w:r>
              <w:rPr>
                <w:rFonts w:ascii="Times New Roman" w:cs="Times New Roman" w:eastAsia="Times New Roman" w:hAnsi="Times New Roman"/>
                <w:sz w:val="22"/>
                <w:szCs w:val="22"/>
                <w:b w:val="1"/>
                <w:bCs w:val="1"/>
                <w:color w:val="0000FF"/>
                <w:w w:val="95"/>
              </w:rPr>
              <w:t>3.25%</w:t>
            </w:r>
          </w:p>
        </w:tc>
        <w:tc>
          <w:tcPr>
            <w:tcW w:w="300" w:type="dxa"/>
            <w:vAlign w:val="bottom"/>
            <w:tcBorders>
              <w:bottom w:val="single" w:sz="8" w:color="auto"/>
            </w:tcBorders>
            <w:shd w:val="clear" w:color="auto" w:fill="E6E6FA"/>
          </w:tcPr>
          <w:p>
            <w:pPr>
              <w:spacing w:after="0"/>
              <w:rPr>
                <w:sz w:val="22"/>
                <w:szCs w:val="22"/>
                <w:color w:val="auto"/>
              </w:rPr>
            </w:pPr>
          </w:p>
        </w:tc>
        <w:tc>
          <w:tcPr>
            <w:tcW w:w="60" w:type="dxa"/>
            <w:vAlign w:val="bottom"/>
            <w:tcBorders>
              <w:bottom w:val="single" w:sz="8" w:color="auto"/>
            </w:tcBorders>
            <w:shd w:val="clear" w:color="auto" w:fill="E6E6FA"/>
          </w:tcPr>
          <w:p>
            <w:pPr>
              <w:spacing w:after="0"/>
              <w:rPr>
                <w:sz w:val="22"/>
                <w:szCs w:val="22"/>
                <w:color w:val="auto"/>
              </w:rPr>
            </w:pPr>
          </w:p>
        </w:tc>
        <w:tc>
          <w:tcPr>
            <w:tcW w:w="540" w:type="dxa"/>
            <w:vAlign w:val="bottom"/>
            <w:tcBorders>
              <w:bottom w:val="single" w:sz="8" w:color="auto"/>
            </w:tcBorders>
            <w:shd w:val="clear" w:color="auto" w:fill="E6E6FA"/>
          </w:tcPr>
          <w:p>
            <w:pPr>
              <w:spacing w:after="0"/>
              <w:rPr>
                <w:sz w:val="22"/>
                <w:szCs w:val="22"/>
                <w:color w:val="auto"/>
              </w:rPr>
            </w:pPr>
          </w:p>
        </w:tc>
        <w:tc>
          <w:tcPr>
            <w:tcW w:w="280" w:type="dxa"/>
            <w:vAlign w:val="bottom"/>
            <w:tcBorders>
              <w:bottom w:val="single" w:sz="8" w:color="auto"/>
              <w:right w:val="single" w:sz="8" w:color="auto"/>
            </w:tcBorders>
            <w:shd w:val="clear" w:color="auto" w:fill="E6E6FA"/>
          </w:tcPr>
          <w:p>
            <w:pPr>
              <w:spacing w:after="0"/>
              <w:rPr>
                <w:sz w:val="22"/>
                <w:szCs w:val="22"/>
                <w:color w:val="auto"/>
              </w:rPr>
            </w:pPr>
          </w:p>
        </w:tc>
        <w:tc>
          <w:tcPr>
            <w:tcW w:w="2840" w:type="dxa"/>
            <w:vAlign w:val="bottom"/>
            <w:tcBorders>
              <w:bottom w:val="single" w:sz="8" w:color="auto"/>
              <w:right w:val="single" w:sz="8" w:color="auto"/>
            </w:tcBorders>
            <w:gridSpan w:val="5"/>
            <w:shd w:val="clear" w:color="auto" w:fill="E6E6FA"/>
          </w:tcPr>
          <w:p>
            <w:pPr>
              <w:jc w:val="center"/>
              <w:ind w:right="20"/>
              <w:spacing w:after="0" w:line="209" w:lineRule="exact"/>
              <w:rPr>
                <w:sz w:val="20"/>
                <w:szCs w:val="20"/>
                <w:color w:val="auto"/>
              </w:rPr>
            </w:pPr>
            <w:r>
              <w:rPr>
                <w:rFonts w:ascii="Times New Roman" w:cs="Times New Roman" w:eastAsia="Times New Roman" w:hAnsi="Times New Roman"/>
                <w:sz w:val="22"/>
                <w:szCs w:val="22"/>
                <w:b w:val="1"/>
                <w:bCs w:val="1"/>
                <w:color w:val="0000FF"/>
                <w:w w:val="95"/>
              </w:rPr>
              <w:t>2.25%</w:t>
            </w:r>
          </w:p>
        </w:tc>
        <w:tc>
          <w:tcPr>
            <w:tcW w:w="0" w:type="dxa"/>
            <w:vAlign w:val="bottom"/>
          </w:tcPr>
          <w:p>
            <w:pPr>
              <w:spacing w:after="0"/>
              <w:rPr>
                <w:sz w:val="1"/>
                <w:szCs w:val="1"/>
                <w:color w:val="auto"/>
              </w:rPr>
            </w:pPr>
          </w:p>
        </w:tc>
      </w:tr>
      <w:tr>
        <w:trPr>
          <w:trHeight w:val="263"/>
        </w:trPr>
        <w:tc>
          <w:tcPr>
            <w:tcW w:w="180" w:type="dxa"/>
            <w:vAlign w:val="bottom"/>
            <w:tcBorders>
              <w:left w:val="single" w:sz="8" w:color="auto"/>
              <w:bottom w:val="single" w:sz="8" w:color="auto"/>
            </w:tcBorders>
            <w:shd w:val="clear" w:color="auto" w:fill="E6E6FA"/>
          </w:tcPr>
          <w:p>
            <w:pPr>
              <w:spacing w:after="0"/>
              <w:rPr>
                <w:sz w:val="22"/>
                <w:szCs w:val="22"/>
                <w:color w:val="auto"/>
              </w:rPr>
            </w:pPr>
          </w:p>
        </w:tc>
        <w:tc>
          <w:tcPr>
            <w:tcW w:w="500" w:type="dxa"/>
            <w:vAlign w:val="bottom"/>
            <w:tcBorders>
              <w:bottom w:val="single" w:sz="8" w:color="auto"/>
            </w:tcBorders>
            <w:shd w:val="clear" w:color="auto" w:fill="E6E6FA"/>
          </w:tcPr>
          <w:p>
            <w:pPr>
              <w:spacing w:after="0"/>
              <w:rPr>
                <w:sz w:val="22"/>
                <w:szCs w:val="22"/>
                <w:color w:val="auto"/>
              </w:rPr>
            </w:pPr>
          </w:p>
        </w:tc>
        <w:tc>
          <w:tcPr>
            <w:tcW w:w="920" w:type="dxa"/>
            <w:vAlign w:val="bottom"/>
            <w:tcBorders>
              <w:bottom w:val="single" w:sz="8" w:color="auto"/>
              <w:right w:val="single" w:sz="8" w:color="auto"/>
            </w:tcBorders>
            <w:gridSpan w:val="7"/>
            <w:shd w:val="clear" w:color="auto" w:fill="E6E6FA"/>
          </w:tcPr>
          <w:p>
            <w:pPr>
              <w:jc w:val="center"/>
              <w:ind w:right="660"/>
              <w:spacing w:after="0" w:line="209" w:lineRule="exact"/>
              <w:rPr>
                <w:sz w:val="20"/>
                <w:szCs w:val="20"/>
                <w:color w:val="auto"/>
              </w:rPr>
            </w:pPr>
            <w:r>
              <w:rPr>
                <w:rFonts w:ascii="Times New Roman" w:cs="Times New Roman" w:eastAsia="Times New Roman" w:hAnsi="Times New Roman"/>
                <w:sz w:val="22"/>
                <w:szCs w:val="22"/>
                <w:b w:val="1"/>
                <w:bCs w:val="1"/>
                <w:color w:val="0000FF"/>
              </w:rPr>
              <w:t>III</w:t>
            </w:r>
          </w:p>
        </w:tc>
        <w:tc>
          <w:tcPr>
            <w:tcW w:w="780" w:type="dxa"/>
            <w:vAlign w:val="bottom"/>
            <w:tcBorders>
              <w:bottom w:val="single" w:sz="8" w:color="auto"/>
            </w:tcBorders>
            <w:shd w:val="clear" w:color="auto" w:fill="E6E6FA"/>
          </w:tcPr>
          <w:p>
            <w:pPr>
              <w:spacing w:after="0"/>
              <w:rPr>
                <w:sz w:val="22"/>
                <w:szCs w:val="22"/>
                <w:color w:val="auto"/>
              </w:rPr>
            </w:pPr>
          </w:p>
        </w:tc>
        <w:tc>
          <w:tcPr>
            <w:tcW w:w="2500" w:type="dxa"/>
            <w:vAlign w:val="bottom"/>
            <w:tcBorders>
              <w:bottom w:val="single" w:sz="8" w:color="auto"/>
              <w:right w:val="single" w:sz="8" w:color="auto"/>
            </w:tcBorders>
            <w:gridSpan w:val="12"/>
            <w:shd w:val="clear" w:color="auto" w:fill="E6E6FA"/>
          </w:tcPr>
          <w:p>
            <w:pPr>
              <w:jc w:val="center"/>
              <w:ind w:right="820"/>
              <w:spacing w:after="0" w:line="209" w:lineRule="exact"/>
              <w:rPr>
                <w:sz w:val="20"/>
                <w:szCs w:val="20"/>
                <w:color w:val="auto"/>
              </w:rPr>
            </w:pPr>
            <w:r>
              <w:rPr>
                <w:rFonts w:ascii="Times New Roman" w:cs="Times New Roman" w:eastAsia="Times New Roman" w:hAnsi="Times New Roman"/>
                <w:sz w:val="22"/>
                <w:szCs w:val="22"/>
                <w:b w:val="1"/>
                <w:bCs w:val="1"/>
                <w:color w:val="0000FF"/>
                <w:w w:val="97"/>
              </w:rPr>
              <w:t>B2/B or lower</w:t>
            </w:r>
          </w:p>
        </w:tc>
        <w:tc>
          <w:tcPr>
            <w:tcW w:w="1720" w:type="dxa"/>
            <w:vAlign w:val="bottom"/>
            <w:tcBorders>
              <w:bottom w:val="single" w:sz="8" w:color="auto"/>
            </w:tcBorders>
            <w:gridSpan w:val="4"/>
            <w:shd w:val="clear" w:color="auto" w:fill="E6E6FA"/>
          </w:tcPr>
          <w:p>
            <w:pPr>
              <w:jc w:val="center"/>
              <w:ind w:left="1032"/>
              <w:spacing w:after="0" w:line="209" w:lineRule="exact"/>
              <w:rPr>
                <w:sz w:val="20"/>
                <w:szCs w:val="20"/>
                <w:color w:val="auto"/>
              </w:rPr>
            </w:pPr>
            <w:r>
              <w:rPr>
                <w:rFonts w:ascii="Times New Roman" w:cs="Times New Roman" w:eastAsia="Times New Roman" w:hAnsi="Times New Roman"/>
                <w:sz w:val="22"/>
                <w:szCs w:val="22"/>
                <w:b w:val="1"/>
                <w:bCs w:val="1"/>
                <w:color w:val="0000FF"/>
                <w:w w:val="95"/>
              </w:rPr>
              <w:t>3.50%</w:t>
            </w:r>
          </w:p>
        </w:tc>
        <w:tc>
          <w:tcPr>
            <w:tcW w:w="300" w:type="dxa"/>
            <w:vAlign w:val="bottom"/>
            <w:tcBorders>
              <w:bottom w:val="single" w:sz="8" w:color="auto"/>
            </w:tcBorders>
            <w:shd w:val="clear" w:color="auto" w:fill="E6E6FA"/>
          </w:tcPr>
          <w:p>
            <w:pPr>
              <w:spacing w:after="0"/>
              <w:rPr>
                <w:sz w:val="22"/>
                <w:szCs w:val="22"/>
                <w:color w:val="auto"/>
              </w:rPr>
            </w:pPr>
          </w:p>
        </w:tc>
        <w:tc>
          <w:tcPr>
            <w:tcW w:w="60" w:type="dxa"/>
            <w:vAlign w:val="bottom"/>
            <w:tcBorders>
              <w:bottom w:val="single" w:sz="8" w:color="auto"/>
            </w:tcBorders>
            <w:shd w:val="clear" w:color="auto" w:fill="E6E6FA"/>
          </w:tcPr>
          <w:p>
            <w:pPr>
              <w:spacing w:after="0"/>
              <w:rPr>
                <w:sz w:val="22"/>
                <w:szCs w:val="22"/>
                <w:color w:val="auto"/>
              </w:rPr>
            </w:pPr>
          </w:p>
        </w:tc>
        <w:tc>
          <w:tcPr>
            <w:tcW w:w="540" w:type="dxa"/>
            <w:vAlign w:val="bottom"/>
            <w:tcBorders>
              <w:bottom w:val="single" w:sz="8" w:color="auto"/>
            </w:tcBorders>
            <w:shd w:val="clear" w:color="auto" w:fill="E6E6FA"/>
          </w:tcPr>
          <w:p>
            <w:pPr>
              <w:spacing w:after="0"/>
              <w:rPr>
                <w:sz w:val="22"/>
                <w:szCs w:val="22"/>
                <w:color w:val="auto"/>
              </w:rPr>
            </w:pPr>
          </w:p>
        </w:tc>
        <w:tc>
          <w:tcPr>
            <w:tcW w:w="280" w:type="dxa"/>
            <w:vAlign w:val="bottom"/>
            <w:tcBorders>
              <w:bottom w:val="single" w:sz="8" w:color="auto"/>
              <w:right w:val="single" w:sz="8" w:color="auto"/>
            </w:tcBorders>
            <w:shd w:val="clear" w:color="auto" w:fill="E6E6FA"/>
          </w:tcPr>
          <w:p>
            <w:pPr>
              <w:spacing w:after="0"/>
              <w:rPr>
                <w:sz w:val="22"/>
                <w:szCs w:val="22"/>
                <w:color w:val="auto"/>
              </w:rPr>
            </w:pPr>
          </w:p>
        </w:tc>
        <w:tc>
          <w:tcPr>
            <w:tcW w:w="2840" w:type="dxa"/>
            <w:vAlign w:val="bottom"/>
            <w:tcBorders>
              <w:bottom w:val="single" w:sz="8" w:color="auto"/>
              <w:right w:val="single" w:sz="8" w:color="auto"/>
            </w:tcBorders>
            <w:gridSpan w:val="5"/>
            <w:shd w:val="clear" w:color="auto" w:fill="E6E6FA"/>
          </w:tcPr>
          <w:p>
            <w:pPr>
              <w:jc w:val="center"/>
              <w:ind w:right="20"/>
              <w:spacing w:after="0" w:line="209" w:lineRule="exact"/>
              <w:rPr>
                <w:sz w:val="20"/>
                <w:szCs w:val="20"/>
                <w:color w:val="auto"/>
              </w:rPr>
            </w:pPr>
            <w:r>
              <w:rPr>
                <w:rFonts w:ascii="Times New Roman" w:cs="Times New Roman" w:eastAsia="Times New Roman" w:hAnsi="Times New Roman"/>
                <w:sz w:val="22"/>
                <w:szCs w:val="22"/>
                <w:b w:val="1"/>
                <w:bCs w:val="1"/>
                <w:color w:val="0000FF"/>
                <w:w w:val="95"/>
              </w:rPr>
              <w:t>2.50%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u w:val="single" w:color="auto"/>
          <w:color w:val="0000FF"/>
        </w:rPr>
        <w:t>For the purposes of the foregoing, if there is only one credit rating with respect to Parent, the Applicable Margin with respect to Revolving Loans shall be determined with reference to the applicable row in the “Pricing Level” column above (each such pricing level, a “Level”) of such credit rating. In the event the credit ratings (each a “Relevant Rating” and, together, “Relevant Ratings”) are different, the Applicable Margin with respect to Revolving Loans shall be determined by (a) the higher of such Relevant Ratings, provided, however, the lower of such Relevant Ratings shall be no greater than one Level below the higher of such Relevant Ratings or (b) in the event the lower of such Relevant Ratings is greater than one Level below the higher of such Relevant Ratings, the Applicable Margin with respect to Revolving Loans shall be determined based on the Relevant Rating which is one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or Moody’s shall have in effect a credit rating, the Applicable Margin with respect to Revolving Loans shall be based on Level III. Each change in the Applicable Margin shall apply during the period commencing on the effective date of the applicable change in ratings and ending on the date immediately preceding the effective date of the next such change in ratings. Upon the occurrence and during the continuance of an Event of Default, the Applicable Margin with respect to Revolving Loans shall be based on Level III.</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549" w:name="page550"/>
    <w:bookmarkEnd w:id="549"/>
    <w:p>
      <w:pPr>
        <w:spacing w:after="0" w:line="19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Appraisal</w:t>
      </w:r>
      <w:r>
        <w:rPr>
          <w:rFonts w:ascii="Times New Roman" w:cs="Times New Roman" w:eastAsia="Times New Roman" w:hAnsi="Times New Roman"/>
          <w:sz w:val="22"/>
          <w:szCs w:val="22"/>
          <w:color w:val="auto"/>
        </w:rPr>
        <w:t>” shall mean (i) the Initial Appraisals and (ii) any other appraisal, dated on or about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appointed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w:t>
      </w:r>
    </w:p>
    <w:p>
      <w:pPr>
        <w:spacing w:after="0" w:line="183" w:lineRule="exact"/>
        <w:rPr>
          <w:sz w:val="20"/>
          <w:szCs w:val="20"/>
          <w:color w:val="auto"/>
        </w:rPr>
      </w:pPr>
    </w:p>
    <w:p>
      <w:pPr>
        <w:jc w:val="both"/>
        <w:ind w:firstLine="1304"/>
        <w:spacing w:after="0" w:line="266" w:lineRule="auto"/>
        <w:tabs>
          <w:tab w:leader="none" w:pos="1818" w:val="left"/>
        </w:tabs>
        <w:numPr>
          <w:ilvl w:val="0"/>
          <w:numId w:val="6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Route Authorities, Slots and/or Foreign Gate Leaseholds pledged pursuant to the SGR Security Agreement or a security agreement substantially similar thereto shall have methodology, assumptions and form of presentation consistent in all material respects with the Initial Appraisals (including the utilization of a discount rate of 11.5% and a perpetuity growth rate of 1.5%;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Appraisals prepared from time to time are not prepared by the same firm of appraisers as the Initial Appraisals, such Appraisals may with the consent of the Administrative Agent (such consent not to be unreasonably withheld) have methodology, assumptions and form of presentation that differ from the Initial Appraisals if such differences are deemed appropriate by such appraiser and consistent with such appraiser’s customary practice as in effect on the date hereof;</w:t>
      </w:r>
    </w:p>
    <w:p>
      <w:pPr>
        <w:spacing w:after="0" w:line="165"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81"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w:t>
      </w:r>
    </w:p>
    <w:p>
      <w:pPr>
        <w:spacing w:after="0" w:line="172"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1872"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Route Authorities, FAA Slots, Foreign Slots and Gate Leaseholds not described in clause (1) above, any Spare Parts and any other type of property shall be based upon a methodology and assumptions deemed appropriate by the applicable appraisal firm.</w:t>
      </w:r>
    </w:p>
    <w:p>
      <w:pPr>
        <w:spacing w:after="0" w:line="16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Appraised Value</w:t>
      </w:r>
      <w:r>
        <w:rPr>
          <w:rFonts w:ascii="Times New Roman" w:cs="Times New Roman" w:eastAsia="Times New Roman" w:hAnsi="Times New Roman"/>
          <w:sz w:val="22"/>
          <w:szCs w:val="22"/>
          <w:color w:val="auto"/>
        </w:rPr>
        <w:t>”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(including for purposes of this clause (z), to the extent applicable, the Initial Appraisals) (provided that with respect to any property subject to an Appraisal described in clause (1)</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50" w:name="page551"/>
    <w:bookmarkEnd w:id="550"/>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of the definition of “Appraisal”, the Appraised Value shall be the value of such property listed in such Appraisal that has been determined using a discount rate of 11.5% and a perpetuity growth rate of 1.5%);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any Collateral consisting of property described in clause (z), (A) if no Appraisal relating to such Collateral has been delivered to the Administrative Agent prior to such date, the Appraised Value of such Collateral shall be deemed to be zero, (B) with respect to all of the Scheduled Services between the United States and a particular country or destination, if the Appraised Value of the related Route Authorities, Slots and Foreign Gate Leaseholds is a negative number, such Appraised Value shall be deemed to be zero and</w:t>
      </w:r>
    </w:p>
    <w:p>
      <w:pPr>
        <w:spacing w:after="0" w:line="1" w:lineRule="exact"/>
        <w:rPr>
          <w:sz w:val="20"/>
          <w:szCs w:val="20"/>
          <w:color w:val="auto"/>
        </w:rPr>
      </w:pPr>
    </w:p>
    <w:p>
      <w:pPr>
        <w:jc w:val="both"/>
        <w:ind w:firstLine="8"/>
        <w:spacing w:after="0" w:line="262" w:lineRule="auto"/>
        <w:tabs>
          <w:tab w:leader="none" w:pos="345" w:val="left"/>
        </w:tabs>
        <w:numPr>
          <w:ilvl w:val="0"/>
          <w:numId w:val="6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Appraisal relating to such Collateral has been delivered to the Administrative Agent prior to such date, but no Appraisal relating to such Collateral has been delivered to the Administrative Agent by the last day of the most recent period during which such Appraisal is required to be delivered pursuant to Section 5.06 (such date, the “</w:t>
      </w:r>
      <w:r>
        <w:rPr>
          <w:rFonts w:ascii="Times New Roman" w:cs="Times New Roman" w:eastAsia="Times New Roman" w:hAnsi="Times New Roman"/>
          <w:sz w:val="21"/>
          <w:szCs w:val="21"/>
          <w:i w:val="1"/>
          <w:iCs w:val="1"/>
          <w:color w:val="auto"/>
        </w:rPr>
        <w:t>Required Appraisal Date</w:t>
      </w:r>
      <w:r>
        <w:rPr>
          <w:rFonts w:ascii="Times New Roman" w:cs="Times New Roman" w:eastAsia="Times New Roman" w:hAnsi="Times New Roman"/>
          <w:sz w:val="21"/>
          <w:szCs w:val="21"/>
          <w:color w:val="auto"/>
        </w:rPr>
        <w:t>”) that immediately precedes such date, then the Appraised Value of such Collateral shall be deemed to be zero for the period from such Required Appraisal Date to the date an Appraisal relating to such Collateral is delivered to the Administrative Agent.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shall have the meaning set forth in Section 10.02(b).</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ARB Indebtedness</w:t>
      </w:r>
      <w:r>
        <w:rPr>
          <w:rFonts w:ascii="Times New Roman" w:cs="Times New Roman" w:eastAsia="Times New Roman" w:hAnsi="Times New Roman"/>
          <w:sz w:val="22"/>
          <w:szCs w:val="22"/>
          <w:color w:val="auto"/>
        </w:rPr>
        <w:t>”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Ascend</w:t>
      </w:r>
      <w:r>
        <w:rPr>
          <w:rFonts w:ascii="Times New Roman" w:cs="Times New Roman" w:eastAsia="Times New Roman" w:hAnsi="Times New Roman"/>
          <w:sz w:val="22"/>
          <w:szCs w:val="22"/>
          <w:color w:val="auto"/>
        </w:rPr>
        <w:t>” shall mean Ascend Worldwide Limited.</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shall mean an assignment and acceptance entered into by a Lender and an assignee (with the consent of any party whose consent is required by Section 10.02), and accepted by the Administrative Agent, substantially in the form of Exhibit C.</w:t>
      </w:r>
    </w:p>
    <w:p>
      <w:pPr>
        <w:spacing w:after="0" w:line="16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2.09(d).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AVITAS</w:t>
      </w:r>
      <w:r>
        <w:rPr>
          <w:rFonts w:ascii="Times New Roman" w:cs="Times New Roman" w:eastAsia="Times New Roman" w:hAnsi="Times New Roman"/>
          <w:sz w:val="22"/>
          <w:szCs w:val="22"/>
          <w:color w:val="auto"/>
        </w:rPr>
        <w:t>” shall mean AVITAS, Inc.</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3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w:t>
      </w:r>
      <w:r>
        <w:rPr>
          <w:rFonts w:ascii="Times New Roman" w:cs="Times New Roman" w:eastAsia="Times New Roman" w:hAnsi="Times New Roman"/>
          <w:sz w:val="22"/>
          <w:szCs w:val="22"/>
          <w:color w:val="auto"/>
        </w:rPr>
        <w:t>n” means (a) with respect to any EEA Member Country implementing Article 55 of Directive 2014/59/EU of the European Parliament and of the Council of</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51" w:name="page552"/>
    <w:bookmarkEnd w:id="55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Banking Product Obligations</w:t>
      </w:r>
      <w:r>
        <w:rPr>
          <w:rFonts w:ascii="Times New Roman" w:cs="Times New Roman" w:eastAsia="Times New Roman" w:hAnsi="Times New Roman"/>
          <w:sz w:val="22"/>
          <w:szCs w:val="22"/>
          <w:color w:val="auto"/>
        </w:rPr>
        <w:t>” shall mean, as applied to any Person, any direct or indirect liability, contingent or otherwise, of such Person in respect of any treasury, depository and cash management services, netting services and automated clearing house transfers of funds services and any related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182"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Code</w:t>
      </w:r>
      <w:r>
        <w:rPr>
          <w:rFonts w:ascii="Times New Roman" w:cs="Times New Roman" w:eastAsia="Times New Roman" w:hAnsi="Times New Roman"/>
          <w:sz w:val="22"/>
          <w:szCs w:val="22"/>
          <w:color w:val="auto"/>
        </w:rPr>
        <w:t>” shall mean The Bankruptcy Reform Act of 1978, as heretofore and hereafter amended, and codified as 11 U.S.C. Section 101 et seq.</w:t>
      </w:r>
    </w:p>
    <w:p>
      <w:pPr>
        <w:spacing w:after="0" w:line="13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Event</w:t>
      </w:r>
      <w:r>
        <w:rPr>
          <w:rFonts w:ascii="Times New Roman" w:cs="Times New Roman" w:eastAsia="Times New Roman" w:hAnsi="Times New Roman"/>
          <w:sz w:val="22"/>
          <w:szCs w:val="22"/>
          <w:color w:val="auto"/>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Law</w:t>
      </w:r>
      <w:r>
        <w:rPr>
          <w:rFonts w:ascii="Times New Roman" w:cs="Times New Roman" w:eastAsia="Times New Roman" w:hAnsi="Times New Roman"/>
          <w:sz w:val="22"/>
          <w:szCs w:val="22"/>
          <w:color w:val="auto"/>
        </w:rPr>
        <w:t>” shall mean the Bankruptcy Code or any similar federal or state law for the relief of debtors.</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2.09(a).</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8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53" w:lineRule="exact"/>
        <w:rPr>
          <w:sz w:val="20"/>
          <w:szCs w:val="20"/>
          <w:color w:val="auto"/>
        </w:rPr>
      </w:pPr>
    </w:p>
    <w:p>
      <w:pPr>
        <w:jc w:val="both"/>
        <w:ind w:left="720" w:hanging="356"/>
        <w:spacing w:after="0" w:line="256" w:lineRule="auto"/>
        <w:tabs>
          <w:tab w:leader="none" w:pos="855"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jc w:val="both"/>
        <w:ind w:left="720" w:hanging="356"/>
        <w:spacing w:after="0" w:line="251" w:lineRule="auto"/>
        <w:tabs>
          <w:tab w:leader="none" w:pos="854"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3" w:lineRule="exact"/>
        <w:rPr>
          <w:sz w:val="20"/>
          <w:szCs w:val="20"/>
          <w:color w:val="auto"/>
        </w:rPr>
      </w:pPr>
    </w:p>
    <w:p>
      <w:pPr>
        <w:jc w:val="both"/>
        <w:ind w:left="680" w:hanging="348"/>
        <w:spacing w:after="0" w:line="256" w:lineRule="auto"/>
        <w:tabs>
          <w:tab w:leader="none" w:pos="929"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53" w:name="page554"/>
    <w:bookmarkEnd w:id="553"/>
    <w:p>
      <w:pPr>
        <w:spacing w:after="0" w:line="198" w:lineRule="exact"/>
        <w:rPr>
          <w:sz w:val="20"/>
          <w:szCs w:val="20"/>
          <w:color w:val="auto"/>
        </w:rPr>
      </w:pPr>
    </w:p>
    <w:p>
      <w:pPr>
        <w:ind w:left="680"/>
        <w:spacing w:after="0" w:line="271" w:lineRule="auto"/>
        <w:rPr>
          <w:sz w:val="20"/>
          <w:szCs w:val="20"/>
          <w:color w:val="auto"/>
        </w:rPr>
      </w:pPr>
      <w:r>
        <w:rPr>
          <w:rFonts w:ascii="Times New Roman" w:cs="Times New Roman" w:eastAsia="Times New Roman" w:hAnsi="Times New Roman"/>
          <w:sz w:val="22"/>
          <w:szCs w:val="22"/>
          <w:color w:val="auto"/>
        </w:rPr>
        <w:t>statement or publication, there is no successor administrator that will continue to provide any Available Tenor of such Benchmark (or such component thereof);</w:t>
      </w:r>
    </w:p>
    <w:p>
      <w:pPr>
        <w:spacing w:after="0" w:line="158" w:lineRule="exact"/>
        <w:rPr>
          <w:sz w:val="20"/>
          <w:szCs w:val="20"/>
          <w:color w:val="auto"/>
        </w:rPr>
      </w:pPr>
    </w:p>
    <w:p>
      <w:pPr>
        <w:jc w:val="both"/>
        <w:ind w:left="680" w:hanging="348"/>
        <w:spacing w:after="0" w:line="250" w:lineRule="auto"/>
        <w:tabs>
          <w:tab w:leader="none" w:pos="84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9" w:lineRule="exact"/>
        <w:rPr>
          <w:rFonts w:ascii="Times New Roman" w:cs="Times New Roman" w:eastAsia="Times New Roman" w:hAnsi="Times New Roman"/>
          <w:sz w:val="22"/>
          <w:szCs w:val="22"/>
          <w:color w:val="auto"/>
        </w:rPr>
      </w:pPr>
    </w:p>
    <w:p>
      <w:pPr>
        <w:jc w:val="both"/>
        <w:ind w:left="680" w:right="20" w:hanging="348"/>
        <w:spacing w:after="0" w:line="257" w:lineRule="auto"/>
        <w:tabs>
          <w:tab w:leader="none" w:pos="831"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2.09 and (b) ending at the time that a Benchmark Replacement has replaced the then-current Benchmark for all purposes hereunder and under any Loan Document in accordance with Section 2.09.</w:t>
      </w:r>
    </w:p>
    <w:p>
      <w:pPr>
        <w:spacing w:after="0" w:line="17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Beneficial Owner</w:t>
      </w:r>
      <w:r>
        <w:rPr>
          <w:rFonts w:ascii="Times New Roman" w:cs="Times New Roman" w:eastAsia="Times New Roman" w:hAnsi="Times New Roman"/>
          <w:sz w:val="21"/>
          <w:szCs w:val="21"/>
          <w:color w:val="auto"/>
        </w:rPr>
        <w:t>” shall have the meaning assigned to such term in Rule 13d-3 and Rule 13d-5 under the Exchange Act, except that in calculating the beneficial ownership of any particular “person” (as that term is used in Section 13(d)</w:t>
      </w:r>
    </w:p>
    <w:p>
      <w:pPr>
        <w:spacing w:after="0" w:line="2" w:lineRule="exact"/>
        <w:rPr>
          <w:sz w:val="20"/>
          <w:szCs w:val="20"/>
          <w:color w:val="auto"/>
        </w:rPr>
      </w:pPr>
    </w:p>
    <w:p>
      <w:pPr>
        <w:jc w:val="both"/>
        <w:ind w:right="20" w:firstLine="8"/>
        <w:spacing w:after="0" w:line="252" w:lineRule="auto"/>
        <w:tabs>
          <w:tab w:leader="none" w:pos="313"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54" w:name="page555"/>
    <w:bookmarkEnd w:id="554"/>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BK</w:t>
      </w:r>
      <w:r>
        <w:rPr>
          <w:rFonts w:ascii="Times New Roman" w:cs="Times New Roman" w:eastAsia="Times New Roman" w:hAnsi="Times New Roman"/>
          <w:sz w:val="22"/>
          <w:szCs w:val="22"/>
          <w:color w:val="auto"/>
        </w:rPr>
        <w:t>” shall mean BK Associates,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shall mean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 of Directors</w:t>
      </w:r>
      <w:r>
        <w:rPr>
          <w:rFonts w:ascii="Times New Roman" w:cs="Times New Roman" w:eastAsia="Times New Roman" w:hAnsi="Times New Roman"/>
          <w:sz w:val="22"/>
          <w:szCs w:val="22"/>
          <w:color w:val="auto"/>
        </w:rPr>
        <w:t>” shall mean:</w:t>
      </w:r>
    </w:p>
    <w:p>
      <w:pPr>
        <w:spacing w:after="0" w:line="237" w:lineRule="exact"/>
        <w:rPr>
          <w:sz w:val="20"/>
          <w:szCs w:val="20"/>
          <w:color w:val="auto"/>
        </w:rPr>
      </w:pPr>
    </w:p>
    <w:p>
      <w:pPr>
        <w:ind w:left="660" w:right="20" w:firstLine="644"/>
        <w:spacing w:after="0" w:line="271" w:lineRule="auto"/>
        <w:tabs>
          <w:tab w:leader="none" w:pos="1832" w:val="left"/>
        </w:tabs>
        <w:numPr>
          <w:ilvl w:val="0"/>
          <w:numId w:val="6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corporation, the board of directors or any other governing body of the corporation or any committee thereof duly authorized to act on behalf of such board;</w:t>
      </w:r>
    </w:p>
    <w:p>
      <w:pPr>
        <w:spacing w:after="0" w:line="157"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6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partnership, the board of directors or other governing body of the general partner of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w:t>
      </w:r>
    </w:p>
    <w:p>
      <w:pPr>
        <w:spacing w:after="0" w:line="195" w:lineRule="exact"/>
        <w:rPr>
          <w:rFonts w:ascii="Times New Roman" w:cs="Times New Roman" w:eastAsia="Times New Roman" w:hAnsi="Times New Roman"/>
          <w:sz w:val="22"/>
          <w:szCs w:val="22"/>
          <w:color w:val="auto"/>
        </w:rPr>
      </w:pPr>
    </w:p>
    <w:p>
      <w:pPr>
        <w:ind w:left="660" w:firstLine="644"/>
        <w:spacing w:after="0" w:line="284" w:lineRule="auto"/>
        <w:tabs>
          <w:tab w:leader="none" w:pos="1803" w:val="left"/>
        </w:tabs>
        <w:numPr>
          <w:ilvl w:val="0"/>
          <w:numId w:val="6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limited liability company, the managing member or members, manager or managers or any controlling committee of managing members or managers thereof; and</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Person, the board or committee of such Person serving a similar function.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Release</w:t>
      </w:r>
      <w:r>
        <w:rPr>
          <w:rFonts w:ascii="Times New Roman" w:cs="Times New Roman" w:eastAsia="Times New Roman" w:hAnsi="Times New Roman"/>
          <w:sz w:val="22"/>
          <w:szCs w:val="22"/>
          <w:color w:val="auto"/>
        </w:rPr>
        <w:t>” shall mean the release of any Collateral from the Lien of the applicable Collateral Document at the direction of the Borrower pursuant to Section 6.09(c).</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shall mean the incurrence, conversion or continuation of Loans of a single Type made from all the Revolving Lenders or the Term Lenders, as the case may be, on a single date and having, in the case of Term SOFR Loans, a single Interest Period.</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 Date</w:t>
      </w:r>
      <w:r>
        <w:rPr>
          <w:rFonts w:ascii="Times New Roman" w:cs="Times New Roman" w:eastAsia="Times New Roman" w:hAnsi="Times New Roman"/>
          <w:sz w:val="22"/>
          <w:szCs w:val="22"/>
          <w:color w:val="auto"/>
        </w:rPr>
        <w:t>” shall mean any U.S. Government Securities Business Day specified in a notice pursuant to Sections 2.03 and 2.04 as a date on which the Borrower requests the Lenders to make Loans hereunder or an Issuing Lender to issue Letters of Credit hereunder.</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shall mean any day other than a Saturday, Sunday or other day on which commercial banks in New York City are required or authorized to remain closed (and, for a Letter of Credit, other than a day on which the Issuing Lender issuing such Letter of Credit is closed).</w:t>
      </w:r>
    </w:p>
    <w:p>
      <w:pPr>
        <w:spacing w:after="0" w:line="16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Lease Obligation</w:t>
      </w:r>
      <w:r>
        <w:rPr>
          <w:rFonts w:ascii="Times New Roman" w:cs="Times New Roman" w:eastAsia="Times New Roman" w:hAnsi="Times New Roman"/>
          <w:sz w:val="22"/>
          <w:szCs w:val="22"/>
          <w:color w:val="auto"/>
        </w:rPr>
        <w:t>” shall mean, at the time any determination is to be made, the amount of the liability in respect of a lease that would at that time be required to be accounted for as a financing or capital lease (and, for the avoidance of doubt, not a straight-line or operating lease) on both the balance sheet and income statement for financial reporting purposes in accordance with GAAP as in effect prior to giving effect to the adoption of Accounting Standards Update (“ASU”) No. 2016-02 “Leases (Topic 842)” and ASU No. 2018-11 “Leases (Topic 842),” and the Stated Maturity thereof shall be the date of the last payment of rent or any other amount due under such lease prior to the first date upon which such lease may be prepaid by the lessee without payment of a penalty.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55" w:name="page556"/>
    <w:bookmarkEnd w:id="555"/>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Markets Offering</w:t>
      </w:r>
      <w:r>
        <w:rPr>
          <w:rFonts w:ascii="Times New Roman" w:cs="Times New Roman" w:eastAsia="Times New Roman" w:hAnsi="Times New Roman"/>
          <w:sz w:val="22"/>
          <w:szCs w:val="22"/>
          <w:color w:val="auto"/>
        </w:rPr>
        <w:t>” shall mean any offering of “securities” (as defined under the Securities Act and, including, for the avoidance of doubt, any offering of pass-through certificates by any pass-through trust established by 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780" w:hanging="476"/>
        <w:spacing w:after="0"/>
        <w:tabs>
          <w:tab w:leader="none" w:pos="1780"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corporation, corporate stock;</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53"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association or business entity, any and all shares, interests, participations, rights or other equivalents (however designated) of corporate stock;</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7"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partnership or limited liability company, partnership interests (whether general or limited) or membership interests;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78"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interest or participation that confers on a Person the right to receive a share of the profits and losses of, or distributions of assets of, the issuing Person,</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22"/>
          <w:szCs w:val="22"/>
          <w:color w:val="auto"/>
        </w:rPr>
        <w:t>but excluding from all of the foregoing clauses (1) through (4) any debt securities convertible into Capital Stock, whether or not such debt securities include any right of participation with Capital Stock.</w:t>
      </w:r>
    </w:p>
    <w:p>
      <w:pPr>
        <w:spacing w:after="0" w:line="14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Cash Collateralize</w:t>
      </w:r>
      <w:r>
        <w:rPr>
          <w:rFonts w:ascii="Times New Roman" w:cs="Times New Roman" w:eastAsia="Times New Roman" w:hAnsi="Times New Roman"/>
          <w:sz w:val="22"/>
          <w:szCs w:val="22"/>
          <w:color w:val="auto"/>
        </w:rPr>
        <w:t>” shall have the meaning set forth in Section 2.02(j). The terms “</w:t>
      </w:r>
      <w:r>
        <w:rPr>
          <w:rFonts w:ascii="Times New Roman" w:cs="Times New Roman" w:eastAsia="Times New Roman" w:hAnsi="Times New Roman"/>
          <w:sz w:val="22"/>
          <w:szCs w:val="22"/>
          <w:i w:val="1"/>
          <w:iCs w:val="1"/>
          <w:color w:val="auto"/>
        </w:rPr>
        <w:t>Cash Collateralized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Cash Collateralizes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Cash Collateralizing</w:t>
      </w:r>
      <w:r>
        <w:rPr>
          <w:rFonts w:ascii="Times New Roman" w:cs="Times New Roman" w:eastAsia="Times New Roman" w:hAnsi="Times New Roman"/>
          <w:sz w:val="22"/>
          <w:szCs w:val="22"/>
          <w:color w:val="auto"/>
        </w:rPr>
        <w:t>” shall have correlative meanings.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Equivalents</w:t>
      </w:r>
      <w:r>
        <w:rPr>
          <w:rFonts w:ascii="Times New Roman" w:cs="Times New Roman" w:eastAsia="Times New Roman" w:hAnsi="Times New Roman"/>
          <w:sz w:val="22"/>
          <w:szCs w:val="22"/>
          <w:color w:val="auto"/>
        </w:rPr>
        <w:t>” shall mean, as of the date acquired, purchased or made, as applicable:</w:t>
      </w:r>
    </w:p>
    <w:p>
      <w:pPr>
        <w:spacing w:after="0" w:line="224" w:lineRule="exact"/>
        <w:rPr>
          <w:sz w:val="20"/>
          <w:szCs w:val="20"/>
          <w:color w:val="auto"/>
        </w:rPr>
      </w:pPr>
    </w:p>
    <w:p>
      <w:pPr>
        <w:jc w:val="both"/>
        <w:ind w:left="660" w:firstLine="644"/>
        <w:spacing w:after="0" w:line="256" w:lineRule="auto"/>
        <w:tabs>
          <w:tab w:leader="none" w:pos="1806" w:val="left"/>
        </w:tabs>
        <w:numPr>
          <w:ilvl w:val="0"/>
          <w:numId w:val="6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776" w:val="left"/>
        </w:tabs>
        <w:numPr>
          <w:ilvl w:val="0"/>
          <w:numId w:val="6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obligations issued by any state of the United States or any political subdivision of any such state or any instrumentality thereof, in each case maturing within three years after such date and having, at the time of the acquisition thereof, a rating of at least A- (or the equivalent thereof) from S&amp;P or A3 (or the equivalent thereof) from Moody’s;</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813" w:val="left"/>
        </w:tabs>
        <w:numPr>
          <w:ilvl w:val="0"/>
          <w:numId w:val="6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 w:cs="Times New Roman" w:eastAsia="Times New Roman" w:hAnsi="Times New Roman"/>
          <w:sz w:val="22"/>
          <w:szCs w:val="22"/>
          <w:u w:val="single" w:color="auto"/>
          <w:color w:val="auto"/>
        </w:rPr>
        <w:t>provided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56" w:name="page557"/>
    <w:bookmarkEnd w:id="556"/>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in each case, the security has a maturity or weighted average life of three years or less from such date;</w:t>
      </w:r>
    </w:p>
    <w:p>
      <w:pPr>
        <w:spacing w:after="0" w:line="220" w:lineRule="exact"/>
        <w:rPr>
          <w:sz w:val="20"/>
          <w:szCs w:val="20"/>
          <w:color w:val="auto"/>
        </w:rPr>
      </w:pPr>
    </w:p>
    <w:p>
      <w:pPr>
        <w:ind w:firstLine="644"/>
        <w:spacing w:after="0" w:line="271" w:lineRule="auto"/>
        <w:tabs>
          <w:tab w:leader="none" w:pos="1128"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no more than one year after such date and having, on such date, a rating of at least A-2 from S&amp;P or at least P-2 from Moody’s;</w:t>
      </w:r>
    </w:p>
    <w:p>
      <w:pPr>
        <w:spacing w:after="0" w:line="171" w:lineRule="exact"/>
        <w:rPr>
          <w:rFonts w:ascii="Times New Roman" w:cs="Times New Roman" w:eastAsia="Times New Roman" w:hAnsi="Times New Roman"/>
          <w:sz w:val="22"/>
          <w:szCs w:val="22"/>
          <w:color w:val="auto"/>
        </w:rPr>
      </w:pPr>
    </w:p>
    <w:p>
      <w:pPr>
        <w:jc w:val="both"/>
        <w:ind w:firstLine="644"/>
        <w:spacing w:after="0" w:line="251" w:lineRule="auto"/>
        <w:tabs>
          <w:tab w:leader="none" w:pos="1154"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w:t>
      </w:r>
    </w:p>
    <w:p>
      <w:pPr>
        <w:spacing w:after="0" w:line="181" w:lineRule="exact"/>
        <w:rPr>
          <w:rFonts w:ascii="Times New Roman" w:cs="Times New Roman" w:eastAsia="Times New Roman" w:hAnsi="Times New Roman"/>
          <w:sz w:val="22"/>
          <w:szCs w:val="22"/>
          <w:color w:val="auto"/>
        </w:rPr>
      </w:pPr>
    </w:p>
    <w:p>
      <w:pPr>
        <w:ind w:firstLine="644"/>
        <w:spacing w:after="0" w:line="271" w:lineRule="auto"/>
        <w:tabs>
          <w:tab w:leader="none" w:pos="1133"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counterparties whose long term debt is rated not less than A-by S&amp;P and A3 by Moody’s and with a term of not more than six months from such date;</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153"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w:t>
      </w:r>
    </w:p>
    <w:p>
      <w:pPr>
        <w:spacing w:after="0" w:line="176" w:lineRule="exact"/>
        <w:rPr>
          <w:rFonts w:ascii="Times New Roman" w:cs="Times New Roman" w:eastAsia="Times New Roman" w:hAnsi="Times New Roman"/>
          <w:sz w:val="22"/>
          <w:szCs w:val="22"/>
          <w:color w:val="auto"/>
        </w:rPr>
      </w:pPr>
    </w:p>
    <w:p>
      <w:pPr>
        <w:jc w:val="both"/>
        <w:ind w:firstLine="644"/>
        <w:spacing w:after="0" w:line="257" w:lineRule="auto"/>
        <w:tabs>
          <w:tab w:leader="none" w:pos="1136"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any money market mutual fund that, as of such date, (a) complies with the criteria set forth in SEC Rule 2a-7 under the Investment Company Act of 1940, as amended and (b) is rated AAA (or the equivalent thereof) by S&amp;P and Aaa (or the equivalent thereof) by Moody’s;</w:t>
      </w:r>
    </w:p>
    <w:p>
      <w:pPr>
        <w:spacing w:after="0" w:line="172" w:lineRule="exact"/>
        <w:rPr>
          <w:rFonts w:ascii="Times New Roman" w:cs="Times New Roman" w:eastAsia="Times New Roman" w:hAnsi="Times New Roman"/>
          <w:sz w:val="22"/>
          <w:szCs w:val="22"/>
          <w:color w:val="auto"/>
        </w:rPr>
      </w:pPr>
    </w:p>
    <w:p>
      <w:pPr>
        <w:ind w:firstLine="644"/>
        <w:spacing w:after="0" w:line="284" w:lineRule="auto"/>
        <w:tabs>
          <w:tab w:leader="none" w:pos="1160"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auction rate preferred securities that, as of such date, have the highest rating obtainable from either S&amp;P or Moody’s and with a maximum reset date at least every 30 days;</w:t>
      </w:r>
    </w:p>
    <w:p>
      <w:pPr>
        <w:spacing w:after="0" w:line="143" w:lineRule="exact"/>
        <w:rPr>
          <w:rFonts w:ascii="Times New Roman" w:cs="Times New Roman" w:eastAsia="Times New Roman" w:hAnsi="Times New Roman"/>
          <w:sz w:val="22"/>
          <w:szCs w:val="22"/>
          <w:color w:val="auto"/>
        </w:rPr>
      </w:pPr>
    </w:p>
    <w:p>
      <w:pPr>
        <w:ind w:firstLine="644"/>
        <w:spacing w:after="0" w:line="271" w:lineRule="auto"/>
        <w:tabs>
          <w:tab w:leader="none" w:pos="1245"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pursuant to the Parent’s or any of its Restricted Subsidiaries’ cash equivalents/short term investment guidelines;</w:t>
      </w:r>
    </w:p>
    <w:p>
      <w:pPr>
        <w:spacing w:after="0" w:line="157" w:lineRule="exact"/>
        <w:rPr>
          <w:rFonts w:ascii="Times New Roman" w:cs="Times New Roman" w:eastAsia="Times New Roman" w:hAnsi="Times New Roman"/>
          <w:sz w:val="22"/>
          <w:szCs w:val="22"/>
          <w:color w:val="auto"/>
        </w:rPr>
      </w:pPr>
    </w:p>
    <w:p>
      <w:pPr>
        <w:ind w:firstLine="644"/>
        <w:spacing w:after="0" w:line="271" w:lineRule="auto"/>
        <w:tabs>
          <w:tab w:leader="none" w:pos="1243"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available for withdrawal on demand with commercial banks organized in the United States having capital and surplus in excess of $100,000,000;</w:t>
      </w:r>
    </w:p>
    <w:p>
      <w:pPr>
        <w:spacing w:after="0" w:line="171" w:lineRule="exact"/>
        <w:rPr>
          <w:rFonts w:ascii="Times New Roman" w:cs="Times New Roman" w:eastAsia="Times New Roman" w:hAnsi="Times New Roman"/>
          <w:sz w:val="22"/>
          <w:szCs w:val="22"/>
          <w:color w:val="auto"/>
        </w:rPr>
      </w:pPr>
    </w:p>
    <w:p>
      <w:pPr>
        <w:jc w:val="both"/>
        <w:ind w:firstLine="644"/>
        <w:spacing w:after="0" w:line="250" w:lineRule="auto"/>
        <w:tabs>
          <w:tab w:leader="none" w:pos="1332"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200" w:lineRule="exact"/>
        <w:rPr>
          <w:sz w:val="20"/>
          <w:szCs w:val="20"/>
          <w:color w:val="auto"/>
        </w:rPr>
      </w:pPr>
    </w:p>
    <w:p>
      <w:pPr>
        <w:spacing w:after="0" w:line="2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80"/>
          </w:cols>
          <w:pgMar w:left="980" w:top="1440" w:right="339" w:bottom="1440" w:gutter="0" w:footer="0" w:header="0"/>
        </w:sectPr>
      </w:pPr>
    </w:p>
    <w:bookmarkStart w:id="557" w:name="page558"/>
    <w:bookmarkEnd w:id="557"/>
    <w:p>
      <w:pPr>
        <w:spacing w:after="0" w:line="198" w:lineRule="exact"/>
        <w:rPr>
          <w:sz w:val="20"/>
          <w:szCs w:val="20"/>
          <w:color w:val="auto"/>
        </w:rPr>
      </w:pPr>
    </w:p>
    <w:p>
      <w:pPr>
        <w:ind w:left="660" w:firstLine="644"/>
        <w:spacing w:after="0" w:line="271" w:lineRule="auto"/>
        <w:tabs>
          <w:tab w:leader="none" w:pos="1916" w:val="left"/>
        </w:tabs>
        <w:numPr>
          <w:ilvl w:val="0"/>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securities or pools of securities that are classified under GAAP as cash equivalents or short-term investments on a balance sheet as of such date.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Certificate Delivery Date</w:t>
      </w:r>
      <w:r>
        <w:rPr>
          <w:rFonts w:ascii="Times New Roman" w:cs="Times New Roman" w:eastAsia="Times New Roman" w:hAnsi="Times New Roman"/>
          <w:sz w:val="22"/>
          <w:szCs w:val="22"/>
          <w:color w:val="auto"/>
        </w:rPr>
        <w:t>” shall have the meaning set forth in Section 6.09(a).</w:t>
      </w:r>
    </w:p>
    <w:p>
      <w:pPr>
        <w:spacing w:after="0" w:line="23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Law</w:t>
      </w:r>
      <w:r>
        <w:rPr>
          <w:rFonts w:ascii="Times New Roman" w:cs="Times New Roman" w:eastAsia="Times New Roman" w:hAnsi="Times New Roman"/>
          <w:sz w:val="22"/>
          <w:szCs w:val="22"/>
          <w:color w:val="auto"/>
        </w:rPr>
        <w:t>”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Issuing Lender (or, for purposes of Section 2.14(b),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date of this Agreement.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shall mean the occurrence of any of the following:</w:t>
      </w:r>
    </w:p>
    <w:p>
      <w:pPr>
        <w:spacing w:after="0" w:line="224" w:lineRule="exact"/>
        <w:rPr>
          <w:sz w:val="20"/>
          <w:szCs w:val="20"/>
          <w:color w:val="auto"/>
        </w:rPr>
      </w:pPr>
    </w:p>
    <w:p>
      <w:pPr>
        <w:jc w:val="both"/>
        <w:ind w:left="660" w:firstLine="644"/>
        <w:spacing w:after="0" w:line="256" w:lineRule="auto"/>
        <w:tabs>
          <w:tab w:leader="none" w:pos="1788"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776" w:val="left"/>
        </w:tabs>
        <w:numPr>
          <w:ilvl w:val="0"/>
          <w:numId w:val="6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Times New Roman" w:cs="Times New Roman" w:eastAsia="Times New Roman" w:hAnsi="Times New Roman"/>
          <w:sz w:val="21"/>
          <w:szCs w:val="21"/>
          <w:i w:val="1"/>
          <w:iCs w:val="1"/>
          <w:color w:val="auto"/>
        </w:rPr>
        <w:t>Permitted Person</w:t>
      </w:r>
      <w:r>
        <w:rPr>
          <w:rFonts w:ascii="Times New Roman" w:cs="Times New Roman" w:eastAsia="Times New Roman" w:hAnsi="Times New Roman"/>
          <w:sz w:val="21"/>
          <w:szCs w:val="21"/>
          <w:color w:val="auto"/>
        </w:rPr>
        <w:t>”)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7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For the avoidance of doubt, any Airline/Parent Merger and any Airlines Merger will not be a Change of Control under this Agreement.</w:t>
      </w:r>
    </w:p>
    <w:p>
      <w:pPr>
        <w:spacing w:after="0" w:line="167"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w:t>
      </w:r>
      <w:r>
        <w:rPr>
          <w:rFonts w:ascii="Times New Roman" w:cs="Times New Roman" w:eastAsia="Times New Roman" w:hAnsi="Times New Roman"/>
          <w:sz w:val="22"/>
          <w:szCs w:val="22"/>
          <w:color w:val="auto"/>
        </w:rPr>
        <w:t>” when used in reference to any Loan or Borrowing, shall refer to whether such Loan, or the Loans comprising such Borrowing, are Revolving Loans, Initial Term Loans or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558" w:name="page559"/>
    <w:bookmarkEnd w:id="558"/>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Incremental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 Loans or Revolving Commitments having the exact same terms and conditions shall be deemed a part of the same Class.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shall mean December 4, 2023.</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 Transactions</w:t>
      </w:r>
      <w:r>
        <w:rPr>
          <w:rFonts w:ascii="Times New Roman" w:cs="Times New Roman" w:eastAsia="Times New Roman" w:hAnsi="Times New Roman"/>
          <w:sz w:val="22"/>
          <w:szCs w:val="22"/>
          <w:color w:val="auto"/>
        </w:rPr>
        <w:t>” shall mean the Transactions that occur on the Closing Date.</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Co-Branded Card Agreement(s)</w:t>
      </w:r>
      <w:r>
        <w:rPr>
          <w:rFonts w:ascii="Times New Roman" w:cs="Times New Roman" w:eastAsia="Times New Roman" w:hAnsi="Times New Roman"/>
          <w:sz w:val="22"/>
          <w:szCs w:val="22"/>
          <w:color w:val="auto"/>
        </w:rPr>
        <w:t>” shall mean (i) that certain Co-Branded Credit Card Program Agreement, dated as of July 8, 2016, between American Airlines, Inc. and Barclays Bank Delaware, as amended, restated, supplemented or otherwise modified from time to time, (ii) that certain Co-Branded Credit Card Program Agreement, dated as of June 30, 2016, between American Airlines, Inc. and Citibank, N.A., as amended, restated, supplemented or otherwise modified from time to time, and (iii) any other similar agreements or agreements related to the sale of miles entered into by the Parent or any of its Subsidiaries from time to time.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shall mean the Internal Revenue Code of 1986, as amended from time to time.</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22"/>
          <w:szCs w:val="22"/>
          <w:color w:val="auto"/>
        </w:rPr>
        <w:t>” shall mean (i) the assets and properties of the Grantors upon which Liens have been granted to the Collateral Trustee to secure the Obligations including, without limitation, any 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 For the purposes of this definition, all Collateral secured by the SGR Security Agreement shall be considered Collateral under this Agreement.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Change in Law</w:t>
      </w:r>
      <w:r>
        <w:rPr>
          <w:rFonts w:ascii="Times New Roman" w:cs="Times New Roman" w:eastAsia="Times New Roman" w:hAnsi="Times New Roman"/>
          <w:sz w:val="22"/>
          <w:szCs w:val="22"/>
          <w:color w:val="auto"/>
        </w:rPr>
        <w:t>” shall have the meaning set forth in the definition of “Core Collateral”.</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 shall mean, as of any date of determination, the ratio of (i) the Appraised Value of the Collateral with respect to such date of determination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Times New Roman" w:cs="Times New Roman" w:eastAsia="Times New Roman" w:hAnsi="Times New Roman"/>
          <w:sz w:val="22"/>
          <w:szCs w:val="22"/>
          <w:i w:val="1"/>
          <w:iCs w:val="1"/>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 Certificate</w:t>
      </w:r>
      <w:r>
        <w:rPr>
          <w:rFonts w:ascii="Times New Roman" w:cs="Times New Roman" w:eastAsia="Times New Roman" w:hAnsi="Times New Roman"/>
          <w:sz w:val="22"/>
          <w:szCs w:val="22"/>
          <w:color w:val="auto"/>
        </w:rPr>
        <w:t>” shall mean an Officer’s Certificate calculating the Collateral Coverage Ratio substantially in the form of Exhibit H hereto.</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559" w:name="page560"/>
    <w:bookmarkEnd w:id="559"/>
    <w:p>
      <w:pPr>
        <w:spacing w:after="0" w:line="19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 Failure</w:t>
      </w:r>
      <w:r>
        <w:rPr>
          <w:rFonts w:ascii="Times New Roman" w:cs="Times New Roman" w:eastAsia="Times New Roman" w:hAnsi="Times New Roman"/>
          <w:sz w:val="22"/>
          <w:szCs w:val="22"/>
          <w:color w:val="auto"/>
        </w:rPr>
        <w:t>” shall mean, as of any date of determination, the failure of the Collateral Coverage Ratio as of such date to be at least equal to 1.6 to 1.0.</w:t>
      </w:r>
    </w:p>
    <w:p>
      <w:pPr>
        <w:spacing w:after="0" w:line="14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Documents</w:t>
      </w:r>
      <w:r>
        <w:rPr>
          <w:rFonts w:ascii="Times New Roman" w:cs="Times New Roman" w:eastAsia="Times New Roman" w:hAnsi="Times New Roman"/>
          <w:sz w:val="22"/>
          <w:szCs w:val="22"/>
          <w:color w:val="auto"/>
        </w:rPr>
        <w:t>” shall mean, collectively, the SGR Security Agreement, the Collateral Trust Agreement (together with any joinders or additional secured debt designations related thereto), any Account Control Agreement(s), any Intercreditor Agreement (on and after the execution thereof) and other agreements, instruments or documents that create or purport to create a Lien in favor of the Collateral Trustee for the benefit of the Secured Parties, in each case so long as such agreement, instrument or document shall not have been terminated in accordance with its terms.</w:t>
      </w:r>
    </w:p>
    <w:p>
      <w:pPr>
        <w:spacing w:after="0" w:line="17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Proceeds Account</w:t>
      </w:r>
      <w:r>
        <w:rPr>
          <w:rFonts w:ascii="Times New Roman" w:cs="Times New Roman" w:eastAsia="Times New Roman" w:hAnsi="Times New Roman"/>
          <w:sz w:val="22"/>
          <w:szCs w:val="22"/>
          <w:color w:val="auto"/>
        </w:rPr>
        <w:t>” shall mean a segregated account or accounts held by or under the control of the Collateral Trustee into which the Net Proceeds of any Recovery Event or Disposition of Collateral may be deposited in accordance with the provisions of this Agreement.</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Trust Agreement</w:t>
      </w:r>
      <w:r>
        <w:rPr>
          <w:rFonts w:ascii="Times New Roman" w:cs="Times New Roman" w:eastAsia="Times New Roman" w:hAnsi="Times New Roman"/>
          <w:sz w:val="22"/>
          <w:szCs w:val="22"/>
          <w:color w:val="auto"/>
        </w:rPr>
        <w:t>” shall mean that certain Collateral Trust Agreement, dated as of December 4, 2023, by and among the Borrower, the Collateral Trustee, Wilmington Trust, National Association, as trustee under the Indenture and the Administrative Agent.</w:t>
      </w:r>
    </w:p>
    <w:p>
      <w:pPr>
        <w:spacing w:after="0" w:line="16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Trustee</w:t>
      </w:r>
      <w:r>
        <w:rPr>
          <w:rFonts w:ascii="Times New Roman" w:cs="Times New Roman" w:eastAsia="Times New Roman" w:hAnsi="Times New Roman"/>
          <w:sz w:val="22"/>
          <w:szCs w:val="22"/>
          <w:color w:val="auto"/>
        </w:rPr>
        <w:t>” shall mean Wilmington Trust, National Association, as collateral trustee for the Secured Parties, together with its permitted successors and permitted assigns.</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shall mean, as to any Lender, the sum of the Revolving Commitment, if any, and the Term Loan Commitment, if any, of such Lender, it being understood that the “</w:t>
      </w:r>
      <w:r>
        <w:rPr>
          <w:rFonts w:ascii="Times New Roman" w:cs="Times New Roman" w:eastAsia="Times New Roman" w:hAnsi="Times New Roman"/>
          <w:sz w:val="22"/>
          <w:szCs w:val="22"/>
          <w:i w:val="1"/>
          <w:iCs w:val="1"/>
          <w:color w:val="auto"/>
        </w:rPr>
        <w:t>Term Loan Commitment</w:t>
      </w:r>
      <w:r>
        <w:rPr>
          <w:rFonts w:ascii="Times New Roman" w:cs="Times New Roman" w:eastAsia="Times New Roman" w:hAnsi="Times New Roman"/>
          <w:sz w:val="22"/>
          <w:szCs w:val="22"/>
          <w:color w:val="auto"/>
        </w:rPr>
        <w:t>” of a Lender shall remain in effect until the Term Loans have been funded in full in accordance with this Agreement.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shall have the meaning given to such term in Section 2.20.</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22"/>
          <w:szCs w:val="22"/>
          <w:b w:val="1"/>
          <w:bCs w:val="1"/>
          <w:color w:val="FF0000"/>
          <w:strike w:val="1"/>
        </w:rPr>
        <w:t>such percentage</w:t>
      </w:r>
      <w:r>
        <w:rPr>
          <w:rFonts w:ascii="Times New Roman" w:cs="Times New Roman" w:eastAsia="Times New Roman" w:hAnsi="Times New Roman"/>
          <w:sz w:val="22"/>
          <w:szCs w:val="22"/>
          <w:b w:val="1"/>
          <w:bCs w:val="1"/>
          <w:u w:val="single" w:color="auto"/>
          <w:color w:val="0000FF"/>
        </w:rPr>
        <w:t>0.75%</w:t>
      </w:r>
      <w:r>
        <w:rPr>
          <w:rFonts w:ascii="Times New Roman" w:cs="Times New Roman" w:eastAsia="Times New Roman" w:hAnsi="Times New Roman"/>
          <w:sz w:val="22"/>
          <w:szCs w:val="22"/>
          <w:color w:val="auto"/>
        </w:rPr>
        <w:t xml:space="preserve"> per annum </w:t>
      </w:r>
      <w:r>
        <w:rPr>
          <w:rFonts w:ascii="Times New Roman" w:cs="Times New Roman" w:eastAsia="Times New Roman" w:hAnsi="Times New Roman"/>
          <w:sz w:val="22"/>
          <w:szCs w:val="22"/>
          <w:b w:val="1"/>
          <w:bCs w:val="1"/>
          <w:color w:val="FF0000"/>
        </w:rPr>
        <w:t>as may be agreed in writing by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Borrower and the Revolving Lenders from time to time</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-270510</wp:posOffset>
            </wp:positionV>
            <wp:extent cx="2218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12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shall mean the Commodity Exchange Act (7 U.S.C. §1 et seq.), as amended from time to time, and any successor statute.</w:t>
      </w:r>
    </w:p>
    <w:p>
      <w:pPr>
        <w:spacing w:after="0" w:line="14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2.14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560" w:name="page561"/>
    <w:bookmarkEnd w:id="560"/>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such market practice is not administratively feasible or if the Administrative Agent determines that no market practice for the administration of any such rate exists, in each case, in consultation with the Borrower, in such other manner of administration as the Administrative Agent, in consultation with the Borrower, decides is reasonably necessary in connection with the administration of this Agreement and the other Loan Documents).</w:t>
      </w:r>
    </w:p>
    <w:p>
      <w:pPr>
        <w:spacing w:after="0" w:line="17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EBITDAR</w:t>
      </w:r>
      <w:r>
        <w:rPr>
          <w:rFonts w:ascii="Times New Roman" w:cs="Times New Roman" w:eastAsia="Times New Roman" w:hAnsi="Times New Roman"/>
          <w:sz w:val="22"/>
          <w:szCs w:val="22"/>
          <w:color w:val="auto"/>
        </w:rPr>
        <w:t>” shall mean, with respect to any specified Person for any period, the Consolidated Net Income of such Person for such period plus, without duplication:</w:t>
      </w:r>
    </w:p>
    <w:p>
      <w:pPr>
        <w:spacing w:after="0" w:line="153" w:lineRule="exact"/>
        <w:rPr>
          <w:sz w:val="20"/>
          <w:szCs w:val="20"/>
          <w:color w:val="auto"/>
        </w:rPr>
      </w:pPr>
    </w:p>
    <w:p>
      <w:pPr>
        <w:jc w:val="both"/>
        <w:ind w:left="660" w:firstLine="644"/>
        <w:spacing w:after="0" w:line="263" w:lineRule="auto"/>
        <w:tabs>
          <w:tab w:leader="none" w:pos="1816"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any extraordinary loss plus any net loss realized by such Person or any of its Restricted Subsidiaries in connection with any Disposition of assets, to the extent such losses were deducted in computing such Consolidated Net Income; plus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38"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for taxes based on income or profits of such Person and its Restricted Subsidiaries, to the extent that such provision for taxes was deducted in computing such Consolidated Net Income; plus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99"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Charges of such Person and its Restricted Subsidiaries, to the extent that such Fixed Charges were deducted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76"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currency translation losses (including losses related to currency remeasurements of Indebtedness) of such Person and its Restricted Subsidiaries for such period, to the extent that such losses were deducted in computing such Consolidated Net Income; plus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08"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909"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amortization of debt discount to the extent that such amortization was deducted in computing such Consolidated Net Income; plus</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06"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deductions for grants to any employee of Parent or its Restricted Subsidiaries of any Equity Interests during such period to the extent deducted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20"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561" w:name="page562"/>
    <w:bookmarkEnd w:id="561"/>
    <w:p>
      <w:pPr>
        <w:spacing w:after="0" w:line="198" w:lineRule="exact"/>
        <w:rPr>
          <w:sz w:val="20"/>
          <w:szCs w:val="20"/>
          <w:color w:val="auto"/>
        </w:rPr>
      </w:pPr>
    </w:p>
    <w:p>
      <w:pPr>
        <w:jc w:val="both"/>
        <w:ind w:left="660" w:right="20" w:firstLine="644"/>
        <w:spacing w:after="0" w:line="257" w:lineRule="auto"/>
        <w:tabs>
          <w:tab w:leader="none" w:pos="1865"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2061"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from business interruption insurance for such period, to the extent not already included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36"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minus</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58"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items, other than the accrual of revenue in the Ordinary Course of Business, to the extent such amount increased such Consolidated Net Income; minus</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income tax credits and (B) interest income included in computing such Consolidated Net</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determined on a consolidated basis in accordance with GAAP.</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Income</w:t>
      </w:r>
      <w:r>
        <w:rPr>
          <w:rFonts w:ascii="Times New Roman" w:cs="Times New Roman" w:eastAsia="Times New Roman" w:hAnsi="Times New Roman"/>
          <w:sz w:val="22"/>
          <w:szCs w:val="22"/>
          <w:color w:val="auto"/>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9" w:lineRule="exact"/>
        <w:rPr>
          <w:sz w:val="20"/>
          <w:szCs w:val="20"/>
          <w:color w:val="auto"/>
        </w:rPr>
      </w:pPr>
    </w:p>
    <w:p>
      <w:pPr>
        <w:jc w:val="both"/>
        <w:ind w:left="660" w:firstLine="644"/>
        <w:spacing w:after="0" w:line="248" w:lineRule="auto"/>
        <w:tabs>
          <w:tab w:leader="none" w:pos="1875" w:val="left"/>
        </w:tabs>
        <w:numPr>
          <w:ilvl w:val="0"/>
          <w:numId w:val="6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Parent’s reorganization plan in connection with the AMR/US Airways Merger, any Airlines Merger or any Airline/Parent Merger);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(including any other Pari Passu Senior Secured Debt issued by the Borrower, AAG or their respective affiliates), Permitted Investments, acquisitions, dispositions, recapitalizations or incurrences or repayments of Indebtedness permitted hereunder, including a refinancing thereof (in each case whether or not successful) (including but not limited to any one or more of the AMR/US Airways Merger, any Airlines Merger or any Airline/Parent Merger); and (c) gains and losses realized in connection with any sale of assets, the disposition of securities, the early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562" w:name="page563"/>
    <w:bookmarkEnd w:id="562"/>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extinguishment of Indebtedness or associated with Hedging Obligations, together with any related provision for taxes on any such gain, will be excluded;</w:t>
      </w:r>
    </w:p>
    <w:p>
      <w:pPr>
        <w:spacing w:after="0" w:line="158" w:lineRule="exact"/>
        <w:rPr>
          <w:sz w:val="20"/>
          <w:szCs w:val="20"/>
          <w:color w:val="auto"/>
        </w:rPr>
      </w:pPr>
    </w:p>
    <w:p>
      <w:pPr>
        <w:jc w:val="both"/>
        <w:ind w:firstLine="644"/>
        <w:spacing w:after="0" w:line="281" w:lineRule="auto"/>
        <w:tabs>
          <w:tab w:leader="none" w:pos="1141" w:val="left"/>
        </w:tabs>
        <w:numPr>
          <w:ilvl w:val="0"/>
          <w:numId w:val="6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w:t>
      </w:r>
    </w:p>
    <w:p>
      <w:pPr>
        <w:spacing w:after="0" w:line="150" w:lineRule="exact"/>
        <w:rPr>
          <w:rFonts w:ascii="Times New Roman" w:cs="Times New Roman" w:eastAsia="Times New Roman" w:hAnsi="Times New Roman"/>
          <w:sz w:val="21"/>
          <w:szCs w:val="21"/>
          <w:color w:val="auto"/>
        </w:rPr>
      </w:pPr>
    </w:p>
    <w:p>
      <w:pPr>
        <w:jc w:val="both"/>
        <w:ind w:firstLine="644"/>
        <w:spacing w:after="0" w:line="253" w:lineRule="auto"/>
        <w:tabs>
          <w:tab w:leader="none" w:pos="1148"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78"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on such Person will be excluded;</w:t>
      </w:r>
    </w:p>
    <w:p>
      <w:pPr>
        <w:spacing w:after="0" w:line="219" w:lineRule="exact"/>
        <w:rPr>
          <w:rFonts w:ascii="Times New Roman" w:cs="Times New Roman" w:eastAsia="Times New Roman" w:hAnsi="Times New Roman"/>
          <w:sz w:val="22"/>
          <w:szCs w:val="22"/>
          <w:color w:val="auto"/>
        </w:rPr>
      </w:pPr>
    </w:p>
    <w:p>
      <w:pPr>
        <w:jc w:val="both"/>
        <w:ind w:firstLine="644"/>
        <w:spacing w:after="0" w:line="257" w:lineRule="auto"/>
        <w:tabs>
          <w:tab w:leader="none" w:pos="1281"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of non-cash gains and losses of such Person resulting from Hedging Obligations, including attributable to movement in the mark-to-market valuation of Hedging Obligations pursuant to Financial Accounting Standards Board 133 Accounting Standards Codification 815—Derivatives and Hedging will be excluded;</w:t>
      </w:r>
    </w:p>
    <w:p>
      <w:pPr>
        <w:spacing w:after="0" w:line="186" w:lineRule="exact"/>
        <w:rPr>
          <w:rFonts w:ascii="Times New Roman" w:cs="Times New Roman" w:eastAsia="Times New Roman" w:hAnsi="Times New Roman"/>
          <w:sz w:val="22"/>
          <w:szCs w:val="22"/>
          <w:color w:val="auto"/>
        </w:rPr>
      </w:pPr>
    </w:p>
    <w:p>
      <w:pPr>
        <w:ind w:firstLine="644"/>
        <w:spacing w:after="0" w:line="271" w:lineRule="auto"/>
        <w:tabs>
          <w:tab w:leader="none" w:pos="1191"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expense recorded from grants by such Person of stock appreciation or similar rights, stock options or other rights to officers, directors or employees, will be excluded;</w:t>
      </w:r>
    </w:p>
    <w:p>
      <w:pPr>
        <w:spacing w:after="0" w:line="157" w:lineRule="exact"/>
        <w:rPr>
          <w:rFonts w:ascii="Times New Roman" w:cs="Times New Roman" w:eastAsia="Times New Roman" w:hAnsi="Times New Roman"/>
          <w:sz w:val="22"/>
          <w:szCs w:val="22"/>
          <w:color w:val="auto"/>
        </w:rPr>
      </w:pPr>
    </w:p>
    <w:p>
      <w:pPr>
        <w:jc w:val="both"/>
        <w:ind w:firstLine="644"/>
        <w:spacing w:after="0" w:line="250" w:lineRule="auto"/>
        <w:tabs>
          <w:tab w:leader="none" w:pos="1218"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 Property, Plant and Equipment and 805—Business Combinations (excluding any such non-cash item to the extent that it represents an accrual of or reserve for cash expenditures in any future period except to the extent such item is subsequently reversed), will be excluded;</w:t>
      </w:r>
    </w:p>
    <w:p>
      <w:pPr>
        <w:spacing w:after="0" w:line="179" w:lineRule="exact"/>
        <w:rPr>
          <w:rFonts w:ascii="Times New Roman" w:cs="Times New Roman" w:eastAsia="Times New Roman" w:hAnsi="Times New Roman"/>
          <w:sz w:val="22"/>
          <w:szCs w:val="22"/>
          <w:color w:val="auto"/>
        </w:rPr>
      </w:pPr>
    </w:p>
    <w:p>
      <w:pPr>
        <w:jc w:val="both"/>
        <w:ind w:firstLine="644"/>
        <w:spacing w:after="0" w:line="257" w:lineRule="auto"/>
        <w:tabs>
          <w:tab w:leader="none" w:pos="1121"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172" w:lineRule="exact"/>
        <w:rPr>
          <w:rFonts w:ascii="Times New Roman" w:cs="Times New Roman" w:eastAsia="Times New Roman" w:hAnsi="Times New Roman"/>
          <w:sz w:val="22"/>
          <w:szCs w:val="22"/>
          <w:color w:val="auto"/>
        </w:rPr>
      </w:pPr>
    </w:p>
    <w:p>
      <w:pPr>
        <w:ind w:firstLine="644"/>
        <w:spacing w:after="0" w:line="271" w:lineRule="auto"/>
        <w:tabs>
          <w:tab w:leader="none" w:pos="1122"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amortization of deferred charges resulting from the application of Financial Accounting Standards Board Accounting Standards Codifications 470-20 Debt With</w:t>
      </w:r>
    </w:p>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580"/>
          </w:cols>
          <w:pgMar w:left="980" w:top="1440" w:right="339" w:bottom="1440" w:gutter="0" w:footer="0" w:header="0"/>
        </w:sectPr>
      </w:pPr>
    </w:p>
    <w:bookmarkStart w:id="563" w:name="page564"/>
    <w:bookmarkEnd w:id="563"/>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Conversion and Other Options that may be settled in cash upon conversion (including partial cash settlement) will be excluded.</w:t>
      </w:r>
    </w:p>
    <w:p>
      <w:pPr>
        <w:spacing w:after="0" w:line="15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Tangible Assets</w:t>
      </w:r>
      <w:r>
        <w:rPr>
          <w:rFonts w:ascii="Times New Roman" w:cs="Times New Roman" w:eastAsia="Times New Roman" w:hAnsi="Times New Roman"/>
          <w:sz w:val="22"/>
          <w:szCs w:val="22"/>
          <w:color w:val="auto"/>
        </w:rPr>
        <w:t>”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Assets</w:t>
      </w:r>
      <w:r>
        <w:rPr>
          <w:rFonts w:ascii="Times New Roman" w:cs="Times New Roman" w:eastAsia="Times New Roman" w:hAnsi="Times New Roman"/>
          <w:sz w:val="22"/>
          <w:szCs w:val="22"/>
          <w:color w:val="auto"/>
        </w:rPr>
        <w:t>” shall mean, as of any date of determination, the sum of the amounts that would appear on a consolidated balance sheet of Parent and its consolidated Restricted Subsidiaries as the total assets of Parent and its Restricted Subsidiaries in accordance with GAAP.</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Convertible Indebtedness</w:t>
      </w:r>
      <w:r>
        <w:rPr>
          <w:rFonts w:ascii="Times New Roman" w:cs="Times New Roman" w:eastAsia="Times New Roman" w:hAnsi="Times New Roman"/>
          <w:sz w:val="22"/>
          <w:szCs w:val="22"/>
          <w:color w:val="auto"/>
        </w:rPr>
        <w:t>” shall mean Indebtedness of Parent or a Restricted Subsidiary of Parent (which may be Guaranteed by the Parent) permitted to be incurred under the terms of this Agreement that is either (a) convertible or exchangeable into common stock of Parent or a parent company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w:t>
      </w:r>
    </w:p>
    <w:p>
      <w:pPr>
        <w:spacing w:after="0" w:line="19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Core Collateral</w:t>
      </w:r>
      <w:r>
        <w:rPr>
          <w:rFonts w:ascii="Times New Roman" w:cs="Times New Roman" w:eastAsia="Times New Roman" w:hAnsi="Times New Roman"/>
          <w:sz w:val="22"/>
          <w:szCs w:val="22"/>
          <w:color w:val="auto"/>
        </w:rPr>
        <w:t>” shall mean (1) a number of Foreign Slots (other than any Temporary Slots) of the Parent and its Subsidiaries (the “</w:t>
      </w:r>
      <w:r>
        <w:rPr>
          <w:rFonts w:ascii="Times New Roman" w:cs="Times New Roman" w:eastAsia="Times New Roman" w:hAnsi="Times New Roman"/>
          <w:sz w:val="22"/>
          <w:szCs w:val="22"/>
          <w:i w:val="1"/>
          <w:iCs w:val="1"/>
          <w:color w:val="auto"/>
        </w:rPr>
        <w:t>AAG Group</w:t>
      </w:r>
      <w:r>
        <w:rPr>
          <w:rFonts w:ascii="Times New Roman" w:cs="Times New Roman" w:eastAsia="Times New Roman" w:hAnsi="Times New Roman"/>
          <w:sz w:val="22"/>
          <w:szCs w:val="22"/>
          <w:color w:val="auto"/>
        </w:rPr>
        <w:t>”) at airports in Central America, the Specified Caribbean Jurisdictions and Mexico that is not less than the product of (I) 90% and (II) the total number of Foreign Slots (other than any Temporary Slots) of the AAG Group used in any non-stop scheduled service of the AAG Group between airports in the United States (other than DCA and LGA) and airports in Central America, the Specified Caribbean Jurisdictions and Mexico and (2) all of the Route Authorities, Slots (other than Slots subject to certain Transfer Restrictions set forth in the SGR Security Agreement) and Foreign Gate Leaseholds (other than Foreign Gate Leaseholds subject to certain Transfer Restrictions set forth in the SGR Security Agreement) of the AAG Group used in any non-stop scheduled service of the AAG Group between airports in the United States (other than DCA and LGA) and airports in Central America, the Specified Caribbean Jurisdictions and Mexico, that represent not less than 90% of all of the non-stop scheduled services of the Company between airports in the United States (other than DCA and LGA) and airports in Central America, the Specified Caribbean Jurisdictions and Mexico, determined on the basis of Appraised Value. For avoidance of doubt, for all purposes under the Loan Documents, any Foreign Slots in excess of the number constituting Core Collateral specified in clause (1) above, and any Route Authorities, Slots and Foreign Gate Leaseholds representing the excess above the 90% threshold specified in clause (2) above, as selected by the Borrower in its discretion, shall not constitute Core Collateral.</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Notwithstanding the foregoing, with respect to any Foreign Slots, Foreign Gate Leaseholds or Route Authorities constituting all or any portion of Core Collateral, if any change in applicable law, rule, regulation or treaty or any change in interpretation thereof, in each case, arising following the Closing Date (a “</w:t>
      </w:r>
      <w:r>
        <w:rPr>
          <w:rFonts w:ascii="Times New Roman" w:cs="Times New Roman" w:eastAsia="Times New Roman" w:hAnsi="Times New Roman"/>
          <w:sz w:val="22"/>
          <w:szCs w:val="22"/>
          <w:i w:val="1"/>
          <w:iCs w:val="1"/>
          <w:color w:val="auto"/>
        </w:rPr>
        <w:t>Collateral Change in Law</w:t>
      </w:r>
      <w:r>
        <w:rPr>
          <w:rFonts w:ascii="Times New Roman" w:cs="Times New Roman" w:eastAsia="Times New Roman" w:hAnsi="Times New Roman"/>
          <w:sz w:val="22"/>
          <w:szCs w:val="22"/>
          <w:color w:val="auto"/>
        </w:rPr>
        <w:t>”), would result, directly or indirectly, in the pledge of such Collateral to the Collateral Trustee (i) constituting a violation of the terms under which such Grantor was granted such right, title or interest or give rise to a default, breach, right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564" w:name="page565"/>
    <w:bookmarkEnd w:id="564"/>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recoupment, claim, defense, termination, right of termination or remedy with respect thereto, (ii) constituting a violation, default or breach of any term of any agreement for Indebtedness or any security agreement to which such Grantor was party prior to the Closing Date and prior to such Collateral Change in Law or (iii) entitling any Governmental Authority or other Person to terminate or suspend any such right, title or interest (or such Grantor’s interest in any agreement or license related thereto) (each such result described in clauses (i), (ii) and (iii) collectively, a “</w:t>
      </w:r>
      <w:r>
        <w:rPr>
          <w:rFonts w:ascii="Times New Roman" w:cs="Times New Roman" w:eastAsia="Times New Roman" w:hAnsi="Times New Roman"/>
          <w:sz w:val="22"/>
          <w:szCs w:val="22"/>
          <w:i w:val="1"/>
          <w:iCs w:val="1"/>
          <w:color w:val="auto"/>
        </w:rPr>
        <w:t>Collateral Conflict</w:t>
      </w:r>
      <w:r>
        <w:rPr>
          <w:rFonts w:ascii="Times New Roman" w:cs="Times New Roman" w:eastAsia="Times New Roman" w:hAnsi="Times New Roman"/>
          <w:sz w:val="22"/>
          <w:szCs w:val="22"/>
          <w:color w:val="auto"/>
        </w:rPr>
        <w:t>”), then Core Collateral shall be deemed to exclude such Foreign Slots, Foreign Gate Leaseholds or Route Authorities so long as after giving pro forma effect to such exclusion (and giving effect to the inclusion of any Additional Collateral and the prepayment or redemption of any Pari Passu Senior Secured Debt), no Collateral Coverage Ratio Failure shall have occurred.</w:t>
      </w:r>
    </w:p>
    <w:p>
      <w:pPr>
        <w:spacing w:after="0" w:line="19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Core Collateral Failure</w:t>
      </w:r>
      <w:r>
        <w:rPr>
          <w:rFonts w:ascii="Times New Roman" w:cs="Times New Roman" w:eastAsia="Times New Roman" w:hAnsi="Times New Roman"/>
          <w:sz w:val="22"/>
          <w:szCs w:val="22"/>
          <w:color w:val="auto"/>
        </w:rPr>
        <w:t>” shall mean, as of any date of determination, the failure of the Collateral to include the Core Collateral as of such date.</w:t>
      </w:r>
    </w:p>
    <w:p>
      <w:pPr>
        <w:spacing w:after="0" w:line="14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Credit Facilities</w:t>
      </w:r>
      <w:r>
        <w:rPr>
          <w:rFonts w:ascii="Times New Roman" w:cs="Times New Roman" w:eastAsia="Times New Roman" w:hAnsi="Times New Roman"/>
          <w:sz w:val="22"/>
          <w:szCs w:val="22"/>
          <w:color w:val="auto"/>
        </w:rPr>
        <w:t>”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DCA</w:t>
      </w:r>
      <w:r>
        <w:rPr>
          <w:rFonts w:ascii="Times New Roman" w:cs="Times New Roman" w:eastAsia="Times New Roman" w:hAnsi="Times New Roman"/>
          <w:sz w:val="22"/>
          <w:szCs w:val="22"/>
          <w:color w:val="auto"/>
        </w:rPr>
        <w:t>” shall mean Ronald Reagan Washington National Airport, Washington D.C.</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shall mean any event that, unless cured or waived, is, or with the passage of time or the giving of notice or both would be, an Event of Default.</w:t>
      </w:r>
    </w:p>
    <w:p>
      <w:pPr>
        <w:spacing w:after="0" w:line="14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Defaulting Lender</w:t>
      </w:r>
      <w:r>
        <w:rPr>
          <w:rFonts w:ascii="Times New Roman" w:cs="Times New Roman" w:eastAsia="Times New Roman" w:hAnsi="Times New Roman"/>
          <w:sz w:val="22"/>
          <w:szCs w:val="22"/>
          <w:color w:val="auto"/>
        </w:rPr>
        <w:t>” shall mean, at any time, subject to Section 2.26(i) (a) any Lender (including any Agent in its capacity as Lender) that has failed, within two (2) Business Days from the date required to be funded or paid by it hereunder, to fund or pay (x) any portion of the Revolving 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 (i) under this Agreement (unless such notification or public statement relates to such Lender’s obligation to fund a Borrowing hereunder and states that such position is based on such Lender’s determination that a condition precedent to funding (which condition precedent,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565" w:name="page566"/>
    <w:bookmarkEnd w:id="565"/>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acting in 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Borrower or (d) any Agent or any Lender that has become, or has had its Parent Company become, the subject of a Bankruptcy Event or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2.26(i)) upon notification of such determination by the Administrative Agent to the Borrower and the Lenders.</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Banking Product Agreement</w:t>
      </w:r>
      <w:r>
        <w:rPr>
          <w:rFonts w:ascii="Times New Roman" w:cs="Times New Roman" w:eastAsia="Times New Roman" w:hAnsi="Times New Roman"/>
          <w:sz w:val="22"/>
          <w:szCs w:val="22"/>
          <w:color w:val="auto"/>
        </w:rPr>
        <w:t xml:space="preserve">” shall mean any agreement evidencing Designated Banking Product Obligations entered into by Parent or the Borrower and any Person that, if such agreement was in effect on the Closing Date, as of the Closing Date, and if otherwise, at the time such Person entered into such agreement, was a Joint Lead Arranger and Bookrunner, a Lender or a banking Affiliate of a Joint Lead Arranger and Bookrunner or a Lender, in each case designated by the relevant Joint Lead Arranger and Bookrunner or Lender and Parent or the Borrower, by written notice to the Administrative Agent, as a “Designated Banking Product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any Lender is a Defaulting Lender, such Lender shall not have any rights hereunder with respect to any Designated Banking Product Agreement entered into while such Lender was a Defaulting Lender.</w:t>
      </w:r>
    </w:p>
    <w:p>
      <w:pPr>
        <w:spacing w:after="0" w:line="18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Banking Product Obligations</w:t>
      </w:r>
      <w:r>
        <w:rPr>
          <w:rFonts w:ascii="Times New Roman" w:cs="Times New Roman" w:eastAsia="Times New Roman" w:hAnsi="Times New Roman"/>
          <w:sz w:val="22"/>
          <w:szCs w:val="22"/>
          <w:color w:val="auto"/>
        </w:rPr>
        <w:t xml:space="preserve">” shall mean any Banking Product Obligations, in each case as designated by any Joint Lead Arranger and Bookrunner or Lender (or a banking affiliate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Joint Lead Arranger and Bookrunner or Lender (or such banking Affiliate) that its security interest in the Collateral securing such Designated Banking Product Obligations shall be subject to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Hedging Agreement</w:t>
      </w:r>
      <w:r>
        <w:rPr>
          <w:rFonts w:ascii="Times New Roman" w:cs="Times New Roman" w:eastAsia="Times New Roman" w:hAnsi="Times New Roman"/>
          <w:sz w:val="22"/>
          <w:szCs w:val="22"/>
          <w:color w:val="auto"/>
        </w:rPr>
        <w:t>” shall mean any Hedging Agreement entered into by Parent or the Borrower and any Person that, if such Hedging Agreement was in effect on the Closing Date, as of the Closing Date, and if otherwise, at the time such Person entered into such Hedging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566" w:name="page567"/>
    <w:bookmarkEnd w:id="566"/>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Agreement, was a Joint Lead Arranger and Bookrunner or a Lender or an Affiliate of a Joint Lead Arranger and Bookrunner or Lender, as designated by the relevant Joint Lead Arranger and Bookrunner or Lender (or Affiliate of a Joint Lead Arranger and Bookrunner or Lender) and Parent or the Borrower, by written notice to the Administrative Agent, as a “Designated Hedging Agreement,” which notice shall include a copy of an agreement providing for (i) a methodology agreed to by Parent or the Borrower, such Joint Lead Arranger and Bookrunner or Lender or Affiliate of a Joint Lead Arranger and Bookrunner or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Joint Lead Arranger and Bookrunner or Lender or Affiliate of a Joint Lead Arranger and Bookrunner or a Lender that its security interest in the Collateral securing such Designated Hedging Obligations shall be subject to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designation, the aggregate agreed-upon maximum amount of all “Designated Hedging Obligations” included as Obligations, together with the aggregate agreed-upon maximum amount of all “Designated Banking Product Obligations” included as Obligations, shall not exceed $100,000,000 in the aggregate;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so long as any Lender is a Defaulting Lender, such Lender shall not have any rights hereunder with respect to any Designated Hedging Agreement entered into while such Lender was a Defaulting Lender.</w:t>
      </w:r>
    </w:p>
    <w:p>
      <w:pPr>
        <w:spacing w:after="0" w:line="17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Hedging Obligations</w:t>
      </w:r>
      <w:r>
        <w:rPr>
          <w:rFonts w:ascii="Times New Roman" w:cs="Times New Roman" w:eastAsia="Times New Roman" w:hAnsi="Times New Roman"/>
          <w:sz w:val="21"/>
          <w:szCs w:val="21"/>
          <w:color w:val="auto"/>
        </w:rPr>
        <w:t>”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Disposition</w:t>
      </w:r>
      <w:r>
        <w:rPr>
          <w:rFonts w:ascii="Times New Roman" w:cs="Times New Roman" w:eastAsia="Times New Roman" w:hAnsi="Times New Roman"/>
          <w:sz w:val="22"/>
          <w:szCs w:val="22"/>
          <w:color w:val="auto"/>
        </w:rPr>
        <w:t xml:space="preserve">” shall mean, with respect to any property, any sale, lease, sale and leaseback, conveyance, transfer or other disposition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none of the circumstances described in the last sentence of Section 6.04 shall constitute a “Disposition”. The terms “</w:t>
      </w:r>
      <w:r>
        <w:rPr>
          <w:rFonts w:ascii="Times New Roman" w:cs="Times New Roman" w:eastAsia="Times New Roman" w:hAnsi="Times New Roman"/>
          <w:sz w:val="22"/>
          <w:szCs w:val="22"/>
          <w:i w:val="1"/>
          <w:iCs w:val="1"/>
          <w:color w:val="auto"/>
        </w:rPr>
        <w:t>Dispose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Disposed of</w:t>
      </w:r>
      <w:r>
        <w:rPr>
          <w:rFonts w:ascii="Times New Roman" w:cs="Times New Roman" w:eastAsia="Times New Roman" w:hAnsi="Times New Roman"/>
          <w:sz w:val="22"/>
          <w:szCs w:val="22"/>
          <w:color w:val="auto"/>
        </w:rPr>
        <w:t>” shall have correlative meanings.</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Institution</w:t>
      </w:r>
      <w:r>
        <w:rPr>
          <w:rFonts w:ascii="Times New Roman" w:cs="Times New Roman" w:eastAsia="Times New Roman" w:hAnsi="Times New Roman"/>
          <w:sz w:val="22"/>
          <w:szCs w:val="22"/>
          <w:color w:val="auto"/>
        </w:rPr>
        <w:t>” shall mean (a) any Person identified in writing to the Administrative Agent on November 9, 2023 and (b) any Person that is or becomes a competitor of the Borrower and is designated by the Borrower as such in a writing provided to the Administrative Agent after the Closing Date from time to time.</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Stock</w:t>
      </w:r>
      <w:r>
        <w:rPr>
          <w:rFonts w:ascii="Times New Roman" w:cs="Times New Roman" w:eastAsia="Times New Roman" w:hAnsi="Times New Roman"/>
          <w:sz w:val="22"/>
          <w:szCs w:val="22"/>
          <w:color w:val="auto"/>
        </w:rPr>
        <w:t>”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567" w:name="page568"/>
    <w:bookmarkEnd w:id="567"/>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shall mean lawful money of the United States.</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Subsidiary</w:t>
      </w:r>
      <w:r>
        <w:rPr>
          <w:rFonts w:ascii="Times New Roman" w:cs="Times New Roman" w:eastAsia="Times New Roman" w:hAnsi="Times New Roman"/>
          <w:sz w:val="22"/>
          <w:szCs w:val="22"/>
          <w:color w:val="auto"/>
        </w:rPr>
        <w:t>”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DOT</w:t>
      </w:r>
      <w:r>
        <w:rPr>
          <w:rFonts w:ascii="Times New Roman" w:cs="Times New Roman" w:eastAsia="Times New Roman" w:hAnsi="Times New Roman"/>
          <w:sz w:val="22"/>
          <w:szCs w:val="22"/>
          <w:color w:val="auto"/>
        </w:rPr>
        <w:t>” shall mean the United States Department of Transportation and any successor thereto.</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Dutch Auction</w:t>
      </w:r>
      <w:r>
        <w:rPr>
          <w:rFonts w:ascii="Times New Roman" w:cs="Times New Roman" w:eastAsia="Times New Roman" w:hAnsi="Times New Roman"/>
          <w:sz w:val="22"/>
          <w:szCs w:val="22"/>
          <w:color w:val="auto"/>
        </w:rPr>
        <w:t>” shall mean an auction of Term Loans conducted pursuant to Section 10.02(g) to allow the Borrower to purchase Term Loans at a discount to par value and on a non-pro rata basis, in each case in accordance with the applicable Dutch Auction Procedures.</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Dutch Auction Procedures</w:t>
      </w:r>
      <w:r>
        <w:rPr>
          <w:rFonts w:ascii="Times New Roman" w:cs="Times New Roman" w:eastAsia="Times New Roman" w:hAnsi="Times New Roman"/>
          <w:sz w:val="22"/>
          <w:szCs w:val="22"/>
          <w:color w:val="auto"/>
        </w:rPr>
        <w:t>” shall mean, with respect to a purchase of Term Loans by the Borrower pursuant to Section 10.02(g), Dutch auction procedures to be reasonably agreed upon by the Borrower and the Administrative Agent in connection with any such purchase.</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568" w:name="page569"/>
    <w:bookmarkEnd w:id="568"/>
    <w:p>
      <w:pPr>
        <w:spacing w:after="0" w:line="19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Eligible Assignee</w:t>
      </w:r>
      <w:r>
        <w:rPr>
          <w:rFonts w:ascii="Times New Roman" w:cs="Times New Roman" w:eastAsia="Times New Roman" w:hAnsi="Times New Roman"/>
          <w:sz w:val="21"/>
          <w:szCs w:val="21"/>
          <w:color w:val="auto"/>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assignment of Revolving Commitments, such Affiliate has total assets in excess of $200,000,000, (d) an Approved Fund of any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financial institution has total assets in excess of $200,000,000, and</w:t>
      </w:r>
    </w:p>
    <w:p>
      <w:pPr>
        <w:spacing w:after="0" w:line="5" w:lineRule="exact"/>
        <w:rPr>
          <w:sz w:val="20"/>
          <w:szCs w:val="20"/>
          <w:color w:val="auto"/>
        </w:rPr>
      </w:pPr>
    </w:p>
    <w:p>
      <w:pPr>
        <w:jc w:val="both"/>
        <w:ind w:firstLine="8"/>
        <w:spacing w:after="0" w:line="246" w:lineRule="auto"/>
        <w:tabs>
          <w:tab w:leader="none" w:pos="353" w:val="left"/>
        </w:tabs>
        <w:numPr>
          <w:ilvl w:val="0"/>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has occurred and is continuing, no Disqualified Institution shall constitute an Eligible Assignee unless otherwise consented to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as provided in clause (f) above, neither Parent nor any Subsidiary of Parent shall constitute an Eligible Assignee.</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Laws</w:t>
      </w:r>
      <w:r>
        <w:rPr>
          <w:rFonts w:ascii="Times New Roman" w:cs="Times New Roman" w:eastAsia="Times New Roman" w:hAnsi="Times New Roman"/>
          <w:sz w:val="22"/>
          <w:szCs w:val="22"/>
          <w:color w:val="auto"/>
        </w:rPr>
        <w:t>”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shall mean any liability (including any liability for damages, natural resource damage, costs of environmental investigation, remediation or monitoring or costs, fines or penalties) resulting from or based upon</w:t>
      </w:r>
    </w:p>
    <w:p>
      <w:pPr>
        <w:jc w:val="both"/>
        <w:ind w:firstLine="8"/>
        <w:spacing w:after="0" w:line="245" w:lineRule="auto"/>
        <w:tabs>
          <w:tab w:leader="none" w:pos="329"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w:t>
      </w:r>
    </w:p>
    <w:p>
      <w:pPr>
        <w:spacing w:after="0" w:line="181"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shall mean Capital Stock and all warrants, options or other rights to acquire Capital Stock (but excluding any debt security that is convertible into, or exchangeable for, Capital Stock).</w:t>
      </w:r>
    </w:p>
    <w:p>
      <w:pPr>
        <w:spacing w:after="0" w:line="137"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shall mean the Employee Retirement Income Security Act of 1974, as amended from time to time, and the regulations promulgated thereunder.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569" w:name="page570"/>
    <w:bookmarkEnd w:id="569"/>
    <w:p>
      <w:pPr>
        <w:spacing w:after="0" w:line="19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Affiliate</w:t>
      </w:r>
      <w:r>
        <w:rPr>
          <w:rFonts w:ascii="Times New Roman" w:cs="Times New Roman" w:eastAsia="Times New Roman" w:hAnsi="Times New Roman"/>
          <w:sz w:val="22"/>
          <w:szCs w:val="22"/>
          <w:color w:val="auto"/>
        </w:rPr>
        <w:t>”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w:t>
      </w:r>
      <w:r>
        <w:rPr>
          <w:rFonts w:ascii="Times New Roman" w:cs="Times New Roman" w:eastAsia="Times New Roman" w:hAnsi="Times New Roman"/>
          <w:sz w:val="22"/>
          <w:szCs w:val="22"/>
          <w:color w:val="auto"/>
        </w:rPr>
        <w:t>” has the meaning assigned to it in Section 8.12(a).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Subrogation Rights</w:t>
      </w:r>
      <w:r>
        <w:rPr>
          <w:rFonts w:ascii="Times New Roman" w:cs="Times New Roman" w:eastAsia="Times New Roman" w:hAnsi="Times New Roman"/>
          <w:sz w:val="22"/>
          <w:szCs w:val="22"/>
          <w:color w:val="auto"/>
        </w:rPr>
        <w:t>” has the meaning assigned to it in Section 8.12(</w:t>
      </w:r>
      <w:r>
        <w:rPr>
          <w:rFonts w:ascii="Times New Roman" w:cs="Times New Roman" w:eastAsia="Times New Roman" w:hAnsi="Times New Roman"/>
          <w:sz w:val="22"/>
          <w:szCs w:val="22"/>
          <w:b w:val="1"/>
          <w:bCs w:val="1"/>
          <w:color w:val="FF0000"/>
          <w:strike w:val="1"/>
        </w:rPr>
        <w:t>e</w:t>
      </w:r>
      <w:r>
        <w:rPr>
          <w:rFonts w:ascii="Times New Roman" w:cs="Times New Roman" w:eastAsia="Times New Roman" w:hAnsi="Times New Roman"/>
          <w:sz w:val="22"/>
          <w:szCs w:val="22"/>
          <w:b w:val="1"/>
          <w:bCs w:val="1"/>
          <w:u w:val="single" w:color="auto"/>
          <w:color w:val="0000FF"/>
        </w:rPr>
        <w:t>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Escrow Accounts</w:t>
      </w:r>
      <w:r>
        <w:rPr>
          <w:rFonts w:ascii="Times New Roman" w:cs="Times New Roman" w:eastAsia="Times New Roman" w:hAnsi="Times New Roman"/>
          <w:sz w:val="21"/>
          <w:szCs w:val="21"/>
          <w:color w:val="auto"/>
        </w:rPr>
        <w:t>”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w:t>
      </w:r>
    </w:p>
    <w:p>
      <w:pPr>
        <w:spacing w:after="0" w:line="4" w:lineRule="exact"/>
        <w:rPr>
          <w:sz w:val="20"/>
          <w:szCs w:val="20"/>
          <w:color w:val="auto"/>
        </w:rPr>
      </w:pPr>
    </w:p>
    <w:p>
      <w:pPr>
        <w:jc w:val="both"/>
        <w:ind w:firstLine="8"/>
        <w:spacing w:after="0" w:line="245" w:lineRule="auto"/>
        <w:tabs>
          <w:tab w:leader="none" w:pos="272" w:val="left"/>
        </w:tabs>
        <w:numPr>
          <w:ilvl w:val="0"/>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w:t>
      </w:r>
    </w:p>
    <w:p>
      <w:pPr>
        <w:spacing w:after="0" w:line="183"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shall have the meaning set forth in Section 7.01.</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Cash Flow</w:t>
      </w:r>
      <w:r>
        <w:rPr>
          <w:rFonts w:ascii="Times New Roman" w:cs="Times New Roman" w:eastAsia="Times New Roman" w:hAnsi="Times New Roman"/>
          <w:sz w:val="22"/>
          <w:szCs w:val="22"/>
          <w:color w:val="auto"/>
        </w:rPr>
        <w:t>”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570" w:name="page571"/>
    <w:bookmarkEnd w:id="570"/>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Contributions</w:t>
      </w:r>
      <w:r>
        <w:rPr>
          <w:rFonts w:ascii="Times New Roman" w:cs="Times New Roman" w:eastAsia="Times New Roman" w:hAnsi="Times New Roman"/>
          <w:sz w:val="22"/>
          <w:szCs w:val="22"/>
          <w:color w:val="auto"/>
        </w:rPr>
        <w:t>” shall mean net cash proceeds received by Parent after the Closing Date from:</w:t>
      </w:r>
    </w:p>
    <w:p>
      <w:pPr>
        <w:spacing w:after="0" w:line="224" w:lineRule="exact"/>
        <w:rPr>
          <w:sz w:val="20"/>
          <w:szCs w:val="20"/>
          <w:color w:val="auto"/>
        </w:rPr>
      </w:pPr>
    </w:p>
    <w:p>
      <w:pPr>
        <w:ind w:left="1780" w:hanging="476"/>
        <w:spacing w:after="0"/>
        <w:tabs>
          <w:tab w:leader="none" w:pos="1780" w:val="left"/>
        </w:tabs>
        <w:numPr>
          <w:ilvl w:val="0"/>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to its common equity capital (other than from any Subsidiary); or</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79" w:val="left"/>
        </w:tabs>
        <w:numPr>
          <w:ilvl w:val="0"/>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(other than to a Subsidiary or to any management equity plan or stock option plan or any other management or employee benefit plan or agreement of Parent or any Subsidiary) of Qualifying Equity Interests,</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Information</w:t>
      </w:r>
      <w:r>
        <w:rPr>
          <w:rFonts w:ascii="Times New Roman" w:cs="Times New Roman" w:eastAsia="Times New Roman" w:hAnsi="Times New Roman"/>
          <w:sz w:val="22"/>
          <w:szCs w:val="22"/>
          <w:color w:val="auto"/>
        </w:rPr>
        <w:t>” shall have the meaning set forth in Section 10.02(g).</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Subsidiary</w:t>
      </w:r>
      <w:r>
        <w:rPr>
          <w:rFonts w:ascii="Times New Roman" w:cs="Times New Roman" w:eastAsia="Times New Roman" w:hAnsi="Times New Roman"/>
          <w:sz w:val="22"/>
          <w:szCs w:val="22"/>
          <w:color w:val="auto"/>
        </w:rPr>
        <w:t>”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(9) AWHQ LLC or (10) US Airways Company Store LLC.</w:t>
      </w:r>
    </w:p>
    <w:p>
      <w:pPr>
        <w:spacing w:after="0" w:line="17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Swap Obligation</w:t>
      </w:r>
      <w:r>
        <w:rPr>
          <w:rFonts w:ascii="Times New Roman" w:cs="Times New Roman" w:eastAsia="Times New Roman" w:hAnsi="Times New Roman"/>
          <w:sz w:val="21"/>
          <w:szCs w:val="21"/>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Taxes</w:t>
      </w:r>
      <w:r>
        <w:rPr>
          <w:rFonts w:ascii="Times New Roman" w:cs="Times New Roman" w:eastAsia="Times New Roman" w:hAnsi="Times New Roman"/>
          <w:sz w:val="22"/>
          <w:szCs w:val="22"/>
          <w:color w:val="auto"/>
        </w:rPr>
        <w:t>”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 (i) imposed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571" w:name="page572"/>
    <w:bookmarkEnd w:id="571"/>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by the United States or any political subdivision thereof or by the jurisdiction under the laws of which such recipient is organized or in which its principal office is located or, in the case of any Lender, in which its applicable lending office is located or</w:t>
      </w:r>
    </w:p>
    <w:p>
      <w:pPr>
        <w:spacing w:after="0" w:line="2" w:lineRule="exact"/>
        <w:rPr>
          <w:sz w:val="20"/>
          <w:szCs w:val="20"/>
          <w:color w:val="auto"/>
        </w:rPr>
      </w:pPr>
    </w:p>
    <w:p>
      <w:pPr>
        <w:jc w:val="both"/>
        <w:ind w:firstLine="8"/>
        <w:spacing w:after="0" w:line="258" w:lineRule="auto"/>
        <w:tabs>
          <w:tab w:leader="none" w:pos="325" w:val="left"/>
        </w:tabs>
        <w:numPr>
          <w:ilvl w:val="0"/>
          <w:numId w:val="6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w:t>
      </w:r>
    </w:p>
    <w:p>
      <w:pPr>
        <w:spacing w:after="0" w:line="179"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Indebtedness</w:t>
      </w:r>
      <w:r>
        <w:rPr>
          <w:rFonts w:ascii="Times New Roman" w:cs="Times New Roman" w:eastAsia="Times New Roman" w:hAnsi="Times New Roman"/>
          <w:sz w:val="22"/>
          <w:szCs w:val="22"/>
          <w:color w:val="auto"/>
        </w:rPr>
        <w:t>” shall mean all Indebtedness of Parent and its Subsidiaries in existence on the Closing Date, until such amounts are repaid.</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Notes</w:t>
      </w:r>
      <w:r>
        <w:rPr>
          <w:rFonts w:ascii="Times New Roman" w:cs="Times New Roman" w:eastAsia="Times New Roman" w:hAnsi="Times New Roman"/>
          <w:sz w:val="22"/>
          <w:szCs w:val="22"/>
          <w:color w:val="auto"/>
        </w:rPr>
        <w:t>” shall mean the Borrower’s 11.75% senior secured notes due 2025.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Revolving Commitment</w:t>
      </w:r>
      <w:r>
        <w:rPr>
          <w:rFonts w:ascii="Times New Roman" w:cs="Times New Roman" w:eastAsia="Times New Roman" w:hAnsi="Times New Roman"/>
          <w:sz w:val="22"/>
          <w:szCs w:val="22"/>
          <w:color w:val="auto"/>
        </w:rPr>
        <w:t>” shall have the meaning set forth in Section 2.28(b)(ii).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Term Loan</w:t>
      </w:r>
      <w:r>
        <w:rPr>
          <w:rFonts w:ascii="Times New Roman" w:cs="Times New Roman" w:eastAsia="Times New Roman" w:hAnsi="Times New Roman"/>
          <w:sz w:val="22"/>
          <w:szCs w:val="22"/>
          <w:color w:val="auto"/>
        </w:rPr>
        <w:t>” shall have the meaning set forth in Section 2.28(a)(ii).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w:t>
      </w:r>
      <w:r>
        <w:rPr>
          <w:rFonts w:ascii="Times New Roman" w:cs="Times New Roman" w:eastAsia="Times New Roman" w:hAnsi="Times New Roman"/>
          <w:sz w:val="22"/>
          <w:szCs w:val="22"/>
          <w:color w:val="auto"/>
        </w:rPr>
        <w:t>” shall mean a Term Loan Extension or a Revolver Extension, as the case may be.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Amendment</w:t>
      </w:r>
      <w:r>
        <w:rPr>
          <w:rFonts w:ascii="Times New Roman" w:cs="Times New Roman" w:eastAsia="Times New Roman" w:hAnsi="Times New Roman"/>
          <w:sz w:val="22"/>
          <w:szCs w:val="22"/>
          <w:color w:val="auto"/>
        </w:rPr>
        <w:t>” shall have the meaning set forth in Section 2.28(d).</w:t>
      </w:r>
    </w:p>
    <w:p>
      <w:pPr>
        <w:spacing w:after="0" w:line="22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 Credit</w:t>
      </w:r>
      <w:r>
        <w:rPr>
          <w:rFonts w:ascii="Times New Roman" w:cs="Times New Roman" w:eastAsia="Times New Roman" w:hAnsi="Times New Roman"/>
          <w:sz w:val="22"/>
          <w:szCs w:val="22"/>
          <w:color w:val="auto"/>
        </w:rPr>
        <w:t>” shall mean, as to any Lender, the making of a Loan, or the issuance of, or participation in, a Letter of Credit by such Lender.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Offer</w:t>
      </w:r>
      <w:r>
        <w:rPr>
          <w:rFonts w:ascii="Times New Roman" w:cs="Times New Roman" w:eastAsia="Times New Roman" w:hAnsi="Times New Roman"/>
          <w:sz w:val="22"/>
          <w:szCs w:val="22"/>
          <w:color w:val="auto"/>
        </w:rPr>
        <w:t>” shall mean a Term Loan Extension Offer or a Revolver Extension Offer, as the case may be.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572" w:name="page573"/>
    <w:bookmarkEnd w:id="572"/>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w:t>
      </w:r>
      <w:r>
        <w:rPr>
          <w:rFonts w:ascii="Times New Roman" w:cs="Times New Roman" w:eastAsia="Times New Roman" w:hAnsi="Times New Roman"/>
          <w:sz w:val="22"/>
          <w:szCs w:val="22"/>
          <w:color w:val="auto"/>
        </w:rPr>
        <w:t>” shall mean the Federal Aviation Administration of the United States and any successor thereto.</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 Route Slot</w:t>
      </w:r>
      <w:r>
        <w:rPr>
          <w:rFonts w:ascii="Times New Roman" w:cs="Times New Roman" w:eastAsia="Times New Roman" w:hAnsi="Times New Roman"/>
          <w:sz w:val="22"/>
          <w:szCs w:val="22"/>
          <w:color w:val="auto"/>
        </w:rPr>
        <w:t>”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 Slot</w:t>
      </w:r>
      <w:r>
        <w:rPr>
          <w:rFonts w:ascii="Times New Roman" w:cs="Times New Roman" w:eastAsia="Times New Roman" w:hAnsi="Times New Roman"/>
          <w:sz w:val="22"/>
          <w:szCs w:val="22"/>
          <w:color w:val="auto"/>
        </w:rPr>
        <w:t>”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 shall mean each of the Revolving Facility and the Term Loan Facility.</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Fair Market Value</w:t>
      </w:r>
      <w:r>
        <w:rPr>
          <w:rFonts w:ascii="Times New Roman" w:cs="Times New Roman" w:eastAsia="Times New Roman" w:hAnsi="Times New Roman"/>
          <w:sz w:val="22"/>
          <w:szCs w:val="22"/>
          <w:color w:val="auto"/>
        </w:rPr>
        <w:t xml:space="preserve">”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FASB</w:t>
      </w:r>
      <w:r>
        <w:rPr>
          <w:rFonts w:ascii="Times New Roman" w:cs="Times New Roman" w:eastAsia="Times New Roman" w:hAnsi="Times New Roman"/>
          <w:sz w:val="22"/>
          <w:szCs w:val="22"/>
          <w:color w:val="auto"/>
        </w:rPr>
        <w:t>” shall mean the Financial Accounting Standards Board.</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w:t>
      </w:r>
    </w:p>
    <w:p>
      <w:pPr>
        <w:spacing w:after="0" w:line="18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Funds Effective Rate</w:t>
      </w:r>
      <w:r>
        <w:rPr>
          <w:rFonts w:ascii="Times New Roman" w:cs="Times New Roman" w:eastAsia="Times New Roman" w:hAnsi="Times New Roman"/>
          <w:sz w:val="22"/>
          <w:szCs w:val="22"/>
          <w:color w:val="auto"/>
        </w:rPr>
        <w:t>” shall mean, for any day, the weighted average (rounded upwards, if necessary, to the next 1/100 of 1%) of the rates on overnight Federal funds transactions with members of the Federal Reserve System arranged by Federal funds brokers, as published on the next succeeding U.S. Government Securities Business Day by the Federal Reserve Bank of New York, or, if such rate is not so published for any day that is a U.S. Government Securities Business Day, the average (rounded upwards, if necessary, to the next 1/100 of 1%) of the quotations for such day for such transactions received by the Administrative Agent from three Federal funds brokers of recognized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573" w:name="page574"/>
    <w:bookmarkEnd w:id="573"/>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standing selected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Federal Funds Effective Rate shall be less than zero, such rate shall be deemed to be zero for purposes of this Agreement.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shall have the meaning set forth in Section 2.19.</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Fees</w:t>
      </w:r>
      <w:r>
        <w:rPr>
          <w:rFonts w:ascii="Times New Roman" w:cs="Times New Roman" w:eastAsia="Times New Roman" w:hAnsi="Times New Roman"/>
          <w:sz w:val="22"/>
          <w:szCs w:val="22"/>
          <w:color w:val="auto"/>
        </w:rPr>
        <w:t>” shall collectively mean the Commitment Fees, the Letter of Credit Fees and other fees referred to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Fee Letter.</w:t>
      </w:r>
    </w:p>
    <w:p>
      <w:pPr>
        <w:spacing w:after="0" w:line="190" w:lineRule="exact"/>
        <w:rPr>
          <w:sz w:val="20"/>
          <w:szCs w:val="20"/>
          <w:color w:val="auto"/>
        </w:rPr>
      </w:pPr>
    </w:p>
    <w:p>
      <w:pPr>
        <w:jc w:val="both"/>
        <w:ind w:right="20" w:firstLine="904"/>
        <w:spacing w:after="0" w:line="266"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First Amendment</w:t>
      </w:r>
      <w:r>
        <w:rPr>
          <w:rFonts w:ascii="Times New Roman" w:cs="Times New Roman" w:eastAsia="Times New Roman" w:hAnsi="Times New Roman"/>
          <w:sz w:val="22"/>
          <w:szCs w:val="22"/>
          <w:b w:val="1"/>
          <w:bCs w:val="1"/>
          <w:u w:val="single" w:color="auto"/>
          <w:color w:val="0000FF"/>
        </w:rPr>
        <w:t>” means the First Amendment to Credit and Guaranty Agreement, dated as of June 4, 2024, among the Parent, the Borrower, Citibank, N.A., as administrative agent, and the Lenders and Issuing Banks party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First Amendment Effective Date</w:t>
      </w:r>
      <w:r>
        <w:rPr>
          <w:rFonts w:ascii="Times New Roman" w:cs="Times New Roman" w:eastAsia="Times New Roman" w:hAnsi="Times New Roman"/>
          <w:sz w:val="22"/>
          <w:szCs w:val="22"/>
          <w:b w:val="1"/>
          <w:bCs w:val="1"/>
          <w:u w:val="single" w:color="auto"/>
          <w:color w:val="0000FF"/>
        </w:rPr>
        <w:t>” shall have the meaning provided in the First Amendment.</w:t>
      </w:r>
    </w:p>
    <w:p>
      <w:pPr>
        <w:spacing w:after="0" w:line="2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Fixed Charges</w:t>
      </w:r>
      <w:r>
        <w:rPr>
          <w:rFonts w:ascii="Times New Roman" w:cs="Times New Roman" w:eastAsia="Times New Roman" w:hAnsi="Times New Roman"/>
          <w:sz w:val="21"/>
          <w:szCs w:val="21"/>
          <w:color w:val="auto"/>
        </w:rPr>
        <w:t>” shall mean, with respect to any specified Person for any period, the sum, without duplication, of:</w:t>
      </w:r>
    </w:p>
    <w:p>
      <w:pPr>
        <w:spacing w:after="0" w:line="235" w:lineRule="exact"/>
        <w:rPr>
          <w:sz w:val="20"/>
          <w:szCs w:val="20"/>
          <w:color w:val="auto"/>
        </w:rPr>
      </w:pPr>
    </w:p>
    <w:p>
      <w:pPr>
        <w:jc w:val="both"/>
        <w:ind w:left="660" w:firstLine="644"/>
        <w:spacing w:after="0" w:line="257" w:lineRule="auto"/>
        <w:tabs>
          <w:tab w:leader="none" w:pos="1827"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2"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component of leases that are capitalized in accordance with GAAP of such Person and its Restricted Subsidiaries for such period to the extent that such interest component is related to lease payments payable in cash; plus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05"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39"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791"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aircraft rent expense of such Person and its Restricted Subsidiaries for such period to the extent that such aircraft rent expense is payable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as determined on a consolidated basis in accordance with GAAP.</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574" w:name="page575"/>
    <w:bookmarkEnd w:id="574"/>
    <w:p>
      <w:pPr>
        <w:spacing w:after="0" w:line="19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Flight Simulators</w:t>
      </w:r>
      <w:r>
        <w:rPr>
          <w:rFonts w:ascii="Times New Roman" w:cs="Times New Roman" w:eastAsia="Times New Roman" w:hAnsi="Times New Roman"/>
          <w:sz w:val="22"/>
          <w:szCs w:val="22"/>
          <w:color w:val="auto"/>
        </w:rPr>
        <w:t>” shall mean the flight simulators and flight training devices owned by Parent or any of its Restricted Subsidiaries.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Floor</w:t>
      </w:r>
      <w:r>
        <w:rPr>
          <w:rFonts w:ascii="Times New Roman" w:cs="Times New Roman" w:eastAsia="Times New Roman" w:hAnsi="Times New Roman"/>
          <w:sz w:val="22"/>
          <w:szCs w:val="22"/>
          <w:color w:val="auto"/>
        </w:rPr>
        <w:t xml:space="preserve">” means, with respect to Term SOFR Loans, a rate of interest equal to 0.00% </w:t>
      </w:r>
      <w:r>
        <w:rPr>
          <w:rFonts w:ascii="Times New Roman" w:cs="Times New Roman" w:eastAsia="Times New Roman" w:hAnsi="Times New Roman"/>
          <w:sz w:val="22"/>
          <w:szCs w:val="22"/>
          <w:b w:val="1"/>
          <w:bCs w:val="1"/>
          <w:color w:val="0000FF"/>
        </w:rPr>
        <w:t>per annum</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-11430</wp:posOffset>
            </wp:positionV>
            <wp:extent cx="678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8180" cy="8255"/>
                    </a:xfrm>
                    <a:prstGeom prst="rect">
                      <a:avLst/>
                    </a:prstGeom>
                    <a:noFill/>
                  </pic:spPr>
                </pic:pic>
              </a:graphicData>
            </a:graphic>
          </wp:anchor>
        </w:drawing>
      </w:r>
    </w:p>
    <w:p>
      <w:pPr>
        <w:spacing w:after="0" w:line="21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Flyer Miles Obligations</w:t>
      </w:r>
      <w:r>
        <w:rPr>
          <w:rFonts w:ascii="Times New Roman" w:cs="Times New Roman" w:eastAsia="Times New Roman" w:hAnsi="Times New Roman"/>
          <w:sz w:val="22"/>
          <w:szCs w:val="22"/>
          <w:color w:val="auto"/>
        </w:rPr>
        <w:t>” shall mean, at any date of determination, all payment and performance obligations of the Parent or any of its Subsidiaries under any card marketing agreement with respect to credit cards co-branded by the Parent or any of its Subsidiaries and a financial institution which may include obligations in respect of the pre-purchase by third parties of frequent flyer miles and any other similar agreements entered into by Parent or any of its Subsidiaries with any bank, as amended, restated, modified, supplemented, replaced or extended from time to time.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Aviation Authority</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Gate Leasehold</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Lender</w:t>
      </w:r>
      <w:r>
        <w:rPr>
          <w:rFonts w:ascii="Times New Roman" w:cs="Times New Roman" w:eastAsia="Times New Roman" w:hAnsi="Times New Roman"/>
          <w:sz w:val="22"/>
          <w:szCs w:val="22"/>
          <w:color w:val="auto"/>
        </w:rPr>
        <w:t>” shall mean any Lender that is not a “United States person” as defined in Section 7701(a)(3)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Code.</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Route Slot</w:t>
      </w:r>
      <w:r>
        <w:rPr>
          <w:rFonts w:ascii="Times New Roman" w:cs="Times New Roman" w:eastAsia="Times New Roman" w:hAnsi="Times New Roman"/>
          <w:sz w:val="22"/>
          <w:szCs w:val="22"/>
          <w:color w:val="auto"/>
        </w:rPr>
        <w:t>”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w:t>
      </w:r>
    </w:p>
    <w:p>
      <w:pPr>
        <w:spacing w:after="0" w:line="175"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Slot</w:t>
      </w:r>
      <w:r>
        <w:rPr>
          <w:rFonts w:ascii="Times New Roman" w:cs="Times New Roman" w:eastAsia="Times New Roman" w:hAnsi="Times New Roman"/>
          <w:sz w:val="22"/>
          <w:szCs w:val="22"/>
          <w:color w:val="auto"/>
        </w:rPr>
        <w:t>” shall mean, at any time of determination, in the case of airports outside the United States, the right and operational authority to conduct one landing or take-off operation at a specific time or during a specific time period at such airport.</w:t>
      </w:r>
    </w:p>
    <w:p>
      <w:pPr>
        <w:spacing w:after="0" w:line="16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w:t>
      </w:r>
      <w:r>
        <w:rPr>
          <w:rFonts w:ascii="Times New Roman" w:cs="Times New Roman" w:eastAsia="Times New Roman" w:hAnsi="Times New Roman"/>
          <w:sz w:val="22"/>
          <w:szCs w:val="22"/>
          <w:color w:val="auto"/>
        </w:rPr>
        <w:t>” shall mean any direct or indirect Subsidiary of Parent that was not formed under the laws of the United States or any state of the United States or the District of Columbia.</w:t>
      </w:r>
    </w:p>
    <w:p>
      <w:pPr>
        <w:spacing w:after="0" w:line="14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575" w:name="page576"/>
    <w:bookmarkEnd w:id="575"/>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w:t>
      </w:r>
    </w:p>
    <w:p>
      <w:pPr>
        <w:spacing w:after="0" w:line="16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Gate Leasehold</w:t>
      </w:r>
      <w:r>
        <w:rPr>
          <w:rFonts w:ascii="Times New Roman" w:cs="Times New Roman" w:eastAsia="Times New Roman" w:hAnsi="Times New Roman"/>
          <w:sz w:val="22"/>
          <w:szCs w:val="22"/>
          <w:color w:val="auto"/>
        </w:rPr>
        <w:t>” shall mean all of the right, title, interest, privilege and authority of any Person to use or occupy space in an airport terminal in connection with the provision of air carrier service.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Governmental Authority</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Grantor</w:t>
      </w:r>
      <w:r>
        <w:rPr>
          <w:rFonts w:ascii="Times New Roman" w:cs="Times New Roman" w:eastAsia="Times New Roman" w:hAnsi="Times New Roman"/>
          <w:sz w:val="22"/>
          <w:szCs w:val="22"/>
          <w:color w:val="auto"/>
        </w:rPr>
        <w:t>” shall mean the Borrower and any Guarantor that shall at any time pledge Collateral under a Collateral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w:t>
      </w:r>
    </w:p>
    <w:p>
      <w:pPr>
        <w:spacing w:after="0" w:line="19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Ground Service Equipment</w:t>
      </w:r>
      <w:r>
        <w:rPr>
          <w:rFonts w:ascii="Times New Roman" w:cs="Times New Roman" w:eastAsia="Times New Roman" w:hAnsi="Times New Roman"/>
          <w:sz w:val="22"/>
          <w:szCs w:val="22"/>
          <w:color w:val="auto"/>
        </w:rPr>
        <w:t>” shall mean the ground service equipment, de-icers, ground support equipment, aircraft cleaning devices, materials handling equipment, passenger walkways and other similar equipment owned by Parent or any of its Restricted Subsidiaries.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shall mean a guarantee (other than (a) by endorsement of negotiable instruments for collection or</w:t>
      </w:r>
    </w:p>
    <w:p>
      <w:pPr>
        <w:spacing w:after="0" w:line="33" w:lineRule="exact"/>
        <w:rPr>
          <w:sz w:val="20"/>
          <w:szCs w:val="20"/>
          <w:color w:val="auto"/>
        </w:rPr>
      </w:pPr>
    </w:p>
    <w:p>
      <w:pPr>
        <w:jc w:val="both"/>
        <w:ind w:firstLine="8"/>
        <w:spacing w:after="0" w:line="248" w:lineRule="auto"/>
        <w:tabs>
          <w:tab w:leader="none" w:pos="346" w:val="left"/>
        </w:tabs>
        <w:numPr>
          <w:ilvl w:val="0"/>
          <w:numId w:val="6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Guaranteed Obligations</w:t>
      </w:r>
      <w:r>
        <w:rPr>
          <w:rFonts w:ascii="Times New Roman" w:cs="Times New Roman" w:eastAsia="Times New Roman" w:hAnsi="Times New Roman"/>
          <w:sz w:val="22"/>
          <w:szCs w:val="22"/>
          <w:color w:val="auto"/>
        </w:rPr>
        <w:t>” shall have the meaning set forth in Section 9.01(a).</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 shall mean, collectively, Parent and each Domestic Subsidiary of Parent that becomes a party to the Guaranty pursuant to Section 5.09. As of the Closing Date, Parent is the only Guarantor.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22"/>
          <w:szCs w:val="22"/>
          <w:color w:val="auto"/>
        </w:rPr>
        <w:t>” shall mean the guaranty set forth in Article IX.</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 Obligations</w:t>
      </w:r>
      <w:r>
        <w:rPr>
          <w:rFonts w:ascii="Times New Roman" w:cs="Times New Roman" w:eastAsia="Times New Roman" w:hAnsi="Times New Roman"/>
          <w:sz w:val="22"/>
          <w:szCs w:val="22"/>
          <w:color w:val="auto"/>
        </w:rPr>
        <w:t>” shall have the meaning set forth in Section 9.01(a).</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Agreement</w:t>
      </w:r>
      <w:r>
        <w:rPr>
          <w:rFonts w:ascii="Times New Roman" w:cs="Times New Roman" w:eastAsia="Times New Roman" w:hAnsi="Times New Roman"/>
          <w:sz w:val="22"/>
          <w:szCs w:val="22"/>
          <w:color w:val="auto"/>
        </w:rPr>
        <w:t>” shall mean any agreement evidencing Hedging Obligations.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576" w:name="page577"/>
    <w:bookmarkEnd w:id="576"/>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Hedging Obligations</w:t>
      </w:r>
      <w:r>
        <w:rPr>
          <w:rFonts w:ascii="Times New Roman" w:cs="Times New Roman" w:eastAsia="Times New Roman" w:hAnsi="Times New Roman"/>
          <w:sz w:val="21"/>
          <w:szCs w:val="21"/>
          <w:color w:val="auto"/>
        </w:rPr>
        <w:t>” shall mean, with respect to any Person, all obligations and liabilities of such Person under:</w:t>
      </w:r>
    </w:p>
    <w:p>
      <w:pPr>
        <w:spacing w:after="0" w:line="235" w:lineRule="exact"/>
        <w:rPr>
          <w:sz w:val="20"/>
          <w:szCs w:val="20"/>
          <w:color w:val="auto"/>
        </w:rPr>
      </w:pPr>
    </w:p>
    <w:p>
      <w:pPr>
        <w:ind w:left="660" w:firstLine="644"/>
        <w:spacing w:after="0" w:line="271" w:lineRule="auto"/>
        <w:tabs>
          <w:tab w:leader="none" w:pos="1870"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and interest rate collar agreements;</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8"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For the avoidance of doubt, any Permitted Convertible Indebtedness Call Transaction will not constitute Hedging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IATA</w:t>
      </w:r>
      <w:r>
        <w:rPr>
          <w:rFonts w:ascii="Times New Roman" w:cs="Times New Roman" w:eastAsia="Times New Roman" w:hAnsi="Times New Roman"/>
          <w:sz w:val="22"/>
          <w:szCs w:val="22"/>
          <w:color w:val="auto"/>
        </w:rPr>
        <w:t>” shall mean the International Air Transport Association and any successor thereto.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ICF</w:t>
      </w:r>
      <w:r>
        <w:rPr>
          <w:rFonts w:ascii="Times New Roman" w:cs="Times New Roman" w:eastAsia="Times New Roman" w:hAnsi="Times New Roman"/>
          <w:sz w:val="22"/>
          <w:szCs w:val="22"/>
          <w:color w:val="auto"/>
        </w:rPr>
        <w:t>” shall mean ICF International, formerly known as ICF SH&amp;E, Inc.</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Immaterial Subsidiaries</w:t>
      </w:r>
      <w:r>
        <w:rPr>
          <w:rFonts w:ascii="Times New Roman" w:cs="Times New Roman" w:eastAsia="Times New Roman" w:hAnsi="Times New Roman"/>
          <w:sz w:val="22"/>
          <w:szCs w:val="22"/>
          <w:color w:val="auto"/>
        </w:rPr>
        <w:t xml:space="preserve">”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 Effective Date</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 Joinder</w:t>
      </w:r>
      <w:r>
        <w:rPr>
          <w:rFonts w:ascii="Times New Roman" w:cs="Times New Roman" w:eastAsia="Times New Roman" w:hAnsi="Times New Roman"/>
          <w:sz w:val="22"/>
          <w:szCs w:val="22"/>
          <w:color w:val="auto"/>
        </w:rPr>
        <w:t>” shall have the meaning set forth in Section 2.27(c).</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Commitments</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 Commitment</w:t>
      </w:r>
      <w:r>
        <w:rPr>
          <w:rFonts w:ascii="Times New Roman" w:cs="Times New Roman" w:eastAsia="Times New Roman" w:hAnsi="Times New Roman"/>
          <w:sz w:val="22"/>
          <w:szCs w:val="22"/>
          <w:color w:val="auto"/>
        </w:rPr>
        <w:t>” shall have the meaning set forth in Section 2.27(a).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577" w:name="page578"/>
    <w:bookmarkEnd w:id="577"/>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shall have the meaning set forth in Section 2.27(c)(i).</w:t>
      </w:r>
    </w:p>
    <w:p>
      <w:pPr>
        <w:spacing w:after="0" w:line="22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shall mean, with respect to any specified Person, any indebtedness of such Person (excluding accrued expenses and trade payables), whether or not contingent:</w:t>
      </w:r>
    </w:p>
    <w:p>
      <w:pPr>
        <w:spacing w:after="0" w:line="167" w:lineRule="exact"/>
        <w:rPr>
          <w:sz w:val="20"/>
          <w:szCs w:val="20"/>
          <w:color w:val="auto"/>
        </w:rPr>
      </w:pPr>
    </w:p>
    <w:p>
      <w:pPr>
        <w:ind w:left="1780" w:hanging="476"/>
        <w:spacing w:after="0"/>
        <w:tabs>
          <w:tab w:leader="none" w:pos="1780"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borrowed money;</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95"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evidenced by bonds, notes, debentures or similar instruments or letters of credit (or reimbursement agreements in respect thereof);</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banker’s acceptances;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Capital Lease Obligations;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9"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the balance deferred and unpaid of the purchase price of any property or services due more than six months after such property is acquired or such services are completed, but excluding in any event trade payables arising in the Ordinary Course of Business; or</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any Hedging Obligations,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Financial Accounting Standards Board Accounting Standards Codification 815 – Derivatives and Hedging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Notwithstanding the foregoing, none of the following will constitute Indebtedness:, (a) Banking Product Obligations, (b) obligations under leases (other than leases determined to be Capital Lease Obligations under GAAP),</w:t>
      </w:r>
    </w:p>
    <w:p>
      <w:pPr>
        <w:spacing w:after="0" w:line="2" w:lineRule="exact"/>
        <w:rPr>
          <w:sz w:val="20"/>
          <w:szCs w:val="20"/>
          <w:color w:val="auto"/>
        </w:rPr>
      </w:pPr>
    </w:p>
    <w:p>
      <w:pPr>
        <w:jc w:val="both"/>
        <w:ind w:firstLine="8"/>
        <w:spacing w:after="0" w:line="247" w:lineRule="auto"/>
        <w:tabs>
          <w:tab w:leader="none" w:pos="294"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(j) obligations under any of the flyer miles participation agreements, (k) air traffic liability, (l) payment obligations in connection with health or other types of social security benefits, (m) lease maintenance return conditions on leased aircraft, (n) reserves for capital tax obligations and (o) reserves for obligations under land leases.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578" w:name="page579"/>
    <w:bookmarkEnd w:id="578"/>
    <w:p>
      <w:pPr>
        <w:spacing w:after="0" w:line="19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shall mean Taxes, other than Excluded Taxes, imposed on or with respect to any payments made by the Borrower or any Guarantor under this Agreement or any other Loan Document.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shall have the meaning set forth in Section 10.04(b).</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xml:space="preserve">” shall mean that certain Indenture dated as of </w:t>
      </w:r>
      <w:r>
        <w:rPr>
          <w:rFonts w:ascii="Times New Roman" w:cs="Times New Roman" w:eastAsia="Times New Roman" w:hAnsi="Times New Roman"/>
          <w:sz w:val="19"/>
          <w:szCs w:val="19"/>
          <w:color w:val="auto"/>
        </w:rPr>
        <w:t>December 4, 2023</w:t>
      </w:r>
      <w:r>
        <w:rPr>
          <w:rFonts w:ascii="Times New Roman" w:cs="Times New Roman" w:eastAsia="Times New Roman" w:hAnsi="Times New Roman"/>
          <w:sz w:val="22"/>
          <w:szCs w:val="22"/>
          <w:color w:val="auto"/>
        </w:rPr>
        <w:t xml:space="preserve"> by and among the Borrower, the guarantors from time to time party thereto, and Wilmington Trust National Association as trustee in respect of the 8.500% senior secured notes due 2029 (such notes, the “</w:t>
      </w:r>
      <w:r>
        <w:rPr>
          <w:rFonts w:ascii="Times New Roman" w:cs="Times New Roman" w:eastAsia="Times New Roman" w:hAnsi="Times New Roman"/>
          <w:sz w:val="22"/>
          <w:szCs w:val="22"/>
          <w:i w:val="1"/>
          <w:iCs w:val="1"/>
          <w:color w:val="auto"/>
        </w:rPr>
        <w:t>Secured Notes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Appraisals</w:t>
      </w:r>
      <w:r>
        <w:rPr>
          <w:rFonts w:ascii="Times New Roman" w:cs="Times New Roman" w:eastAsia="Times New Roman" w:hAnsi="Times New Roman"/>
          <w:sz w:val="22"/>
          <w:szCs w:val="22"/>
          <w:color w:val="auto"/>
        </w:rPr>
        <w:t>” shall mean the reports of MBA dated November 1, 2023 as delivered to the Administrative Agent by the Borrower pursuant to Section 4.01(d).</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Term Loans</w:t>
      </w:r>
      <w:r>
        <w:rPr>
          <w:rFonts w:ascii="Times New Roman" w:cs="Times New Roman" w:eastAsia="Times New Roman" w:hAnsi="Times New Roman"/>
          <w:sz w:val="22"/>
          <w:szCs w:val="22"/>
          <w:color w:val="auto"/>
        </w:rPr>
        <w:t>” shall mean the term loans incurred on the Closing Date pursuant to Section 2.01(b).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Installment</w:t>
      </w:r>
      <w:r>
        <w:rPr>
          <w:rFonts w:ascii="Times New Roman" w:cs="Times New Roman" w:eastAsia="Times New Roman" w:hAnsi="Times New Roman"/>
          <w:sz w:val="22"/>
          <w:szCs w:val="22"/>
          <w:color w:val="auto"/>
        </w:rPr>
        <w:t>” shall have the meaning set forth in Section 2.10(b).</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Intercreditor Agreement</w:t>
      </w:r>
      <w:r>
        <w:rPr>
          <w:rFonts w:ascii="Times New Roman" w:cs="Times New Roman" w:eastAsia="Times New Roman" w:hAnsi="Times New Roman"/>
          <w:sz w:val="22"/>
          <w:szCs w:val="22"/>
          <w:color w:val="auto"/>
        </w:rPr>
        <w:t>” shall mean an intercreditor agreement in form and substance reasonably satisfactory to the Borrower and the Administrative Agent.</w:t>
      </w:r>
    </w:p>
    <w:p>
      <w:pPr>
        <w:spacing w:after="0" w:line="16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Election Request</w:t>
      </w:r>
      <w:r>
        <w:rPr>
          <w:rFonts w:ascii="Times New Roman" w:cs="Times New Roman" w:eastAsia="Times New Roman" w:hAnsi="Times New Roman"/>
          <w:sz w:val="22"/>
          <w:szCs w:val="22"/>
          <w:color w:val="auto"/>
        </w:rPr>
        <w:t>” shall mean a request by the Borrower to convert or continue a Borrowing in accordance with Section 2.05.</w:t>
      </w:r>
    </w:p>
    <w:p>
      <w:pPr>
        <w:spacing w:after="0" w:line="14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Interest Payment Date</w:t>
      </w:r>
      <w:r>
        <w:rPr>
          <w:rFonts w:ascii="Times New Roman" w:cs="Times New Roman" w:eastAsia="Times New Roman" w:hAnsi="Times New Roman"/>
          <w:sz w:val="21"/>
          <w:szCs w:val="21"/>
          <w:color w:val="auto"/>
        </w:rPr>
        <w:t>” shall mean (a) as to any Term SOFR Loan having an Interest Period of one or three months, the last day of such Interest Period, (b) as to any Term SOFR Loan having an Interest Period of more than three months,</w:t>
      </w:r>
    </w:p>
    <w:p>
      <w:pPr>
        <w:spacing w:after="0" w:line="2" w:lineRule="exact"/>
        <w:rPr>
          <w:sz w:val="20"/>
          <w:szCs w:val="20"/>
          <w:color w:val="auto"/>
        </w:rPr>
      </w:pPr>
    </w:p>
    <w:p>
      <w:pPr>
        <w:ind w:right="20" w:firstLine="8"/>
        <w:spacing w:after="0" w:line="261" w:lineRule="auto"/>
        <w:tabs>
          <w:tab w:leader="none" w:pos="322" w:val="left"/>
        </w:tabs>
        <w:numPr>
          <w:ilvl w:val="0"/>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day that is three months, or a whole multiple thereof, after the first day of such Interest Period and (y) the last day of such Interest Period and (c) with respect to ABR Loans, the last Business Day of each March, June, September and December.</w:t>
      </w:r>
    </w:p>
    <w:p>
      <w:pPr>
        <w:spacing w:after="0" w:line="16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Period</w:t>
      </w:r>
      <w:r>
        <w:rPr>
          <w:rFonts w:ascii="Times New Roman" w:cs="Times New Roman" w:eastAsia="Times New Roman" w:hAnsi="Times New Roman"/>
          <w:sz w:val="22"/>
          <w:szCs w:val="22"/>
          <w:color w:val="auto"/>
        </w:rPr>
        <w:t xml:space="preserve">” shall mean, as to any Borrowing of Term SOFR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(or, if available to all affected Lenders, 12 months or any other period as agreed by the Administrative Agent and the affected Lenders), as the Borrower may elect in the related Loan Request or Interest Election Request delivered pursuant to Section 2.03 or 2.05;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(ii) no Interest Period shall end later than the applicable Termination Date and (iii) no tenor that has been removed from this definition pursuant to Section 2.09(d) shall be available for specification in such Loan Request or Interest Election Request.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579" w:name="page580"/>
    <w:bookmarkEnd w:id="579"/>
    <w:p>
      <w:pPr>
        <w:spacing w:after="0" w:line="19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Investments</w:t>
      </w:r>
      <w:r>
        <w:rPr>
          <w:rFonts w:ascii="Times New Roman" w:cs="Times New Roman" w:eastAsia="Times New Roman" w:hAnsi="Times New Roman"/>
          <w:sz w:val="22"/>
          <w:szCs w:val="22"/>
          <w:color w:val="auto"/>
        </w:rPr>
        <w:t>”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shall mean (i) the Administrative Agent (or any of its Affiliates reasonably acceptable to the Borrower), in its capacity as an issuer of Letters of Credit hereunder, and its successors in such capacity as provided in Section 2.02(i)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 Lender, in which case the term “Issuing Lender” shall include any such Affiliate with respect to Letters of Credit issued by such Affiliate.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Joint Lead Arrangers and Bookrunners</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Junior Secured Debt</w:t>
      </w:r>
      <w:r>
        <w:rPr>
          <w:rFonts w:ascii="Times New Roman" w:cs="Times New Roman" w:eastAsia="Times New Roman" w:hAnsi="Times New Roman"/>
          <w:sz w:val="22"/>
          <w:szCs w:val="22"/>
          <w:color w:val="auto"/>
        </w:rPr>
        <w:t>” shall mean Indebtedness permitted to be secured by a Lien on Collateral on a junior basis to the Obligations under Section 6.06.</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Latest Maturity Date</w:t>
      </w:r>
      <w:r>
        <w:rPr>
          <w:rFonts w:ascii="Times New Roman" w:cs="Times New Roman" w:eastAsia="Times New Roman" w:hAnsi="Times New Roman"/>
          <w:sz w:val="22"/>
          <w:szCs w:val="22"/>
          <w:color w:val="auto"/>
        </w:rPr>
        <w:t>” shall mean, at any date of determination, the latest maturity or expiration date applicable to any Loan or Commitment hereunder at such time, including the latest maturity date of any Term Loan.</w:t>
      </w:r>
    </w:p>
    <w:p>
      <w:pPr>
        <w:spacing w:after="0" w:line="13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shall mean the commitment of each Issuing Lender to issue Letters of Credit in face amount not to exceed the amount set forth under the heading “LC Commitment”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580" w:name="page581"/>
    <w:bookmarkEnd w:id="580"/>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opposite its name in Annex A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aggregate amount of the LC Commitments as of the Closing Date is $0.</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Disbursement</w:t>
      </w:r>
      <w:r>
        <w:rPr>
          <w:rFonts w:ascii="Times New Roman" w:cs="Times New Roman" w:eastAsia="Times New Roman" w:hAnsi="Times New Roman"/>
          <w:sz w:val="22"/>
          <w:szCs w:val="22"/>
          <w:color w:val="auto"/>
        </w:rPr>
        <w:t>” shall mean a payment made by an Issuing Lender pursuant to a Letter of Credit issued by it.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Exposure</w:t>
      </w:r>
      <w:r>
        <w:rPr>
          <w:rFonts w:ascii="Times New Roman" w:cs="Times New Roman" w:eastAsia="Times New Roman" w:hAnsi="Times New Roman"/>
          <w:sz w:val="22"/>
          <w:szCs w:val="22"/>
          <w:color w:val="auto"/>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w:t>
      </w:r>
    </w:p>
    <w:p>
      <w:pPr>
        <w:spacing w:after="0" w:line="175" w:lineRule="exact"/>
        <w:rPr>
          <w:sz w:val="20"/>
          <w:szCs w:val="20"/>
          <w:color w:val="auto"/>
        </w:rPr>
      </w:pPr>
    </w:p>
    <w:p>
      <w:pPr>
        <w:ind w:left="1300" w:right="1520"/>
        <w:spacing w:after="0" w:line="47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Leased Collateral</w:t>
      </w:r>
      <w:r>
        <w:rPr>
          <w:rFonts w:ascii="Times New Roman" w:cs="Times New Roman" w:eastAsia="Times New Roman" w:hAnsi="Times New Roman"/>
          <w:sz w:val="21"/>
          <w:szCs w:val="21"/>
          <w:color w:val="auto"/>
        </w:rPr>
        <w:t>” shall have the meaning set forth in the definition of “Permitted Disposition.” “</w:t>
      </w:r>
      <w:r>
        <w:rPr>
          <w:rFonts w:ascii="Times New Roman" w:cs="Times New Roman" w:eastAsia="Times New Roman" w:hAnsi="Times New Roman"/>
          <w:sz w:val="21"/>
          <w:szCs w:val="21"/>
          <w:i w:val="1"/>
          <w:iCs w:val="1"/>
          <w:color w:val="auto"/>
        </w:rPr>
        <w:t>Leased Slots</w:t>
      </w:r>
      <w:r>
        <w:rPr>
          <w:rFonts w:ascii="Times New Roman" w:cs="Times New Roman" w:eastAsia="Times New Roman" w:hAnsi="Times New Roman"/>
          <w:sz w:val="21"/>
          <w:szCs w:val="21"/>
          <w:color w:val="auto"/>
        </w:rPr>
        <w:t>” shall have the meaning set forth in the definition of “Permitted Disposition.”</w:t>
      </w:r>
    </w:p>
    <w:p>
      <w:pPr>
        <w:spacing w:after="0" w:line="1" w:lineRule="exact"/>
        <w:rPr>
          <w:sz w:val="20"/>
          <w:szCs w:val="20"/>
          <w:color w:val="auto"/>
        </w:rPr>
      </w:pPr>
    </w:p>
    <w:p>
      <w:pPr>
        <w:ind w:right="16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shall mean each of the several banks and other financial institutions or entities from time to time party hereto as a lender.</w:t>
      </w:r>
    </w:p>
    <w:p>
      <w:pPr>
        <w:spacing w:after="0" w:line="149"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 of Credit</w:t>
      </w:r>
      <w:r>
        <w:rPr>
          <w:rFonts w:ascii="Times New Roman" w:cs="Times New Roman" w:eastAsia="Times New Roman" w:hAnsi="Times New Roman"/>
          <w:sz w:val="21"/>
          <w:szCs w:val="21"/>
          <w:color w:val="auto"/>
        </w:rPr>
        <w:t xml:space="preserve">” shall mean any irrevocable letter of credit issued pursuant to Section 2.02, which letter of credit shall be (i) a standby letter of credit, (ii) issued for general corporate purposes of Parent or any Subsidiary of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any case the account party of a Letter of Credit must be the Borrower, (iii) denominated in Dollars and (iv) otherwise in such form as may be reasonably approved from time to time by the Administrative Agent and the applicable Issuing Lender.</w:t>
      </w:r>
    </w:p>
    <w:p>
      <w:pPr>
        <w:spacing w:after="0" w:line="15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Account</w:t>
      </w:r>
      <w:r>
        <w:rPr>
          <w:rFonts w:ascii="Times New Roman" w:cs="Times New Roman" w:eastAsia="Times New Roman" w:hAnsi="Times New Roman"/>
          <w:sz w:val="22"/>
          <w:szCs w:val="22"/>
          <w:color w:val="auto"/>
        </w:rPr>
        <w:t>” shall mean the account, if any, established by the Borrower after the Closing Date under the sole and exclusive control of the Administrative Agent for Cash Collateralization of Letters of Credit in accordance with Sections 2.02(j) and 7.01.</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Fees</w:t>
      </w:r>
      <w:r>
        <w:rPr>
          <w:rFonts w:ascii="Times New Roman" w:cs="Times New Roman" w:eastAsia="Times New Roman" w:hAnsi="Times New Roman"/>
          <w:sz w:val="22"/>
          <w:szCs w:val="22"/>
          <w:color w:val="auto"/>
        </w:rPr>
        <w:t>” shall mean the fees payable in respect of Letters of Credit pursuant to Section 2.21.</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Request</w:t>
      </w:r>
      <w:r>
        <w:rPr>
          <w:rFonts w:ascii="Times New Roman" w:cs="Times New Roman" w:eastAsia="Times New Roman" w:hAnsi="Times New Roman"/>
          <w:sz w:val="22"/>
          <w:szCs w:val="22"/>
          <w:color w:val="auto"/>
        </w:rPr>
        <w:t>” shall mean a request by the Borrower, executed by a Responsible Officer of the Borrower, for the issuance of a Letter of Credit (or the amendment, renewal or extension of an outstanding Letter of Credit) in accordance with Section 2.02 in substantially the form of Exhibit D-2 or such other form as reasonably acceptable to the applicable Issuing Lender.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581" w:name="page582"/>
    <w:bookmarkEnd w:id="581"/>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LGA</w:t>
      </w:r>
      <w:r>
        <w:rPr>
          <w:rFonts w:ascii="Times New Roman" w:cs="Times New Roman" w:eastAsia="Times New Roman" w:hAnsi="Times New Roman"/>
          <w:sz w:val="22"/>
          <w:szCs w:val="22"/>
          <w:color w:val="auto"/>
        </w:rPr>
        <w:t>” shall mean LaGuardia Airport, New York.</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17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Liquidity</w:t>
      </w:r>
      <w:r>
        <w:rPr>
          <w:rFonts w:ascii="Times New Roman" w:cs="Times New Roman" w:eastAsia="Times New Roman" w:hAnsi="Times New Roman"/>
          <w:sz w:val="22"/>
          <w:szCs w:val="22"/>
          <w:color w:val="auto"/>
        </w:rPr>
        <w:t>”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shall mean this Agreement, the Collateral Documents, any Intercreditor Agreement, the Fee Letter and any other instrument or agreement (which is designated as a Loan Document therein) executed and delivered by the Borrower or a Guarantor to the Administrative Agent, the Collateral Trustee, any Issuing Lender or any Lender, in each case, as the same may be amended, restated, modified, supplemented, extended or amended and restated from time to time in accordance with the terms hereof.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shall mean the Borrower and the Guarantors.</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Request</w:t>
      </w:r>
      <w:r>
        <w:rPr>
          <w:rFonts w:ascii="Times New Roman" w:cs="Times New Roman" w:eastAsia="Times New Roman" w:hAnsi="Times New Roman"/>
          <w:sz w:val="22"/>
          <w:szCs w:val="22"/>
          <w:color w:val="auto"/>
        </w:rPr>
        <w:t>” shall mean a request by the Borrower, executed by a Responsible Officer of the Borrower, for a Loan in accordance with Section 2.03 in substantially the form of Exhibit D-1.</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shall mean, collectively, the Revolving Loans and the Term Loans.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shall have the meaning set forth in Section 3.12(a).</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Marketing and Service Agreements</w:t>
      </w:r>
      <w:r>
        <w:rPr>
          <w:rFonts w:ascii="Times New Roman" w:cs="Times New Roman" w:eastAsia="Times New Roman" w:hAnsi="Times New Roman"/>
          <w:sz w:val="22"/>
          <w:szCs w:val="22"/>
          <w:color w:val="auto"/>
        </w:rPr>
        <w:t>” shall mean those certain business, marketing and service agreements among a Loan Party and/or any of its Subsidiaries and regional airline carriers and such other parties or agreements from time to time that include, but are not limited to, code-sharing, pro-rate, capacity purchase, service, frequent flyer, ground handling, marketing alliance, and joint business agreements that are entered into in the Ordinary Course of Business.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582" w:name="page583"/>
    <w:bookmarkEnd w:id="582"/>
    <w:p>
      <w:pPr>
        <w:spacing w:after="0" w:line="19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Change</w:t>
      </w:r>
      <w:r>
        <w:rPr>
          <w:rFonts w:ascii="Times New Roman" w:cs="Times New Roman" w:eastAsia="Times New Roman" w:hAnsi="Times New Roman"/>
          <w:sz w:val="22"/>
          <w:szCs w:val="22"/>
          <w:color w:val="auto"/>
        </w:rPr>
        <w:t>” shall mean any event, change, condition, occurrence, development or circumstance that, either individually or in the aggregate, has had or could reasonably be expected to have a Material Adverse Effect.</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Effect</w:t>
      </w:r>
      <w:r>
        <w:rPr>
          <w:rFonts w:ascii="Times New Roman" w:cs="Times New Roman" w:eastAsia="Times New Roman" w:hAnsi="Times New Roman"/>
          <w:sz w:val="22"/>
          <w:szCs w:val="22"/>
          <w:color w:val="auto"/>
        </w:rPr>
        <w:t xml:space="preserve">”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any action taken or not taken within two years from the Closing Date in connection with or in furtherance of the AMR/US Airways Merger and/or any related Airlines Merger shall be deemed not to constitute a Material Adverse Effect.</w:t>
      </w:r>
    </w:p>
    <w:p>
      <w:pPr>
        <w:spacing w:after="0" w:line="18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Indebtedness</w:t>
      </w:r>
      <w:r>
        <w:rPr>
          <w:rFonts w:ascii="Times New Roman" w:cs="Times New Roman" w:eastAsia="Times New Roman" w:hAnsi="Times New Roman"/>
          <w:sz w:val="22"/>
          <w:szCs w:val="22"/>
          <w:color w:val="auto"/>
        </w:rPr>
        <w:t>” shall mean Indebtedness of the Borrower and/or Guarantors (other than the Loans and obligations relating to Letters of Credit) outstanding under the same agreement in a principal amount exceeding $150,000,000.</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MBA</w:t>
      </w:r>
      <w:r>
        <w:rPr>
          <w:rFonts w:ascii="Times New Roman" w:cs="Times New Roman" w:eastAsia="Times New Roman" w:hAnsi="Times New Roman"/>
          <w:sz w:val="22"/>
          <w:szCs w:val="22"/>
          <w:color w:val="auto"/>
        </w:rPr>
        <w:t>” shall mean Morten Beyer &amp; Agnew.</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shall have the meaning set forth in Section 2.28(c).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shall mean Moody’s Investors Service, Inc.</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Proceeds</w:t>
      </w:r>
      <w:r>
        <w:rPr>
          <w:rFonts w:ascii="Times New Roman" w:cs="Times New Roman" w:eastAsia="Times New Roman" w:hAnsi="Times New Roman"/>
          <w:sz w:val="22"/>
          <w:szCs w:val="22"/>
          <w:color w:val="auto"/>
        </w:rPr>
        <w:t>”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Proceeds Amount</w:t>
      </w:r>
      <w:r>
        <w:rPr>
          <w:rFonts w:ascii="Times New Roman" w:cs="Times New Roman" w:eastAsia="Times New Roman" w:hAnsi="Times New Roman"/>
          <w:sz w:val="22"/>
          <w:szCs w:val="22"/>
          <w:color w:val="auto"/>
        </w:rPr>
        <w:t>” shall have the meaning set forth in Section 2.12(a).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shall mean, at any time, a Lender that is not a Defaulting Lender.</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Non-Extending Lender</w:t>
      </w:r>
      <w:r>
        <w:rPr>
          <w:rFonts w:ascii="Times New Roman" w:cs="Times New Roman" w:eastAsia="Times New Roman" w:hAnsi="Times New Roman"/>
          <w:sz w:val="22"/>
          <w:szCs w:val="22"/>
          <w:color w:val="auto"/>
        </w:rPr>
        <w:t>” shall have the meaning set forth in Section 10.08(g).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Debt</w:t>
      </w:r>
      <w:r>
        <w:rPr>
          <w:rFonts w:ascii="Times New Roman" w:cs="Times New Roman" w:eastAsia="Times New Roman" w:hAnsi="Times New Roman"/>
          <w:sz w:val="22"/>
          <w:szCs w:val="22"/>
          <w:color w:val="auto"/>
        </w:rPr>
        <w:t>” shall mean Indebtedness:</w:t>
      </w:r>
    </w:p>
    <w:p>
      <w:pPr>
        <w:spacing w:after="0" w:line="224" w:lineRule="exact"/>
        <w:rPr>
          <w:sz w:val="20"/>
          <w:szCs w:val="20"/>
          <w:color w:val="auto"/>
        </w:rPr>
      </w:pPr>
    </w:p>
    <w:p>
      <w:pPr>
        <w:jc w:val="both"/>
        <w:ind w:left="660" w:firstLine="644"/>
        <w:spacing w:after="0" w:line="263" w:lineRule="auto"/>
        <w:tabs>
          <w:tab w:leader="none" w:pos="1879" w:val="left"/>
        </w:tabs>
        <w:numPr>
          <w:ilvl w:val="0"/>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neither Parent nor any of its Restricted Subsidiaries (A) provides credit support of any kind (including any undertaking, agreement or instrument that would constitute Indebtedness) or (B) is directly or indirectly liable as a guarantor or otherwise; and</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06" w:val="left"/>
        </w:tabs>
        <w:numPr>
          <w:ilvl w:val="0"/>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holders of such Indebtedness do not otherwise have recourse to the stock or assets of Parent or any of its Restricted Subsidiaries (other than the Equity Interests of an Unrestricted Subsidiary).</w:t>
      </w:r>
    </w:p>
    <w:p>
      <w:pPr>
        <w:spacing w:after="0" w:line="15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Financing Subsidiary</w:t>
      </w:r>
      <w:r>
        <w:rPr>
          <w:rFonts w:ascii="Times New Roman" w:cs="Times New Roman" w:eastAsia="Times New Roman" w:hAnsi="Times New Roman"/>
          <w:sz w:val="22"/>
          <w:szCs w:val="22"/>
          <w:color w:val="auto"/>
        </w:rPr>
        <w:t>” shall mean any Unrestricted Subsidiary that (a) has no Indebtedness other than Non-Recourse Debt and (b) engages in no activities other than those relating to the financing of specified assets and other activities incidental thereto.</w:t>
      </w:r>
    </w:p>
    <w:p>
      <w:pPr>
        <w:spacing w:after="0" w:line="16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 xml:space="preserve">”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 appointed pursuant to Section 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 (ii) in the case of Designated Banking Product Obligations, any obligee with respect to such Designated Banking Product Obligations who was a Revolving Lender or a banking Affiliate of any Revolving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no event shall the Obligations include Excluded Swap Obligations. In addition, pursuant to Section 8.12(e), “Obligations” shall include any payment required to discharge and satisfy the Erroneous Payment Subrogation Rights.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shall have the meaning set forth in Section 3.17.</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584" w:name="page585"/>
    <w:bookmarkEnd w:id="584"/>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Vice President, any Senior Vice President, any Vice President, the Secretary, any Assistant Secretary, the Treasurer or any Assistant Treasurer.</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shall have the meaning set forth in the definition of “All-In Initial Yield.”</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Operating Lease</w:t>
      </w:r>
      <w:r>
        <w:rPr>
          <w:rFonts w:ascii="Times New Roman" w:cs="Times New Roman" w:eastAsia="Times New Roman" w:hAnsi="Times New Roman"/>
          <w:sz w:val="22"/>
          <w:szCs w:val="22"/>
          <w:color w:val="auto"/>
        </w:rPr>
        <w:t>” shall mean, as applied to any Person, any lease (including, without limitation, leases that may be terminated by the lessee at any time) of any property (whether real, personal or mixed) under which such Person is lessee, that is not a lease representing Capital Lease Obligations.</w:t>
      </w:r>
    </w:p>
    <w:p>
      <w:pPr>
        <w:spacing w:after="0" w:line="16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Ordinary Course of Business</w:t>
      </w:r>
      <w:r>
        <w:rPr>
          <w:rFonts w:ascii="Times New Roman" w:cs="Times New Roman" w:eastAsia="Times New Roman" w:hAnsi="Times New Roman"/>
          <w:sz w:val="22"/>
          <w:szCs w:val="22"/>
          <w:color w:val="auto"/>
        </w:rPr>
        <w:t>” shall mean with respect to Parent or any of its Subsidiaries, (a) in the ordinary course of business of, or in furtherance of an objective that is in the ordinary course of business of, Parent and its Subsidiaries,</w:t>
      </w:r>
    </w:p>
    <w:p>
      <w:pPr>
        <w:spacing w:after="0" w:line="1" w:lineRule="exact"/>
        <w:rPr>
          <w:sz w:val="20"/>
          <w:szCs w:val="20"/>
          <w:color w:val="auto"/>
        </w:rPr>
      </w:pPr>
    </w:p>
    <w:p>
      <w:pPr>
        <w:ind w:firstLine="8"/>
        <w:spacing w:after="0" w:line="259" w:lineRule="auto"/>
        <w:tabs>
          <w:tab w:leader="none" w:pos="314" w:val="left"/>
        </w:tabs>
        <w:numPr>
          <w:ilvl w:val="0"/>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and usual in the commercial airline industry in the United States or (c) consistent with the past or current practice of one or more commercial air carriers in the United States.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Term Loans</w:t>
      </w:r>
      <w:r>
        <w:rPr>
          <w:rFonts w:ascii="Times New Roman" w:cs="Times New Roman" w:eastAsia="Times New Roman" w:hAnsi="Times New Roman"/>
          <w:sz w:val="22"/>
          <w:szCs w:val="22"/>
          <w:color w:val="auto"/>
        </w:rPr>
        <w:t>” shall have the meaning set forth in Section 2.27(c)(iv).</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Connection Taxes</w:t>
      </w:r>
      <w:r>
        <w:rPr>
          <w:rFonts w:ascii="Times New Roman" w:cs="Times New Roman" w:eastAsia="Times New Roman" w:hAnsi="Times New Roman"/>
          <w:sz w:val="22"/>
          <w:szCs w:val="22"/>
          <w:color w:val="auto"/>
        </w:rPr>
        <w:t>” shall mean, with respect to any Administrative Agent, any Lender or any Issuing Lender, Taxes imposed as a result of a present or former connection between such Administrative Agent, such Lender or such Issuing Lender and the jurisdiction imposing such Tax (other than connections arising from such Administrative Agent, such Lender or such Issuing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5"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Other Taxes</w:t>
      </w:r>
      <w:r>
        <w:rPr>
          <w:rFonts w:ascii="Times New Roman" w:cs="Times New Roman" w:eastAsia="Times New Roman" w:hAnsi="Times New Roman"/>
          <w:sz w:val="21"/>
          <w:szCs w:val="21"/>
          <w:color w:val="auto"/>
        </w:rPr>
        <w:t>”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 except any such Taxes that are Other Connection Taxes imposed with respect to an assignment (other than an assignment made pursuant to Section 2.18(b)).</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Outstanding Letters of Credit</w:t>
      </w:r>
      <w:r>
        <w:rPr>
          <w:rFonts w:ascii="Times New Roman" w:cs="Times New Roman" w:eastAsia="Times New Roman" w:hAnsi="Times New Roman"/>
          <w:sz w:val="22"/>
          <w:szCs w:val="22"/>
          <w:color w:val="auto"/>
        </w:rPr>
        <w:t>” shall have the meaning set forth in Section 2.02(j).</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PAC</w:t>
      </w:r>
      <w:r>
        <w:rPr>
          <w:rFonts w:ascii="Times New Roman" w:cs="Times New Roman" w:eastAsia="Times New Roman" w:hAnsi="Times New Roman"/>
          <w:sz w:val="22"/>
          <w:szCs w:val="22"/>
          <w:color w:val="auto"/>
        </w:rPr>
        <w:t>” shall mean Panum Aviation Consulting.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shall have the meaning set forth in the preamble to this Agreement.</w:t>
      </w:r>
    </w:p>
    <w:p>
      <w:pPr>
        <w:spacing w:after="0" w:line="233"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Company</w:t>
      </w:r>
      <w:r>
        <w:rPr>
          <w:rFonts w:ascii="Times New Roman" w:cs="Times New Roman" w:eastAsia="Times New Roman" w:hAnsi="Times New Roman"/>
          <w:sz w:val="22"/>
          <w:szCs w:val="22"/>
          <w:color w:val="auto"/>
        </w:rPr>
        <w:t>” shall mean, with respect to a Revolving Lender, the bank holding company (as defined in Regulation Y issued by the Board), if any, of such Revolving Lender, and/or any Person owning, beneficially or of record, directly or indirectly, a majority of the shares of such Revolving Lender.</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Loan Obligations</w:t>
      </w:r>
      <w:r>
        <w:rPr>
          <w:rFonts w:ascii="Times New Roman" w:cs="Times New Roman" w:eastAsia="Times New Roman" w:hAnsi="Times New Roman"/>
          <w:sz w:val="22"/>
          <w:szCs w:val="22"/>
          <w:color w:val="auto"/>
        </w:rPr>
        <w:t xml:space="preserve">” shall mean Indebtedness of the Borrower or any Guarantor in the form of loans or otherwise not constituting Pari Passu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immediately after giving pro forma effect thereto, the use of proceeds therefrom and the pledge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585" w:name="page586"/>
    <w:bookmarkEnd w:id="585"/>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secured only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Term Loan Facility and Revolving Facility pursuant to the Collateral Documents; (iii) such Indebtedness shall benefit only from substantially the same guarantees (or less) as the guarantees of the Term Loan Facility and Revolving Facility provided hereunder; (iv) such Indebtedness matures no earlier than the Term Loan Maturity Date for the Initial Term Loans, (v) such Indebtedness shall have a Weighted Average Life to Maturity that is not shorter than the Weighted Average Life to Maturity of the Term Loans and (vi) such Indebtedness constitutes “Priority Lien Debt” as defined under, and in accordance with the terms of, the Collateral Documents.</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Notes</w:t>
      </w:r>
      <w:r>
        <w:rPr>
          <w:rFonts w:ascii="Times New Roman" w:cs="Times New Roman" w:eastAsia="Times New Roman" w:hAnsi="Times New Roman"/>
          <w:sz w:val="22"/>
          <w:szCs w:val="22"/>
          <w:color w:val="auto"/>
        </w:rPr>
        <w:t xml:space="preserve">” shall mean (x) the Secured Notes and (y) Indebtedness of the Borrower or any Guarantor in the form of senior secured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each of clause (x) and clause (y), (i) with respect to Pari Passu Notes of the type described in clause (y),immediately after giving pro forma effect thereto, the use of proceeds therefrom and the pledge of additional assets as Additional Collateral (if any) (A) no Default or Event of Default shall have occurred and be continuing or would result therefrom, (B) the Collateral Coverage Ratio shall be no less than 1.60 to 1.00 and (C) the aggregate amount of Liquidity shall be no less than $2,000,000,000; (ii) such Indebtedness is secured only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Term Loan Facility and Revolving Facility pursuant to the Collateral Documents, (iii) such Indebtedness shall benefit only from substantially the same guarantees (or less) as the guarantees of the Term Loan Facility and Revolving Facility provided hereunder, (iv) such Indebtedness matures no earlier than the Term Loan Maturity Date for the Initial Term Loans, (v) such Indebtedness shall have a Weighted Average Life to Maturity that is not shorter than the Weighted Average Life to Maturity of the Term Loans and (vi) such Indebtedness constitutes “Priority Lien Debt” as defined under, and in accordance with the terms of, the Collateral Documents.</w:t>
      </w:r>
    </w:p>
    <w:p>
      <w:pPr>
        <w:spacing w:after="0" w:line="18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Senior Secured Debt</w:t>
      </w:r>
      <w:r>
        <w:rPr>
          <w:rFonts w:ascii="Times New Roman" w:cs="Times New Roman" w:eastAsia="Times New Roman" w:hAnsi="Times New Roman"/>
          <w:sz w:val="22"/>
          <w:szCs w:val="22"/>
          <w:color w:val="auto"/>
        </w:rPr>
        <w:t>” shall mean (i) any Pari Passu Notes (and any Guarantee thereof by the Borrower or Parent), (ii) Pari Passu Loan Obligations and (iii) any Permitted Refinancing Indebtedness in exchange for, or the net proceeds of which are used to renew, refund, refinance, replace, extend, defease or discharge any such Indebtedness specified in clause (i) or (ii).</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shall have the meaning set forth in Section 10.02(d)(i).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shall have the meaning set forth in Section 10.02(d)(i).</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shall mean the USA Patriot Act, Title III of Pub. L. 107-56, signed into law on October 26, 2001 and any subsequent legislation that amends or supplements such Act or any subsequent legislation that supersedes such Act.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w:t>
      </w:r>
      <w:r>
        <w:rPr>
          <w:rFonts w:ascii="Times New Roman" w:cs="Times New Roman" w:eastAsia="Times New Roman" w:hAnsi="Times New Roman"/>
          <w:sz w:val="22"/>
          <w:szCs w:val="22"/>
          <w:color w:val="auto"/>
        </w:rPr>
        <w:t>” shall have the meaning set forth in Section 8.12(a).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Notice</w:t>
      </w:r>
      <w:r>
        <w:rPr>
          <w:rFonts w:ascii="Times New Roman" w:cs="Times New Roman" w:eastAsia="Times New Roman" w:hAnsi="Times New Roman"/>
          <w:sz w:val="22"/>
          <w:szCs w:val="22"/>
          <w:color w:val="auto"/>
        </w:rPr>
        <w:t>” shall have the meaning set forth in Section 8.12(b).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shall have the meaning set forth in Section 8.12(a).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586" w:name="page587"/>
    <w:bookmarkEnd w:id="586"/>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Payroll Accounts</w:t>
      </w:r>
      <w:r>
        <w:rPr>
          <w:rFonts w:ascii="Times New Roman" w:cs="Times New Roman" w:eastAsia="Times New Roman" w:hAnsi="Times New Roman"/>
          <w:sz w:val="22"/>
          <w:szCs w:val="22"/>
          <w:color w:val="auto"/>
        </w:rPr>
        <w:t>” shall mean depository accounts used only for payroll.</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shall have the meaning specified in the definition of “Term SOFR.”</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Bond Hedge Transaction</w:t>
      </w:r>
      <w:r>
        <w:rPr>
          <w:rFonts w:ascii="Times New Roman" w:cs="Times New Roman" w:eastAsia="Times New Roman" w:hAnsi="Times New Roman"/>
          <w:sz w:val="22"/>
          <w:szCs w:val="22"/>
          <w:color w:val="auto"/>
        </w:rPr>
        <w:t xml:space="preserve">” shall mean any call or capped call option (or substantively equivalent derivative transaction) on Parent’s (or a parent company of the Parent’s) common stock purchased by the issuer of any Convertible Indebtedness in connection with the issuance of any such Convertible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Business</w:t>
      </w:r>
      <w:r>
        <w:rPr>
          <w:rFonts w:ascii="Times New Roman" w:cs="Times New Roman" w:eastAsia="Times New Roman" w:hAnsi="Times New Roman"/>
          <w:sz w:val="22"/>
          <w:szCs w:val="22"/>
          <w:color w:val="auto"/>
        </w:rPr>
        <w:t>” shall mean any business that is similar, or reasonably related, ancillary, supportive or complementary to, or any reasonable extension of the businesses in which Parent and its Restricted Subsidiaries are engaged on the date of this Agreement.</w:t>
      </w:r>
    </w:p>
    <w:p>
      <w:pPr>
        <w:spacing w:after="0" w:line="16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Convertible Indebtedness Call Transaction</w:t>
      </w:r>
      <w:r>
        <w:rPr>
          <w:rFonts w:ascii="Times New Roman" w:cs="Times New Roman" w:eastAsia="Times New Roman" w:hAnsi="Times New Roman"/>
          <w:sz w:val="22"/>
          <w:szCs w:val="22"/>
          <w:color w:val="auto"/>
        </w:rPr>
        <w:t>” shall mean any Permitted Bond Hedge Transaction and any Permitted Warrant Transaction.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Disposition</w:t>
      </w:r>
      <w:r>
        <w:rPr>
          <w:rFonts w:ascii="Times New Roman" w:cs="Times New Roman" w:eastAsia="Times New Roman" w:hAnsi="Times New Roman"/>
          <w:sz w:val="22"/>
          <w:szCs w:val="22"/>
          <w:color w:val="auto"/>
        </w:rPr>
        <w:t>” shall mean, with respect to Dispositions of Collateral, any of the following:</w:t>
      </w:r>
    </w:p>
    <w:p>
      <w:pPr>
        <w:spacing w:after="0" w:line="237" w:lineRule="exact"/>
        <w:rPr>
          <w:sz w:val="20"/>
          <w:szCs w:val="20"/>
          <w:color w:val="auto"/>
        </w:rPr>
      </w:pPr>
    </w:p>
    <w:p>
      <w:pPr>
        <w:ind w:left="660" w:firstLine="644"/>
        <w:spacing w:after="0" w:line="271" w:lineRule="auto"/>
        <w:tabs>
          <w:tab w:leader="none" w:pos="1807" w:val="left"/>
        </w:tabs>
        <w:numPr>
          <w:ilvl w:val="0"/>
          <w:numId w:val="6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transactions that involves the Disposition of assets having a Fair Market Value in the aggregate of less than $50,000,000 during any six-month period;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935" w:val="left"/>
        </w:tabs>
        <w:numPr>
          <w:ilvl w:val="0"/>
          <w:numId w:val="6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between or among any of Parent and any of its Restricted Subsidiaries that are Grantors (including any Person that shall become a Grantor simultaneous with such Disposition);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concurrently with any Disposition of Collateral to any such Grantor or any Person that shall become a Grantor simultaneous with such Disposition, such Grantor or Person shall have granted a security interest in such Collateral to the Collateral Trustee pursuant to a security agreement or mortgage, as applicable, in substantially the same form as the security agreement or mortgage covering such Collateral prior to such Disposition; and (ii) if reasonably requested by the Administrative Agent, concurrently with, or promptly after, such Disposition, the Collateral Trustee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4.01(e)), and (y) in the case of any other Collateral, as to the creation and perfection of the Lien of such security agreement or mortgage, as applicable, in form and substance reasonably satisfactory to the Collateral Trustee;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this clause (2) shall not permit any Disposition of the Letter of Credit Account or any amounts on deposit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following such Disposition, such Collateral is subject to a Lien with the priority and perfection required by the applicable Collateral Document immediately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587" w:name="page588"/>
    <w:bookmarkEnd w:id="58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prior to such Disposition (and otherwise subject only to Permitted Liens) in favor of the Collateral Trustee or trustee (as applicable) for the benefit of the Secured Parties;</w:t>
      </w:r>
    </w:p>
    <w:p>
      <w:pPr>
        <w:spacing w:after="0" w:line="158" w:lineRule="exact"/>
        <w:rPr>
          <w:sz w:val="20"/>
          <w:szCs w:val="20"/>
          <w:color w:val="auto"/>
        </w:rPr>
      </w:pPr>
    </w:p>
    <w:p>
      <w:pPr>
        <w:ind w:left="1120" w:hanging="476"/>
        <w:spacing w:after="0"/>
        <w:tabs>
          <w:tab w:leader="none" w:pos="1120"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not prohibited by Section 6.06;</w:t>
      </w:r>
    </w:p>
    <w:p>
      <w:pPr>
        <w:spacing w:after="0" w:line="233" w:lineRule="exact"/>
        <w:rPr>
          <w:rFonts w:ascii="Times New Roman" w:cs="Times New Roman" w:eastAsia="Times New Roman" w:hAnsi="Times New Roman"/>
          <w:sz w:val="22"/>
          <w:szCs w:val="22"/>
          <w:color w:val="auto"/>
        </w:rPr>
      </w:pPr>
    </w:p>
    <w:p>
      <w:pPr>
        <w:jc w:val="both"/>
        <w:ind w:firstLine="644"/>
        <w:spacing w:after="0" w:line="257" w:lineRule="auto"/>
        <w:tabs>
          <w:tab w:leader="none" w:pos="1293"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 of cash or Cash Equivalents in exchange for other cash or Cash Equivalents constituting Collateral and having reasonably equivalent value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(4) shall not permit any Disposition of the Letter of Credit Account or any amounts on deposit therein;</w:t>
      </w:r>
    </w:p>
    <w:p>
      <w:pPr>
        <w:spacing w:after="0" w:line="172" w:lineRule="exact"/>
        <w:rPr>
          <w:rFonts w:ascii="Times New Roman" w:cs="Times New Roman" w:eastAsia="Times New Roman" w:hAnsi="Times New Roman"/>
          <w:sz w:val="22"/>
          <w:szCs w:val="22"/>
          <w:color w:val="auto"/>
        </w:rPr>
      </w:pPr>
    </w:p>
    <w:p>
      <w:pPr>
        <w:jc w:val="both"/>
        <w:ind w:firstLine="644"/>
        <w:spacing w:after="0" w:line="263" w:lineRule="auto"/>
        <w:tabs>
          <w:tab w:leader="none" w:pos="1260"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abandonment or Disposition of assets no longer useful or used in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abandonment or Disposition is (A) in the Ordinary Course of Business and (B) with respect to assets that are not material to the business of Parent and its Restricted Subsidiaries taken as a whole;</w:t>
      </w:r>
    </w:p>
    <w:p>
      <w:pPr>
        <w:spacing w:after="0" w:line="167" w:lineRule="exact"/>
        <w:rPr>
          <w:rFonts w:ascii="Times New Roman" w:cs="Times New Roman" w:eastAsia="Times New Roman" w:hAnsi="Times New Roman"/>
          <w:sz w:val="22"/>
          <w:szCs w:val="22"/>
          <w:color w:val="auto"/>
        </w:rPr>
      </w:pPr>
    </w:p>
    <w:p>
      <w:pPr>
        <w:jc w:val="both"/>
        <w:ind w:firstLine="644"/>
        <w:spacing w:after="0" w:line="247" w:lineRule="auto"/>
        <w:tabs>
          <w:tab w:leader="none" w:pos="1266"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w:t>
      </w:r>
      <w:r>
        <w:rPr>
          <w:rFonts w:ascii="Times New Roman" w:cs="Times New Roman" w:eastAsia="Times New Roman" w:hAnsi="Times New Roman"/>
          <w:sz w:val="22"/>
          <w:szCs w:val="22"/>
          <w:i w:val="1"/>
          <w:iCs w:val="1"/>
          <w:color w:val="auto"/>
        </w:rPr>
        <w:t>Leased Collateral</w:t>
      </w:r>
      <w:r>
        <w:rPr>
          <w:rFonts w:ascii="Times New Roman" w:cs="Times New Roman" w:eastAsia="Times New Roman" w:hAnsi="Times New Roman"/>
          <w:sz w:val="22"/>
          <w:szCs w:val="22"/>
          <w:color w:val="auto"/>
        </w:rPr>
        <w:t>”), (A) such transaction has a term of one year or less, or in the case of Leased Collateral comprised of Pledged Slots (“</w:t>
      </w:r>
      <w:r>
        <w:rPr>
          <w:rFonts w:ascii="Times New Roman" w:cs="Times New Roman" w:eastAsia="Times New Roman" w:hAnsi="Times New Roman"/>
          <w:sz w:val="22"/>
          <w:szCs w:val="22"/>
          <w:i w:val="1"/>
          <w:iCs w:val="1"/>
          <w:color w:val="auto"/>
        </w:rPr>
        <w:t>Leased Slots</w:t>
      </w:r>
      <w:r>
        <w:rPr>
          <w:rFonts w:ascii="Times New Roman" w:cs="Times New Roman" w:eastAsia="Times New Roman" w:hAnsi="Times New Roman"/>
          <w:sz w:val="22"/>
          <w:szCs w:val="22"/>
          <w:color w:val="auto"/>
        </w:rPr>
        <w:t xml:space="preserve">”), does not extend beyond three comparable IATA traffic seasons; or (B) if the term of such transaction 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Trustee’s Liens on such Collateral are not materially adversely affected by such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certification in this clause (ii) shall not be required with respect to any Leased Collateral comprised of Slots or Foreign Gate Leaseholds and (iii) no Event of Default exists at the time of such transaction;</w:t>
      </w:r>
    </w:p>
    <w:p>
      <w:pPr>
        <w:spacing w:after="0" w:line="183" w:lineRule="exact"/>
        <w:rPr>
          <w:rFonts w:ascii="Times New Roman" w:cs="Times New Roman" w:eastAsia="Times New Roman" w:hAnsi="Times New Roman"/>
          <w:sz w:val="22"/>
          <w:szCs w:val="22"/>
          <w:color w:val="auto"/>
        </w:rPr>
      </w:pPr>
    </w:p>
    <w:p>
      <w:pPr>
        <w:jc w:val="both"/>
        <w:ind w:firstLine="644"/>
        <w:spacing w:after="0" w:line="253" w:lineRule="auto"/>
        <w:tabs>
          <w:tab w:leader="none" w:pos="1192"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such retiming or other adjustment of the time or time period for landing or takeoff or any adjustment with respect to terminal access or seating capacity, in each case, with</w:t>
      </w:r>
    </w:p>
    <w:p>
      <w:pPr>
        <w:spacing w:after="0" w:line="200" w:lineRule="exact"/>
        <w:rPr>
          <w:sz w:val="20"/>
          <w:szCs w:val="20"/>
          <w:color w:val="auto"/>
        </w:rPr>
      </w:pPr>
    </w:p>
    <w:p>
      <w:pPr>
        <w:spacing w:after="0" w:line="2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580"/>
          </w:cols>
          <w:pgMar w:left="980" w:top="1440" w:right="339" w:bottom="1440" w:gutter="0" w:footer="0" w:header="0"/>
        </w:sectPr>
      </w:pPr>
    </w:p>
    <w:bookmarkStart w:id="588" w:name="page589"/>
    <w:bookmarkEnd w:id="588"/>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respect to any Slot shall be deemed to constitute a new Slot, such new Slot shall not constitute consideration received by the Borrower or any of its Affiliates for purposes of this clause (7);</w:t>
      </w:r>
    </w:p>
    <w:p>
      <w:pPr>
        <w:spacing w:after="0" w:line="158" w:lineRule="exact"/>
        <w:rPr>
          <w:sz w:val="20"/>
          <w:szCs w:val="20"/>
          <w:color w:val="auto"/>
        </w:rPr>
      </w:pPr>
    </w:p>
    <w:p>
      <w:pPr>
        <w:jc w:val="both"/>
        <w:ind w:firstLine="644"/>
        <w:spacing w:after="0" w:line="248" w:lineRule="auto"/>
        <w:tabs>
          <w:tab w:leader="none" w:pos="1215"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w:t>
      </w:r>
    </w:p>
    <w:p>
      <w:pPr>
        <w:spacing w:after="0" w:line="188" w:lineRule="exact"/>
        <w:rPr>
          <w:rFonts w:ascii="Times New Roman" w:cs="Times New Roman" w:eastAsia="Times New Roman" w:hAnsi="Times New Roman"/>
          <w:sz w:val="22"/>
          <w:szCs w:val="22"/>
          <w:color w:val="auto"/>
        </w:rPr>
      </w:pPr>
    </w:p>
    <w:p>
      <w:pPr>
        <w:jc w:val="both"/>
        <w:ind w:firstLine="644"/>
        <w:spacing w:after="0" w:line="263" w:lineRule="auto"/>
        <w:tabs>
          <w:tab w:leader="none" w:pos="1167"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property resulting from an event of loss with respect to any aircraft, airframe, engine or spare engine if the Grantor is replacing such aircraft, airframe, engine or spare engine in accordance with the terms of the applicable Aircraft Security Agreement; and</w:t>
      </w:r>
    </w:p>
    <w:p>
      <w:pPr>
        <w:spacing w:after="0" w:line="167" w:lineRule="exact"/>
        <w:rPr>
          <w:rFonts w:ascii="Times New Roman" w:cs="Times New Roman" w:eastAsia="Times New Roman" w:hAnsi="Times New Roman"/>
          <w:sz w:val="22"/>
          <w:szCs w:val="22"/>
          <w:color w:val="auto"/>
        </w:rPr>
      </w:pPr>
    </w:p>
    <w:p>
      <w:pPr>
        <w:jc w:val="both"/>
        <w:ind w:firstLine="644"/>
        <w:spacing w:after="0" w:line="257" w:lineRule="auto"/>
        <w:tabs>
          <w:tab w:leader="none" w:pos="1224"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Collateral permitted by any of the Collateral Documents (to the extent such permission is not made by cross-reference to, or incorporation by reference of, a Disposition of Collateral permitted under Section 6.04(ii)).</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Investments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120" w:hanging="476"/>
        <w:spacing w:after="0"/>
        <w:tabs>
          <w:tab w:leader="none" w:pos="1120"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Parent or in a Restricted Subsidiary of Parent;</w:t>
      </w:r>
    </w:p>
    <w:p>
      <w:pPr>
        <w:spacing w:after="0" w:line="219"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cash, Cash Equivalents and any foreign equivalents;</w:t>
      </w:r>
    </w:p>
    <w:p>
      <w:pPr>
        <w:spacing w:after="0" w:line="219"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by Parent or any Restricted Subsidiary of Parent in a Person, if as a result of such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w:t>
      </w:r>
    </w:p>
    <w:p>
      <w:pPr>
        <w:spacing w:after="0" w:line="209"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1"/>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becomes a Restricted Subsidiary of Parent; or</w:t>
      </w:r>
    </w:p>
    <w:p>
      <w:pPr>
        <w:spacing w:after="0" w:line="219" w:lineRule="exact"/>
        <w:rPr>
          <w:rFonts w:ascii="Times New Roman" w:cs="Times New Roman" w:eastAsia="Times New Roman" w:hAnsi="Times New Roman"/>
          <w:sz w:val="22"/>
          <w:szCs w:val="22"/>
          <w:color w:val="auto"/>
        </w:rPr>
      </w:pPr>
    </w:p>
    <w:p>
      <w:pPr>
        <w:jc w:val="both"/>
        <w:ind w:left="1940" w:hanging="648"/>
        <w:spacing w:after="0" w:line="257" w:lineRule="auto"/>
        <w:tabs>
          <w:tab w:leader="none" w:pos="1898" w:val="left"/>
        </w:tabs>
        <w:numPr>
          <w:ilvl w:val="1"/>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172"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made as a result of the receipt of non-cash consideration from a Disposition of assets;</w:t>
      </w:r>
    </w:p>
    <w:p>
      <w:pPr>
        <w:spacing w:after="0" w:line="200" w:lineRule="exact"/>
        <w:rPr>
          <w:sz w:val="20"/>
          <w:szCs w:val="20"/>
          <w:color w:val="auto"/>
        </w:rPr>
      </w:pPr>
    </w:p>
    <w:p>
      <w:pPr>
        <w:spacing w:after="0" w:line="3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0580"/>
          </w:cols>
          <w:pgMar w:left="980" w:top="1440" w:right="339" w:bottom="1440" w:gutter="0" w:footer="0" w:header="0"/>
        </w:sectPr>
      </w:pPr>
    </w:p>
    <w:bookmarkStart w:id="589" w:name="page590"/>
    <w:bookmarkEnd w:id="589"/>
    <w:p>
      <w:pPr>
        <w:spacing w:after="0" w:line="198" w:lineRule="exact"/>
        <w:rPr>
          <w:sz w:val="20"/>
          <w:szCs w:val="20"/>
          <w:color w:val="auto"/>
        </w:rPr>
      </w:pPr>
    </w:p>
    <w:p>
      <w:pPr>
        <w:ind w:left="1124" w:hanging="476"/>
        <w:spacing w:after="0"/>
        <w:tabs>
          <w:tab w:leader="none" w:pos="1124" w:val="left"/>
        </w:tabs>
        <w:numPr>
          <w:ilvl w:val="1"/>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of assets or Capital Stock in exchange for the issuance of Qualifying Equity Interests;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6" w:lineRule="auto"/>
        <w:tabs>
          <w:tab w:leader="none" w:pos="1140" w:val="left"/>
        </w:tabs>
        <w:numPr>
          <w:ilvl w:val="1"/>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176"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282" w:val="left"/>
        </w:tabs>
        <w:numPr>
          <w:ilvl w:val="1"/>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represented by Hedging Obligations or made in connection therewith (including any cash collateral or other collateral that does not constitute Collateral provided to or by Parent or any of its Restricted Subsidiaries in connection with any Hedging Obligation);</w:t>
      </w:r>
    </w:p>
    <w:p>
      <w:pPr>
        <w:spacing w:after="0" w:line="186"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164" w:val="left"/>
        </w:tabs>
        <w:numPr>
          <w:ilvl w:val="1"/>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officers, directors or employees made in the Ordinary Course of Business of Parent or any Restricted Subsidiary of Parent in an aggregate principal amount not to exceed $30,000,000 at any one time outstanding;</w:t>
      </w:r>
    </w:p>
    <w:p>
      <w:pPr>
        <w:spacing w:after="0" w:line="172"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prepayment or purchase of any Loans in accordance with the terms and conditions of this Agreement;</w:t>
      </w:r>
    </w:p>
    <w:p>
      <w:pPr>
        <w:spacing w:after="0" w:line="219" w:lineRule="exact"/>
        <w:rPr>
          <w:rFonts w:ascii="Times New Roman" w:cs="Times New Roman" w:eastAsia="Times New Roman" w:hAnsi="Times New Roman"/>
          <w:sz w:val="22"/>
          <w:szCs w:val="22"/>
          <w:color w:val="auto"/>
        </w:rPr>
      </w:pPr>
    </w:p>
    <w:p>
      <w:pPr>
        <w:ind w:left="1224" w:hanging="576"/>
        <w:spacing w:after="0"/>
        <w:tabs>
          <w:tab w:leader="none" w:pos="1224" w:val="left"/>
        </w:tabs>
        <w:numPr>
          <w:ilvl w:val="1"/>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Indebtedness;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7" w:lineRule="auto"/>
        <w:tabs>
          <w:tab w:leader="none" w:pos="1288" w:val="left"/>
        </w:tabs>
        <w:numPr>
          <w:ilvl w:val="1"/>
          <w:numId w:val="6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Investment may be increased</w:t>
      </w:r>
    </w:p>
    <w:p>
      <w:pPr>
        <w:spacing w:after="0" w:line="1" w:lineRule="exact"/>
        <w:rPr>
          <w:rFonts w:ascii="Times New Roman" w:cs="Times New Roman" w:eastAsia="Times New Roman" w:hAnsi="Times New Roman"/>
          <w:sz w:val="21"/>
          <w:szCs w:val="21"/>
          <w:color w:val="auto"/>
        </w:rPr>
      </w:pPr>
    </w:p>
    <w:p>
      <w:pPr>
        <w:ind w:left="4" w:hanging="4"/>
        <w:spacing w:after="0" w:line="248" w:lineRule="auto"/>
        <w:tabs>
          <w:tab w:leader="none" w:pos="369" w:val="left"/>
        </w:tabs>
        <w:numPr>
          <w:ilvl w:val="0"/>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the terms of such Investment as in existence on the Closing Date or (B) as otherwise permitted under this Agreement;</w:t>
      </w:r>
    </w:p>
    <w:p>
      <w:pPr>
        <w:spacing w:after="0" w:line="182"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348" w:val="left"/>
        </w:tabs>
        <w:numPr>
          <w:ilvl w:val="1"/>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Investments or commitments to make Investments existing on the date hereof and any Investments consisting of extensions, modifications or renewals of such Investments and (b) any other Investments or commitments to make Investments acquired after the Closing Date and any other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w:t>
      </w:r>
    </w:p>
    <w:p>
      <w:pPr>
        <w:spacing w:after="0" w:line="186" w:lineRule="exact"/>
        <w:rPr>
          <w:rFonts w:ascii="Times New Roman" w:cs="Times New Roman" w:eastAsia="Times New Roman" w:hAnsi="Times New Roman"/>
          <w:sz w:val="22"/>
          <w:szCs w:val="22"/>
          <w:color w:val="auto"/>
        </w:rPr>
      </w:pPr>
    </w:p>
    <w:p>
      <w:pPr>
        <w:jc w:val="both"/>
        <w:ind w:left="4" w:firstLine="644"/>
        <w:spacing w:after="0" w:line="275" w:lineRule="auto"/>
        <w:tabs>
          <w:tab w:leader="none" w:pos="1349" w:val="left"/>
        </w:tabs>
        <w:numPr>
          <w:ilvl w:val="1"/>
          <w:numId w:val="6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w:t>
      </w:r>
    </w:p>
    <w:p>
      <w:pPr>
        <w:spacing w:after="0" w:line="200" w:lineRule="exact"/>
        <w:rPr>
          <w:sz w:val="20"/>
          <w:szCs w:val="20"/>
          <w:color w:val="auto"/>
        </w:rPr>
      </w:pPr>
    </w:p>
    <w:p>
      <w:pPr>
        <w:spacing w:after="0" w:line="26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584"/>
          </w:cols>
          <w:pgMar w:left="976" w:top="1440" w:right="339" w:bottom="1440" w:gutter="0" w:footer="0" w:header="0"/>
        </w:sectPr>
      </w:pPr>
    </w:p>
    <w:bookmarkStart w:id="590" w:name="page591"/>
    <w:bookmarkEnd w:id="59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 Receivables Subsidiary in any other Person in connection with a Qualified Receivables Transaction;</w:t>
      </w:r>
    </w:p>
    <w:p>
      <w:pPr>
        <w:spacing w:after="0" w:line="220" w:lineRule="exact"/>
        <w:rPr>
          <w:sz w:val="20"/>
          <w:szCs w:val="20"/>
          <w:color w:val="auto"/>
        </w:rPr>
      </w:pPr>
    </w:p>
    <w:p>
      <w:pPr>
        <w:ind w:firstLine="644"/>
        <w:spacing w:after="0" w:line="271" w:lineRule="auto"/>
        <w:tabs>
          <w:tab w:leader="none" w:pos="1281"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Receivables arising in the Ordinary Course of Business, and Investment in Receivables and related assets including pursuant to a Receivables Repurchase Obligation;</w:t>
      </w:r>
    </w:p>
    <w:p>
      <w:pPr>
        <w:spacing w:after="0" w:line="171" w:lineRule="exact"/>
        <w:rPr>
          <w:rFonts w:ascii="Times New Roman" w:cs="Times New Roman" w:eastAsia="Times New Roman" w:hAnsi="Times New Roman"/>
          <w:sz w:val="22"/>
          <w:szCs w:val="22"/>
          <w:color w:val="auto"/>
        </w:rPr>
      </w:pPr>
    </w:p>
    <w:p>
      <w:pPr>
        <w:ind w:left="1220" w:hanging="576"/>
        <w:spacing w:after="0"/>
        <w:tabs>
          <w:tab w:leader="none" w:pos="1220"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outsourcing initiatives in the Ordinary Course of Business;</w:t>
      </w:r>
    </w:p>
    <w:p>
      <w:pPr>
        <w:spacing w:after="0" w:line="219" w:lineRule="exact"/>
        <w:rPr>
          <w:rFonts w:ascii="Times New Roman" w:cs="Times New Roman" w:eastAsia="Times New Roman" w:hAnsi="Times New Roman"/>
          <w:sz w:val="22"/>
          <w:szCs w:val="22"/>
          <w:color w:val="auto"/>
        </w:rPr>
      </w:pPr>
    </w:p>
    <w:p>
      <w:pPr>
        <w:ind w:left="1220" w:hanging="576"/>
        <w:spacing w:after="0"/>
        <w:tabs>
          <w:tab w:leader="none" w:pos="1220"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Bond Hedge Transactions which constitute Investments;</w:t>
      </w:r>
    </w:p>
    <w:p>
      <w:pPr>
        <w:spacing w:after="0" w:line="219" w:lineRule="exact"/>
        <w:rPr>
          <w:rFonts w:ascii="Times New Roman" w:cs="Times New Roman" w:eastAsia="Times New Roman" w:hAnsi="Times New Roman"/>
          <w:sz w:val="22"/>
          <w:szCs w:val="22"/>
          <w:color w:val="auto"/>
        </w:rPr>
      </w:pPr>
    </w:p>
    <w:p>
      <w:pPr>
        <w:jc w:val="both"/>
        <w:ind w:firstLine="644"/>
        <w:spacing w:after="0" w:line="253" w:lineRule="auto"/>
        <w:tabs>
          <w:tab w:leader="none" w:pos="1247"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w:t>
      </w:r>
    </w:p>
    <w:p>
      <w:pPr>
        <w:spacing w:after="0" w:line="178" w:lineRule="exact"/>
        <w:rPr>
          <w:rFonts w:ascii="Times New Roman" w:cs="Times New Roman" w:eastAsia="Times New Roman" w:hAnsi="Times New Roman"/>
          <w:sz w:val="22"/>
          <w:szCs w:val="22"/>
          <w:color w:val="auto"/>
        </w:rPr>
      </w:pPr>
    </w:p>
    <w:p>
      <w:pPr>
        <w:ind w:firstLine="644"/>
        <w:spacing w:after="0" w:line="271" w:lineRule="auto"/>
        <w:tabs>
          <w:tab w:leader="none" w:pos="1376"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reimbursable extensions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Investment made pursuant to this clause (18) shall not be permitted if unreimbursed within 90 days of any such extension of credit;</w:t>
      </w:r>
    </w:p>
    <w:p>
      <w:pPr>
        <w:spacing w:after="0" w:line="157" w:lineRule="exact"/>
        <w:rPr>
          <w:rFonts w:ascii="Times New Roman" w:cs="Times New Roman" w:eastAsia="Times New Roman" w:hAnsi="Times New Roman"/>
          <w:sz w:val="22"/>
          <w:szCs w:val="22"/>
          <w:color w:val="auto"/>
        </w:rPr>
      </w:pPr>
    </w:p>
    <w:p>
      <w:pPr>
        <w:ind w:right="20" w:firstLine="644"/>
        <w:spacing w:after="0" w:line="271" w:lineRule="auto"/>
        <w:tabs>
          <w:tab w:leader="none" w:pos="1287"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financing any pre-delivery, progress or other similar payments relating to the acquisition of Aircraft Related Equipment;</w:t>
      </w:r>
    </w:p>
    <w:p>
      <w:pPr>
        <w:spacing w:after="0" w:line="171" w:lineRule="exact"/>
        <w:rPr>
          <w:rFonts w:ascii="Times New Roman" w:cs="Times New Roman" w:eastAsia="Times New Roman" w:hAnsi="Times New Roman"/>
          <w:sz w:val="22"/>
          <w:szCs w:val="22"/>
          <w:color w:val="auto"/>
        </w:rPr>
      </w:pPr>
    </w:p>
    <w:p>
      <w:pPr>
        <w:ind w:firstLine="644"/>
        <w:spacing w:after="0" w:line="271" w:lineRule="auto"/>
        <w:tabs>
          <w:tab w:leader="none" w:pos="1320"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Non-Recourse Financing Subsidiaries (other than Receivables Subsidiaries in connection with Qualified Receivables Transactions), in an aggregate amount outstanding at any time not to exceed $300,000,000;</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278"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w:t>
      </w:r>
    </w:p>
    <w:p>
      <w:pPr>
        <w:spacing w:after="0" w:line="176" w:lineRule="exact"/>
        <w:rPr>
          <w:rFonts w:ascii="Times New Roman" w:cs="Times New Roman" w:eastAsia="Times New Roman" w:hAnsi="Times New Roman"/>
          <w:sz w:val="22"/>
          <w:szCs w:val="22"/>
          <w:color w:val="auto"/>
        </w:rPr>
      </w:pPr>
    </w:p>
    <w:p>
      <w:pPr>
        <w:jc w:val="both"/>
        <w:ind w:firstLine="644"/>
        <w:spacing w:after="0" w:line="253" w:lineRule="auto"/>
        <w:tabs>
          <w:tab w:leader="none" w:pos="1434"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w:t>
      </w:r>
    </w:p>
    <w:p>
      <w:pPr>
        <w:spacing w:after="0" w:line="178" w:lineRule="exact"/>
        <w:rPr>
          <w:rFonts w:ascii="Times New Roman" w:cs="Times New Roman" w:eastAsia="Times New Roman" w:hAnsi="Times New Roman"/>
          <w:sz w:val="22"/>
          <w:szCs w:val="22"/>
          <w:color w:val="auto"/>
        </w:rPr>
      </w:pPr>
    </w:p>
    <w:p>
      <w:pPr>
        <w:ind w:firstLine="644"/>
        <w:spacing w:after="0" w:line="271" w:lineRule="auto"/>
        <w:tabs>
          <w:tab w:leader="none" w:pos="1272"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payroll advances and advances for business and travel expenses in the Ordinary Course of Business;</w:t>
      </w:r>
    </w:p>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580"/>
          </w:cols>
          <w:pgMar w:left="980" w:top="1440" w:right="339" w:bottom="1440" w:gutter="0" w:footer="0" w:header="0"/>
        </w:sectPr>
      </w:pPr>
    </w:p>
    <w:bookmarkStart w:id="591" w:name="page592"/>
    <w:bookmarkEnd w:id="591"/>
    <w:p>
      <w:pPr>
        <w:spacing w:after="0" w:line="198" w:lineRule="exact"/>
        <w:rPr>
          <w:sz w:val="20"/>
          <w:szCs w:val="20"/>
          <w:color w:val="auto"/>
        </w:rPr>
      </w:pPr>
    </w:p>
    <w:p>
      <w:pPr>
        <w:ind w:firstLine="644"/>
        <w:spacing w:after="0" w:line="271" w:lineRule="auto"/>
        <w:tabs>
          <w:tab w:leader="none" w:pos="1232"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by way of any endorsement of negotiable instruments received in the Ordinary Course of Business and presented to any bank for collection or deposit;</w:t>
      </w:r>
    </w:p>
    <w:p>
      <w:pPr>
        <w:spacing w:after="0" w:line="157" w:lineRule="exact"/>
        <w:rPr>
          <w:rFonts w:ascii="Times New Roman" w:cs="Times New Roman" w:eastAsia="Times New Roman" w:hAnsi="Times New Roman"/>
          <w:sz w:val="22"/>
          <w:szCs w:val="22"/>
          <w:color w:val="auto"/>
        </w:rPr>
      </w:pPr>
    </w:p>
    <w:p>
      <w:pPr>
        <w:jc w:val="both"/>
        <w:ind w:right="20" w:firstLine="644"/>
        <w:spacing w:after="0" w:line="263" w:lineRule="auto"/>
        <w:tabs>
          <w:tab w:leader="none" w:pos="1239"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stock, obligations or securities received in settlement of amounts owing to Parent or any Restricted Subsidiary in the Ordinary Course of Business or in a distribution received in respect of an Investment permitted hereunder;</w:t>
      </w:r>
    </w:p>
    <w:p>
      <w:pPr>
        <w:spacing w:after="0" w:line="167" w:lineRule="exact"/>
        <w:rPr>
          <w:rFonts w:ascii="Times New Roman" w:cs="Times New Roman" w:eastAsia="Times New Roman" w:hAnsi="Times New Roman"/>
          <w:sz w:val="22"/>
          <w:szCs w:val="22"/>
          <w:color w:val="auto"/>
        </w:rPr>
      </w:pPr>
    </w:p>
    <w:p>
      <w:pPr>
        <w:ind w:left="1420" w:hanging="776"/>
        <w:spacing w:after="0"/>
        <w:tabs>
          <w:tab w:leader="none" w:pos="1420"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Unrestricted Subsidiaries not to exceed $30,000,000 in any fiscal year in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w:t>
      </w:r>
    </w:p>
    <w:p>
      <w:pPr>
        <w:spacing w:after="0" w:line="195" w:lineRule="exact"/>
        <w:rPr>
          <w:rFonts w:ascii="Times New Roman" w:cs="Times New Roman" w:eastAsia="Times New Roman" w:hAnsi="Times New Roman"/>
          <w:sz w:val="22"/>
          <w:szCs w:val="22"/>
          <w:color w:val="auto"/>
        </w:rPr>
      </w:pPr>
    </w:p>
    <w:p>
      <w:pPr>
        <w:jc w:val="both"/>
        <w:ind w:firstLine="644"/>
        <w:spacing w:after="0" w:line="263" w:lineRule="auto"/>
        <w:tabs>
          <w:tab w:leader="none" w:pos="1249"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67" w:lineRule="exact"/>
        <w:rPr>
          <w:rFonts w:ascii="Times New Roman" w:cs="Times New Roman" w:eastAsia="Times New Roman" w:hAnsi="Times New Roman"/>
          <w:sz w:val="22"/>
          <w:szCs w:val="22"/>
          <w:color w:val="auto"/>
        </w:rPr>
      </w:pPr>
    </w:p>
    <w:p>
      <w:pPr>
        <w:ind w:firstLine="644"/>
        <w:spacing w:after="0" w:line="271" w:lineRule="auto"/>
        <w:tabs>
          <w:tab w:leader="none" w:pos="1243"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advances and loans to Affiliates of Parent or any of its Restricted Subsidiaries, in an aggregate amount outstanding at any time not to exceed $300,000,000;</w:t>
      </w:r>
    </w:p>
    <w:p>
      <w:pPr>
        <w:spacing w:after="0" w:line="157" w:lineRule="exact"/>
        <w:rPr>
          <w:rFonts w:ascii="Times New Roman" w:cs="Times New Roman" w:eastAsia="Times New Roman" w:hAnsi="Times New Roman"/>
          <w:sz w:val="22"/>
          <w:szCs w:val="22"/>
          <w:color w:val="auto"/>
        </w:rPr>
      </w:pPr>
    </w:p>
    <w:p>
      <w:pPr>
        <w:ind w:firstLine="644"/>
        <w:spacing w:after="0" w:line="271" w:lineRule="auto"/>
        <w:tabs>
          <w:tab w:leader="none" w:pos="1236"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Excluded Subsidiaries consistent with past practice and not to exceed $30,000,000 per fiscal year in the aggregate;</w:t>
      </w:r>
    </w:p>
    <w:p>
      <w:pPr>
        <w:spacing w:after="0" w:line="171" w:lineRule="exact"/>
        <w:rPr>
          <w:rFonts w:ascii="Times New Roman" w:cs="Times New Roman" w:eastAsia="Times New Roman" w:hAnsi="Times New Roman"/>
          <w:sz w:val="22"/>
          <w:szCs w:val="22"/>
          <w:color w:val="auto"/>
        </w:rPr>
      </w:pPr>
    </w:p>
    <w:p>
      <w:pPr>
        <w:jc w:val="both"/>
        <w:ind w:firstLine="644"/>
        <w:spacing w:after="0" w:line="250" w:lineRule="auto"/>
        <w:tabs>
          <w:tab w:leader="none" w:pos="1272"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spacing w:after="0" w:line="194" w:lineRule="exact"/>
        <w:rPr>
          <w:rFonts w:ascii="Times New Roman" w:cs="Times New Roman" w:eastAsia="Times New Roman" w:hAnsi="Times New Roman"/>
          <w:sz w:val="22"/>
          <w:szCs w:val="22"/>
          <w:color w:val="auto"/>
        </w:rPr>
      </w:pPr>
    </w:p>
    <w:p>
      <w:pPr>
        <w:ind w:right="20" w:firstLine="644"/>
        <w:spacing w:after="0" w:line="271" w:lineRule="auto"/>
        <w:tabs>
          <w:tab w:leader="none" w:pos="1345"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has occurred and is continuing, any Investment by Parent and/or any Restricted Subsidiary of Parent; and</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261"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120" w:hanging="476"/>
        <w:spacing w:after="0"/>
        <w:tabs>
          <w:tab w:leader="none" w:pos="1120" w:val="left"/>
        </w:tabs>
        <w:numPr>
          <w:ilvl w:val="0"/>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held by the Collateral Trustee securing the Obligations;</w:t>
      </w:r>
    </w:p>
    <w:p>
      <w:pPr>
        <w:spacing w:after="0" w:line="219" w:lineRule="exact"/>
        <w:rPr>
          <w:rFonts w:ascii="Times New Roman" w:cs="Times New Roman" w:eastAsia="Times New Roman" w:hAnsi="Times New Roman"/>
          <w:sz w:val="22"/>
          <w:szCs w:val="22"/>
          <w:color w:val="auto"/>
        </w:rPr>
      </w:pPr>
    </w:p>
    <w:p>
      <w:pPr>
        <w:jc w:val="both"/>
        <w:ind w:firstLine="644"/>
        <w:spacing w:after="0" w:line="257" w:lineRule="auto"/>
        <w:tabs>
          <w:tab w:leader="none" w:pos="1116" w:val="left"/>
        </w:tabs>
        <w:numPr>
          <w:ilvl w:val="0"/>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Junior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(x) rank junior to the Liens in favor of the Collateral Trustee securing the Obligations and (y) be subject to the Collateral Trust Agreement or an Intercreditor Agreement;</w:t>
      </w:r>
    </w:p>
    <w:p>
      <w:pPr>
        <w:spacing w:after="0" w:line="200" w:lineRule="exact"/>
        <w:rPr>
          <w:sz w:val="20"/>
          <w:szCs w:val="20"/>
          <w:color w:val="auto"/>
        </w:rPr>
      </w:pPr>
    </w:p>
    <w:p>
      <w:pPr>
        <w:spacing w:after="0" w:line="2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580"/>
          </w:cols>
          <w:pgMar w:left="980" w:top="1440" w:right="339" w:bottom="1440" w:gutter="0" w:footer="0" w:header="0"/>
        </w:sectPr>
      </w:pPr>
    </w:p>
    <w:bookmarkStart w:id="592" w:name="page593"/>
    <w:bookmarkEnd w:id="592"/>
    <w:p>
      <w:pPr>
        <w:spacing w:after="0" w:line="198" w:lineRule="exact"/>
        <w:rPr>
          <w:sz w:val="20"/>
          <w:szCs w:val="20"/>
          <w:color w:val="auto"/>
        </w:rPr>
      </w:pPr>
    </w:p>
    <w:p>
      <w:pPr>
        <w:jc w:val="both"/>
        <w:ind w:left="4" w:firstLine="644"/>
        <w:spacing w:after="0" w:line="257" w:lineRule="auto"/>
        <w:tabs>
          <w:tab w:leader="none" w:pos="1161" w:val="left"/>
        </w:tabs>
        <w:numPr>
          <w:ilvl w:val="1"/>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assessments or governmental charges or claims that are not yet delinquent or that are being contested in good faith by appropriate proceedings promptly instituted and diligently pursued;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reserve or other appropriate provision as is required in conformity with GAAP has been made therefor;</w:t>
      </w:r>
    </w:p>
    <w:p>
      <w:pPr>
        <w:spacing w:after="0" w:line="186" w:lineRule="exact"/>
        <w:rPr>
          <w:rFonts w:ascii="Times New Roman" w:cs="Times New Roman" w:eastAsia="Times New Roman" w:hAnsi="Times New Roman"/>
          <w:sz w:val="22"/>
          <w:szCs w:val="22"/>
          <w:color w:val="auto"/>
        </w:rPr>
      </w:pPr>
    </w:p>
    <w:p>
      <w:pPr>
        <w:ind w:left="4" w:firstLine="644"/>
        <w:spacing w:after="0" w:line="271" w:lineRule="auto"/>
        <w:tabs>
          <w:tab w:leader="none" w:pos="1124" w:val="left"/>
        </w:tabs>
        <w:numPr>
          <w:ilvl w:val="1"/>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including carriers’, vendors’, materialmen’s, warehousemen’s, landlord’s, mechanics’, repairmen’s, employees’ or other like Liens, in each case, incurred in the Ordinary Course of Business;</w:t>
      </w:r>
    </w:p>
    <w:p>
      <w:pPr>
        <w:spacing w:after="0" w:line="157" w:lineRule="exact"/>
        <w:rPr>
          <w:rFonts w:ascii="Times New Roman" w:cs="Times New Roman" w:eastAsia="Times New Roman" w:hAnsi="Times New Roman"/>
          <w:sz w:val="22"/>
          <w:szCs w:val="22"/>
          <w:color w:val="auto"/>
        </w:rPr>
      </w:pPr>
    </w:p>
    <w:p>
      <w:pPr>
        <w:ind w:left="4" w:firstLine="644"/>
        <w:spacing w:after="0" w:line="271" w:lineRule="auto"/>
        <w:tabs>
          <w:tab w:leader="none" w:pos="1282" w:val="left"/>
        </w:tabs>
        <w:numPr>
          <w:ilvl w:val="1"/>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connection with judgments, attachments or awards which do not constitute an Event of Default hereunder;</w:t>
      </w:r>
    </w:p>
    <w:p>
      <w:pPr>
        <w:spacing w:after="0" w:line="157"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for the benefit of (or to secure) the Obligations or any Guaranty Obligations;</w:t>
      </w:r>
    </w:p>
    <w:p>
      <w:pPr>
        <w:spacing w:after="0" w:line="233" w:lineRule="exact"/>
        <w:rPr>
          <w:rFonts w:ascii="Times New Roman" w:cs="Times New Roman" w:eastAsia="Times New Roman" w:hAnsi="Times New Roman"/>
          <w:sz w:val="22"/>
          <w:szCs w:val="22"/>
          <w:color w:val="auto"/>
        </w:rPr>
      </w:pPr>
    </w:p>
    <w:p>
      <w:pPr>
        <w:ind w:left="4" w:firstLine="644"/>
        <w:spacing w:after="0" w:line="271" w:lineRule="auto"/>
        <w:tabs>
          <w:tab w:leader="none" w:pos="1228" w:val="left"/>
        </w:tabs>
        <w:numPr>
          <w:ilvl w:val="1"/>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Receivables and related assets of the type specified in the definition of “Qualified Receivables Transaction,” incurred in connection with a Qualified Receivables Transaction;</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228" w:val="left"/>
        </w:tabs>
        <w:numPr>
          <w:ilvl w:val="1"/>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overdrafts and related liabilities arising from treasury, netting, depository and cash management services or in connection with any automated clearing house transfers of funds, in each case as it relates to cash or Cash Equivalents, if any, (B) Liens arising by operation of law or that are contractual rights of set-off in favor of the depository bank or securities intermediary, in respect of the Letter of Credit Account or the Collateral Proceeds Account, and (C) customary banker’s lien or right of offset of the holder of such Indebtedness in favor of any lender of moneys or holder of commercial paper of the Borrower or any subsidiary in the Ordinary Course of Business on moneys of the Borrower such subsidiary deposited with such lender or holder in the Ordinary Course of Business;</w:t>
      </w:r>
    </w:p>
    <w:p>
      <w:pPr>
        <w:spacing w:after="0" w:line="180"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68" w:val="left"/>
        </w:tabs>
        <w:numPr>
          <w:ilvl w:val="1"/>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Trustee pursuant to the Collateral Documents or (B) otherwise expressly permitted by the Collateral Documents;</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64" w:lineRule="auto"/>
        <w:tabs>
          <w:tab w:leader="none" w:pos="1552" w:val="left"/>
        </w:tabs>
        <w:numPr>
          <w:ilvl w:val="1"/>
          <w:numId w:val="6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w:t>
      </w:r>
    </w:p>
    <w:p>
      <w:pPr>
        <w:jc w:val="both"/>
        <w:ind w:left="4" w:hanging="4"/>
        <w:spacing w:after="0" w:line="245" w:lineRule="auto"/>
        <w:tabs>
          <w:tab w:leader="none" w:pos="362" w:val="left"/>
        </w:tabs>
        <w:numPr>
          <w:ilvl w:val="0"/>
          <w:numId w:val="6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materially detract from the value of the property to which they attach or materially impair the use thereof to Parent and its Subsidiaries, taken as a whole and (C) do not materially adversely affect the marketability of the applicable property;</w:t>
      </w:r>
    </w:p>
    <w:p>
      <w:pPr>
        <w:spacing w:after="0" w:line="200" w:lineRule="exact"/>
        <w:rPr>
          <w:sz w:val="20"/>
          <w:szCs w:val="20"/>
          <w:color w:val="auto"/>
        </w:rPr>
      </w:pPr>
    </w:p>
    <w:p>
      <w:pPr>
        <w:spacing w:after="0" w:line="2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584"/>
          </w:cols>
          <w:pgMar w:left="976" w:top="1440" w:right="339" w:bottom="1440" w:gutter="0" w:footer="0" w:header="0"/>
        </w:sectPr>
      </w:pPr>
    </w:p>
    <w:bookmarkStart w:id="593" w:name="page594"/>
    <w:bookmarkEnd w:id="593"/>
    <w:p>
      <w:pPr>
        <w:spacing w:after="0" w:line="198" w:lineRule="exact"/>
        <w:rPr>
          <w:sz w:val="20"/>
          <w:szCs w:val="20"/>
          <w:color w:val="auto"/>
        </w:rPr>
      </w:pPr>
    </w:p>
    <w:p>
      <w:pPr>
        <w:ind w:left="-460" w:firstLine="644"/>
        <w:spacing w:after="0" w:line="271" w:lineRule="auto"/>
        <w:tabs>
          <w:tab w:leader="none" w:pos="891"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salvage or similar rights of insurers, in each case as it relates to any aircraft, airframe, engine or any Additional Collateral, if any;</w:t>
      </w:r>
    </w:p>
    <w:p>
      <w:pPr>
        <w:spacing w:after="0" w:line="157" w:lineRule="exact"/>
        <w:rPr>
          <w:rFonts w:ascii="Times New Roman" w:cs="Times New Roman" w:eastAsia="Times New Roman" w:hAnsi="Times New Roman"/>
          <w:sz w:val="22"/>
          <w:szCs w:val="22"/>
          <w:color w:val="auto"/>
        </w:rPr>
      </w:pPr>
    </w:p>
    <w:p>
      <w:pPr>
        <w:ind w:left="-460" w:firstLine="644"/>
        <w:spacing w:after="0" w:line="309" w:lineRule="auto"/>
        <w:tabs>
          <w:tab w:leader="none" w:pos="764" w:val="left"/>
        </w:tabs>
        <w:numPr>
          <w:ilvl w:val="0"/>
          <w:numId w:val="6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as it relates to any aircraft, Liens on appliances, parts, components, instruments, appurtenances, furnishings and other equipment installed on such aircraft and separately financed by a Grantor, to secure such financing;</w:t>
      </w:r>
    </w:p>
    <w:p>
      <w:pPr>
        <w:spacing w:after="0" w:line="120" w:lineRule="exact"/>
        <w:rPr>
          <w:rFonts w:ascii="Times New Roman" w:cs="Times New Roman" w:eastAsia="Times New Roman" w:hAnsi="Times New Roman"/>
          <w:sz w:val="21"/>
          <w:szCs w:val="21"/>
          <w:color w:val="auto"/>
        </w:rPr>
      </w:pPr>
    </w:p>
    <w:p>
      <w:pPr>
        <w:ind w:left="-460" w:firstLine="644"/>
        <w:spacing w:after="0" w:line="271" w:lineRule="auto"/>
        <w:tabs>
          <w:tab w:leader="none" w:pos="839"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the Ordinary Course of Business of Parent or any Restricted Subsidiary of Parent with respect to obligations that do not exceed in the aggregate $30,000,000 at any one time outstanding;</w:t>
      </w:r>
    </w:p>
    <w:p>
      <w:pPr>
        <w:spacing w:after="0" w:line="157" w:lineRule="exact"/>
        <w:rPr>
          <w:rFonts w:ascii="Times New Roman" w:cs="Times New Roman" w:eastAsia="Times New Roman" w:hAnsi="Times New Roman"/>
          <w:sz w:val="22"/>
          <w:szCs w:val="22"/>
          <w:color w:val="auto"/>
        </w:rPr>
      </w:pPr>
    </w:p>
    <w:p>
      <w:pPr>
        <w:ind w:left="-460" w:firstLine="644"/>
        <w:spacing w:after="0" w:line="271" w:lineRule="auto"/>
        <w:tabs>
          <w:tab w:leader="none" w:pos="788"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directly resulting from (x) any Disposition permitted under Section 6.04 or (y) any sale of such Collateral in compliance with Section 6.04;</w:t>
      </w:r>
    </w:p>
    <w:p>
      <w:pPr>
        <w:spacing w:after="0" w:line="171"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99"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(x) Transfer Restriction that applies to the transfer or assignment (other than the pledge, grant or creation of a security interest or mortgage) of any asset, right or property constituting Collateral and (y) Liens due to any Collateral Change in Law that applies to any Collateral;</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78"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engines (including spare engines) or parts (including spare parts), Liens relating to any pooling, exchange, interchange, borrowing or maintenance servicing agreement or arrangement entered into in the Ordinary Course of Business;</w:t>
      </w:r>
    </w:p>
    <w:p>
      <w:pPr>
        <w:spacing w:after="0" w:line="186"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26"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spare parts, purchase money security interest Liens held by a vendor for goods purchased from such vendor, in each case arising in the Ordinary Course of Business and for which the Borrower or the applicable Grantor pays such vendor within 60 days of such purchase;</w:t>
      </w:r>
    </w:p>
    <w:p>
      <w:pPr>
        <w:spacing w:after="0" w:line="172"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permitted by any of the Collateral Documents;</w:t>
      </w:r>
    </w:p>
    <w:p>
      <w:pPr>
        <w:spacing w:after="0" w:line="215" w:lineRule="exact"/>
        <w:rPr>
          <w:rFonts w:ascii="Times New Roman" w:cs="Times New Roman" w:eastAsia="Times New Roman" w:hAnsi="Times New Roman"/>
          <w:sz w:val="22"/>
          <w:szCs w:val="22"/>
          <w:color w:val="auto"/>
        </w:rPr>
      </w:pPr>
    </w:p>
    <w:p>
      <w:pPr>
        <w:jc w:val="both"/>
        <w:ind w:left="-460" w:firstLine="644"/>
        <w:spacing w:after="0" w:line="258" w:lineRule="auto"/>
        <w:tabs>
          <w:tab w:leader="none" w:pos="788"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Pari Passu Senior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(x)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Liens in favor of the Collateral Trustee securing the Obligations, (y) in the case of the Secured Notes be subject to the Collateral Trust Agreement and (z) in the case of any other Pari Passu Senior Secured Debt, be subject to the Collateral Trust Agreement or an Intercreditor Agreement;</w:t>
      </w:r>
    </w:p>
    <w:p>
      <w:pPr>
        <w:spacing w:after="0" w:line="171" w:lineRule="exact"/>
        <w:rPr>
          <w:rFonts w:ascii="Times New Roman" w:cs="Times New Roman" w:eastAsia="Times New Roman" w:hAnsi="Times New Roman"/>
          <w:sz w:val="22"/>
          <w:szCs w:val="22"/>
          <w:color w:val="auto"/>
        </w:rPr>
      </w:pPr>
    </w:p>
    <w:p>
      <w:pPr>
        <w:ind w:left="-460" w:firstLine="644"/>
        <w:spacing w:after="0" w:line="271" w:lineRule="auto"/>
        <w:tabs>
          <w:tab w:leader="none" w:pos="806"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w:t>
      </w:r>
    </w:p>
    <w:p>
      <w:pPr>
        <w:spacing w:after="0" w:line="171"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leased real property, any interest or title of the lessor thereof;</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02"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creditors of any Person to whom Parent’s or any of its Restricted Subsidiaries’ assets constituting Collateral of the type described in clause (c), (d) or (e) of the definition of “Additional Collateral” are consigned for sale in the Ordinary Course of Business, so long as such Liens of such creditors are subject and subordinate to the Liens of the Collateral Trustee on such Collateral;</w:t>
      </w:r>
    </w:p>
    <w:p>
      <w:pPr>
        <w:spacing w:after="0" w:line="200" w:lineRule="exact"/>
        <w:rPr>
          <w:sz w:val="20"/>
          <w:szCs w:val="20"/>
          <w:color w:val="auto"/>
        </w:rPr>
      </w:pPr>
    </w:p>
    <w:p>
      <w:pPr>
        <w:spacing w:after="0" w:line="2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0120"/>
          </w:cols>
          <w:pgMar w:left="1440" w:top="1440" w:right="339" w:bottom="1440" w:gutter="0" w:footer="0" w:header="0"/>
        </w:sectPr>
      </w:pPr>
    </w:p>
    <w:bookmarkStart w:id="594" w:name="page595"/>
    <w:bookmarkEnd w:id="594"/>
    <w:p>
      <w:pPr>
        <w:spacing w:after="0" w:line="198" w:lineRule="exact"/>
        <w:rPr>
          <w:sz w:val="20"/>
          <w:szCs w:val="20"/>
          <w:color w:val="auto"/>
        </w:rPr>
      </w:pPr>
    </w:p>
    <w:p>
      <w:pPr>
        <w:ind w:left="660" w:firstLine="644"/>
        <w:spacing w:after="0" w:line="271" w:lineRule="auto"/>
        <w:tabs>
          <w:tab w:leader="none" w:pos="1963"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and similar financing statements relating to Operating Leases not otherwise prohibited under any Loan Document;</w:t>
      </w:r>
    </w:p>
    <w:p>
      <w:pPr>
        <w:spacing w:after="0" w:line="157"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2103"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Ground Service Equipment constituting Collateral solely to the extent attributable to the possession or use of such Ground Service Equipment constituting Collateral by the Parent or any Subsidiary of Parent, so long as such Liens are subject and subordinate to the Lien of the Collateral Trustee on such Collateral;</w:t>
      </w:r>
    </w:p>
    <w:p>
      <w:pPr>
        <w:spacing w:after="0" w:line="16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2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extension, modification, renewal or replacement of the Liens described in clauses (1) through (27)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extension, modification, renewal or replacement does not increase the principal amount of Indebtedness associated therewith.</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Person</w:t>
      </w:r>
      <w:r>
        <w:rPr>
          <w:rFonts w:ascii="Times New Roman" w:cs="Times New Roman" w:eastAsia="Times New Roman" w:hAnsi="Times New Roman"/>
          <w:sz w:val="22"/>
          <w:szCs w:val="22"/>
          <w:color w:val="auto"/>
        </w:rPr>
        <w:t>” shall have the meaning set forth in the definition of “Change of Control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Refinancing Indebtedness</w:t>
      </w:r>
      <w:r>
        <w:rPr>
          <w:rFonts w:ascii="Times New Roman" w:cs="Times New Roman" w:eastAsia="Times New Roman" w:hAnsi="Times New Roman"/>
          <w:sz w:val="22"/>
          <w:szCs w:val="22"/>
          <w:color w:val="auto"/>
        </w:rPr>
        <w:t xml:space="preserve">”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2" w:lineRule="exact"/>
        <w:rPr>
          <w:sz w:val="20"/>
          <w:szCs w:val="20"/>
          <w:color w:val="auto"/>
        </w:rPr>
      </w:pPr>
    </w:p>
    <w:p>
      <w:pPr>
        <w:jc w:val="both"/>
        <w:ind w:left="660" w:firstLine="644"/>
        <w:spacing w:after="0" w:line="248" w:lineRule="auto"/>
        <w:tabs>
          <w:tab w:leader="none" w:pos="1815"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Times New Roman" w:cs="Times New Roman" w:eastAsia="Times New Roman" w:hAnsi="Times New Roman"/>
          <w:sz w:val="22"/>
          <w:szCs w:val="22"/>
          <w:i w:val="1"/>
          <w:iCs w:val="1"/>
          <w:color w:val="auto"/>
        </w:rPr>
        <w:t>preceding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Permitted Refinancing Indebtedness that is refinancing secured Indebtedness and is secured by all or a portion of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84"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51"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Permitted Refinancing Indebtedness has a maturity date that is after the Term Loan Maturity Date (with any amortization payment comprising such Permitted Refinancing Indebtedness being treated as maturing on its amortization date), such Permitted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595" w:name="page596"/>
    <w:bookmarkEnd w:id="595"/>
    <w:p>
      <w:pPr>
        <w:spacing w:after="0" w:line="19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w:t>
      </w:r>
    </w:p>
    <w:p>
      <w:pPr>
        <w:spacing w:after="0" w:line="186" w:lineRule="exact"/>
        <w:rPr>
          <w:sz w:val="20"/>
          <w:szCs w:val="20"/>
          <w:color w:val="auto"/>
        </w:rPr>
      </w:pPr>
    </w:p>
    <w:p>
      <w:pPr>
        <w:jc w:val="both"/>
        <w:ind w:left="660" w:firstLine="644"/>
        <w:spacing w:after="0" w:line="252" w:lineRule="auto"/>
        <w:tabs>
          <w:tab w:leader="none" w:pos="1928"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5"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17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Warrant Transaction</w:t>
      </w:r>
      <w:r>
        <w:rPr>
          <w:rFonts w:ascii="Times New Roman" w:cs="Times New Roman" w:eastAsia="Times New Roman" w:hAnsi="Times New Roman"/>
          <w:sz w:val="22"/>
          <w:szCs w:val="22"/>
          <w:color w:val="auto"/>
        </w:rPr>
        <w:t>” shall mean any call option, warrant or right to purchase (or substantively equivalent derivative transaction) on Parent’s (or a parent company of the Parent’s) common stock sold by Parent substantially concurrently with any purchase of a related Permitted Bond Hedge Transaction.</w:t>
      </w:r>
    </w:p>
    <w:p>
      <w:pPr>
        <w:spacing w:after="0" w:line="16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shall mean any “employee benefit plan” (other than a “multiemployer plan” as defined in Section 4001(a)</w:t>
      </w:r>
    </w:p>
    <w:p>
      <w:pPr>
        <w:spacing w:after="0" w:line="43" w:lineRule="exact"/>
        <w:rPr>
          <w:sz w:val="20"/>
          <w:szCs w:val="20"/>
          <w:color w:val="auto"/>
        </w:rPr>
      </w:pPr>
    </w:p>
    <w:p>
      <w:pPr>
        <w:ind w:firstLine="8"/>
        <w:spacing w:after="0" w:line="248" w:lineRule="auto"/>
        <w:tabs>
          <w:tab w:leader="none" w:pos="306" w:val="left"/>
        </w:tabs>
        <w:numPr>
          <w:ilvl w:val="0"/>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ERISA), that is maintained or is contributed to by the Borrower or any ERISA Affiliate and that is a pension plan subject to the provisions of Title IV of ERISA, Sections 412 or 430 of the Code or Section 302 of ERISA.</w:t>
      </w:r>
    </w:p>
    <w:p>
      <w:pPr>
        <w:spacing w:after="0" w:line="178"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Pledged Foreign Gate Leaseholds</w:t>
      </w:r>
      <w:r>
        <w:rPr>
          <w:rFonts w:ascii="Times New Roman" w:cs="Times New Roman" w:eastAsia="Times New Roman" w:hAnsi="Times New Roman"/>
          <w:sz w:val="22"/>
          <w:szCs w:val="22"/>
          <w:color w:val="auto"/>
        </w:rPr>
        <w:t>” shall mean, as of any date, the Foreign Gate Leaseholds included in the Collateral as of such date.</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Pledged Route Authorities</w:t>
      </w:r>
      <w:r>
        <w:rPr>
          <w:rFonts w:ascii="Times New Roman" w:cs="Times New Roman" w:eastAsia="Times New Roman" w:hAnsi="Times New Roman"/>
          <w:sz w:val="21"/>
          <w:szCs w:val="21"/>
          <w:color w:val="auto"/>
        </w:rPr>
        <w:t>” shall mean, as of any date, the Route Authorities included in the Collateral as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Pledged Slots</w:t>
      </w:r>
      <w:r>
        <w:rPr>
          <w:rFonts w:ascii="Times New Roman" w:cs="Times New Roman" w:eastAsia="Times New Roman" w:hAnsi="Times New Roman"/>
          <w:sz w:val="22"/>
          <w:szCs w:val="22"/>
          <w:color w:val="auto"/>
        </w:rPr>
        <w:t>” shall mean, as of any date, the Slots included in the Collateral as of such date.</w:t>
      </w:r>
    </w:p>
    <w:p>
      <w:pPr>
        <w:spacing w:after="0" w:line="220" w:lineRule="exact"/>
        <w:rPr>
          <w:sz w:val="20"/>
          <w:szCs w:val="20"/>
          <w:color w:val="auto"/>
        </w:rPr>
      </w:pPr>
    </w:p>
    <w:p>
      <w:pPr>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Prime Rate</w:t>
      </w:r>
      <w:r>
        <w:rPr>
          <w:rFonts w:ascii="Times New Roman" w:cs="Times New Roman" w:eastAsia="Times New Roman" w:hAnsi="Times New Roman"/>
          <w:sz w:val="22"/>
          <w:szCs w:val="22"/>
          <w:color w:val="auto"/>
        </w:rPr>
        <w:t>” shall mean the rate of interest per annum publicly announced from time to time by the Administrative Agent, as its prime rate in effect at its principal office in New York City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596" w:name="page597"/>
    <w:bookmarkEnd w:id="596"/>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Prime Rate not being intended to be the lowest rate of interest charged by the Administrative Agent in connection with extensions of credit to debtors); each change in the Prime Rate shall be effective from and including the date such change is publicly announced as being effective.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QEC Kits</w:t>
      </w:r>
      <w:r>
        <w:rPr>
          <w:rFonts w:ascii="Times New Roman" w:cs="Times New Roman" w:eastAsia="Times New Roman" w:hAnsi="Times New Roman"/>
          <w:sz w:val="22"/>
          <w:szCs w:val="22"/>
          <w:color w:val="auto"/>
        </w:rPr>
        <w:t>” shall mean the quick engine change kits owned by Parent or any of its Restricted Subsidiaries.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Receivables Transaction</w:t>
      </w:r>
      <w:r>
        <w:rPr>
          <w:rFonts w:ascii="Times New Roman" w:cs="Times New Roman" w:eastAsia="Times New Roman" w:hAnsi="Times New Roman"/>
          <w:sz w:val="22"/>
          <w:szCs w:val="22"/>
          <w:color w:val="auto"/>
        </w:rPr>
        <w:t>”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w:t>
      </w:r>
    </w:p>
    <w:p>
      <w:pPr>
        <w:spacing w:after="0" w:line="185"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Replacement Assets</w:t>
      </w:r>
      <w:r>
        <w:rPr>
          <w:rFonts w:ascii="Times New Roman" w:cs="Times New Roman" w:eastAsia="Times New Roman" w:hAnsi="Times New Roman"/>
          <w:sz w:val="22"/>
          <w:szCs w:val="22"/>
          <w:color w:val="auto"/>
        </w:rPr>
        <w:t>” shall mean Additional Collateral of the types described in clauses (b), (c), (d) and (e) of the definition of “Additional Collateral.”</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Collateral</w:t>
      </w:r>
      <w:r>
        <w:rPr>
          <w:rFonts w:ascii="Times New Roman" w:cs="Times New Roman" w:eastAsia="Times New Roman" w:hAnsi="Times New Roman"/>
          <w:sz w:val="22"/>
          <w:szCs w:val="22"/>
          <w:color w:val="auto"/>
        </w:rPr>
        <w:t>” shall mean Collateral other than Foreign Gate Leaseholds.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Equity Interests</w:t>
      </w:r>
      <w:r>
        <w:rPr>
          <w:rFonts w:ascii="Times New Roman" w:cs="Times New Roman" w:eastAsia="Times New Roman" w:hAnsi="Times New Roman"/>
          <w:sz w:val="22"/>
          <w:szCs w:val="22"/>
          <w:color w:val="auto"/>
        </w:rPr>
        <w:t>” shall mean Equity Interests of Parent other than Disqualified Stock.</w:t>
      </w:r>
    </w:p>
    <w:p>
      <w:pPr>
        <w:spacing w:after="0" w:line="22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Real Property Assets</w:t>
      </w:r>
      <w:r>
        <w:rPr>
          <w:rFonts w:ascii="Times New Roman" w:cs="Times New Roman" w:eastAsia="Times New Roman" w:hAnsi="Times New Roman"/>
          <w:sz w:val="22"/>
          <w:szCs w:val="22"/>
          <w:color w:val="auto"/>
        </w:rPr>
        <w:t>”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w:t>
      </w:r>
      <w:r>
        <w:rPr>
          <w:rFonts w:ascii="Times New Roman" w:cs="Times New Roman" w:eastAsia="Times New Roman" w:hAnsi="Times New Roman"/>
          <w:sz w:val="22"/>
          <w:szCs w:val="22"/>
          <w:color w:val="auto"/>
        </w:rPr>
        <w:t>” shall mean Accounts, and shall also include ticket receivables, sales of frequent flyer miles and other present and future revenues and receivables that may be the subject of a Qualified Receivables Transaction or another financing transaction.</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 Repurchase Obligation</w:t>
      </w:r>
      <w:r>
        <w:rPr>
          <w:rFonts w:ascii="Times New Roman" w:cs="Times New Roman" w:eastAsia="Times New Roman" w:hAnsi="Times New Roman"/>
          <w:sz w:val="22"/>
          <w:szCs w:val="22"/>
          <w:color w:val="auto"/>
        </w:rPr>
        <w:t>”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597" w:name="page598"/>
    <w:bookmarkEnd w:id="597"/>
    <w:p>
      <w:pPr>
        <w:spacing w:after="0" w:line="19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Receivables Subsidiary</w:t>
      </w:r>
      <w:r>
        <w:rPr>
          <w:rFonts w:ascii="Times New Roman" w:cs="Times New Roman" w:eastAsia="Times New Roman" w:hAnsi="Times New Roman"/>
          <w:sz w:val="21"/>
          <w:szCs w:val="21"/>
          <w:color w:val="auto"/>
        </w:rPr>
        <w:t>” shall mean (x) a Subsidiary of Parent which engages in no activities other than in connection with the financing or securitization of Receivables and which is designated by the Board of Directors of the Borrower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Times New Roman" w:cs="Times New Roman" w:eastAsia="Times New Roman" w:hAnsi="Times New Roman"/>
          <w:sz w:val="21"/>
          <w:szCs w:val="21"/>
          <w:i w:val="1"/>
          <w:iCs w:val="1"/>
          <w:color w:val="auto"/>
        </w:rPr>
        <w:t>incidental pledge</w:t>
      </w:r>
      <w:r>
        <w:rPr>
          <w:rFonts w:ascii="Times New Roman" w:cs="Times New Roman" w:eastAsia="Times New Roman" w:hAnsi="Times New Roman"/>
          <w:sz w:val="21"/>
          <w:szCs w:val="21"/>
          <w:color w:val="auto"/>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w:t>
      </w:r>
      <w:r>
        <w:rPr>
          <w:rFonts w:ascii="Times New Roman" w:cs="Times New Roman" w:eastAsia="Times New Roman" w:hAnsi="Times New Roman"/>
          <w:sz w:val="21"/>
          <w:szCs w:val="21"/>
          <w:i w:val="1"/>
          <w:iCs w:val="1"/>
          <w:color w:val="auto"/>
        </w:rPr>
        <w:t>Qualified Receivables Transaction</w:t>
      </w:r>
      <w:r>
        <w:rPr>
          <w:rFonts w:ascii="Times New Roman" w:cs="Times New Roman" w:eastAsia="Times New Roman" w:hAnsi="Times New Roman"/>
          <w:sz w:val="21"/>
          <w:szCs w:val="21"/>
          <w:color w:val="auto"/>
        </w:rPr>
        <w:t>”),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w:t>
      </w:r>
    </w:p>
    <w:p>
      <w:pPr>
        <w:spacing w:after="0" w:line="200" w:lineRule="exact"/>
        <w:rPr>
          <w:sz w:val="20"/>
          <w:szCs w:val="20"/>
          <w:color w:val="auto"/>
        </w:rPr>
      </w:pPr>
    </w:p>
    <w:p>
      <w:pPr>
        <w:spacing w:after="0" w:line="2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Recovery Event</w:t>
      </w:r>
      <w:r>
        <w:rPr>
          <w:rFonts w:ascii="Times New Roman" w:cs="Times New Roman" w:eastAsia="Times New Roman" w:hAnsi="Times New Roman"/>
          <w:sz w:val="22"/>
          <w:szCs w:val="22"/>
          <w:color w:val="auto"/>
        </w:rPr>
        <w:t>”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Trustee or trustee (as applicable), if applicable).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Revolving Loans</w:t>
      </w:r>
      <w:r>
        <w:rPr>
          <w:rFonts w:ascii="Times New Roman" w:cs="Times New Roman" w:eastAsia="Times New Roman" w:hAnsi="Times New Roman"/>
          <w:sz w:val="22"/>
          <w:szCs w:val="22"/>
          <w:color w:val="auto"/>
        </w:rPr>
        <w:t>” shall have the meaning set forth in Section 10.08(e).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Term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Refinancing</w:t>
      </w:r>
      <w:r>
        <w:rPr>
          <w:rFonts w:ascii="Times New Roman" w:cs="Times New Roman" w:eastAsia="Times New Roman" w:hAnsi="Times New Roman"/>
          <w:sz w:val="22"/>
          <w:szCs w:val="22"/>
          <w:color w:val="auto"/>
        </w:rPr>
        <w:t>” shall have the meaning set forth in the definition of “Transactions.”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598" w:name="page599"/>
    <w:bookmarkEnd w:id="598"/>
    <w:p>
      <w:pPr>
        <w:spacing w:after="0" w:line="19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Regional Airline</w:t>
      </w:r>
      <w:r>
        <w:rPr>
          <w:rFonts w:ascii="Times New Roman" w:cs="Times New Roman" w:eastAsia="Times New Roman" w:hAnsi="Times New Roman"/>
          <w:sz w:val="22"/>
          <w:szCs w:val="22"/>
          <w:color w:val="auto"/>
        </w:rPr>
        <w:t>” shall mean Envoy Aviation Group Inc., Piedmont Airlines, Inc. and PSA Airlines, Inc. and their respective Subsidiaries.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shall have the meaning set forth in Section 10.02(b)(iv).</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shall mean, with respect to any specified Person, such Person’s Affiliates and the respective directors, officers, partners, members, employees, agents and advisors of such Person and such Person’s Affiliates.</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shall have the meaning specified in Section 101(22) of the Comprehensive Environmental Response Compensation and Liability Act.</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Replaceable Lender</w:t>
      </w:r>
      <w:r>
        <w:rPr>
          <w:rFonts w:ascii="Times New Roman" w:cs="Times New Roman" w:eastAsia="Times New Roman" w:hAnsi="Times New Roman"/>
          <w:sz w:val="22"/>
          <w:szCs w:val="22"/>
          <w:color w:val="auto"/>
        </w:rPr>
        <w:t>” shall have the meaning set forth in Section 10.02(j).</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Term Loans</w:t>
      </w:r>
      <w:r>
        <w:rPr>
          <w:rFonts w:ascii="Times New Roman" w:cs="Times New Roman" w:eastAsia="Times New Roman" w:hAnsi="Times New Roman"/>
          <w:sz w:val="22"/>
          <w:szCs w:val="22"/>
          <w:color w:val="auto"/>
        </w:rPr>
        <w:t>” shall have the meaning set forth in Section 10.08(e).</w:t>
      </w:r>
    </w:p>
    <w:p>
      <w:pPr>
        <w:spacing w:after="0" w:line="23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Repricing Event</w:t>
      </w:r>
      <w:r>
        <w:rPr>
          <w:rFonts w:ascii="Times New Roman" w:cs="Times New Roman" w:eastAsia="Times New Roman" w:hAnsi="Times New Roman"/>
          <w:sz w:val="21"/>
          <w:szCs w:val="21"/>
          <w:color w:val="auto"/>
        </w:rPr>
        <w:t>” shall mean (a) any prepayment, repayment, refinancing, substitution or replacement of all or a portion of the Initial Term Loans with the proceeds of, or any conversion of the Initial Term Loans into, any new or replacement Class of, or new facility of, syndicated term loans by the Borrower in the principal amount of the Initial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Initial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Initial Term Loans which reduces the “effective yield” applicable to such Initial Term Loans (as determined on the same basis as provided in clause (a)), in each case only if the primary purpose of such prepayment, repayment, substitution, replacement or amendment was to reduce the “effective yield” applicable to such Initial Term Loans.</w:t>
      </w:r>
    </w:p>
    <w:p>
      <w:pPr>
        <w:spacing w:after="0" w:line="17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Class Lenders</w:t>
      </w:r>
      <w:r>
        <w:rPr>
          <w:rFonts w:ascii="Times New Roman" w:cs="Times New Roman" w:eastAsia="Times New Roman" w:hAnsi="Times New Roman"/>
          <w:sz w:val="22"/>
          <w:szCs w:val="22"/>
          <w:color w:val="auto"/>
        </w:rPr>
        <w:t>” shall mean (i) with respect to any Class of Term Loans, the Term Lenders having more than 50% of all outstanding Term Loans of such Class and (ii) with respect to the Revolving Loans of a Class, the Required Revolving Lenders of such Class. The outstanding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599" w:name="page600"/>
    <w:bookmarkEnd w:id="599"/>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Term Loans and Term Loan Commitments of any Defaulting Lender should be disregarded for purposes of any determination with respect to a Class of Term Loans.</w:t>
      </w:r>
    </w:p>
    <w:p>
      <w:pPr>
        <w:spacing w:after="0" w:line="154"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Lenders</w:t>
      </w:r>
      <w:r>
        <w:rPr>
          <w:rFonts w:ascii="Times New Roman" w:cs="Times New Roman" w:eastAsia="Times New Roman" w:hAnsi="Times New Roman"/>
          <w:sz w:val="22"/>
          <w:szCs w:val="22"/>
          <w:color w:val="auto"/>
        </w:rPr>
        <w:t>” shall mean, at any time, Lenders holding more than 50% of (a) until the Closing Date, the Commitments then in effect and (b) thereafter, the sum of (i) the aggregate principal amount of all Term Loans outstanding and</w:t>
      </w:r>
    </w:p>
    <w:p>
      <w:pPr>
        <w:jc w:val="both"/>
        <w:ind w:firstLine="8"/>
        <w:spacing w:after="0" w:line="245" w:lineRule="auto"/>
        <w:tabs>
          <w:tab w:leader="none" w:pos="373"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Revolving Lenders</w:t>
      </w:r>
      <w:r>
        <w:rPr>
          <w:rFonts w:ascii="Times New Roman" w:cs="Times New Roman" w:eastAsia="Times New Roman" w:hAnsi="Times New Roman"/>
          <w:sz w:val="22"/>
          <w:szCs w:val="22"/>
          <w:color w:val="auto"/>
        </w:rPr>
        <w:t>” shall mean, at any time, Lenders holding more than 50% of the Total Revolving Commitments then in effect or, if the Revolving Commitments have been terminated, the Total Revolving Extensions of Credit then outstanding. The Revolving Extensions of Credit and Revolving Commitments of any Defaulting Lender shall be disregarded in determining the “Required Revolving Lenders” at any time.</w:t>
      </w:r>
    </w:p>
    <w:p>
      <w:pPr>
        <w:spacing w:after="0" w:line="16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Term Lenders</w:t>
      </w:r>
      <w:r>
        <w:rPr>
          <w:rFonts w:ascii="Times New Roman" w:cs="Times New Roman" w:eastAsia="Times New Roman" w:hAnsi="Times New Roman"/>
          <w:sz w:val="22"/>
          <w:szCs w:val="22"/>
          <w:color w:val="auto"/>
        </w:rPr>
        <w:t>”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w:t>
      </w:r>
    </w:p>
    <w:p>
      <w:pPr>
        <w:spacing w:after="0" w:line="16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Investment</w:t>
      </w:r>
      <w:r>
        <w:rPr>
          <w:rFonts w:ascii="Times New Roman" w:cs="Times New Roman" w:eastAsia="Times New Roman" w:hAnsi="Times New Roman"/>
          <w:sz w:val="22"/>
          <w:szCs w:val="22"/>
          <w:color w:val="auto"/>
        </w:rPr>
        <w:t>” shall mean an Investment other than a Permitted Investment.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 shall have the meaning set forth in Section 6.01(a)(iv).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Subsidiary</w:t>
      </w:r>
      <w:r>
        <w:rPr>
          <w:rFonts w:ascii="Times New Roman" w:cs="Times New Roman" w:eastAsia="Times New Roman" w:hAnsi="Times New Roman"/>
          <w:sz w:val="22"/>
          <w:szCs w:val="22"/>
          <w:color w:val="auto"/>
        </w:rPr>
        <w:t>” of a Person shall mean any Subsidiary of the referent Person that is not an Unrestricted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w:t>
      </w:r>
      <w:r>
        <w:rPr>
          <w:rFonts w:ascii="Times New Roman" w:cs="Times New Roman" w:eastAsia="Times New Roman" w:hAnsi="Times New Roman"/>
          <w:sz w:val="22"/>
          <w:szCs w:val="22"/>
          <w:color w:val="auto"/>
        </w:rPr>
        <w:t>” shall have the meaning set forth in Section 2.28(b).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 Offer</w:t>
      </w:r>
      <w:r>
        <w:rPr>
          <w:rFonts w:ascii="Times New Roman" w:cs="Times New Roman" w:eastAsia="Times New Roman" w:hAnsi="Times New Roman"/>
          <w:sz w:val="22"/>
          <w:szCs w:val="22"/>
          <w:color w:val="auto"/>
        </w:rPr>
        <w:t>” shall have the meaning set forth in Section 2.28(b).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 Offer Date</w:t>
      </w:r>
      <w:r>
        <w:rPr>
          <w:rFonts w:ascii="Times New Roman" w:cs="Times New Roman" w:eastAsia="Times New Roman" w:hAnsi="Times New Roman"/>
          <w:sz w:val="22"/>
          <w:szCs w:val="22"/>
          <w:color w:val="auto"/>
        </w:rPr>
        <w:t>” shall have the meaning set forth in Section 2.28(b)(i).</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Availability Period</w:t>
      </w:r>
      <w:r>
        <w:rPr>
          <w:rFonts w:ascii="Times New Roman" w:cs="Times New Roman" w:eastAsia="Times New Roman" w:hAnsi="Times New Roman"/>
          <w:sz w:val="22"/>
          <w:szCs w:val="22"/>
          <w:color w:val="auto"/>
        </w:rPr>
        <w:t xml:space="preserve">” shall mean the period from and including the </w:t>
      </w:r>
      <w:r>
        <w:rPr>
          <w:rFonts w:ascii="Times New Roman" w:cs="Times New Roman" w:eastAsia="Times New Roman" w:hAnsi="Times New Roman"/>
          <w:sz w:val="22"/>
          <w:szCs w:val="22"/>
          <w:b w:val="1"/>
          <w:bCs w:val="1"/>
          <w:color w:val="FF0000"/>
          <w:strike w:val="1"/>
        </w:rPr>
        <w:t>effective date of the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FF0000"/>
          <w:strike w:val="1"/>
        </w:rPr>
        <w:t>Revolving Commitments</w:t>
      </w:r>
      <w:r>
        <w:rPr>
          <w:rFonts w:ascii="Times New Roman" w:cs="Times New Roman" w:eastAsia="Times New Roman" w:hAnsi="Times New Roman"/>
          <w:sz w:val="22"/>
          <w:szCs w:val="22"/>
          <w:b w:val="1"/>
          <w:bCs w:val="1"/>
          <w:u w:val="single" w:color="auto"/>
          <w:color w:val="0000FF"/>
        </w:rPr>
        <w:t>First Amendment Effective Date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to but excluding the Revolving Facility Termination Date with</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respect to the applicable Revolving Commitments.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600" w:name="page601"/>
    <w:bookmarkEnd w:id="600"/>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w:t>
      </w:r>
      <w:r>
        <w:rPr>
          <w:rFonts w:ascii="Times New Roman" w:cs="Times New Roman" w:eastAsia="Times New Roman" w:hAnsi="Times New Roman"/>
          <w:sz w:val="22"/>
          <w:szCs w:val="22"/>
          <w:color w:val="auto"/>
        </w:rPr>
        <w:t>” shall mean the commitment of each Revolving Lender to make Revolving Loans and participate in Letters of Credit hereunder in an aggregate principal and/or face amount not to exceed the amount set forth under the heading “</w:t>
      </w:r>
      <w:r>
        <w:rPr>
          <w:rFonts w:ascii="Times New Roman" w:cs="Times New Roman" w:eastAsia="Times New Roman" w:hAnsi="Times New Roman"/>
          <w:sz w:val="22"/>
          <w:szCs w:val="22"/>
          <w:b w:val="1"/>
          <w:bCs w:val="1"/>
          <w:u w:val="single" w:color="auto"/>
          <w:color w:val="0000FF"/>
        </w:rPr>
        <w:t>2024 Incremental</w:t>
      </w:r>
      <w:r>
        <w:rPr>
          <w:rFonts w:ascii="Times New Roman" w:cs="Times New Roman" w:eastAsia="Times New Roman" w:hAnsi="Times New Roman"/>
          <w:sz w:val="22"/>
          <w:szCs w:val="22"/>
          <w:color w:val="auto"/>
        </w:rPr>
        <w:t xml:space="preserve"> Revolving </w:t>
      </w:r>
      <w:r>
        <w:rPr>
          <w:rFonts w:ascii="Times New Roman" w:cs="Times New Roman" w:eastAsia="Times New Roman" w:hAnsi="Times New Roman"/>
          <w:sz w:val="22"/>
          <w:szCs w:val="22"/>
          <w:b w:val="1"/>
          <w:bCs w:val="1"/>
          <w:color w:val="FF0000"/>
          <w:strike w:val="1"/>
        </w:rPr>
        <w:t>Commitment</w:t>
      </w:r>
      <w:r>
        <w:rPr>
          <w:rFonts w:ascii="Times New Roman" w:cs="Times New Roman" w:eastAsia="Times New Roman" w:hAnsi="Times New Roman"/>
          <w:sz w:val="22"/>
          <w:szCs w:val="22"/>
          <w:b w:val="1"/>
          <w:bCs w:val="1"/>
          <w:u w:val="single" w:color="auto"/>
          <w:color w:val="0000FF"/>
        </w:rPr>
        <w:t>Commitments</w:t>
      </w:r>
      <w:r>
        <w:rPr>
          <w:rFonts w:ascii="Times New Roman" w:cs="Times New Roman" w:eastAsia="Times New Roman" w:hAnsi="Times New Roman"/>
          <w:sz w:val="22"/>
          <w:szCs w:val="22"/>
          <w:color w:val="auto"/>
        </w:rPr>
        <w:t xml:space="preserve">” opposite its name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or in the Assignment and Acceptance pursuant to which such Revolving Lender became a party hereto, as the same may be changed from time to time pursuant to the terms hereof. The aggregate </w:t>
      </w:r>
      <w:r>
        <w:rPr>
          <w:rFonts w:ascii="Times New Roman" w:cs="Times New Roman" w:eastAsia="Times New Roman" w:hAnsi="Times New Roman"/>
          <w:sz w:val="22"/>
          <w:szCs w:val="22"/>
          <w:b w:val="1"/>
          <w:bCs w:val="1"/>
          <w:u w:val="single" w:color="auto"/>
          <w:color w:val="0000FF"/>
        </w:rPr>
        <w:t>principal</w:t>
      </w:r>
      <w:r>
        <w:rPr>
          <w:rFonts w:ascii="Times New Roman" w:cs="Times New Roman" w:eastAsia="Times New Roman" w:hAnsi="Times New Roman"/>
          <w:sz w:val="22"/>
          <w:szCs w:val="22"/>
          <w:color w:val="auto"/>
        </w:rPr>
        <w:t xml:space="preserve"> amount of the </w:t>
      </w:r>
      <w:r>
        <w:rPr>
          <w:rFonts w:ascii="Times New Roman" w:cs="Times New Roman" w:eastAsia="Times New Roman" w:hAnsi="Times New Roman"/>
          <w:sz w:val="22"/>
          <w:szCs w:val="22"/>
          <w:b w:val="1"/>
          <w:bCs w:val="1"/>
          <w:color w:val="FF0000"/>
          <w:strike w:val="1"/>
        </w:rPr>
        <w:t>Total</w:t>
      </w:r>
      <w:r>
        <w:rPr>
          <w:rFonts w:ascii="Times New Roman" w:cs="Times New Roman" w:eastAsia="Times New Roman" w:hAnsi="Times New Roman"/>
          <w:sz w:val="22"/>
          <w:szCs w:val="22"/>
          <w:color w:val="auto"/>
        </w:rPr>
        <w:t xml:space="preserve"> Revolving Commitments as of the </w:t>
      </w:r>
      <w:r>
        <w:rPr>
          <w:rFonts w:ascii="Times New Roman" w:cs="Times New Roman" w:eastAsia="Times New Roman" w:hAnsi="Times New Roman"/>
          <w:sz w:val="22"/>
          <w:szCs w:val="22"/>
          <w:b w:val="1"/>
          <w:bCs w:val="1"/>
          <w:color w:val="FF0000"/>
          <w:strike w:val="1"/>
        </w:rPr>
        <w:t>Closing</w:t>
      </w:r>
      <w:r>
        <w:rPr>
          <w:rFonts w:ascii="Times New Roman" w:cs="Times New Roman" w:eastAsia="Times New Roman" w:hAnsi="Times New Roman"/>
          <w:sz w:val="22"/>
          <w:szCs w:val="22"/>
          <w:b w:val="1"/>
          <w:bCs w:val="1"/>
          <w:u w:val="single" w:color="auto"/>
          <w:color w:val="0000FF"/>
        </w:rPr>
        <w:t>First Amendment Effective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Date is $</w:t>
      </w:r>
      <w:r>
        <w:rPr>
          <w:rFonts w:ascii="Times New Roman" w:cs="Times New Roman" w:eastAsia="Times New Roman" w:hAnsi="Times New Roman"/>
          <w:sz w:val="22"/>
          <w:szCs w:val="22"/>
          <w:b w:val="1"/>
          <w:bCs w:val="1"/>
          <w:color w:val="FF0000"/>
          <w:strike w:val="1"/>
        </w:rPr>
        <w:t>0</w:t>
      </w:r>
      <w:r>
        <w:rPr>
          <w:rFonts w:ascii="Times New Roman" w:cs="Times New Roman" w:eastAsia="Times New Roman" w:hAnsi="Times New Roman"/>
          <w:sz w:val="22"/>
          <w:szCs w:val="22"/>
          <w:b w:val="1"/>
          <w:bCs w:val="1"/>
          <w:u w:val="single" w:color="auto"/>
          <w:color w:val="0000FF"/>
        </w:rPr>
        <w:t>890,000,000</w:t>
      </w:r>
      <w:r>
        <w:rPr>
          <w:rFonts w:ascii="Times New Roman" w:cs="Times New Roman" w:eastAsia="Times New Roman" w:hAnsi="Times New Roman"/>
          <w:sz w:val="22"/>
          <w:szCs w:val="22"/>
          <w:color w:val="000000"/>
        </w:rPr>
        <w:t>.</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 Percentage</w:t>
      </w:r>
      <w:r>
        <w:rPr>
          <w:rFonts w:ascii="Times New Roman" w:cs="Times New Roman" w:eastAsia="Times New Roman" w:hAnsi="Times New Roman"/>
          <w:sz w:val="22"/>
          <w:szCs w:val="22"/>
          <w:color w:val="auto"/>
        </w:rPr>
        <w:t>”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Extension of Credit</w:t>
      </w:r>
      <w:r>
        <w:rPr>
          <w:rFonts w:ascii="Times New Roman" w:cs="Times New Roman" w:eastAsia="Times New Roman" w:hAnsi="Times New Roman"/>
          <w:sz w:val="22"/>
          <w:szCs w:val="22"/>
          <w:color w:val="auto"/>
        </w:rPr>
        <w:t>” shall mean, as to any Revolving Lender at any time, an amount equal to the sum of (a) the aggregate principal amount of all Revolving Loans held by such Lender then outstanding and (b) such Lender’s Revolving Commitment Percentage of the LC Exposure then outstanding.</w:t>
      </w:r>
    </w:p>
    <w:p>
      <w:pPr>
        <w:spacing w:after="0" w:line="16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w:t>
      </w:r>
      <w:r>
        <w:rPr>
          <w:rFonts w:ascii="Times New Roman" w:cs="Times New Roman" w:eastAsia="Times New Roman" w:hAnsi="Times New Roman"/>
          <w:sz w:val="22"/>
          <w:szCs w:val="22"/>
          <w:color w:val="auto"/>
        </w:rPr>
        <w:t>” shall mean the Revolving Commitments and the Revolving Loans made and Letters of Credit issued thereunder.</w:t>
      </w:r>
    </w:p>
    <w:p>
      <w:pPr>
        <w:spacing w:after="0" w:line="13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shall mean</w:t>
      </w: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auto"/>
        </w:rPr>
        <w:t xml:space="preserve"> with respect to </w:t>
      </w:r>
      <w:r>
        <w:rPr>
          <w:rFonts w:ascii="Times New Roman" w:cs="Times New Roman" w:eastAsia="Times New Roman" w:hAnsi="Times New Roman"/>
          <w:sz w:val="22"/>
          <w:szCs w:val="22"/>
          <w:b w:val="1"/>
          <w:bCs w:val="1"/>
          <w:color w:val="FF0000"/>
          <w:strike w:val="1"/>
        </w:rPr>
        <w:t>any</w:t>
      </w:r>
      <w:r>
        <w:rPr>
          <w:rFonts w:ascii="Times New Roman" w:cs="Times New Roman" w:eastAsia="Times New Roman" w:hAnsi="Times New Roman"/>
          <w:sz w:val="22"/>
          <w:szCs w:val="22"/>
          <w:b w:val="1"/>
          <w:bCs w:val="1"/>
          <w:u w:val="single" w:color="auto"/>
          <w:color w:val="0000FF"/>
        </w:rPr>
        <w:t>2024 Incremental</w:t>
      </w:r>
      <w:r>
        <w:rPr>
          <w:rFonts w:ascii="Times New Roman" w:cs="Times New Roman" w:eastAsia="Times New Roman" w:hAnsi="Times New Roman"/>
          <w:sz w:val="22"/>
          <w:szCs w:val="22"/>
          <w:color w:val="auto"/>
        </w:rPr>
        <w:t xml:space="preserve"> Revolving Commitments, </w:t>
      </w:r>
      <w:r>
        <w:rPr>
          <w:rFonts w:ascii="Times New Roman" w:cs="Times New Roman" w:eastAsia="Times New Roman" w:hAnsi="Times New Roman"/>
          <w:sz w:val="22"/>
          <w:szCs w:val="22"/>
          <w:b w:val="1"/>
          <w:bCs w:val="1"/>
          <w:u w:val="single" w:color="auto"/>
          <w:color w:val="0000FF"/>
        </w:rPr>
        <w:t>June 4, 2029, and (b) with respect to Extended Revolving Commitments extended after the 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Amendment Effective Date,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the final maturity date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color w:val="FF0000"/>
          <w:strike w:val="1"/>
        </w:rPr>
        <w:t>for the such Revolving Commitments as may be agreed in writing by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color w:val="FF0000"/>
          <w:strike w:val="1"/>
        </w:rPr>
        <w:t>Borrower and</w:t>
      </w:r>
      <w:r>
        <w:rPr>
          <w:rFonts w:ascii="Times New Roman" w:cs="Times New Roman" w:eastAsia="Times New Roman" w:hAnsi="Times New Roman"/>
          <w:sz w:val="22"/>
          <w:szCs w:val="22"/>
          <w:b w:val="1"/>
          <w:bCs w:val="1"/>
          <w:u w:val="single" w:color="auto"/>
          <w:color w:val="0000FF"/>
        </w:rPr>
        <w:t>therefor as specified in</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the applicable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u w:val="single" w:color="auto"/>
          <w:color w:val="0000FF"/>
        </w:rPr>
        <w:t>Extension Offer accepted by the respective Revolving Lender or</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 xml:space="preserve">Revolving Lenders </w:t>
      </w:r>
      <w:r>
        <w:rPr>
          <w:rFonts w:ascii="Times New Roman" w:cs="Times New Roman" w:eastAsia="Times New Roman" w:hAnsi="Times New Roman"/>
          <w:sz w:val="22"/>
          <w:szCs w:val="22"/>
          <w:b w:val="1"/>
          <w:bCs w:val="1"/>
          <w:color w:val="FF0000"/>
          <w:strike w:val="1"/>
        </w:rPr>
        <w:t>from time to time</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Termination Date</w:t>
      </w:r>
      <w:r>
        <w:rPr>
          <w:rFonts w:ascii="Times New Roman" w:cs="Times New Roman" w:eastAsia="Times New Roman" w:hAnsi="Times New Roman"/>
          <w:sz w:val="22"/>
          <w:szCs w:val="22"/>
          <w:color w:val="auto"/>
        </w:rPr>
        <w:t>” shall mean the earlier to occur of (a) the Revolving Facility Maturity Date with respect to the applicable Revolving Commitments, (b) the acceleration of the Revolving Loans (if any) and the termination of the Revolving Commitments in accordance with the terms hereof and (c) the termination of the applicable Revolving Commitments as a whole pursuant to Section 2.11.</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Lender</w:t>
      </w:r>
      <w:r>
        <w:rPr>
          <w:rFonts w:ascii="Times New Roman" w:cs="Times New Roman" w:eastAsia="Times New Roman" w:hAnsi="Times New Roman"/>
          <w:sz w:val="22"/>
          <w:szCs w:val="22"/>
          <w:color w:val="auto"/>
        </w:rPr>
        <w:t xml:space="preserve">” shall mean each Lender having a Revolving Commitment. </w:t>
      </w:r>
      <w:r>
        <w:rPr>
          <w:rFonts w:ascii="Times New Roman" w:cs="Times New Roman" w:eastAsia="Times New Roman" w:hAnsi="Times New Roman"/>
          <w:sz w:val="22"/>
          <w:szCs w:val="22"/>
          <w:b w:val="1"/>
          <w:bCs w:val="1"/>
          <w:color w:val="0000FF"/>
        </w:rPr>
        <w:t>For the avoidance of doubt,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2024 Incremental Revolving Lender shall constitute a “Lender” and a “Revolving Lender” hereunder and, after the First Amendment Effective Date, the Administrative Agent shall update and/or modify the Register to reflect the transactions contemplated by the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-528320</wp:posOffset>
            </wp:positionV>
            <wp:extent cx="19640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64055" cy="8255"/>
                    </a:xfrm>
                    <a:prstGeom prst="rect">
                      <a:avLst/>
                    </a:prstGeom>
                    <a:noFill/>
                  </pic:spPr>
                </pic:pic>
              </a:graphicData>
            </a:graphic>
          </wp:anchor>
        </w:drawing>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shall have the meaning set forth in Section 2.01(a)(i).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Route Authorities</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shall mean Standard &amp; Poor’s, a division of The McGraw-Hill Companies, Inc.</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601" w:name="page602"/>
    <w:bookmarkEnd w:id="601"/>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Sage</w:t>
      </w:r>
      <w:r>
        <w:rPr>
          <w:rFonts w:ascii="Times New Roman" w:cs="Times New Roman" w:eastAsia="Times New Roman" w:hAnsi="Times New Roman"/>
          <w:sz w:val="22"/>
          <w:szCs w:val="22"/>
          <w:color w:val="auto"/>
        </w:rPr>
        <w:t>” shall mean Sage Popovich, Inc.</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 of a Grantor</w:t>
      </w:r>
      <w:r>
        <w:rPr>
          <w:rFonts w:ascii="Times New Roman" w:cs="Times New Roman" w:eastAsia="Times New Roman" w:hAnsi="Times New Roman"/>
          <w:sz w:val="22"/>
          <w:szCs w:val="22"/>
          <w:color w:val="auto"/>
        </w:rPr>
        <w:t>”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Scheduled Services</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shall mean the United States Securities and Exchange Commission.</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Secured Parties</w:t>
      </w:r>
      <w:r>
        <w:rPr>
          <w:rFonts w:ascii="Times New Roman" w:cs="Times New Roman" w:eastAsia="Times New Roman" w:hAnsi="Times New Roman"/>
          <w:sz w:val="22"/>
          <w:szCs w:val="22"/>
          <w:color w:val="auto"/>
        </w:rPr>
        <w:t>” shall mean each Agent, any trustee appointed pursuant to Section 8.01(d) with respect to an Aircraft Security Agreement, the Issuing Lenders, the Lenders and all other holders of Obligations.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SGR Security Agreement</w:t>
      </w:r>
      <w:r>
        <w:rPr>
          <w:rFonts w:ascii="Times New Roman" w:cs="Times New Roman" w:eastAsia="Times New Roman" w:hAnsi="Times New Roman"/>
          <w:sz w:val="22"/>
          <w:szCs w:val="22"/>
          <w:color w:val="auto"/>
        </w:rPr>
        <w:t>” shall mean the Security Agreement (Slots, Foreign Gate Leaseholds and Route Authorities), dated as December 4, 2023 by and among the Borrower, as grantor, the other grantors thereto from time to time and the Collateral Trustee, or any subsequent security agreement executed and delivered to the Administrative Agent in substantially the form of Exhibit A.</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Significant Subsidiary</w:t>
      </w:r>
      <w:r>
        <w:rPr>
          <w:rFonts w:ascii="Times New Roman" w:cs="Times New Roman" w:eastAsia="Times New Roman" w:hAnsi="Times New Roman"/>
          <w:sz w:val="22"/>
          <w:szCs w:val="22"/>
          <w:color w:val="auto"/>
        </w:rPr>
        <w:t>” shall mean any Restricted Subsidiary of Parent that would be a “significant subsidiary” as defined in Article 1, Rule 1-02 of Regulation S-X, promulgated pursuant to the Securities Act, as such Regulation is in effect on the date of this Agreement.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Slot</w:t>
      </w:r>
      <w:r>
        <w:rPr>
          <w:rFonts w:ascii="Times New Roman" w:cs="Times New Roman" w:eastAsia="Times New Roman" w:hAnsi="Times New Roman"/>
          <w:sz w:val="22"/>
          <w:szCs w:val="22"/>
          <w:color w:val="auto"/>
        </w:rPr>
        <w:t>” shall mean each FAA Route Slot and each Foreign Route Slot, or any of them.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37"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Solvent</w:t>
      </w:r>
      <w:r>
        <w:rPr>
          <w:rFonts w:ascii="Times New Roman" w:cs="Times New Roman" w:eastAsia="Times New Roman" w:hAnsi="Times New Roman"/>
          <w:sz w:val="21"/>
          <w:szCs w:val="21"/>
          <w:color w:val="auto"/>
        </w:rPr>
        <w:t>”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the Closing Date;</w:t>
      </w:r>
    </w:p>
    <w:p>
      <w:pPr>
        <w:spacing w:after="0" w:line="1" w:lineRule="exact"/>
        <w:rPr>
          <w:sz w:val="20"/>
          <w:szCs w:val="20"/>
          <w:color w:val="auto"/>
        </w:rPr>
      </w:pPr>
    </w:p>
    <w:p>
      <w:pPr>
        <w:jc w:val="both"/>
        <w:ind w:firstLine="8"/>
        <w:spacing w:after="0" w:line="246" w:lineRule="auto"/>
        <w:tabs>
          <w:tab w:leader="none" w:pos="317" w:val="left"/>
        </w:tabs>
        <w:numPr>
          <w:ilvl w:val="0"/>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602" w:name="page603"/>
    <w:bookmarkEnd w:id="602"/>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accrual under Statement of Financial Accounting Standard No. 5 or any other analogous criteria in any jurisdiction).</w:t>
      </w:r>
    </w:p>
    <w:p>
      <w:pPr>
        <w:spacing w:after="0" w:line="21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Spare Parts</w:t>
      </w:r>
      <w:r>
        <w:rPr>
          <w:rFonts w:ascii="Times New Roman" w:cs="Times New Roman" w:eastAsia="Times New Roman" w:hAnsi="Times New Roman"/>
          <w:sz w:val="22"/>
          <w:szCs w:val="22"/>
          <w:color w:val="auto"/>
        </w:rPr>
        <w:t>”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Caribbean Jurisdictions</w:t>
      </w:r>
      <w:r>
        <w:rPr>
          <w:rFonts w:ascii="Times New Roman" w:cs="Times New Roman" w:eastAsia="Times New Roman" w:hAnsi="Times New Roman"/>
          <w:sz w:val="22"/>
          <w:szCs w:val="22"/>
          <w:color w:val="auto"/>
        </w:rPr>
        <w:t>” shall mean Antigua and Barbuda, Aruba, the Bahamas, Barbados, Bonaire, Cuba, Curacao, Dominican Republic, Grenada, Haiti, Jamaica, Saba, Saint Kitts and Nevis, Saint Lucia, Saint Vincent and the Grenadines, Sint Eustatius, Sint Maarten, and Trinidad and Tobago.</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Securitization Undertakings</w:t>
      </w:r>
      <w:r>
        <w:rPr>
          <w:rFonts w:ascii="Times New Roman" w:cs="Times New Roman" w:eastAsia="Times New Roman" w:hAnsi="Times New Roman"/>
          <w:sz w:val="22"/>
          <w:szCs w:val="22"/>
          <w:color w:val="auto"/>
        </w:rPr>
        <w:t>” shall mean all representations, warranties, covenants, indemnities, performance Guarantees and servicing obligations entered into by Parent or any Subsidiary (other than a Receivables Subsidiary), which are customary in connection with any Qualified Receivables Transaction.</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Stated Maturity</w:t>
      </w:r>
      <w:r>
        <w:rPr>
          <w:rFonts w:ascii="Times New Roman" w:cs="Times New Roman" w:eastAsia="Times New Roman" w:hAnsi="Times New Roman"/>
          <w:sz w:val="22"/>
          <w:szCs w:val="22"/>
          <w:color w:val="auto"/>
        </w:rPr>
        <w:t>”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Subject Company</w:t>
      </w:r>
      <w:r>
        <w:rPr>
          <w:rFonts w:ascii="Times New Roman" w:cs="Times New Roman" w:eastAsia="Times New Roman" w:hAnsi="Times New Roman"/>
          <w:sz w:val="22"/>
          <w:szCs w:val="22"/>
          <w:color w:val="auto"/>
        </w:rPr>
        <w:t>” shall have the meaning set forth in Section 6.10(a).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with respect to any Person:</w:t>
      </w:r>
    </w:p>
    <w:p>
      <w:pPr>
        <w:spacing w:after="0" w:line="224" w:lineRule="exact"/>
        <w:rPr>
          <w:sz w:val="20"/>
          <w:szCs w:val="20"/>
          <w:color w:val="auto"/>
        </w:rPr>
      </w:pPr>
    </w:p>
    <w:p>
      <w:pPr>
        <w:jc w:val="both"/>
        <w:ind w:left="660" w:firstLine="644"/>
        <w:spacing w:after="0" w:line="251" w:lineRule="auto"/>
        <w:tabs>
          <w:tab w:leader="none" w:pos="1929" w:val="left"/>
        </w:tabs>
        <w:numPr>
          <w:ilvl w:val="1"/>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4" w:lineRule="auto"/>
        <w:tabs>
          <w:tab w:leader="none" w:pos="1919" w:val="left"/>
        </w:tabs>
        <w:numPr>
          <w:ilvl w:val="1"/>
          <w:numId w:val="6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w:t>
      </w:r>
    </w:p>
    <w:p>
      <w:pPr>
        <w:ind w:left="1000" w:hanging="344"/>
        <w:spacing w:after="0"/>
        <w:tabs>
          <w:tab w:leader="none" w:pos="1000"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or any Subsidiary of such Person is a controlling general partner or otherwise controls such entity.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603" w:name="page604"/>
    <w:bookmarkEnd w:id="603"/>
    <w:p>
      <w:pPr>
        <w:spacing w:after="0" w:line="19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shall mean, with respect to any Guarantor, any obligation to pay or perform under any agreement, contract or transaction that constitutes a “swap” within the meaning of Section 1a(47) of the Commodity Exchange Act.</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shall mean any and all present or future taxes, levies, imposts, duties, assessments, fees, deductions, charges or withholdings imposed by any Governmental Authority including any interest, additions to tax or penalties applicable thereto.</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FAA Slot</w:t>
      </w:r>
      <w:r>
        <w:rPr>
          <w:rFonts w:ascii="Times New Roman" w:cs="Times New Roman" w:eastAsia="Times New Roman" w:hAnsi="Times New Roman"/>
          <w:sz w:val="22"/>
          <w:szCs w:val="22"/>
          <w:color w:val="auto"/>
        </w:rPr>
        <w:t>” shall mean an FAA Slot that was obtained by any Grantor from another air carrier pursuant to an agreement (including but not limited to a loan agreement, lease agreement, slot exchange agreement or slot release agreement) and is held by such Grantor on a temporary basis.</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Foreign Slot</w:t>
      </w:r>
      <w:r>
        <w:rPr>
          <w:rFonts w:ascii="Times New Roman" w:cs="Times New Roman" w:eastAsia="Times New Roman" w:hAnsi="Times New Roman"/>
          <w:sz w:val="22"/>
          <w:szCs w:val="22"/>
          <w:color w:val="auto"/>
        </w:rPr>
        <w:t>” shall mean a Foreign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Slot</w:t>
      </w:r>
      <w:r>
        <w:rPr>
          <w:rFonts w:ascii="Times New Roman" w:cs="Times New Roman" w:eastAsia="Times New Roman" w:hAnsi="Times New Roman"/>
          <w:sz w:val="22"/>
          <w:szCs w:val="22"/>
          <w:color w:val="auto"/>
        </w:rPr>
        <w:t>” shall mean any Temporary FAA Slot or any Temporary Foreign Slot and any FAA Slot or Foreign Slot subject to a Transfer Restriction, in each case, for so long as such Transfer Restriction is in effect.</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Lender</w:t>
      </w:r>
      <w:r>
        <w:rPr>
          <w:rFonts w:ascii="Times New Roman" w:cs="Times New Roman" w:eastAsia="Times New Roman" w:hAnsi="Times New Roman"/>
          <w:sz w:val="22"/>
          <w:szCs w:val="22"/>
          <w:color w:val="auto"/>
        </w:rPr>
        <w:t>” shall mean each Lender having a Term Loan Commitment or, as the case may be, an outstanding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Loan.</w:t>
      </w:r>
    </w:p>
    <w:p>
      <w:pPr>
        <w:spacing w:after="0" w:line="19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w:t>
      </w:r>
      <w:r>
        <w:rPr>
          <w:rFonts w:ascii="Times New Roman" w:cs="Times New Roman" w:eastAsia="Times New Roman" w:hAnsi="Times New Roman"/>
          <w:sz w:val="22"/>
          <w:szCs w:val="22"/>
          <w:color w:val="auto"/>
        </w:rPr>
        <w:t>” shall mean the Initial Term Loans and any other Class of term loan made by a Term Lender under this Agreement.</w:t>
      </w:r>
    </w:p>
    <w:p>
      <w:pPr>
        <w:spacing w:after="0" w:line="14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“Term Loan Commitment” </w:t>
      </w:r>
      <w:r>
        <w:rPr>
          <w:rFonts w:ascii="Times New Roman" w:cs="Times New Roman" w:eastAsia="Times New Roman" w:hAnsi="Times New Roman"/>
          <w:sz w:val="22"/>
          <w:szCs w:val="22"/>
          <w:color w:val="auto"/>
        </w:rPr>
        <w:t>shall mean the commitment of each Term Lender to make Term Loans hereunder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the case of the Initial Term Loans, in an aggregate principal amount not to exceed the amount set forth under the heading “Initial Term Loan Commitment” opposite its name on Annex A or in the Assignment and Acceptance pursuant to which such Term Lender became a party hereto, as the same may be changed from time to time pursuant to the terms hereof. The aggregate amount of the Term Loan Commitments as of the Closing Date is $1,100,000,000.00.</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Extension</w:t>
      </w:r>
      <w:r>
        <w:rPr>
          <w:rFonts w:ascii="Times New Roman" w:cs="Times New Roman" w:eastAsia="Times New Roman" w:hAnsi="Times New Roman"/>
          <w:sz w:val="22"/>
          <w:szCs w:val="22"/>
          <w:color w:val="auto"/>
        </w:rPr>
        <w:t>” shall have the meaning set forth in Section 2.28(a).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Extension Offer</w:t>
      </w:r>
      <w:r>
        <w:rPr>
          <w:rFonts w:ascii="Times New Roman" w:cs="Times New Roman" w:eastAsia="Times New Roman" w:hAnsi="Times New Roman"/>
          <w:sz w:val="22"/>
          <w:szCs w:val="22"/>
          <w:color w:val="auto"/>
        </w:rPr>
        <w:t>” shall have the meaning set forth in Section 2.28(a).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Facility</w:t>
      </w:r>
      <w:r>
        <w:rPr>
          <w:rFonts w:ascii="Times New Roman" w:cs="Times New Roman" w:eastAsia="Times New Roman" w:hAnsi="Times New Roman"/>
          <w:sz w:val="22"/>
          <w:szCs w:val="22"/>
          <w:color w:val="auto"/>
        </w:rPr>
        <w:t>” shall mean the Term Loan Commitments and the Term Loans made thereunder.</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Maturity Date</w:t>
      </w:r>
      <w:r>
        <w:rPr>
          <w:rFonts w:ascii="Times New Roman" w:cs="Times New Roman" w:eastAsia="Times New Roman" w:hAnsi="Times New Roman"/>
          <w:sz w:val="22"/>
          <w:szCs w:val="22"/>
          <w:color w:val="auto"/>
        </w:rPr>
        <w:t>” shall mean, with respect to (a) Initial Term Loans that have not been extended pursuant to Section 2.28, June 4, 2029 and (b) with respect to Extended Term Loans, the final maturity date therefor as specified in the applicable Extension Offer accepted by the respective Term Lenders (as the same may be further extended pursuant to Section 2.28).</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604" w:name="page605"/>
    <w:bookmarkEnd w:id="604"/>
    <w:p>
      <w:pPr>
        <w:spacing w:after="0" w:line="193"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Termination Date</w:t>
      </w:r>
      <w:r>
        <w:rPr>
          <w:rFonts w:ascii="Times New Roman" w:cs="Times New Roman" w:eastAsia="Times New Roman" w:hAnsi="Times New Roman"/>
          <w:sz w:val="22"/>
          <w:szCs w:val="22"/>
          <w:color w:val="auto"/>
        </w:rPr>
        <w:t>” shall mean the earlier to occur of (a) the Term Loan Maturity Date and (b) the acceleration of the Term Loans in accordance with the terms hereof.</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means,</w:t>
      </w:r>
    </w:p>
    <w:p>
      <w:pPr>
        <w:spacing w:after="0" w:line="237" w:lineRule="exact"/>
        <w:rPr>
          <w:sz w:val="20"/>
          <w:szCs w:val="20"/>
          <w:color w:val="auto"/>
        </w:rPr>
      </w:pPr>
    </w:p>
    <w:p>
      <w:pPr>
        <w:jc w:val="both"/>
        <w:ind w:firstLine="1304"/>
        <w:spacing w:after="0" w:line="247" w:lineRule="auto"/>
        <w:tabs>
          <w:tab w:leader="none" w:pos="1937"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2"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2"/>
          <w:szCs w:val="22"/>
          <w:i w:val="1"/>
          <w:iCs w:val="1"/>
          <w:color w:val="auto"/>
        </w:rPr>
        <w:t>ABR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When used in reference to any Loan or Borrowing, “Term SOFR” refers to whether such Loan, or the Loans comprising such Borrowing, is bearing interest at a rate determined by reference to Adjusted Term SOFR.</w:t>
      </w:r>
    </w:p>
    <w:p>
      <w:pPr>
        <w:spacing w:after="0" w:line="14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Tranche</w:t>
      </w:r>
      <w:r>
        <w:rPr>
          <w:rFonts w:ascii="Times New Roman" w:cs="Times New Roman" w:eastAsia="Times New Roman" w:hAnsi="Times New Roman"/>
          <w:sz w:val="22"/>
          <w:szCs w:val="22"/>
          <w:color w:val="auto"/>
        </w:rPr>
        <w:t>” shall mean the collective reference to Term SOFR Loans under a particular Facility the then current Interest Periods with respect to all of which begin on the same date and end on the same later date (whether or not such Loans shall originally have been made on the same day).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605" w:name="page606"/>
    <w:bookmarkEnd w:id="605"/>
    <w:p>
      <w:pPr>
        <w:spacing w:after="0" w:line="194" w:lineRule="exact"/>
        <w:rPr>
          <w:sz w:val="20"/>
          <w:szCs w:val="20"/>
          <w:color w:val="auto"/>
        </w:rPr>
      </w:pPr>
    </w:p>
    <w:p>
      <w:pPr>
        <w:ind w:firstLine="1296"/>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Termination Date</w:t>
      </w:r>
      <w:r>
        <w:rPr>
          <w:rFonts w:ascii="Times New Roman" w:cs="Times New Roman" w:eastAsia="Times New Roman" w:hAnsi="Times New Roman"/>
          <w:sz w:val="21"/>
          <w:szCs w:val="21"/>
          <w:color w:val="auto"/>
        </w:rPr>
        <w:t>” shall mean (i) with respect to the Revolving Loans, the Revolving Facility Termination Date applicable to the related Revolving Commitments and (ii) with respect to the Term Loans, the Term Loan Termination Date.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 14</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 49</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Obligations</w:t>
      </w:r>
      <w:r>
        <w:rPr>
          <w:rFonts w:ascii="Times New Roman" w:cs="Times New Roman" w:eastAsia="Times New Roman" w:hAnsi="Times New Roman"/>
          <w:sz w:val="22"/>
          <w:szCs w:val="22"/>
          <w:color w:val="auto"/>
        </w:rPr>
        <w:t>” shall have the meaning provided in the definition of “</w:t>
      </w: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Revolving Commitment</w:t>
      </w:r>
      <w:r>
        <w:rPr>
          <w:rFonts w:ascii="Times New Roman" w:cs="Times New Roman" w:eastAsia="Times New Roman" w:hAnsi="Times New Roman"/>
          <w:sz w:val="22"/>
          <w:szCs w:val="22"/>
          <w:color w:val="auto"/>
        </w:rPr>
        <w:t>” shall mean, at any time, the sum of the Revolving Commitments at such time.</w:t>
      </w:r>
    </w:p>
    <w:p>
      <w:pPr>
        <w:spacing w:after="0" w:line="22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Revolving Extensions of Credit</w:t>
      </w:r>
      <w:r>
        <w:rPr>
          <w:rFonts w:ascii="Times New Roman" w:cs="Times New Roman" w:eastAsia="Times New Roman" w:hAnsi="Times New Roman"/>
          <w:sz w:val="22"/>
          <w:szCs w:val="22"/>
          <w:color w:val="auto"/>
        </w:rPr>
        <w:t>” shall mean, at any time, the aggregate amount of the Revolving Extensions of Credit of the Revolving Lenders outstanding at such time.</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jc w:val="both"/>
        <w:ind w:firstLine="1304"/>
        <w:spacing w:after="0" w:line="252" w:lineRule="auto"/>
        <w:tabs>
          <w:tab w:leader="none" w:pos="1835"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the Borrower and Guarantors of this Agreement and the other Loan Documents to which they may be a party, the creation of the Liens in the Collateral in favor of the Collateral Trustee for the benefit of the Secured Parties, the borrowing of Loans and the use of the proceeds thereof, and the request for and issuance of Letters of Credit hereunder;</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by the Borrower, Parent or their respective Affiliates of the Secured Notes;</w:t>
      </w:r>
    </w:p>
    <w:p>
      <w:pPr>
        <w:spacing w:after="0" w:line="22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of the Existing Notes (the “</w:t>
      </w:r>
      <w:r>
        <w:rPr>
          <w:rFonts w:ascii="Times New Roman" w:cs="Times New Roman" w:eastAsia="Times New Roman" w:hAnsi="Times New Roman"/>
          <w:sz w:val="22"/>
          <w:szCs w:val="22"/>
          <w:i w:val="1"/>
          <w:iCs w:val="1"/>
          <w:color w:val="auto"/>
        </w:rPr>
        <w:t>Refinancing</w:t>
      </w:r>
      <w:r>
        <w:rPr>
          <w:rFonts w:ascii="Times New Roman" w:cs="Times New Roman" w:eastAsia="Times New Roman" w:hAnsi="Times New Roman"/>
          <w:sz w:val="22"/>
          <w:szCs w:val="22"/>
          <w:color w:val="auto"/>
        </w:rPr>
        <w:t>”); and</w:t>
      </w:r>
    </w:p>
    <w:p>
      <w:pPr>
        <w:spacing w:after="0" w:line="223" w:lineRule="exact"/>
        <w:rPr>
          <w:rFonts w:ascii="Times New Roman" w:cs="Times New Roman" w:eastAsia="Times New Roman" w:hAnsi="Times New Roman"/>
          <w:sz w:val="22"/>
          <w:szCs w:val="22"/>
          <w:color w:val="auto"/>
        </w:rPr>
      </w:pPr>
    </w:p>
    <w:p>
      <w:pPr>
        <w:ind w:firstLine="1304"/>
        <w:spacing w:after="0" w:line="271" w:lineRule="auto"/>
        <w:tabs>
          <w:tab w:leader="none" w:pos="1847"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by the Borrower, Parent and their respective Affiliates of fees and expenses in connection with the transactions contemplated in clauses (1) through (3) above.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 Restriction</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Adjusted Term SOFR or the Alternate Base Rate and when used in reference to any Commitment, refers to whether such Commitment is a Revolving Commitment or a Term Loan Commitment.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shall mean the Uniform Commercial Code as in effect from time to time in any applicable jurisdiction.</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606" w:name="page607"/>
    <w:bookmarkEnd w:id="606"/>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includes certain credit institutions and investment firms, and certain affiliates of such credit institutions or investment firms.</w:t>
      </w:r>
    </w:p>
    <w:p>
      <w:pPr>
        <w:spacing w:after="0" w:line="21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6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shall mean the United States of America.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 Citizen</w:t>
      </w:r>
      <w:r>
        <w:rPr>
          <w:rFonts w:ascii="Times New Roman" w:cs="Times New Roman" w:eastAsia="Times New Roman" w:hAnsi="Times New Roman"/>
          <w:sz w:val="22"/>
          <w:szCs w:val="22"/>
          <w:color w:val="auto"/>
        </w:rPr>
        <w:t>” shall have the meaning set forth in Section 3.02.</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Unrestricted Subsidiary</w:t>
      </w:r>
      <w:r>
        <w:rPr>
          <w:rFonts w:ascii="Times New Roman" w:cs="Times New Roman" w:eastAsia="Times New Roman" w:hAnsi="Times New Roman"/>
          <w:sz w:val="22"/>
          <w:szCs w:val="22"/>
          <w:color w:val="auto"/>
        </w:rPr>
        <w:t>” shall mean any Subsidiary of Parent (other than the Borrower) that is designated by Parent as an Unrestricted Subsidiary in compliance with Section 5.05 or any Subsidiary of an Unrestricted Subsidiary, but only if such Subsidiary:</w:t>
      </w:r>
    </w:p>
    <w:p>
      <w:pPr>
        <w:spacing w:after="0" w:line="165" w:lineRule="exact"/>
        <w:rPr>
          <w:sz w:val="20"/>
          <w:szCs w:val="20"/>
          <w:color w:val="auto"/>
        </w:rPr>
      </w:pPr>
    </w:p>
    <w:p>
      <w:pPr>
        <w:ind w:left="1780" w:hanging="476"/>
        <w:spacing w:after="0"/>
        <w:tabs>
          <w:tab w:leader="none" w:pos="1780"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 Indebtedness other than Non-Recourse Debt;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30"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1"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801"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guaranteed or otherwise directly or indirectly provided credit support for any Indebtedness of Parent or any of its Restricted Subsidiaries; and</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own any assets or properties that constitute Collateral.</w:t>
      </w:r>
    </w:p>
    <w:p>
      <w:pPr>
        <w:spacing w:after="0" w:line="216"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Unused Total Revolving Commitment</w:t>
      </w:r>
      <w:r>
        <w:rPr>
          <w:rFonts w:ascii="Times New Roman" w:cs="Times New Roman" w:eastAsia="Times New Roman" w:hAnsi="Times New Roman"/>
          <w:sz w:val="22"/>
          <w:szCs w:val="22"/>
          <w:color w:val="auto"/>
        </w:rPr>
        <w:t>” shall mean, at any time, (a) the Total Revolving Commitment less (b) the Total Revolving Extensions of Credit.</w:t>
      </w:r>
    </w:p>
    <w:p>
      <w:pPr>
        <w:spacing w:after="0" w:line="149" w:lineRule="exact"/>
        <w:rPr>
          <w:sz w:val="20"/>
          <w:szCs w:val="20"/>
          <w:color w:val="auto"/>
        </w:rPr>
      </w:pPr>
    </w:p>
    <w:p>
      <w:pPr>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w:t>
      </w:r>
      <w:r>
        <w:rPr>
          <w:rFonts w:ascii="Times New Roman" w:cs="Times New Roman" w:eastAsia="Times New Roman" w:hAnsi="Times New Roman"/>
          <w:sz w:val="22"/>
          <w:szCs w:val="22"/>
          <w:color w:val="auto"/>
        </w:rPr>
        <w:t>” shall mean US Airways, Inc., a Delaware corporation, which merged with and into the Borrower with the Borrower as the surviving entity.</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Closing Date</w:t>
      </w:r>
      <w:r>
        <w:rPr>
          <w:rFonts w:ascii="Times New Roman" w:cs="Times New Roman" w:eastAsia="Times New Roman" w:hAnsi="Times New Roman"/>
          <w:sz w:val="22"/>
          <w:szCs w:val="22"/>
          <w:color w:val="auto"/>
        </w:rPr>
        <w:t>” shall mean May 24, 2013.</w:t>
      </w:r>
    </w:p>
    <w:p>
      <w:pPr>
        <w:spacing w:after="0" w:line="220" w:lineRule="exact"/>
        <w:rPr>
          <w:sz w:val="20"/>
          <w:szCs w:val="20"/>
          <w:color w:val="auto"/>
        </w:rPr>
      </w:pPr>
    </w:p>
    <w:p>
      <w:pPr>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Indenture</w:t>
      </w:r>
      <w:r>
        <w:rPr>
          <w:rFonts w:ascii="Times New Roman" w:cs="Times New Roman" w:eastAsia="Times New Roman" w:hAnsi="Times New Roman"/>
          <w:sz w:val="22"/>
          <w:szCs w:val="22"/>
          <w:color w:val="auto"/>
        </w:rPr>
        <w:t>” shall mean the Indenture, dated as of May 24, 2013, between US Airways and Wilmington Trust, National Association, as trustee, as amended or supplemented from time to time.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607" w:name="page608"/>
    <w:bookmarkEnd w:id="607"/>
    <w:p>
      <w:pPr>
        <w:spacing w:after="0" w:line="19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Use or Lose Rule</w:t>
      </w:r>
      <w:r>
        <w:rPr>
          <w:rFonts w:ascii="Times New Roman" w:cs="Times New Roman" w:eastAsia="Times New Roman" w:hAnsi="Times New Roman"/>
          <w:sz w:val="22"/>
          <w:szCs w:val="22"/>
          <w:color w:val="auto"/>
        </w:rPr>
        <w:t>” shall mean with respect to Slots, any applicable utilization requirements issued by the FAA, other Governmental Authorities, any Foreign Aviation Authorities or any Airport Authorities.</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Stock</w:t>
      </w:r>
      <w:r>
        <w:rPr>
          <w:rFonts w:ascii="Times New Roman" w:cs="Times New Roman" w:eastAsia="Times New Roman" w:hAnsi="Times New Roman"/>
          <w:sz w:val="22"/>
          <w:szCs w:val="22"/>
          <w:color w:val="auto"/>
        </w:rPr>
        <w:t>” of any specified Person as of any date shall mean the Capital Stock of such Person that is at the time entitled to vote in the election of the Board of Directors of such Person.</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Weighted Average Life to Maturity</w:t>
      </w:r>
      <w:r>
        <w:rPr>
          <w:rFonts w:ascii="Times New Roman" w:cs="Times New Roman" w:eastAsia="Times New Roman" w:hAnsi="Times New Roman"/>
          <w:sz w:val="22"/>
          <w:szCs w:val="22"/>
          <w:color w:val="auto"/>
        </w:rPr>
        <w:t>” shall mean, when applied to any Indebtedness at any date, the number of years obtained by dividing:</w:t>
      </w:r>
    </w:p>
    <w:p>
      <w:pPr>
        <w:spacing w:after="0" w:line="141" w:lineRule="exact"/>
        <w:rPr>
          <w:sz w:val="20"/>
          <w:szCs w:val="20"/>
          <w:color w:val="auto"/>
        </w:rPr>
      </w:pPr>
    </w:p>
    <w:p>
      <w:pPr>
        <w:jc w:val="both"/>
        <w:ind w:left="660" w:firstLine="644"/>
        <w:spacing w:after="0" w:line="252" w:lineRule="auto"/>
        <w:tabs>
          <w:tab w:leader="none" w:pos="1800" w:val="left"/>
        </w:tabs>
        <w:numPr>
          <w:ilvl w:val="0"/>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outstanding principal amount of such Indebtedness.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Withholding Agent</w:t>
      </w:r>
      <w:r>
        <w:rPr>
          <w:rFonts w:ascii="Times New Roman" w:cs="Times New Roman" w:eastAsia="Times New Roman" w:hAnsi="Times New Roman"/>
          <w:sz w:val="22"/>
          <w:szCs w:val="22"/>
          <w:color w:val="auto"/>
        </w:rPr>
        <w:t>” shall mean any of the Borrower, a Guarantor and the Administrative Agent.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Working Capital</w:t>
      </w:r>
      <w:r>
        <w:rPr>
          <w:rFonts w:ascii="Times New Roman" w:cs="Times New Roman" w:eastAsia="Times New Roman" w:hAnsi="Times New Roman"/>
          <w:sz w:val="22"/>
          <w:szCs w:val="22"/>
          <w:color w:val="auto"/>
        </w:rPr>
        <w:t>”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w:t>
      </w:r>
    </w:p>
    <w:p>
      <w:pPr>
        <w:spacing w:after="0" w:line="16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Yield Differential</w:t>
      </w:r>
      <w:r>
        <w:rPr>
          <w:rFonts w:ascii="Times New Roman" w:cs="Times New Roman" w:eastAsia="Times New Roman" w:hAnsi="Times New Roman"/>
          <w:sz w:val="22"/>
          <w:szCs w:val="22"/>
          <w:color w:val="auto"/>
        </w:rPr>
        <w:t>” shall have the meaning set forth in Section 2.27(c)(iv).</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608" w:name="page609"/>
    <w:bookmarkEnd w:id="608"/>
    <w:p>
      <w:pPr>
        <w:spacing w:after="0" w:line="19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w:t>
      </w:r>
    </w:p>
    <w:p>
      <w:pPr>
        <w:spacing w:after="0" w:line="7" w:lineRule="exact"/>
        <w:rPr>
          <w:sz w:val="20"/>
          <w:szCs w:val="20"/>
          <w:color w:val="auto"/>
        </w:rPr>
      </w:pPr>
    </w:p>
    <w:p>
      <w:pPr>
        <w:jc w:val="both"/>
        <w:ind w:firstLine="8"/>
        <w:spacing w:after="0" w:line="248" w:lineRule="auto"/>
        <w:tabs>
          <w:tab w:leader="none" w:pos="295" w:val="left"/>
        </w:tabs>
        <w:numPr>
          <w:ilvl w:val="0"/>
          <w:numId w:val="6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w:t>
      </w: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knowledge” or “aware” or words of similar import shall mean, when used in reference to the Borrower or the Guarantors, the actual knowledge of any Responsible Officer of the Borrower or such Guarantors, as applicable.</w:t>
      </w:r>
    </w:p>
    <w:p>
      <w:pPr>
        <w:spacing w:after="0" w:line="18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Except as otherwise expressly provided herein, all terms of an accounting or financial nature shall be construed in accordance with GAAP, as in effect from time to time; provided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w:t>
      </w:r>
    </w:p>
    <w:p>
      <w:pPr>
        <w:spacing w:after="0" w:line="18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609" w:name="page610"/>
    <w:bookmarkEnd w:id="609"/>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ind w:left="1300" w:right="3920" w:firstLine="2616"/>
        <w:spacing w:after="0" w:line="474" w:lineRule="auto"/>
        <w:rPr>
          <w:sz w:val="20"/>
          <w:szCs w:val="20"/>
          <w:color w:val="auto"/>
        </w:rPr>
      </w:pPr>
      <w:r>
        <w:rPr>
          <w:rFonts w:ascii="Times New Roman" w:cs="Times New Roman" w:eastAsia="Times New Roman" w:hAnsi="Times New Roman"/>
          <w:sz w:val="21"/>
          <w:szCs w:val="21"/>
          <w:color w:val="auto"/>
        </w:rPr>
        <w:t xml:space="preserve">AMOUNT AND TERMS OF CREDIT SECTION 2.01. </w:t>
      </w:r>
      <w:r>
        <w:rPr>
          <w:rFonts w:ascii="Times New Roman" w:cs="Times New Roman" w:eastAsia="Times New Roman" w:hAnsi="Times New Roman"/>
          <w:sz w:val="21"/>
          <w:szCs w:val="21"/>
          <w:u w:val="single" w:color="auto"/>
          <w:color w:val="auto"/>
        </w:rPr>
        <w:t>Commitments of the Lenders; Term Loans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left="1760" w:hanging="456"/>
        <w:spacing w:after="0"/>
        <w:tabs>
          <w:tab w:leader="none" w:pos="1760" w:val="left"/>
        </w:tabs>
        <w:numPr>
          <w:ilvl w:val="0"/>
          <w:numId w:val="6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Commitments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0" w:lineRule="auto"/>
        <w:tabs>
          <w:tab w:leader="none" w:pos="1770"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Lender severally, and not jointly with the other Revolving Lenders, agrees, upon the terms and subject to the conditions herein set forth, to make revolving credit loans denominated in Dollars (each a “</w:t>
      </w:r>
      <w:r>
        <w:rPr>
          <w:rFonts w:ascii="Times New Roman" w:cs="Times New Roman" w:eastAsia="Times New Roman" w:hAnsi="Times New Roman"/>
          <w:sz w:val="22"/>
          <w:szCs w:val="22"/>
          <w:i w:val="1"/>
          <w:iCs w:val="1"/>
          <w:color w:val="auto"/>
        </w:rPr>
        <w:t>Revolving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6"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of a Revolving Loan shall be made from the Revolving Lenders pro rata in accordance with their respective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Revolving Lender to make any Revolving Loan shall not in itself relieve the other Revolving Lenders of their obligations to lend.</w:t>
      </w:r>
    </w:p>
    <w:p>
      <w:pPr>
        <w:spacing w:after="0" w:line="182" w:lineRule="exact"/>
        <w:rPr>
          <w:sz w:val="20"/>
          <w:szCs w:val="20"/>
          <w:color w:val="auto"/>
        </w:rPr>
      </w:pPr>
    </w:p>
    <w:p>
      <w:pPr>
        <w:jc w:val="both"/>
        <w:ind w:firstLine="1304"/>
        <w:spacing w:after="0" w:line="259" w:lineRule="auto"/>
        <w:tabs>
          <w:tab w:leader="none" w:pos="1791"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Loan Commitments. </w:t>
      </w:r>
      <w:r>
        <w:rPr>
          <w:rFonts w:ascii="Times New Roman" w:cs="Times New Roman" w:eastAsia="Times New Roman" w:hAnsi="Times New Roman"/>
          <w:sz w:val="22"/>
          <w:szCs w:val="22"/>
          <w:color w:val="auto"/>
        </w:rPr>
        <w:t>On the Closing Date, each Term Lender agrees to make to the Borrower the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denominated in Dollars in an aggregate principal amount equal to such Term Lender’s Term Loan Commitment as of the Closing Date in accordance with the terms and conditions of this Agreement.</w:t>
      </w:r>
    </w:p>
    <w:p>
      <w:pPr>
        <w:spacing w:after="0" w:line="166" w:lineRule="exact"/>
        <w:rPr>
          <w:rFonts w:ascii="Times New Roman" w:cs="Times New Roman" w:eastAsia="Times New Roman" w:hAnsi="Times New Roman"/>
          <w:sz w:val="22"/>
          <w:szCs w:val="22"/>
          <w:color w:val="auto"/>
        </w:rPr>
      </w:pPr>
    </w:p>
    <w:p>
      <w:pPr>
        <w:jc w:val="both"/>
        <w:ind w:firstLine="1304"/>
        <w:spacing w:after="0" w:line="254" w:lineRule="auto"/>
        <w:tabs>
          <w:tab w:leader="none" w:pos="1779"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Type of Borrowing</w:t>
      </w:r>
      <w:r>
        <w:rPr>
          <w:rFonts w:ascii="Times New Roman" w:cs="Times New Roman" w:eastAsia="Times New Roman" w:hAnsi="Times New Roman"/>
          <w:sz w:val="22"/>
          <w:szCs w:val="22"/>
          <w:color w:val="auto"/>
        </w:rPr>
        <w:t>. Each Borrowing shall be comprised entirely of ABR Loans or Term SOFR Loans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may request in accordance herewith. Each Lender at its option may make any Term SOFR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 There may be multiple Borrowings incurred, converted or continued on the same day.</w:t>
      </w:r>
    </w:p>
    <w:p>
      <w:pPr>
        <w:spacing w:after="0" w:line="17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18"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Amount of Borrowing</w:t>
      </w:r>
      <w:r>
        <w:rPr>
          <w:rFonts w:ascii="Times New Roman" w:cs="Times New Roman" w:eastAsia="Times New Roman" w:hAnsi="Times New Roman"/>
          <w:sz w:val="22"/>
          <w:szCs w:val="22"/>
          <w:color w:val="auto"/>
        </w:rPr>
        <w:t>. At the commencement of each Interest Period for any Term SOFR Borrowing,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ABR Borrowing may be in an aggregate amount that is equal to the entire Unused Total Revolving Commitment or that is required to finance the reimbursement of an LC Disbursement as contemplated by Section 2.02(e). Borrowings of more than one Type may be outstanding at the same time.</w:t>
      </w:r>
    </w:p>
    <w:p>
      <w:pPr>
        <w:spacing w:after="0" w:line="174" w:lineRule="exact"/>
        <w:rPr>
          <w:rFonts w:ascii="Times New Roman" w:cs="Times New Roman" w:eastAsia="Times New Roman" w:hAnsi="Times New Roman"/>
          <w:sz w:val="22"/>
          <w:szCs w:val="22"/>
          <w:color w:val="auto"/>
        </w:rPr>
      </w:pPr>
    </w:p>
    <w:p>
      <w:pPr>
        <w:ind w:firstLine="1304"/>
        <w:spacing w:after="0" w:line="275" w:lineRule="auto"/>
        <w:tabs>
          <w:tab w:leader="none" w:pos="1752"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Interest Period</w:t>
      </w:r>
      <w:r>
        <w:rPr>
          <w:rFonts w:ascii="Times New Roman" w:cs="Times New Roman" w:eastAsia="Times New Roman" w:hAnsi="Times New Roman"/>
          <w:sz w:val="22"/>
          <w:szCs w:val="22"/>
          <w:color w:val="auto"/>
        </w:rPr>
        <w:t>. Notwithstanding any other provision of this Agreement, the Borrower shall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entitled to request, or to elect to convert or continue, (i) any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610" w:name="page611"/>
    <w:bookmarkEnd w:id="610"/>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49" w:lineRule="auto"/>
        <w:tabs>
          <w:tab w:leader="none" w:pos="1765" w:val="left"/>
        </w:tabs>
        <w:numPr>
          <w:ilvl w:val="0"/>
          <w:numId w:val="6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Subject to the terms and conditions set forth herein, the Borrower may request the issuance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and (subject to the representation in the second sentence of clause (b) below being true and correct) each Issuing Lender agrees to issue Letters of Credit in Dollars upon request of the Borrower at any time and from time to time from the first day of the Revolver Availability Period to but excluding the date that is five (5) Business Days prior to the Revolving Facility Maturity Date, for the Borrower’s own account or the account of any other Subsidiary of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Issuing Lender shall issue (or amend, renew or extend) any Letter of Credit if, after giving effect to such issuance (or amendment, renewal or extension), (i) the LC Exposure in respect of Letters of Credit issued by it would exceed its LC Commitment or (ii) the aggregate amount of the Unused Total Revolving Commitment would be less than zero.</w:t>
      </w:r>
    </w:p>
    <w:p>
      <w:pPr>
        <w:spacing w:after="0" w:line="181"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04" w:val="left"/>
        </w:tabs>
        <w:numPr>
          <w:ilvl w:val="0"/>
          <w:numId w:val="6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of Issuance, Amendment, Renewal, Extension. </w:t>
      </w:r>
      <w:r>
        <w:rPr>
          <w:rFonts w:ascii="Times New Roman" w:cs="Times New Roman" w:eastAsia="Times New Roman" w:hAnsi="Times New Roman"/>
          <w:sz w:val="21"/>
          <w:szCs w:val="21"/>
          <w:color w:val="auto"/>
        </w:rPr>
        <w:t>The Borrower may request the issuance of a Letter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Credit (or the amendment, renewal or extension of an outstanding Letter of Credit) by delivering (i) telephonic notice promptly followed by written Letter of Credit Request or (ii) hand deliver or telecopy (or transmit by electronic communication, if arrangements for doing so have been approved by the applicable Issuing Lender (which approval shall not be unreasonably withheld, delayed or conditioned)) to the applicable Issuing Lender and the Administrative Agent (at least two (2) 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 ), (2) the date on which such Letter of Credit is to expire (which shall comply with paragraph (c) of this Section 2.02), (3) the amount of such Letter of Credit, (4) 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 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611" w:name="page612"/>
    <w:bookmarkEnd w:id="611"/>
    <w:p>
      <w:pPr>
        <w:spacing w:after="0" w:line="195" w:lineRule="exact"/>
        <w:rPr>
          <w:sz w:val="20"/>
          <w:szCs w:val="20"/>
          <w:color w:val="auto"/>
        </w:rPr>
      </w:pPr>
    </w:p>
    <w:p>
      <w:pPr>
        <w:jc w:val="both"/>
        <w:ind w:firstLine="1304"/>
        <w:spacing w:after="0" w:line="264" w:lineRule="auto"/>
        <w:tabs>
          <w:tab w:leader="none" w:pos="1765" w:val="left"/>
        </w:tabs>
        <w:numPr>
          <w:ilvl w:val="1"/>
          <w:numId w:val="6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Expiration Date</w:t>
      </w:r>
      <w:r>
        <w:rPr>
          <w:rFonts w:ascii="Times New Roman" w:cs="Times New Roman" w:eastAsia="Times New Roman" w:hAnsi="Times New Roman"/>
          <w:sz w:val="21"/>
          <w:szCs w:val="21"/>
          <w:color w:val="auto"/>
        </w:rPr>
        <w:t>. Each Letter of Credit shall expire at or prior to the close of business on the earlier of (i)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date that is (x) one year after the date of the issuance of such Letter of Credit (or, in the case of any renewal or extension thereof, one year after such renewal or extension) or (y) such later date as may be agreed by the Borrower and the Issuing Lender, and</w:t>
      </w:r>
    </w:p>
    <w:p>
      <w:pPr>
        <w:spacing w:after="0" w:line="2" w:lineRule="exact"/>
        <w:rPr>
          <w:rFonts w:ascii="Times New Roman" w:cs="Times New Roman" w:eastAsia="Times New Roman" w:hAnsi="Times New Roman"/>
          <w:sz w:val="21"/>
          <w:szCs w:val="21"/>
          <w:color w:val="auto"/>
        </w:rPr>
      </w:pPr>
    </w:p>
    <w:p>
      <w:pPr>
        <w:jc w:val="both"/>
        <w:ind w:firstLine="8"/>
        <w:spacing w:after="0" w:line="248" w:lineRule="auto"/>
        <w:tabs>
          <w:tab w:leader="none" w:pos="325"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five (5) Business Days prior to the Revolving Facility Maturity Date with respect to the applicable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clause (ii)).</w:t>
      </w:r>
    </w:p>
    <w:p>
      <w:pPr>
        <w:spacing w:after="0" w:line="17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4" w:val="left"/>
        </w:tabs>
        <w:numPr>
          <w:ilvl w:val="1"/>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By the issuance of a Letter of Credit (or an amendment, renewal or extension of a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including any amendment 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reimbursement payment required to be refunded to the Borrower 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w:t>
      </w:r>
    </w:p>
    <w:p>
      <w:pPr>
        <w:spacing w:after="0" w:line="18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0" w:lineRule="auto"/>
        <w:tabs>
          <w:tab w:leader="none" w:pos="1797"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Issuing Lender shall make any LC Disbursement in respect of a Letter of Credit, the Borrower shall reimburse such LC Disbursement (whether or not such Letter of Credit was issued for the Borrower’s own account or in its name for the account or name of any other Subsidiary of Parent) by paying to the Administrative Agent an amount equal to the amount of such LC Disbursement not later than the first Business Day following the date the Borrower receives notice from the Issuing Lender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LC Disbursement, to the extent not reimbursed and, subject to the satisfaction (or waiver) of the conditions to borrowing set forth herein, including, without limitation, making a 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809"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make any payment due under the preceding paragraph (i) with respect to a Letter of Credit when due (including by a Borrowing), the Administrative Agent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612" w:name="page613"/>
    <w:bookmarkEnd w:id="612"/>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to Revolving Loans made by such Revolving Lender (and Section 2.04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w:t>
      </w:r>
    </w:p>
    <w:p>
      <w:pPr>
        <w:spacing w:after="0" w:line="189" w:lineRule="exact"/>
        <w:rPr>
          <w:sz w:val="20"/>
          <w:szCs w:val="20"/>
          <w:color w:val="auto"/>
        </w:rPr>
      </w:pPr>
    </w:p>
    <w:p>
      <w:pPr>
        <w:jc w:val="both"/>
        <w:ind w:firstLine="1304"/>
        <w:spacing w:after="0" w:line="247" w:lineRule="auto"/>
        <w:tabs>
          <w:tab w:leader="none" w:pos="2038" w:val="left"/>
        </w:tabs>
        <w:numPr>
          <w:ilvl w:val="0"/>
          <w:numId w:val="6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Absolute</w:t>
      </w:r>
      <w:r>
        <w:rPr>
          <w:rFonts w:ascii="Times New Roman" w:cs="Times New Roman" w:eastAsia="Times New Roman" w:hAnsi="Times New Roman"/>
          <w:sz w:val="22"/>
          <w:szCs w:val="22"/>
          <w:color w:val="auto"/>
        </w:rPr>
        <w:t>. The Borrower’s obligation to reimburse LC Disbursements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2.02(e)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 waived by the Borrower to the extent 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 terms and conditions of such Letter of Credit (as finally determined by a court of competent jurisdiction). The parties hereto expressly agree that, in the absence of gross negligence, bad faith 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613" w:name="page614"/>
    <w:bookmarkEnd w:id="613"/>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6" w:lineRule="exact"/>
        <w:rPr>
          <w:sz w:val="20"/>
          <w:szCs w:val="20"/>
          <w:color w:val="auto"/>
        </w:rPr>
      </w:pPr>
    </w:p>
    <w:p>
      <w:pPr>
        <w:jc w:val="both"/>
        <w:ind w:firstLine="1304"/>
        <w:spacing w:after="0" w:line="250" w:lineRule="auto"/>
        <w:tabs>
          <w:tab w:leader="none" w:pos="1926" w:val="left"/>
        </w:tabs>
        <w:numPr>
          <w:ilvl w:val="0"/>
          <w:numId w:val="6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Disbursement Procedures</w:t>
      </w:r>
      <w:r>
        <w:rPr>
          <w:rFonts w:ascii="Times New Roman" w:cs="Times New Roman" w:eastAsia="Times New Roman" w:hAnsi="Times New Roman"/>
          <w:sz w:val="22"/>
          <w:szCs w:val="22"/>
          <w:color w:val="auto"/>
        </w:rPr>
        <w:t>. The applicable Issuing Lender shall, promptly following its receipt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examine all documents purporting to represent a demand for payment under a Letter of Credit. The applicable Issuing Lender shall promptly notify the Administrative Agent and the Borrower by telephone (confirmed by telecopy) of such demand for payment, whether the applicable Issuing Lender has made or will make an LC Disbursement thereunder and the amount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the applicable Issuing Lender and the Revolving Lenders with respect to any such LC Disbursement in accordance with the terms herein.</w:t>
      </w:r>
    </w:p>
    <w:p>
      <w:pPr>
        <w:spacing w:after="0" w:line="19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4" w:val="left"/>
        </w:tabs>
        <w:numPr>
          <w:ilvl w:val="0"/>
          <w:numId w:val="6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Interim Interest</w:t>
      </w:r>
      <w:r>
        <w:rPr>
          <w:rFonts w:ascii="Times New Roman" w:cs="Times New Roman" w:eastAsia="Times New Roman" w:hAnsi="Times New Roman"/>
          <w:sz w:val="22"/>
          <w:szCs w:val="22"/>
          <w:color w:val="auto"/>
        </w:rPr>
        <w:t>. If the applicable Issuing Lender shall make any LC Disbursement, then, unless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w:t>
      </w:r>
    </w:p>
    <w:p>
      <w:pPr>
        <w:spacing w:after="0" w:line="18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0" w:val="left"/>
        </w:tabs>
        <w:numPr>
          <w:ilvl w:val="0"/>
          <w:numId w:val="6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Replacement of the Issuing Lender</w:t>
      </w:r>
      <w:r>
        <w:rPr>
          <w:rFonts w:ascii="Times New Roman" w:cs="Times New Roman" w:eastAsia="Times New Roman" w:hAnsi="Times New Roman"/>
          <w:sz w:val="22"/>
          <w:szCs w:val="22"/>
          <w:color w:val="auto"/>
        </w:rPr>
        <w:t>. Any Issuing Lender may be replaced at any time by written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the Borrower, the Administrative Agent, 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614" w:name="page615"/>
    <w:bookmarkEnd w:id="614"/>
    <w:p>
      <w:pPr>
        <w:spacing w:after="0" w:line="195" w:lineRule="exact"/>
        <w:rPr>
          <w:sz w:val="20"/>
          <w:szCs w:val="20"/>
          <w:color w:val="auto"/>
        </w:rPr>
      </w:pPr>
    </w:p>
    <w:p>
      <w:pPr>
        <w:jc w:val="both"/>
        <w:ind w:firstLine="1304"/>
        <w:spacing w:after="0" w:line="248" w:lineRule="auto"/>
        <w:tabs>
          <w:tab w:leader="none" w:pos="1878" w:val="left"/>
        </w:tabs>
        <w:numPr>
          <w:ilvl w:val="1"/>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Replacement of Letters of Credit; Cash Collateralization</w:t>
      </w:r>
      <w:r>
        <w:rPr>
          <w:rFonts w:ascii="Times New Roman" w:cs="Times New Roman" w:eastAsia="Times New Roman" w:hAnsi="Times New Roman"/>
          <w:sz w:val="22"/>
          <w:szCs w:val="22"/>
          <w:color w:val="auto"/>
        </w:rPr>
        <w:t>. The Borrower shall (i) upon or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Maturity Date with respect to all Revolving Commitments and (B) the acceleration of the Revolving Loans (if any) and the termination of the Revolving Commitments in accordance with the terms hereof (the “</w:t>
      </w:r>
      <w:r>
        <w:rPr>
          <w:rFonts w:ascii="Times New Roman" w:cs="Times New Roman" w:eastAsia="Times New Roman" w:hAnsi="Times New Roman"/>
          <w:sz w:val="22"/>
          <w:szCs w:val="22"/>
          <w:i w:val="1"/>
          <w:iCs w:val="1"/>
          <w:color w:val="auto"/>
        </w:rPr>
        <w:t>Outstanding Letters of Credit</w:t>
      </w:r>
      <w:r>
        <w:rPr>
          <w:rFonts w:ascii="Times New Roman" w:cs="Times New Roman" w:eastAsia="Times New Roman" w:hAnsi="Times New Roman"/>
          <w:sz w:val="22"/>
          <w:szCs w:val="22"/>
          <w:color w:val="auto"/>
        </w:rPr>
        <w:t>”) to be returned to the applicable Issuing Lender undrawn and marked “cancelled” or (y) if the Borrower does not do so in whole or in part either</w:t>
      </w:r>
    </w:p>
    <w:p>
      <w:pPr>
        <w:spacing w:after="0" w:line="7" w:lineRule="exact"/>
        <w:rPr>
          <w:rFonts w:ascii="Times New Roman" w:cs="Times New Roman" w:eastAsia="Times New Roman" w:hAnsi="Times New Roman"/>
          <w:sz w:val="22"/>
          <w:szCs w:val="22"/>
          <w:color w:val="auto"/>
        </w:rPr>
      </w:pPr>
    </w:p>
    <w:p>
      <w:pPr>
        <w:jc w:val="both"/>
        <w:ind w:firstLine="8"/>
        <w:spacing w:after="0" w:line="246" w:lineRule="auto"/>
        <w:tabs>
          <w:tab w:leader="none" w:pos="363" w:val="left"/>
        </w:tabs>
        <w:numPr>
          <w:ilvl w:val="0"/>
          <w:numId w:val="6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 (A) or (B) above), and (ii) if required pursuant to Section 2.02(l), 2.12(c), 2.12(d), 2.12(e), 2.12(g), 2.26(d)(ii), 2.26(e)(ii), 2.26(f) or 7.01 or pursuant to any 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(it being understood that any LC Exposure shall be deemed to be “</w:t>
      </w:r>
      <w:r>
        <w:rPr>
          <w:rFonts w:ascii="Times New Roman" w:cs="Times New Roman" w:eastAsia="Times New Roman" w:hAnsi="Times New Roman"/>
          <w:sz w:val="22"/>
          <w:szCs w:val="22"/>
          <w:i w:val="1"/>
          <w:iCs w:val="1"/>
          <w:color w:val="auto"/>
        </w:rPr>
        <w:t>Cash Collateralized</w:t>
      </w:r>
      <w:r>
        <w:rPr>
          <w:rFonts w:ascii="Times New Roman" w:cs="Times New Roman" w:eastAsia="Times New Roman" w:hAnsi="Times New Roman"/>
          <w:sz w:val="22"/>
          <w:szCs w:val="22"/>
          <w:color w:val="auto"/>
        </w:rPr>
        <w:t>” 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w:t>
      </w:r>
    </w:p>
    <w:p>
      <w:pPr>
        <w:spacing w:after="0" w:line="179" w:lineRule="exact"/>
        <w:rPr>
          <w:rFonts w:ascii="Times New Roman" w:cs="Times New Roman" w:eastAsia="Times New Roman" w:hAnsi="Times New Roman"/>
          <w:sz w:val="22"/>
          <w:szCs w:val="22"/>
          <w:color w:val="auto"/>
        </w:rPr>
      </w:pPr>
    </w:p>
    <w:p>
      <w:pPr>
        <w:ind w:firstLine="1304"/>
        <w:spacing w:after="0" w:line="287" w:lineRule="auto"/>
        <w:tabs>
          <w:tab w:leader="none" w:pos="1831" w:val="left"/>
        </w:tabs>
        <w:numPr>
          <w:ilvl w:val="1"/>
          <w:numId w:val="6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Issuing Lender Agreements</w:t>
      </w:r>
      <w:r>
        <w:rPr>
          <w:rFonts w:ascii="Times New Roman" w:cs="Times New Roman" w:eastAsia="Times New Roman" w:hAnsi="Times New Roman"/>
          <w:sz w:val="22"/>
          <w:szCs w:val="22"/>
          <w:color w:val="auto"/>
        </w:rPr>
        <w:t>. Unless otherwise requested by the Administrative Agent, each Issuing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report in writing to the Administrative Agent (i) on the first Business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615" w:name="page616"/>
    <w:bookmarkEnd w:id="615"/>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w:t>
      </w:r>
    </w:p>
    <w:p>
      <w:pPr>
        <w:spacing w:after="0" w:line="180" w:lineRule="exact"/>
        <w:rPr>
          <w:sz w:val="20"/>
          <w:szCs w:val="20"/>
          <w:color w:val="auto"/>
        </w:rPr>
      </w:pPr>
    </w:p>
    <w:p>
      <w:pPr>
        <w:jc w:val="both"/>
        <w:ind w:firstLine="1304"/>
        <w:spacing w:after="0" w:line="261" w:lineRule="auto"/>
        <w:tabs>
          <w:tab w:leader="none" w:pos="1716" w:val="left"/>
        </w:tabs>
        <w:numPr>
          <w:ilvl w:val="0"/>
          <w:numId w:val="6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Provisions Related to Extended Revolving Commitments</w:t>
      </w:r>
      <w:r>
        <w:rPr>
          <w:rFonts w:ascii="Times New Roman" w:cs="Times New Roman" w:eastAsia="Times New Roman" w:hAnsi="Times New Roman"/>
          <w:sz w:val="21"/>
          <w:szCs w:val="21"/>
          <w:color w:val="auto"/>
        </w:rPr>
        <w:t>. If the Revolving Facility Maturity Date in respect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tranche of Revolving Commitments occurs prior to the expiration of any Letter of Credit with respect to which Lenders holding such Revolving Commitments hold participation interests, then (i) if one or more other tranches of Revolving Commitments in respect of which the Revolving Facility Maturity Date shall not have occurred 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w:t>
      </w:r>
    </w:p>
    <w:p>
      <w:pPr>
        <w:spacing w:after="0" w:line="17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Requests for Loans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56" w:lineRule="auto"/>
        <w:tabs>
          <w:tab w:leader="none" w:pos="1833" w:val="left"/>
        </w:tabs>
        <w:numPr>
          <w:ilvl w:val="1"/>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Unless otherwise agreed to by the Administrative Agent in connection with making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initial Revolving Loans, to request a Revolving Loan, the Borrower shall notify the Administrative Agent of such request by</w:t>
      </w:r>
    </w:p>
    <w:p>
      <w:pPr>
        <w:spacing w:after="0" w:line="1" w:lineRule="exact"/>
        <w:rPr>
          <w:rFonts w:ascii="Times New Roman" w:cs="Times New Roman" w:eastAsia="Times New Roman" w:hAnsi="Times New Roman"/>
          <w:sz w:val="22"/>
          <w:szCs w:val="22"/>
          <w:color w:val="auto"/>
        </w:rPr>
      </w:pPr>
    </w:p>
    <w:p>
      <w:pPr>
        <w:jc w:val="both"/>
        <w:ind w:firstLine="8"/>
        <w:spacing w:after="0" w:line="247" w:lineRule="auto"/>
        <w:tabs>
          <w:tab w:leader="none" w:pos="271"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telephone or (ii) by hand delivery, by electronic mail or by facsimile delivery of a written Loan Request (A) in the case of a Term SOFR Loan, not later than 11:00 a.m., New York City time, three (3) Business Days before proposed Borrowing Date (or such later time as the Administrative Agent shall reasonably agree) and (B) in the case of an ABR Loan, not later than 11:00 a.m., New York City time, on the proposed Borrowing Date (or such later time as the Administrative Agent shall reasonably agree). Each such telephonic Revolving Loan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616" w:name="page617"/>
    <w:bookmarkEnd w:id="616"/>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request shall be irrevocable and shall be confirmed promptly by hand delivery, electronic mail or telecopy to the Administrative Agent of a written Loan Request signed by the Borrower. Each such telephonic Revolving Loan request and written Loan Request shall specify the following information in compliance with Section 2.01:</w:t>
      </w:r>
    </w:p>
    <w:p>
      <w:pPr>
        <w:spacing w:after="0" w:line="186" w:lineRule="exact"/>
        <w:rPr>
          <w:sz w:val="20"/>
          <w:szCs w:val="20"/>
          <w:color w:val="auto"/>
        </w:rPr>
      </w:pPr>
    </w:p>
    <w:p>
      <w:pPr>
        <w:ind w:left="1720" w:hanging="416"/>
        <w:spacing w:after="0"/>
        <w:tabs>
          <w:tab w:leader="none" w:pos="1720"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Revolving Loan (which shall comply with Section 2.01(d));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of such Revolving Loan, which shall be a Business Day;</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Revolving Loan is to be an ABR Loan or a Term SOFR Loan; and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7"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Loan, the initial Interest Period to be applicable thereto, which shall be a period contemplated by the definition of the term “Interest Period.”</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no election as to the Type of Revolving Loan is specified, then the requested Revolving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w:t>
      </w:r>
    </w:p>
    <w:p>
      <w:pPr>
        <w:spacing w:after="0" w:line="177" w:lineRule="exact"/>
        <w:rPr>
          <w:sz w:val="20"/>
          <w:szCs w:val="20"/>
          <w:color w:val="auto"/>
        </w:rPr>
      </w:pPr>
    </w:p>
    <w:p>
      <w:pPr>
        <w:jc w:val="both"/>
        <w:ind w:firstLine="1304"/>
        <w:spacing w:after="0" w:line="251" w:lineRule="auto"/>
        <w:tabs>
          <w:tab w:leader="none" w:pos="1912"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Loans</w:t>
      </w:r>
      <w:r>
        <w:rPr>
          <w:rFonts w:ascii="Times New Roman" w:cs="Times New Roman" w:eastAsia="Times New Roman" w:hAnsi="Times New Roman"/>
          <w:sz w:val="22"/>
          <w:szCs w:val="22"/>
          <w:color w:val="auto"/>
        </w:rPr>
        <w:t>. Unless otherwise agreed to by the Administrative Agent, to request the Term Loans,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notify the Administrative Agent of such request by telephone or electronic mail (i) in the case of a Term SOFR Loan, not later than 2:00 p.m., New York City time, two (2) Business Days before the Closing Date (or such later time as the Administrative Agent shall reasonably agree) and (ii) in the case of an ABR Loan, not later than 1:00 p.m., New York City time one (1) Business Day before the Closing Date (or such later time as the Administrative Agent shall reasonably agree). Each such telephonic Term Loan request shall be irrevocable and shall be confirmed promptly by hand delivery, electronic mail or telecopy to the Administrative Agent of a written Loan Request signed by the Borrower. Each such telephonic and written Loan Request shall specify the following information in compliance with Section 2.01:</w:t>
      </w:r>
    </w:p>
    <w:p>
      <w:pPr>
        <w:spacing w:after="0" w:line="182" w:lineRule="exact"/>
        <w:rPr>
          <w:sz w:val="20"/>
          <w:szCs w:val="20"/>
          <w:color w:val="auto"/>
        </w:rPr>
      </w:pPr>
    </w:p>
    <w:p>
      <w:pPr>
        <w:ind w:left="1720" w:hanging="416"/>
        <w:spacing w:after="0"/>
        <w:tabs>
          <w:tab w:leader="none" w:pos="1720"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Term Loan (which shall comply with Section 2.01(d));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of such Term Loan, which shall be a Business Day;</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Term Loan is to be an ABR Loan or a Term SOFR Loan; and</w:t>
      </w:r>
    </w:p>
    <w:p>
      <w:pPr>
        <w:spacing w:after="0" w:line="23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7"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Loan, the initial Interest Period to be applicable thereto, which shall be a period contemplated by the definition of the term “Interest Period.”</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no election as to the Type of Term Loan is specified, then the requested Term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2.03(b), the Administrative Agent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617" w:name="page618"/>
    <w:bookmarkEnd w:id="617"/>
    <w:p>
      <w:pPr>
        <w:spacing w:after="0" w:line="19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shall advise each Term Lender of the details thereof and of the amount of such Term Lender’s Loan to be made as part of the requested Term Loan.</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Funding of Loans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3" w:lineRule="auto"/>
        <w:tabs>
          <w:tab w:leader="none" w:pos="1900" w:val="left"/>
        </w:tabs>
        <w:numPr>
          <w:ilvl w:val="0"/>
          <w:numId w:val="6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ABR Loans made to finance the reimbursement of an LC Disbursement as provided in Section 2.02(e) shall be remitted by the Administrative Agent to the relevant Issuing Lender.</w:t>
      </w:r>
    </w:p>
    <w:p>
      <w:pPr>
        <w:spacing w:after="0" w:line="172"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18" w:val="left"/>
        </w:tabs>
        <w:numPr>
          <w:ilvl w:val="0"/>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w:t>
      </w:r>
    </w:p>
    <w:p>
      <w:pPr>
        <w:spacing w:after="0" w:line="18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94" w:val="left"/>
        </w:tabs>
        <w:numPr>
          <w:ilvl w:val="0"/>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Administrative Agent shall have received notice from a Lender prior to the proposed Borrowing Date (or, with respect to any ABR Loan made on same-day notice, prior to </w:t>
      </w:r>
      <w:r>
        <w:rPr>
          <w:rFonts w:ascii="Times New Roman" w:cs="Times New Roman" w:eastAsia="Times New Roman" w:hAnsi="Times New Roman"/>
          <w:sz w:val="22"/>
          <w:szCs w:val="22"/>
          <w:b w:val="1"/>
          <w:bCs w:val="1"/>
          <w:color w:val="FF0000"/>
          <w:strike w:val="1"/>
        </w:rPr>
        <w:t>11:00 a.m</w:t>
      </w:r>
      <w:r>
        <w:rPr>
          <w:rFonts w:ascii="Times New Roman" w:cs="Times New Roman" w:eastAsia="Times New Roman" w:hAnsi="Times New Roman"/>
          <w:sz w:val="22"/>
          <w:szCs w:val="22"/>
          <w:b w:val="1"/>
          <w:bCs w:val="1"/>
          <w:u w:val="single" w:color="auto"/>
          <w:color w:val="0000FF"/>
        </w:rPr>
        <w:t>12:00 p.m</w:t>
      </w:r>
      <w:r>
        <w:rPr>
          <w:rFonts w:ascii="Times New Roman" w:cs="Times New Roman" w:eastAsia="Times New Roman" w:hAnsi="Times New Roman"/>
          <w:sz w:val="22"/>
          <w:szCs w:val="22"/>
          <w:color w:val="auto"/>
        </w:rPr>
        <w:t>.,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w:t>
      </w:r>
    </w:p>
    <w:p>
      <w:pPr>
        <w:spacing w:after="0" w:line="20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57" w:val="left"/>
        </w:tabs>
        <w:numPr>
          <w:ilvl w:val="0"/>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elect from time to time to (i) convert ABR Loans to Term SOFR Loans, (ii) convert Term SOFR Loans to ABR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conversion of Term SOFR Loans may be made only on the last day of an Interest Period with respect thereto or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618" w:name="page619"/>
    <w:bookmarkEnd w:id="618"/>
    <w:p>
      <w:pPr>
        <w:spacing w:after="0" w:line="199" w:lineRule="exact"/>
        <w:rPr>
          <w:sz w:val="20"/>
          <w:szCs w:val="20"/>
          <w:color w:val="auto"/>
        </w:rPr>
      </w:pPr>
    </w:p>
    <w:p>
      <w:pPr>
        <w:ind w:left="380" w:hanging="372"/>
        <w:spacing w:after="0"/>
        <w:tabs>
          <w:tab w:leader="none" w:pos="380" w:val="left"/>
        </w:tabs>
        <w:numPr>
          <w:ilvl w:val="0"/>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any Term SOFR Loan as such upon the expiration of the then current Interest Period with respect thereto.</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93" w:val="left"/>
        </w:tabs>
        <w:numPr>
          <w:ilvl w:val="1"/>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Interest Election Request pursuant to this Section 2.05, the Borrower shall notify the Administrative Agent of such election by hand or facsimile delivery or by electronic mail of a written Interest Election Request by the time that a Loan Request would be required under Section 2.03(a) or Section 2.03(b) if the Borrower were requesting a Loan of the Type resulting from such election to be made on the effective date of such election.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w:t>
      </w:r>
    </w:p>
    <w:p>
      <w:pPr>
        <w:spacing w:after="0" w:line="193" w:lineRule="exact"/>
        <w:rPr>
          <w:rFonts w:ascii="Times New Roman" w:cs="Times New Roman" w:eastAsia="Times New Roman" w:hAnsi="Times New Roman"/>
          <w:sz w:val="22"/>
          <w:szCs w:val="22"/>
          <w:color w:val="auto"/>
        </w:rPr>
      </w:pPr>
    </w:p>
    <w:p>
      <w:pPr>
        <w:ind w:left="2020" w:hanging="716"/>
        <w:spacing w:after="0"/>
        <w:tabs>
          <w:tab w:leader="none" w:pos="2020" w:val="left"/>
        </w:tabs>
        <w:numPr>
          <w:ilvl w:val="1"/>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written Interest Election Request shall specify the following information in compliance with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2.01:</w:t>
      </w:r>
    </w:p>
    <w:p>
      <w:pPr>
        <w:spacing w:after="0" w:line="196" w:lineRule="exact"/>
        <w:rPr>
          <w:sz w:val="20"/>
          <w:szCs w:val="20"/>
          <w:color w:val="auto"/>
        </w:rPr>
      </w:pPr>
    </w:p>
    <w:p>
      <w:pPr>
        <w:jc w:val="both"/>
        <w:ind w:left="660" w:firstLine="644"/>
        <w:spacing w:after="0" w:line="257" w:lineRule="auto"/>
        <w:tabs>
          <w:tab w:leader="none" w:pos="1741" w:val="left"/>
        </w:tabs>
        <w:numPr>
          <w:ilvl w:val="0"/>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2"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6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election made pursuant to such Interest Election Request, which shall be a Business</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w:t>
      </w:r>
    </w:p>
    <w:p>
      <w:pPr>
        <w:spacing w:after="0" w:line="207"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0"/>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Term SOFR Borrowing;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36" w:val="left"/>
        </w:tabs>
        <w:numPr>
          <w:ilvl w:val="0"/>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Term SOFR Borrowing, the Interest Period to be applicable thereto after giving effect to such election, which shall be a period contemplated by the definition of the term “Interest Period.”</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If any such Interest Election Request requests a Term SOFR Borrowing but does not specify an Interest Period, then the Borrower shall be deemed to have selected an Interest Period of one month’s duration.</w:t>
      </w:r>
    </w:p>
    <w:p>
      <w:pPr>
        <w:spacing w:after="0" w:line="144" w:lineRule="exact"/>
        <w:rPr>
          <w:sz w:val="20"/>
          <w:szCs w:val="20"/>
          <w:color w:val="auto"/>
        </w:rPr>
      </w:pPr>
    </w:p>
    <w:p>
      <w:pPr>
        <w:ind w:firstLine="1304"/>
        <w:spacing w:after="0" w:line="271" w:lineRule="auto"/>
        <w:tabs>
          <w:tab w:leader="none" w:pos="1900"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details thereof and of such Lender’s portion of each resulting Borrowing.</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6"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 one-month Term SOFR Borrowing. Notwithstanding any contrary provision hereof, if an Event of Default has occurred and is continuing, and upon the request of the Required Lenders, (i) no outstanding Borrowing may be converted to or continued as a Term SOFR Borrowing and (ii) unless repaid, each Term SOFR Borrowing shall be converted to an ABR Borrowing at the end of the Interest Period applicable thereto.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619" w:name="page620"/>
    <w:bookmarkEnd w:id="619"/>
    <w:p>
      <w:pPr>
        <w:spacing w:after="0" w:line="19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Limitation on Term SOFR Tranches</w:t>
      </w:r>
      <w:r>
        <w:rPr>
          <w:rFonts w:ascii="Times New Roman" w:cs="Times New Roman" w:eastAsia="Times New Roman" w:hAnsi="Times New Roman"/>
          <w:sz w:val="22"/>
          <w:szCs w:val="22"/>
          <w:color w:val="auto"/>
        </w:rPr>
        <w:t>.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Tranche shall be equal to $1,000,000 or a whole multiple of $1,000,000 in excess thereof and (b) no more than twenty Term SOFR Tranches shall be outstanding at any one time.</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Interest on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803" w:val="left"/>
        </w:tabs>
        <w:numPr>
          <w:ilvl w:val="0"/>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2.08, each ABR Loan shall bear interest (computed on the basis of the actual number of days elapsed over a year of 365 days or 366 days in a leap year) at a rate per annum equal to the Alternate Base Rate plus the Applicable Margin.</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5" w:val="left"/>
        </w:tabs>
        <w:numPr>
          <w:ilvl w:val="0"/>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2.08, each Term SOFR Loan shall bear interest (computed on the basis of the actual number of days elapsed over a year of 360 days) at a rate per annum equal, during each Interest Period applicable thereto, to Adjusted Term SOFR for such Interest Period in effect for such Borrowing plus the Applicable Margin.</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45" w:val="left"/>
        </w:tabs>
        <w:numPr>
          <w:ilvl w:val="0"/>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conversion of any Term SOFR Loan to an ABR Loan, accrued interest on such Loan shall be payable on the effective date of such conversion.</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4" w:val="left"/>
        </w:tabs>
        <w:numPr>
          <w:ilvl w:val="0"/>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use or administration of Term SOFR,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Benchmark Replacement Setting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sectPr>
      </w:pPr>
    </w:p>
    <w:bookmarkStart w:id="620" w:name="page621"/>
    <w:bookmarkEnd w:id="620"/>
    <w:p>
      <w:pPr>
        <w:spacing w:after="0" w:line="199" w:lineRule="exact"/>
        <w:rPr>
          <w:sz w:val="20"/>
          <w:szCs w:val="20"/>
          <w:color w:val="auto"/>
        </w:rPr>
      </w:pPr>
    </w:p>
    <w:p>
      <w:pPr>
        <w:jc w:val="both"/>
        <w:ind w:firstLine="1304"/>
        <w:spacing w:after="0" w:line="239" w:lineRule="auto"/>
        <w:tabs>
          <w:tab w:leader="none" w:pos="1792"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U.S. Government Securities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2.09(a) will occur prior to the applicable Benchmark Transition Start Date.</w:t>
      </w:r>
    </w:p>
    <w:p>
      <w:pPr>
        <w:spacing w:after="0" w:line="21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9"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46"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2.09(d) and (y) the commencement of any Benchmark Unavailability Period. Any determination, decision or election that may be made by the Administrative Agent or, if applicable, any Lender (or group of Lenders) pursuant to this Section 2.09,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2.09.</w:t>
      </w:r>
    </w:p>
    <w:p>
      <w:pPr>
        <w:spacing w:after="0" w:line="183"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77" w:val="left"/>
        </w:tabs>
        <w:numPr>
          <w:ilvl w:val="0"/>
          <w:numId w:val="6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6" w:lineRule="exact"/>
        <w:rPr>
          <w:sz w:val="20"/>
          <w:szCs w:val="20"/>
          <w:color w:val="auto"/>
        </w:rPr>
      </w:pPr>
    </w:p>
    <w:p>
      <w:pPr>
        <w:jc w:val="both"/>
        <w:ind w:firstLine="1304"/>
        <w:spacing w:after="0" w:line="250" w:lineRule="auto"/>
        <w:tabs>
          <w:tab w:leader="none" w:pos="1941" w:val="left"/>
        </w:tabs>
        <w:numPr>
          <w:ilvl w:val="0"/>
          <w:numId w:val="6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the Borrower may revoke any pending request for a Term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Amortization of Term Loans; Repayment of Loans; Evidence of Debt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68" w:val="left"/>
        </w:tabs>
        <w:numPr>
          <w:ilvl w:val="1"/>
          <w:numId w:val="6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to the Administrative Agent for the ratable account of each Revolving Lender the then unpaid principal amount of each Revolving Loan then outstanding on the Revolving Facility Termination Date applicable to such Revolving Loan.</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1" w:val="left"/>
        </w:tabs>
        <w:numPr>
          <w:ilvl w:val="1"/>
          <w:numId w:val="6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amounts of the Initial Term Loans shall be repaid in consecutive annual installments beginning on the first anniversary of the Closing Date (each, an “</w:t>
      </w:r>
      <w:r>
        <w:rPr>
          <w:rFonts w:ascii="Times New Roman" w:cs="Times New Roman" w:eastAsia="Times New Roman" w:hAnsi="Times New Roman"/>
          <w:sz w:val="22"/>
          <w:szCs w:val="22"/>
          <w:i w:val="1"/>
          <w:iCs w:val="1"/>
          <w:color w:val="auto"/>
        </w:rPr>
        <w:t>Installment</w:t>
      </w:r>
      <w:r>
        <w:rPr>
          <w:rFonts w:ascii="Times New Roman" w:cs="Times New Roman" w:eastAsia="Times New Roman" w:hAnsi="Times New Roman"/>
          <w:sz w:val="22"/>
          <w:szCs w:val="22"/>
          <w:color w:val="auto"/>
        </w:rPr>
        <w:t>”) of 1.00% of the original aggregate principal amount of the Initial Term Loans made on the Closing Date. Notwithstanding the foregoing, (1) such Installments shall be reduced in connection with any mandatory or voluntary prepayments of the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71" w:val="left"/>
        </w:tabs>
        <w:numPr>
          <w:ilvl w:val="1"/>
          <w:numId w:val="6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2" w:lineRule="exact"/>
        <w:rPr>
          <w:rFonts w:ascii="Times New Roman" w:cs="Times New Roman" w:eastAsia="Times New Roman" w:hAnsi="Times New Roman"/>
          <w:sz w:val="22"/>
          <w:szCs w:val="22"/>
          <w:color w:val="auto"/>
        </w:rPr>
      </w:pPr>
    </w:p>
    <w:p>
      <w:pPr>
        <w:jc w:val="both"/>
        <w:ind w:firstLine="1304"/>
        <w:spacing w:after="0" w:line="273" w:lineRule="auto"/>
        <w:tabs>
          <w:tab w:leader="none" w:pos="1763" w:val="left"/>
        </w:tabs>
        <w:numPr>
          <w:ilvl w:val="1"/>
          <w:numId w:val="6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acting solely for this purpose as an agent of the Borrower, maintain accounts in which it shall record (i) the amount of each Loan made hereunder, the Type thereof and the Interest Period applicable thereto,</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40" w:val="left"/>
        </w:tabs>
        <w:numPr>
          <w:ilvl w:val="0"/>
          <w:numId w:val="6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1" w:val="left"/>
        </w:tabs>
        <w:numPr>
          <w:ilvl w:val="1"/>
          <w:numId w:val="6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(c) or (d) of this Section 2.10 shall be prima facie evidence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accounts or any error therein shall not in any manner affect the obligation of the Borrower to repay the Loans in accordance with the terms of this Agreement. In the event of any conflict between the records maintained by any Lender and the records maintained by the Administrative Agent in such matters, the records of the Administrative Agent shall control in the absence of any manifest error.</w:t>
      </w:r>
    </w:p>
    <w:p>
      <w:pPr>
        <w:spacing w:after="0" w:line="176" w:lineRule="exact"/>
        <w:rPr>
          <w:sz w:val="20"/>
          <w:szCs w:val="20"/>
          <w:color w:val="auto"/>
        </w:rPr>
      </w:pPr>
    </w:p>
    <w:p>
      <w:pPr>
        <w:jc w:val="both"/>
        <w:ind w:firstLine="1304"/>
        <w:spacing w:after="0" w:line="253" w:lineRule="auto"/>
        <w:tabs>
          <w:tab w:leader="none" w:pos="1852" w:val="left"/>
        </w:tabs>
        <w:numPr>
          <w:ilvl w:val="0"/>
          <w:numId w:val="6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Optional Termination or Reduction of Revolving Commitments</w:t>
      </w:r>
      <w:r>
        <w:rPr>
          <w:rFonts w:ascii="Times New Roman" w:cs="Times New Roman" w:eastAsia="Times New Roman" w:hAnsi="Times New Roman"/>
          <w:sz w:val="22"/>
          <w:szCs w:val="22"/>
          <w:color w:val="auto"/>
        </w:rPr>
        <w:t xml:space="preserve">. Upon at least one (1) Business Day prior written notice to the Administrative Agent, the Borrower may at any time in whole permanently terminate the Total Revolving Commitment (subject to compliance with Section 2.12(e)), or from time to time in part permanently reduce the Unused Total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 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Section 2.11 shall be applied to reduce the Revolving Commitment of each Revolving Lender on a pro rata basis.</w:t>
      </w:r>
    </w:p>
    <w:p>
      <w:pPr>
        <w:spacing w:after="0" w:line="18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Mandatory Prepayment of Loans; Commitment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782" w:val="left"/>
        </w:tabs>
        <w:numPr>
          <w:ilvl w:val="0"/>
          <w:numId w:val="6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(subject in all respects to any Intercreditor Agreement, and the Collateral Trust Agreement) deposit, on the next Business Day (or, if later, within five (5) Business Days of Parent or any of its Subsidiaries receiving any Net Proceeds as a result of such Disposition of Collateral or Recovery Event), cash in an amount (the “</w:t>
      </w:r>
      <w:r>
        <w:rPr>
          <w:rFonts w:ascii="Times New Roman" w:cs="Times New Roman" w:eastAsia="Times New Roman" w:hAnsi="Times New Roman"/>
          <w:sz w:val="22"/>
          <w:szCs w:val="22"/>
          <w:i w:val="1"/>
          <w:iCs w:val="1"/>
          <w:color w:val="auto"/>
        </w:rPr>
        <w:t>Net Proceeds Amount</w:t>
      </w:r>
      <w:r>
        <w:rPr>
          <w:rFonts w:ascii="Times New Roman" w:cs="Times New Roman" w:eastAsia="Times New Roman" w:hAnsi="Times New Roman"/>
          <w:sz w:val="22"/>
          <w:szCs w:val="22"/>
          <w:color w:val="auto"/>
        </w:rPr>
        <w:t xml:space="preserve">”) equal to the amount of such received Net Proceeds (solely to the extent necessary to maintain compliance with Section 6.04) into the Collateral Proceeds Account that is maintained with the Collateral Trustee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40" w:right="339" w:bottom="1440" w:gutter="0" w:footer="0" w:header="0"/>
        </w:sectPr>
      </w:pPr>
    </w:p>
    <w:bookmarkStart w:id="623" w:name="page624"/>
    <w:bookmarkEnd w:id="623"/>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w:t>
      </w:r>
    </w:p>
    <w:p>
      <w:pPr>
        <w:spacing w:after="0" w:line="180" w:lineRule="exact"/>
        <w:rPr>
          <w:sz w:val="20"/>
          <w:szCs w:val="20"/>
          <w:color w:val="auto"/>
        </w:rPr>
      </w:pPr>
    </w:p>
    <w:p>
      <w:pPr>
        <w:ind w:firstLine="1304"/>
        <w:spacing w:after="0" w:line="284" w:lineRule="auto"/>
        <w:tabs>
          <w:tab w:leader="none" w:pos="1902" w:val="left"/>
        </w:tabs>
        <w:numPr>
          <w:ilvl w:val="0"/>
          <w:numId w:val="6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prepay the Loans (without, in the case of any Revolving Loan, any corresponding reduction in Revolving Commitments) when and in an amount necessary to comply with Section 6.09(b).</w:t>
      </w:r>
    </w:p>
    <w:p>
      <w:pPr>
        <w:spacing w:after="0" w:line="14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47" w:val="left"/>
        </w:tabs>
        <w:numPr>
          <w:ilvl w:val="0"/>
          <w:numId w:val="6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2.02(j). The application of any prepayment pursuant to this Section 2.12 shall be made,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ABR Loans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Term SOFR Loans. Term Loans prepaid pursuant to this Section 2.12 may not be reborrowed.</w:t>
      </w:r>
    </w:p>
    <w:p>
      <w:pPr>
        <w:spacing w:after="0" w:line="18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64" w:val="left"/>
        </w:tabs>
        <w:numPr>
          <w:ilvl w:val="0"/>
          <w:numId w:val="6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29" w:val="left"/>
        </w:tabs>
        <w:numPr>
          <w:ilvl w:val="0"/>
          <w:numId w:val="6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27" w:val="left"/>
        </w:tabs>
        <w:numPr>
          <w:ilvl w:val="0"/>
          <w:numId w:val="6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808" w:val="left"/>
        </w:tabs>
        <w:numPr>
          <w:ilvl w:val="0"/>
          <w:numId w:val="6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occurs, within thirty (30) days following the occurrence of such Change of Control, the Borrower (or Parent (or any third party on behalf of the Borrower))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624" w:name="page625"/>
    <w:bookmarkEnd w:id="624"/>
    <w:p>
      <w:pPr>
        <w:spacing w:after="0" w:line="1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169" w:lineRule="exact"/>
        <w:rPr>
          <w:sz w:val="20"/>
          <w:szCs w:val="20"/>
          <w:color w:val="auto"/>
        </w:rPr>
      </w:pPr>
    </w:p>
    <w:p>
      <w:pPr>
        <w:jc w:val="both"/>
        <w:ind w:firstLine="1304"/>
        <w:spacing w:after="0" w:line="251" w:lineRule="auto"/>
        <w:tabs>
          <w:tab w:leader="none" w:pos="1797" w:val="left"/>
        </w:tabs>
        <w:numPr>
          <w:ilvl w:val="0"/>
          <w:numId w:val="6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the Core Collateral,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20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0" w:val="left"/>
        </w:tabs>
        <w:numPr>
          <w:ilvl w:val="0"/>
          <w:numId w:val="6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immediately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w:t>
      </w:r>
    </w:p>
    <w:p>
      <w:pPr>
        <w:spacing w:after="0" w:line="200" w:lineRule="exact"/>
        <w:rPr>
          <w:sz w:val="20"/>
          <w:szCs w:val="20"/>
          <w:color w:val="auto"/>
        </w:rPr>
      </w:pPr>
    </w:p>
    <w:p>
      <w:pPr>
        <w:spacing w:after="0" w:line="22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Optional Prepayment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7" w:lineRule="auto"/>
        <w:tabs>
          <w:tab w:leader="none" w:pos="1766" w:val="left"/>
        </w:tabs>
        <w:numPr>
          <w:ilvl w:val="1"/>
          <w:numId w:val="6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have the right, at any time and from time to time but subject to Section 2.13(d) below, to prepay any Loans, in whole or in part, (i) with respect to Term SOFR Loans, upon (A) telephonic notice (followed promptly by written or facsimile notice or notice by electronic mail) (which notice may be conditional notice) to the Administrative Agent or</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73" w:val="left"/>
        </w:tabs>
        <w:numPr>
          <w:ilvl w:val="0"/>
          <w:numId w:val="6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written or facsimile notice (or notice by electronic mail) (which notice may be conditional notice) to the Administrative Agent, in any case received by 1:00 p.m., New York City time, three (3) </w:t>
      </w:r>
      <w:r>
        <w:rPr>
          <w:rFonts w:ascii="Times New Roman" w:cs="Times New Roman" w:eastAsia="Times New Roman" w:hAnsi="Times New Roman"/>
          <w:sz w:val="22"/>
          <w:szCs w:val="22"/>
          <w:b w:val="1"/>
          <w:bCs w:val="1"/>
          <w:u w:val="single" w:color="auto"/>
          <w:color w:val="0000FF"/>
        </w:rPr>
        <w:t>U.S. Government Securities</w:t>
      </w:r>
      <w:r>
        <w:rPr>
          <w:rFonts w:ascii="Times New Roman" w:cs="Times New Roman" w:eastAsia="Times New Roman" w:hAnsi="Times New Roman"/>
          <w:sz w:val="22"/>
          <w:szCs w:val="22"/>
          <w:color w:val="auto"/>
        </w:rPr>
        <w:t xml:space="preserve">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ABR Loans may be prepaid on the same day notice is given if such notice is received by the Administrative Agent by 12:00 noon, New York City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revocation of such conditional notice occurs prior to the requested borrowing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each such partial prepayment shall be in an amount not less than $1,000,000 and in integral multiples of $1,000,000 in the case of Term SOFR Loans and integral multiples of $100,000 in the case of ABR Loans, (B) no prepayment of Term SOFR Loans shall be permitted pursuant to this Section 2.13(a) other than on the last day of an Interest Period applicable thereto unless such prepayment is accompanied by the payment of the amounts (if any) described in Section 2.15, and (C) no partial prepayment of a Term SOFR Tranche shall result in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40" w:right="339" w:bottom="1440" w:gutter="0" w:footer="0" w:header="0"/>
        </w:sectPr>
      </w:pPr>
    </w:p>
    <w:bookmarkStart w:id="625" w:name="page626"/>
    <w:bookmarkEnd w:id="625"/>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aggregate principal amount of the Term SOFR Loans remaining outstanding pursuant to such Term SOFR Tranche being less than $1,000,000.</w:t>
      </w:r>
    </w:p>
    <w:p>
      <w:pPr>
        <w:spacing w:after="0" w:line="158" w:lineRule="exact"/>
        <w:rPr>
          <w:sz w:val="20"/>
          <w:szCs w:val="20"/>
          <w:color w:val="auto"/>
        </w:rPr>
      </w:pPr>
    </w:p>
    <w:p>
      <w:pPr>
        <w:jc w:val="both"/>
        <w:ind w:firstLine="1304"/>
        <w:spacing w:after="0" w:line="250" w:lineRule="auto"/>
        <w:tabs>
          <w:tab w:leader="none" w:pos="1870" w:val="left"/>
        </w:tabs>
        <w:numPr>
          <w:ilvl w:val="0"/>
          <w:numId w:val="6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52" w:val="left"/>
        </w:tabs>
        <w:numPr>
          <w:ilvl w:val="0"/>
          <w:numId w:val="6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of prepayment shall specify the prepayment date, the principal amount of the Loans to be prepaid and, in the case of Term SOFR Loans, the Borrowing or Borrowings to be prepaid and shall commit the Borrower to prepay such Loan by the amount and on the date stated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w:t>
      </w:r>
    </w:p>
    <w:p>
      <w:pPr>
        <w:spacing w:after="0" w:line="19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06" w:val="left"/>
        </w:tabs>
        <w:numPr>
          <w:ilvl w:val="0"/>
          <w:numId w:val="6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prior to the date that is six (6) months after the Closing Date, there shall occur any Repricing Event with respect to the Initial Term Loans, the Borrower shall pay to the Administrative Agent, for the ratable account of each of the Term Lenders holding Initial Term Loans subject to such Repricing Event, (i) in the case of a Repricing Event of the type described in clause (a) of the definition thereof, a prepayment premium of 1.00% of the aggregate principal amount of the Initial Term Loans subject to such Repricing Event and (ii) in the case of a Repricing Event of the type described in clause (b) of the definition thereof, an amount equal to 1.00% of the aggregate principal amount of the Initial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Term Lender so replaced shall be entitled to the prepayment premium set forth in clause (i) of the preceding sentence with respect to its Initial Term Loans so assigned unless such fee is waived by such Term Lender.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40" w:right="339" w:bottom="1440" w:gutter="0" w:footer="0" w:header="0"/>
        </w:sectPr>
      </w:pPr>
    </w:p>
    <w:bookmarkStart w:id="626" w:name="page627"/>
    <w:bookmarkEnd w:id="626"/>
    <w:p>
      <w:pPr>
        <w:spacing w:after="0" w:line="19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any Change in Law shall:</w:t>
      </w:r>
    </w:p>
    <w:p>
      <w:pPr>
        <w:spacing w:after="0" w:line="220" w:lineRule="exact"/>
        <w:rPr>
          <w:sz w:val="20"/>
          <w:szCs w:val="20"/>
          <w:color w:val="auto"/>
        </w:rPr>
      </w:pPr>
    </w:p>
    <w:p>
      <w:pPr>
        <w:jc w:val="both"/>
        <w:ind w:left="660" w:firstLine="644"/>
        <w:spacing w:after="0" w:line="253" w:lineRule="auto"/>
        <w:tabs>
          <w:tab w:leader="none" w:pos="1728" w:val="left"/>
        </w:tabs>
        <w:numPr>
          <w:ilvl w:val="0"/>
          <w:numId w:val="6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by, any Lender or Issuing Lender; or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31" w:val="left"/>
        </w:tabs>
        <w:numPr>
          <w:ilvl w:val="0"/>
          <w:numId w:val="6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Issuing Lender or the London interbank market any other condition, cost or expense (other than Taxes) affecting this Agreement or Term SOFR Loans made by such Lender or any Letter of Credit or participation therein;</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into, continuing or maintaining any Term SOFR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Term SOFR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w:t>
      </w:r>
    </w:p>
    <w:p>
      <w:pPr>
        <w:spacing w:after="0" w:line="180" w:lineRule="exact"/>
        <w:rPr>
          <w:sz w:val="20"/>
          <w:szCs w:val="20"/>
          <w:color w:val="auto"/>
        </w:rPr>
      </w:pPr>
    </w:p>
    <w:p>
      <w:pPr>
        <w:jc w:val="both"/>
        <w:ind w:firstLine="1304"/>
        <w:spacing w:after="0" w:line="261" w:lineRule="auto"/>
        <w:tabs>
          <w:tab w:leader="none" w:pos="1797" w:val="left"/>
        </w:tabs>
        <w:numPr>
          <w:ilvl w:val="0"/>
          <w:numId w:val="6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SOFR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w:t>
      </w:r>
    </w:p>
    <w:p>
      <w:pPr>
        <w:spacing w:after="0" w:line="175"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6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1" w:val="left"/>
        </w:tabs>
        <w:numPr>
          <w:ilvl w:val="0"/>
          <w:numId w:val="6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or Issuing Lender setting forth the amount or amounts necessary to compensate such Lender or Issuing Lender or its holding company, as the case may be, as specified in paragraph (a) or (b) of this Section 2.14 and the basis for calculating such amount or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40" w:right="339" w:bottom="1440" w:gutter="0" w:footer="0" w:header="0"/>
        </w:sectPr>
      </w:pPr>
    </w:p>
    <w:bookmarkStart w:id="627" w:name="page628"/>
    <w:bookmarkEnd w:id="627"/>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 xml:space="preserve">amounts shall be delivered to the Borrower and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amount due. The Borrower shall pay such Lender or Issuing Lender, as the case may be, the amount due within fifteen (15) days after receipt of such certificate.</w:t>
      </w:r>
    </w:p>
    <w:p>
      <w:pPr>
        <w:spacing w:after="0" w:line="153" w:lineRule="exact"/>
        <w:rPr>
          <w:sz w:val="20"/>
          <w:szCs w:val="20"/>
          <w:color w:val="auto"/>
        </w:rPr>
      </w:pPr>
    </w:p>
    <w:p>
      <w:pPr>
        <w:jc w:val="both"/>
        <w:ind w:firstLine="1304"/>
        <w:spacing w:after="0" w:line="249" w:lineRule="auto"/>
        <w:tabs>
          <w:tab w:leader="none" w:pos="1883" w:val="left"/>
        </w:tabs>
        <w:numPr>
          <w:ilvl w:val="0"/>
          <w:numId w:val="6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or Issuing Lender to demand compensation pursuant to this Section 2.14 shall not constitute a waiver of such Lender’s or Issuing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Issuing Lender pursuant to this Section 2.14 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w:t>
      </w:r>
    </w:p>
    <w:p>
      <w:pPr>
        <w:spacing w:after="0" w:line="18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42" w:val="left"/>
        </w:tabs>
        <w:numPr>
          <w:ilvl w:val="0"/>
          <w:numId w:val="6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Section 2.18 is not “voluntary”), or (C) such Lender or Issuing Lender is not seeking similar compensation for such costs to which it is entitled from its borrowers generally in commercial loans of a similar size.</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73" w:val="left"/>
        </w:tabs>
        <w:numPr>
          <w:ilvl w:val="0"/>
          <w:numId w:val="6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determination by a Lender or Issuing Lender of amounts owed pursuant to this Section 2.14 to such Lender or Issuing Lender due to any such Change in Law shall be made in good faith in a manner generally consistent with such Lender’s or Issuing Lender’s standard practice.</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Term SOFR Loan other than on the last day of an Interest Period applicable thereto (including as a result of the occurrence and continuance of an Event of Default), (b) the failure to borrow, convert, continue or prepay any Term SOFR Loan on the date specified in any notice delivered pursuant hereto or (c) the assignment of any Term SOFR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case shall this Section 2.15 apply to any payment of an Installment pursuant to Section 2.10(b). The Borrower shall pay such Lender the amount due within fifteen (15) days after receipt of such certificate.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40" w:right="339" w:bottom="1440" w:gutter="0" w:footer="0" w:header="0"/>
        </w:sectPr>
      </w:pPr>
    </w:p>
    <w:bookmarkStart w:id="628" w:name="page629"/>
    <w:bookmarkEnd w:id="628"/>
    <w:p>
      <w:pPr>
        <w:spacing w:after="0" w:line="19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4" w:lineRule="auto"/>
        <w:tabs>
          <w:tab w:leader="none" w:pos="1813" w:val="left"/>
        </w:tabs>
        <w:numPr>
          <w:ilvl w:val="1"/>
          <w:numId w:val="7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payments by or on account of any Obligation of the Borrower or any Guarantor hereunder or under any other Loan Document shall be made free and clear of and without deduction or withholding for any Taxes except as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Taxes are required to be deducted or withheld from any amounts payable to the Administrative Agent, any Lender or any Issuing Lender, as determined in good faith by the applicable Withholding Agent, then</w:t>
      </w:r>
    </w:p>
    <w:p>
      <w:pPr>
        <w:jc w:val="both"/>
        <w:ind w:firstLine="8"/>
        <w:spacing w:after="0" w:line="246" w:lineRule="auto"/>
        <w:tabs>
          <w:tab w:leader="none" w:pos="293" w:val="left"/>
        </w:tabs>
        <w:numPr>
          <w:ilvl w:val="0"/>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Taxes are Indemnified Taxes or Other Taxes, the sum payable by the Borrower or applicable Guarantor shall be increased as necessary so that after making all required deductions or withholdings for any Indemnified Taxes or Other Taxes (including deductions or withholdings for any Indemnified Taxes or Other Taxes applicable to additional sums payable under this Section 2.16), the Administrative Agent, Lender, Issuing Lender or any other recipient of such payments (as the case may be) receives an amount equal to the sum it would have received had no such deductions or withholdings been made, (ii) the applicable Withholding Agent shall make such deductions or withholdings and (iii) the applicable Withholding Agent shall timely pay the full amount deducted or withheld to the relevant Governmental Authority in accordance with applicable law.</w:t>
      </w:r>
    </w:p>
    <w:p>
      <w:pPr>
        <w:spacing w:after="0" w:line="185"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or any Guarantor, as applicable, shall pay any Other Taxes to the relevant Governmental Authority in accordance with applicable law.</w:t>
      </w:r>
    </w:p>
    <w:p>
      <w:pPr>
        <w:spacing w:after="0" w:line="17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94" w:val="left"/>
        </w:tabs>
        <w:numPr>
          <w:ilvl w:val="1"/>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w:t>
      </w:r>
    </w:p>
    <w:p>
      <w:pPr>
        <w:spacing w:after="0" w:line="18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14" w:val="left"/>
        </w:tabs>
        <w:numPr>
          <w:ilvl w:val="1"/>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6" w:val="left"/>
        </w:tabs>
        <w:numPr>
          <w:ilvl w:val="1"/>
          <w:numId w:val="7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40" w:right="339" w:bottom="1440" w:gutter="0" w:footer="0" w:header="0"/>
        </w:sectPr>
      </w:pPr>
    </w:p>
    <w:bookmarkStart w:id="629" w:name="page630"/>
    <w:bookmarkEnd w:id="629"/>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liability delivered to any Lender by the Administrative Agent shall be conclusive absent manifest error.</w:t>
      </w:r>
    </w:p>
    <w:p>
      <w:pPr>
        <w:spacing w:after="0" w:line="220" w:lineRule="exact"/>
        <w:rPr>
          <w:sz w:val="20"/>
          <w:szCs w:val="20"/>
          <w:color w:val="auto"/>
        </w:rPr>
      </w:pPr>
    </w:p>
    <w:p>
      <w:pPr>
        <w:jc w:val="both"/>
        <w:ind w:firstLine="1304"/>
        <w:spacing w:after="0" w:line="250" w:lineRule="auto"/>
        <w:tabs>
          <w:tab w:leader="none" w:pos="1851" w:val="left"/>
        </w:tabs>
        <w:numPr>
          <w:ilvl w:val="0"/>
          <w:numId w:val="7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or as will enable the Borrower to determine whether or not such Lender is subject to backup withholding or information reporting requirements;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required to deliver any documentation pursuant to this Section 2.16(f) that such Lender is not legally able to deliver. For purposes of this paragraph (f) and paragraphs (g) and (h), the term “Lender” includes any Issuing Lender.</w:t>
      </w:r>
    </w:p>
    <w:p>
      <w:pPr>
        <w:spacing w:after="0" w:line="17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8" w:val="left"/>
        </w:tabs>
        <w:numPr>
          <w:ilvl w:val="0"/>
          <w:numId w:val="7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w:t>
      </w:r>
    </w:p>
    <w:p>
      <w:pPr>
        <w:spacing w:after="0" w:line="193" w:lineRule="exact"/>
        <w:rPr>
          <w:sz w:val="20"/>
          <w:szCs w:val="20"/>
          <w:color w:val="auto"/>
        </w:rPr>
      </w:pPr>
    </w:p>
    <w:p>
      <w:pPr>
        <w:jc w:val="both"/>
        <w:ind w:left="660" w:firstLine="644"/>
        <w:spacing w:after="0" w:line="257" w:lineRule="auto"/>
        <w:tabs>
          <w:tab w:leader="none" w:pos="1836"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W-8BEN or Internal Revenue Service Form W-8BEN-E, as applicable, claiming eligibility for benefits of an income tax treaty to which the United States is a party;</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W-8ECI;</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59"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 8IMY, together with the duly executed forms for its beneficiaries, partners or members described in clauses (i), (ii), (iii) or (iv) of this subparagraph (g)(1) or in subparagraph (g)(2) and other applicable attachments;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2109" w:val="left"/>
        </w:tabs>
        <w:numPr>
          <w:ilvl w:val="0"/>
          <w:numId w:val="7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exemption for portfolio interest under Section 881(c) of the Code, (x) a certificate to the effect that such Foreign Lender is not (A) a “bank” within the meaning of Section 881(c)(3)(A) of the Code, (B) a “10 percent shareholder” of the Borrower within the meaning of Section 881(c)</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(3)(B) of the Code, (C) a “controlled foreign corporation” described in Section 881(c)(3)(C) of the Code or</w:t>
      </w:r>
    </w:p>
    <w:p>
      <w:pPr>
        <w:spacing w:after="0" w:line="15" w:lineRule="exact"/>
        <w:rPr>
          <w:sz w:val="20"/>
          <w:szCs w:val="20"/>
          <w:color w:val="auto"/>
        </w:rPr>
      </w:pPr>
    </w:p>
    <w:p>
      <w:pPr>
        <w:jc w:val="both"/>
        <w:ind w:left="660" w:hanging="4"/>
        <w:spacing w:after="0" w:line="245" w:lineRule="auto"/>
        <w:tabs>
          <w:tab w:leader="none" w:pos="1067" w:val="left"/>
        </w:tabs>
        <w:numPr>
          <w:ilvl w:val="0"/>
          <w:numId w:val="7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a trade or business in the United States with which the relevant interest payments are effectively connected and (y) two (2) duly executed originals of the Internal Revenue Service Form W-8BEN or Internal Revenue Service Form W-8BEN-E, as applicable; or</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86" w:val="left"/>
        </w:tabs>
        <w:numPr>
          <w:ilvl w:val="1"/>
          <w:numId w:val="7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duly executed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40" w:right="339" w:bottom="1440" w:gutter="0" w:footer="0" w:header="0"/>
        </w:sectPr>
      </w:pPr>
    </w:p>
    <w:bookmarkStart w:id="630" w:name="page631"/>
    <w:bookmarkEnd w:id="630"/>
    <w:p>
      <w:pPr>
        <w:spacing w:after="0" w:line="19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 Foreign Lender shall not be required to deliver any form or statement pursuant to this Section 2.16(g) that such Foreign Lender is not legally able to deliver.</w:t>
      </w:r>
    </w:p>
    <w:p>
      <w:pPr>
        <w:spacing w:after="0" w:line="158" w:lineRule="exact"/>
        <w:rPr>
          <w:sz w:val="20"/>
          <w:szCs w:val="20"/>
          <w:color w:val="auto"/>
        </w:rPr>
      </w:pPr>
    </w:p>
    <w:p>
      <w:pPr>
        <w:jc w:val="both"/>
        <w:ind w:firstLine="1304"/>
        <w:spacing w:after="0" w:line="251" w:lineRule="auto"/>
        <w:tabs>
          <w:tab w:leader="none" w:pos="1830" w:val="left"/>
        </w:tabs>
        <w:numPr>
          <w:ilvl w:val="0"/>
          <w:numId w:val="7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federal backup withholding tax.</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66" w:val="left"/>
        </w:tabs>
        <w:numPr>
          <w:ilvl w:val="0"/>
          <w:numId w:val="7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4" w:val="left"/>
        </w:tabs>
        <w:numPr>
          <w:ilvl w:val="0"/>
          <w:numId w:val="7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w:t>
      </w:r>
    </w:p>
    <w:p>
      <w:pPr>
        <w:spacing w:after="0" w:line="180" w:lineRule="exact"/>
        <w:rPr>
          <w:sz w:val="20"/>
          <w:szCs w:val="20"/>
          <w:color w:val="auto"/>
        </w:rPr>
      </w:pPr>
    </w:p>
    <w:p>
      <w:pPr>
        <w:jc w:val="both"/>
        <w:ind w:firstLine="1304"/>
        <w:spacing w:after="0" w:line="247" w:lineRule="auto"/>
        <w:tabs>
          <w:tab w:leader="none" w:pos="1778" w:val="left"/>
        </w:tabs>
        <w:numPr>
          <w:ilvl w:val="0"/>
          <w:numId w:val="7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40" w:right="339" w:bottom="1440" w:gutter="0" w:footer="0" w:header="0"/>
        </w:sectPr>
      </w:pPr>
    </w:p>
    <w:bookmarkStart w:id="631" w:name="page632"/>
    <w:bookmarkEnd w:id="631"/>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paragraph (h) if, and then only to the extent, the payment of such amount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2.16 shall not be construed to require the Administrative Agent or any Lender to make available its tax returns (or any other information relating to its taxes which it deems confidential) to the Borrower or any other Person.</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853" w:val="left"/>
        </w:tabs>
        <w:numPr>
          <w:ilvl w:val="1"/>
          <w:numId w:val="7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or prepayment required to be made by it hereunder (whether of principal, interest, fees or reimbursement of LC Disbursements,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1615 Brett Road, Ops III, New Castle, DE 19720, pursuant to wire instructions to be provided by the Administrative Agent, except payments to be made directly to an Issuing Lender as expressly provided herein and except that payments pursuant to Sections 2.14, 2.15 and 10.04 shall be made directly to the Persons entitled thereto. The Administrative Agent shall distribute any such payments received by it (including, subject to the terms of the Collateral Trust Agreement or any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8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33" w:val="left"/>
        </w:tabs>
        <w:numPr>
          <w:ilvl w:val="1"/>
          <w:numId w:val="7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insufficient funds are received by and available to the Administrative Agent to pay fully all Obligations then due hereunder, such funds shall be applied, subject to the terms of the Collateral Trust Agreement or any Intercreditor Agreement, as applicable,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towards payment of Fees and expenses then due under Sections 2.19 and 10.04 payable to each Agent and any trustee appointed pursuant to Section 8.01(d), to the extent applicable,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towards payment of Fees and expenses then due under Sections 2.20, 2.21 and 10.04 payable to the Lenders and the Issuing Lenders and towards payment of interest then due on account of the Revolving Loans, Term Loans and Letters of Credit, ratably among the parties entitled thereto in accordance with the amounts of such Fees and expenses and interest then due to such parties and</w:t>
      </w:r>
    </w:p>
    <w:p>
      <w:pPr>
        <w:spacing w:after="0" w:line="3" w:lineRule="exact"/>
        <w:rPr>
          <w:rFonts w:ascii="Times New Roman" w:cs="Times New Roman" w:eastAsia="Times New Roman" w:hAnsi="Times New Roman"/>
          <w:sz w:val="22"/>
          <w:szCs w:val="22"/>
          <w:color w:val="auto"/>
        </w:rPr>
      </w:pPr>
    </w:p>
    <w:p>
      <w:pPr>
        <w:jc w:val="both"/>
        <w:ind w:firstLine="8"/>
        <w:spacing w:after="0" w:line="246" w:lineRule="auto"/>
        <w:tabs>
          <w:tab w:leader="none" w:pos="378" w:val="left"/>
        </w:tabs>
        <w:numPr>
          <w:ilvl w:val="0"/>
          <w:numId w:val="7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towards payment of (A) principal of the Revolving Loans, Term Loans and unreimbursed LC Disbursements then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40" w:right="339" w:bottom="1440" w:gutter="0" w:footer="0" w:header="0"/>
        </w:sectPr>
      </w:pPr>
    </w:p>
    <w:bookmarkStart w:id="632" w:name="page633"/>
    <w:bookmarkEnd w:id="632"/>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w:t>
      </w:r>
    </w:p>
    <w:p>
      <w:pPr>
        <w:spacing w:after="0" w:line="186" w:lineRule="exact"/>
        <w:rPr>
          <w:sz w:val="20"/>
          <w:szCs w:val="20"/>
          <w:color w:val="auto"/>
        </w:rPr>
      </w:pPr>
    </w:p>
    <w:p>
      <w:pPr>
        <w:jc w:val="both"/>
        <w:ind w:firstLine="1304"/>
        <w:spacing w:after="0" w:line="247" w:lineRule="auto"/>
        <w:tabs>
          <w:tab w:leader="none" w:pos="1757"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2"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7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 Rata Treatment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51" w:lineRule="auto"/>
        <w:tabs>
          <w:tab w:leader="none" w:pos="1775" w:val="left"/>
        </w:tabs>
        <w:numPr>
          <w:ilvl w:val="0"/>
          <w:numId w:val="7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Installments of the applicable Class of Term Loans being prepaid.</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4" w:val="left"/>
        </w:tabs>
        <w:numPr>
          <w:ilvl w:val="0"/>
          <w:numId w:val="7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(including each prepayment) by the Borrower on account of principal of and interest on any Class of Revolving Loans shall be made pro rata according to the respective outstanding principal amounts of such Class of Revolving Loans then held by the Revolving Lenders.</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Sections 2.18(b), 2.26, 2.27, 2.28, 10.08(d), 10.08(e) or 10.08(f), (D) the application of funds resulting from the existence of a Defaulting Lender, or (E) any other circumstance expressly provided for herein.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40" w:right="339" w:bottom="1440" w:gutter="0" w:footer="0" w:header="0"/>
        </w:sectPr>
      </w:pPr>
    </w:p>
    <w:bookmarkStart w:id="633" w:name="page634"/>
    <w:bookmarkEnd w:id="633"/>
    <w:p>
      <w:pPr>
        <w:spacing w:after="0" w:line="19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780" w:val="left"/>
        </w:tabs>
        <w:numPr>
          <w:ilvl w:val="1"/>
          <w:numId w:val="7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273" w:val="left"/>
        </w:tabs>
        <w:numPr>
          <w:ilvl w:val="0"/>
          <w:numId w:val="7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4" w:val="left"/>
        </w:tabs>
        <w:numPr>
          <w:ilvl w:val="1"/>
          <w:numId w:val="7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w:t>
      </w:r>
    </w:p>
    <w:p>
      <w:pPr>
        <w:spacing w:after="0" w:line="1" w:lineRule="exact"/>
        <w:rPr>
          <w:rFonts w:ascii="Times New Roman" w:cs="Times New Roman" w:eastAsia="Times New Roman" w:hAnsi="Times New Roman"/>
          <w:sz w:val="22"/>
          <w:szCs w:val="22"/>
          <w:color w:val="auto"/>
        </w:rPr>
      </w:pPr>
    </w:p>
    <w:p>
      <w:pPr>
        <w:jc w:val="both"/>
        <w:ind w:firstLine="8"/>
        <w:spacing w:after="0" w:line="247" w:lineRule="auto"/>
        <w:tabs>
          <w:tab w:leader="none" w:pos="263" w:val="left"/>
        </w:tabs>
        <w:numPr>
          <w:ilvl w:val="0"/>
          <w:numId w:val="7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w:t>
      </w:r>
    </w:p>
    <w:p>
      <w:pPr>
        <w:spacing w:after="0" w:line="18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2.19.</w:t>
      </w:r>
      <w:r>
        <w:rPr>
          <w:sz w:val="20"/>
          <w:szCs w:val="20"/>
          <w:color w:val="auto"/>
        </w:rPr>
        <w:tab/>
      </w:r>
      <w:r>
        <w:rPr>
          <w:rFonts w:ascii="Times New Roman" w:cs="Times New Roman" w:eastAsia="Times New Roman" w:hAnsi="Times New Roman"/>
          <w:sz w:val="21"/>
          <w:szCs w:val="21"/>
          <w:u w:val="single" w:color="auto"/>
          <w:color w:val="auto"/>
        </w:rPr>
        <w:t>Certain Fees.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Borrower shall pay to the Administrative Agent the fees set forth in that certain Administrative Agent Fee Letter, dated as of the date hereof, between the Administrative Agent and the Borrower (as may be amended, restated, amended and restated, modified, supplemented or replaced from time to time, the “</w:t>
      </w:r>
      <w:r>
        <w:rPr>
          <w:rFonts w:ascii="Times New Roman" w:cs="Times New Roman" w:eastAsia="Times New Roman" w:hAnsi="Times New Roman"/>
          <w:sz w:val="21"/>
          <w:szCs w:val="21"/>
          <w:i w:val="1"/>
          <w:iCs w:val="1"/>
          <w:color w:val="auto"/>
        </w:rPr>
        <w:t>Fee Letter</w:t>
      </w:r>
      <w:r>
        <w:rPr>
          <w:rFonts w:ascii="Times New Roman" w:cs="Times New Roman" w:eastAsia="Times New Roman" w:hAnsi="Times New Roman"/>
          <w:sz w:val="21"/>
          <w:szCs w:val="21"/>
          <w:color w:val="auto"/>
        </w:rPr>
        <w:t>”), at the times and to the entities set forth therein.</w:t>
      </w:r>
    </w:p>
    <w:p>
      <w:pPr>
        <w:spacing w:after="0" w:line="15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2.20.</w:t>
      </w:r>
      <w:r>
        <w:rPr>
          <w:sz w:val="20"/>
          <w:szCs w:val="20"/>
          <w:color w:val="auto"/>
        </w:rPr>
        <w:tab/>
      </w: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Borrower shall pay to the Administrative Agent for the accounts of the Revolving Lenders a commitment fee (the “</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for the period commencing on the effective date of the applicable Revolving Commitments to the Revolving Facility Termination Date with respect to the applicable Revolving Commitments or the earlier date of termination of the applicable Revolving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40" w:right="339" w:bottom="1440" w:gutter="0" w:footer="0" w:header="0"/>
        </w:sectPr>
      </w:pPr>
    </w:p>
    <w:bookmarkStart w:id="634" w:name="page635"/>
    <w:bookmarkEnd w:id="634"/>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Commitment, computed (on the basis of the actual number of days elapsed over a year of 360 days) at the Commitment Fee Rate on the average daily Unused Total Revolving Commitment. Such Commitment Fee, to the extent then accrued, shall be payable quarterly in arrears (a) following the Closing Date on the last Business Day of each March, June, September and December,</w:t>
      </w:r>
    </w:p>
    <w:p>
      <w:pPr>
        <w:spacing w:after="0" w:line="2" w:lineRule="exact"/>
        <w:rPr>
          <w:sz w:val="20"/>
          <w:szCs w:val="20"/>
          <w:color w:val="auto"/>
        </w:rPr>
      </w:pPr>
    </w:p>
    <w:p>
      <w:pPr>
        <w:jc w:val="both"/>
        <w:ind w:firstLine="8"/>
        <w:spacing w:after="0" w:line="264" w:lineRule="auto"/>
        <w:tabs>
          <w:tab w:leader="none" w:pos="328" w:val="left"/>
        </w:tabs>
        <w:numPr>
          <w:ilvl w:val="0"/>
          <w:numId w:val="7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Revolving Facility Termination Date with respect to the applicable Revolving Commitments and (c) as provided in Section 2.11, upon any reduction or termination in whole or in part of the Total Revolving Commitment</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(provided that such fee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will be prorated for the fiscal quarter in which the First Amendment Effective Date occurs based on the Commitment Fee set forth herein prior to the First Amendment Effective Date and from and after the First Amendment Effective Date).</w:t>
      </w:r>
    </w:p>
    <w:p>
      <w:pPr>
        <w:spacing w:after="0" w:line="16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2.21. </w:t>
      </w:r>
      <w:r>
        <w:rPr>
          <w:rFonts w:ascii="Times New Roman" w:cs="Times New Roman" w:eastAsia="Times New Roman" w:hAnsi="Times New Roman"/>
          <w:sz w:val="21"/>
          <w:szCs w:val="21"/>
          <w:u w:val="single" w:color="auto"/>
          <w:color w:val="auto"/>
        </w:rPr>
        <w:t>Letter of Credit Fees</w:t>
      </w:r>
      <w:r>
        <w:rPr>
          <w:rFonts w:ascii="Times New Roman" w:cs="Times New Roman" w:eastAsia="Times New Roman" w:hAnsi="Times New Roman"/>
          <w:sz w:val="21"/>
          <w:szCs w:val="21"/>
          <w:color w:val="auto"/>
        </w:rPr>
        <w:t>.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Term SOFR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 payable quarterly in the manner described in the immediately preceding sentence and on the date of expiration or termination of any such Letter of Credit.</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2.22. </w:t>
      </w:r>
      <w:r>
        <w:rPr>
          <w:rFonts w:ascii="Times New Roman" w:cs="Times New Roman" w:eastAsia="Times New Roman" w:hAnsi="Times New Roman"/>
          <w:sz w:val="22"/>
          <w:szCs w:val="22"/>
          <w:u w:val="single" w:color="auto"/>
          <w:color w:val="auto"/>
        </w:rPr>
        <w:t>Nature of Fees</w:t>
      </w:r>
      <w:r>
        <w:rPr>
          <w:rFonts w:ascii="Times New Roman" w:cs="Times New Roman" w:eastAsia="Times New Roman" w:hAnsi="Times New Roman"/>
          <w:sz w:val="22"/>
          <w:szCs w:val="22"/>
          <w:color w:val="auto"/>
        </w:rPr>
        <w:t>. All Fees shall be paid on the dates due, in immediately available funds, to the Administrative Agent, the Issuing Lenders and the Joint Lead Arrangers and Bookrunners, as applicable, in each case as provided herein and in the Fee Letter. Once paid, none of the Fees shall be refundable or creditable under any circumstances, except as otherwise provided in the applicable Fee Letter.</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2.23.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Upon the occurrence and during the continuance of any Event of Default pursuant to Section 7.01(b), the Administrative Agent, the Collateral Trustee,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40" w:right="339" w:bottom="1440" w:gutter="0" w:footer="0" w:header="0"/>
        </w:sectPr>
      </w:pPr>
    </w:p>
    <w:bookmarkStart w:id="635" w:name="page636"/>
    <w:bookmarkEnd w:id="635"/>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shall have made any demand under any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Lender, each Issuing Lender and the Administrative Agent agree promptly to notify the Borrower and Guarantors after any such set-off and application made by such Lender, such Issuing Lender or the Administrative Agent (or any of such banking Affiliates),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2.24. </w:t>
      </w:r>
      <w:r>
        <w:rPr>
          <w:rFonts w:ascii="Times New Roman" w:cs="Times New Roman" w:eastAsia="Times New Roman" w:hAnsi="Times New Roman"/>
          <w:sz w:val="22"/>
          <w:szCs w:val="22"/>
          <w:u w:val="single" w:color="auto"/>
          <w:color w:val="auto"/>
        </w:rPr>
        <w:t>Security Interest in Letter of Credit Account</w:t>
      </w:r>
      <w:r>
        <w:rPr>
          <w:rFonts w:ascii="Times New Roman" w:cs="Times New Roman" w:eastAsia="Times New Roman" w:hAnsi="Times New Roman"/>
          <w:sz w:val="22"/>
          <w:szCs w:val="22"/>
          <w:color w:val="auto"/>
        </w:rPr>
        <w:t>. The Borrower and the Guarantors hereby pledge to the Administrative Agent, for its benefit and for the benefit of the other Secured Parties, and hereby grant to the Administrative Agent, for its benefit and for the benefit of the other Secured Parties, a first priority security interest, senior to all other Liens (other than Permitted Liens), if any, in all of the Borrower’s and the Guarantors’ right, title and interest in and to the Letter of Credit Account, any direct investment of the funds contained therein and any proceeds thereof, in each case whether now owned or hereafter acquired. Cash held in the Letter of Credit Account shall not be available for use by the Borrower, and shall be released to the Borrower only as described in Section 2.02(j).</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2.25.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2.26.</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779" w:val="left"/>
        </w:tabs>
        <w:numPr>
          <w:ilvl w:val="0"/>
          <w:numId w:val="7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any Lender becomes a Defaulting Lender, then the Borrower may,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Lender shall have any obligation to the Borrower to find a replacement Lender or other such Person.</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1" w:val="left"/>
        </w:tabs>
        <w:numPr>
          <w:ilvl w:val="0"/>
          <w:numId w:val="7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being replaced pursuant to Section 2.26(a) 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40" w:right="339" w:bottom="1440" w:gutter="0" w:footer="0" w:header="0"/>
        </w:sectPr>
      </w:pPr>
    </w:p>
    <w:bookmarkStart w:id="636" w:name="page637"/>
    <w:bookmarkEnd w:id="636"/>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w:t>
      </w:r>
    </w:p>
    <w:p>
      <w:pPr>
        <w:spacing w:after="0" w:line="184" w:lineRule="exact"/>
        <w:rPr>
          <w:sz w:val="20"/>
          <w:szCs w:val="20"/>
          <w:color w:val="auto"/>
        </w:rPr>
      </w:pPr>
    </w:p>
    <w:p>
      <w:pPr>
        <w:jc w:val="both"/>
        <w:ind w:firstLine="1304"/>
        <w:spacing w:after="0" w:line="263" w:lineRule="auto"/>
        <w:tabs>
          <w:tab w:leader="none" w:pos="1817" w:val="left"/>
        </w:tabs>
        <w:numPr>
          <w:ilvl w:val="0"/>
          <w:numId w:val="7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Anything herein to the contrary notwithstanding, if a Revolving Lender becomes, and during the period it remains, a Defaulting Lender, during such period, such Defaulting Lender shall not be entitled to any fees accruing during such period pursuant to Sections 2.20 and 2.21 (without prejudice to the rights of the Non-Defaulting Lenders in respect of such fees);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w:t>
      </w:r>
    </w:p>
    <w:p>
      <w:pPr>
        <w:spacing w:after="0" w:line="169"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7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LC Exposure exists at the time a Revolving Lender becomes a Defaulting Lender then:</w:t>
      </w:r>
    </w:p>
    <w:p>
      <w:pPr>
        <w:spacing w:after="0" w:line="220" w:lineRule="exact"/>
        <w:rPr>
          <w:sz w:val="20"/>
          <w:szCs w:val="20"/>
          <w:color w:val="auto"/>
        </w:rPr>
      </w:pPr>
    </w:p>
    <w:p>
      <w:pPr>
        <w:jc w:val="both"/>
        <w:ind w:left="660" w:firstLine="644"/>
        <w:spacing w:after="0" w:line="249" w:lineRule="auto"/>
        <w:tabs>
          <w:tab w:leader="none" w:pos="1824" w:val="left"/>
        </w:tabs>
        <w:numPr>
          <w:ilvl w:val="0"/>
          <w:numId w:val="7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the Non-Defaulting Lenders pro rata in accordance with their respective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Revolving Extensions of Credit of each such Non-Defaulting Lender may not in any event exceed the Revolving Commitment of such Non-Defaulting Lender as in effect at the time of such reallocation, (B) such reallocation will not constitute a waiver or release of any claim the Borrower, the Administrative Agent, the Issuing Lenders or any other Lender may have against such Defaulting Lender, (C) at the time of such reallocation, no Event of Default pursuant to Sections 7.01(b), (e)(B), (f) or (g) has occurred and is continuing and (D) neither such reallocation nor any payment by a Non-Defaulting Lender as a result thereof will cause such Defaulting Lender to be a Non-Defaulting Lender;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40" w:right="339" w:bottom="1440" w:gutter="0" w:footer="0" w:header="0"/>
        </w:sectPr>
      </w:pPr>
    </w:p>
    <w:bookmarkStart w:id="637" w:name="page638"/>
    <w:bookmarkEnd w:id="637"/>
    <w:p>
      <w:pPr>
        <w:spacing w:after="0" w:line="195" w:lineRule="exact"/>
        <w:rPr>
          <w:sz w:val="20"/>
          <w:szCs w:val="20"/>
          <w:color w:val="auto"/>
        </w:rPr>
      </w:pPr>
    </w:p>
    <w:p>
      <w:pPr>
        <w:jc w:val="both"/>
        <w:ind w:left="660" w:firstLine="644"/>
        <w:spacing w:after="0" w:line="250" w:lineRule="auto"/>
        <w:tabs>
          <w:tab w:leader="none" w:pos="1827" w:val="left"/>
        </w:tabs>
        <w:numPr>
          <w:ilvl w:val="0"/>
          <w:numId w:val="7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portion (the “</w:t>
      </w:r>
      <w:r>
        <w:rPr>
          <w:rFonts w:ascii="Times New Roman" w:cs="Times New Roman" w:eastAsia="Times New Roman" w:hAnsi="Times New Roman"/>
          <w:sz w:val="22"/>
          <w:szCs w:val="22"/>
          <w:i w:val="1"/>
          <w:iCs w:val="1"/>
          <w:color w:val="auto"/>
        </w:rPr>
        <w:t>unreallocated portion</w:t>
      </w:r>
      <w:r>
        <w:rPr>
          <w:rFonts w:ascii="Times New Roman" w:cs="Times New Roman" w:eastAsia="Times New Roman" w:hAnsi="Times New Roman"/>
          <w:sz w:val="22"/>
          <w:szCs w:val="22"/>
          <w:color w:val="auto"/>
        </w:rPr>
        <w:t>”)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w:t>
      </w:r>
    </w:p>
    <w:p>
      <w:pPr>
        <w:spacing w:after="0" w:line="184" w:lineRule="exact"/>
        <w:rPr>
          <w:sz w:val="20"/>
          <w:szCs w:val="20"/>
          <w:color w:val="auto"/>
        </w:rPr>
      </w:pPr>
    </w:p>
    <w:p>
      <w:pPr>
        <w:jc w:val="both"/>
        <w:ind w:firstLine="1304"/>
        <w:spacing w:after="0" w:line="263" w:lineRule="auto"/>
        <w:tabs>
          <w:tab w:leader="none" w:pos="1790" w:val="left"/>
        </w:tabs>
        <w:numPr>
          <w:ilvl w:val="0"/>
          <w:numId w:val="7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other conditions precedent set forth in this Agreement, if any Revolving Lender becomes, and during the period it remains, a Defaulting Lender, no Issuing Lender shall be required to issue any Letter of Credit or to amend any outstanding Letter of Credit, unless:</w:t>
      </w:r>
    </w:p>
    <w:p>
      <w:pPr>
        <w:spacing w:after="0" w:line="167" w:lineRule="exact"/>
        <w:rPr>
          <w:sz w:val="20"/>
          <w:szCs w:val="20"/>
          <w:color w:val="auto"/>
        </w:rPr>
      </w:pPr>
    </w:p>
    <w:p>
      <w:pPr>
        <w:jc w:val="both"/>
        <w:ind w:left="660" w:firstLine="644"/>
        <w:spacing w:after="0" w:line="257" w:lineRule="auto"/>
        <w:tabs>
          <w:tab w:leader="none" w:pos="1913" w:val="left"/>
        </w:tabs>
        <w:numPr>
          <w:ilvl w:val="0"/>
          <w:numId w:val="7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Defaulting Lender, the LC Exposure of such Defaulting Lender is reallocated, as to outstanding and future Letters of Credit, to the Non-Defaulting Lenders as provided in Section 2.26(d)(i), except as provided in clause (ii) below,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19" w:val="left"/>
        </w:tabs>
        <w:numPr>
          <w:ilvl w:val="0"/>
          <w:numId w:val="7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62" w:lineRule="auto"/>
        <w:tabs>
          <w:tab w:leader="none" w:pos="1861" w:val="left"/>
        </w:tabs>
        <w:numPr>
          <w:ilvl w:val="0"/>
          <w:numId w:val="7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 be, (A) the Borrower agrees that the face amount of such requested Letter of Credit will be reduced by an amount equal to the portion thereof as to which such Defaulting Lender would otherwise be liable, and (B) the Non-Defaulting Lenders’ 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w:t>
      </w:r>
    </w:p>
    <w:p>
      <w:pPr>
        <w:spacing w:after="0" w:line="172" w:lineRule="exact"/>
        <w:rPr>
          <w:sz w:val="20"/>
          <w:szCs w:val="20"/>
          <w:color w:val="auto"/>
        </w:rPr>
      </w:pPr>
    </w:p>
    <w:p>
      <w:pPr>
        <w:jc w:val="both"/>
        <w:ind w:firstLine="1304"/>
        <w:spacing w:after="0" w:line="251" w:lineRule="auto"/>
        <w:tabs>
          <w:tab w:leader="none" w:pos="1750" w:val="left"/>
        </w:tabs>
        <w:numPr>
          <w:ilvl w:val="0"/>
          <w:numId w:val="7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40" w:right="339" w:bottom="1440" w:gutter="0" w:footer="0" w:header="0"/>
        </w:sectPr>
      </w:pPr>
    </w:p>
    <w:bookmarkStart w:id="638" w:name="page639"/>
    <w:bookmarkEnd w:id="638"/>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obligations (contingent or otherwise) of such Defaulting Lender in respect thereof, or to make other arrangements satisfactory to the Administrative Agent and such Issuing Lender in their sole discretion to protect them against the risk of non-payment by such Defaulting Lender.</w:t>
      </w:r>
    </w:p>
    <w:p>
      <w:pPr>
        <w:spacing w:after="0" w:line="186" w:lineRule="exact"/>
        <w:rPr>
          <w:sz w:val="20"/>
          <w:szCs w:val="20"/>
          <w:color w:val="auto"/>
        </w:rPr>
      </w:pPr>
    </w:p>
    <w:p>
      <w:pPr>
        <w:jc w:val="both"/>
        <w:ind w:firstLine="1304"/>
        <w:spacing w:after="0" w:line="251" w:lineRule="auto"/>
        <w:tabs>
          <w:tab w:leader="none" w:pos="1775" w:val="left"/>
        </w:tabs>
        <w:numPr>
          <w:ilvl w:val="0"/>
          <w:numId w:val="7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amounts owing by such Defaulting Lender to the Administrative Agent;</w:t>
      </w:r>
    </w:p>
    <w:p>
      <w:pPr>
        <w:spacing w:after="0" w:line="22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any amounts owing by such Defaulting Lender to the Issuing Lenders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14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payment of the default interest and then current interest due and payable to the Revolving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Non-Defaulting Lenders hereunder, ratably among them in accordance with the amounts of such interest then due and payable to them;</w:t>
      </w:r>
    </w:p>
    <w:p>
      <w:pPr>
        <w:spacing w:after="0" w:line="161"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fees then due and payable to the Non-Defaulting Lenders hereunder, ratably among them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amounts of such fees then due and payable to them;</w:t>
      </w:r>
    </w:p>
    <w:p>
      <w:pPr>
        <w:spacing w:after="0" w:line="149" w:lineRule="exact"/>
        <w:rPr>
          <w:sz w:val="20"/>
          <w:szCs w:val="20"/>
          <w:color w:val="auto"/>
        </w:rPr>
      </w:pPr>
    </w:p>
    <w:p>
      <w:pPr>
        <w:jc w:val="both"/>
        <w:ind w:left="660"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pay principal and unreimbursed LC Disbursements then due and payable to the Non-Defaulting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ratably in accordance with the amounts thereof then due and payable to them;</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ratable payment of other amounts then due and payable to the Non-Defaulting Lenders;</w:t>
      </w:r>
    </w:p>
    <w:p>
      <w:pPr>
        <w:spacing w:after="0" w:line="220"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funding of any Loan or the funding or Cash Collateralization of any participation in any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in respect of which such Defaulting Lender has failed to fund its portion thereof as required by this Agreement, as determined by the Administrative Agent;</w:t>
      </w:r>
    </w:p>
    <w:p>
      <w:pPr>
        <w:spacing w:after="0" w:line="166" w:lineRule="exact"/>
        <w:rPr>
          <w:sz w:val="20"/>
          <w:szCs w:val="20"/>
          <w:color w:val="auto"/>
        </w:rPr>
      </w:pPr>
    </w:p>
    <w:p>
      <w:pPr>
        <w:jc w:val="both"/>
        <w:ind w:left="66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if so determined by the Administrative Agent and the Borrower, held in such account as cash collateral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future funding obligations of the Defaulting Lender under this Agreement;</w:t>
      </w:r>
    </w:p>
    <w:p>
      <w:pPr>
        <w:spacing w:after="0" w:line="137"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ninth</w:t>
      </w:r>
      <w:r>
        <w:rPr>
          <w:rFonts w:ascii="Times New Roman" w:cs="Times New Roman" w:eastAsia="Times New Roman" w:hAnsi="Times New Roman"/>
          <w:sz w:val="22"/>
          <w:szCs w:val="22"/>
          <w:color w:val="auto"/>
        </w:rPr>
        <w:t>, pro rata, to the payment of any amounts owing to the Borrower or the Lenders as a result of any judgment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court of competent jurisdiction obtained by a Borrower or any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40" w:right="339" w:bottom="1440" w:gutter="0" w:footer="0" w:header="0"/>
        </w:sectPr>
      </w:pPr>
    </w:p>
    <w:bookmarkStart w:id="639" w:name="page640"/>
    <w:bookmarkEnd w:id="639"/>
    <w:p>
      <w:pPr>
        <w:spacing w:after="0" w:line="199" w:lineRule="exact"/>
        <w:rPr>
          <w:sz w:val="20"/>
          <w:szCs w:val="20"/>
          <w:color w:val="auto"/>
        </w:rPr>
      </w:pPr>
    </w:p>
    <w:p>
      <w:pPr>
        <w:jc w:val="both"/>
        <w:ind w:left="660" w:right="20"/>
        <w:spacing w:after="0" w:line="271" w:lineRule="auto"/>
        <w:rPr>
          <w:sz w:val="20"/>
          <w:szCs w:val="20"/>
          <w:color w:val="auto"/>
        </w:rPr>
      </w:pPr>
      <w:r>
        <w:rPr>
          <w:rFonts w:ascii="Times New Roman" w:cs="Times New Roman" w:eastAsia="Times New Roman" w:hAnsi="Times New Roman"/>
          <w:sz w:val="22"/>
          <w:szCs w:val="22"/>
          <w:color w:val="auto"/>
        </w:rPr>
        <w:t>Lender against such Defaulting Lender as a result of such Defaulting Lender’s breach of its obligations under this Agreement; and</w:t>
      </w:r>
    </w:p>
    <w:p>
      <w:pPr>
        <w:spacing w:after="0" w:line="154"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tenth</w:t>
      </w:r>
      <w:r>
        <w:rPr>
          <w:rFonts w:ascii="Times New Roman" w:cs="Times New Roman" w:eastAsia="Times New Roman" w:hAnsi="Times New Roman"/>
          <w:sz w:val="22"/>
          <w:szCs w:val="22"/>
          <w:color w:val="auto"/>
        </w:rPr>
        <w:t>, after the termination of the Revolving Commitments and payment in full of all obligations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to pay amounts owing under this Agreement to such Defaulting Lender or as a court of competent jurisdiction may otherwise direct.</w:t>
      </w:r>
    </w:p>
    <w:p>
      <w:pPr>
        <w:spacing w:after="0" w:line="165" w:lineRule="exact"/>
        <w:rPr>
          <w:sz w:val="20"/>
          <w:szCs w:val="20"/>
          <w:color w:val="auto"/>
        </w:rPr>
      </w:pPr>
    </w:p>
    <w:p>
      <w:pPr>
        <w:jc w:val="both"/>
        <w:ind w:firstLine="1304"/>
        <w:spacing w:after="0" w:line="250" w:lineRule="auto"/>
        <w:tabs>
          <w:tab w:leader="none" w:pos="1871" w:val="left"/>
        </w:tabs>
        <w:numPr>
          <w:ilvl w:val="0"/>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26" w:val="left"/>
        </w:tabs>
        <w:numPr>
          <w:ilvl w:val="0"/>
          <w:numId w:val="7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shall be made retroactively with respect to fees accrued while such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Non</w:t>
      </w:r>
      <w:r>
        <w:rPr>
          <w:rFonts w:ascii="Calibri" w:cs="Calibri" w:eastAsia="Calibri" w:hAnsi="Calibri"/>
          <w:sz w:val="22"/>
          <w:szCs w:val="22"/>
          <w:color w:val="auto"/>
        </w:rPr>
        <w:t>-</w:t>
      </w:r>
      <w:r>
        <w:rPr>
          <w:rFonts w:ascii="Times New Roman" w:cs="Times New Roman" w:eastAsia="Times New Roman" w:hAnsi="Times New Roman"/>
          <w:sz w:val="22"/>
          <w:szCs w:val="22"/>
          <w:color w:val="auto"/>
        </w:rPr>
        <w:t>Defaulting Lender shall constitute a waiver or release of any claim of any party hereunder arising from such Lender’s having been a Defaulting Lender.</w:t>
      </w:r>
    </w:p>
    <w:p>
      <w:pPr>
        <w:spacing w:after="0" w:line="195"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48" w:val="left"/>
        </w:tabs>
        <w:numPr>
          <w:ilvl w:val="0"/>
          <w:numId w:val="7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w:t>
      </w:r>
    </w:p>
    <w:p>
      <w:pPr>
        <w:spacing w:after="0" w:line="15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2.27.</w:t>
      </w:r>
      <w:r>
        <w:rPr>
          <w:sz w:val="20"/>
          <w:szCs w:val="20"/>
          <w:color w:val="auto"/>
        </w:rPr>
        <w:tab/>
      </w:r>
      <w:r>
        <w:rPr>
          <w:rFonts w:ascii="Times New Roman" w:cs="Times New Roman" w:eastAsia="Times New Roman" w:hAnsi="Times New Roman"/>
          <w:sz w:val="21"/>
          <w:szCs w:val="21"/>
          <w:u w:val="single" w:color="auto"/>
          <w:color w:val="auto"/>
        </w:rPr>
        <w:t>Increase in Commitment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58" w:lineRule="auto"/>
        <w:tabs>
          <w:tab w:leader="none" w:pos="1779" w:val="left"/>
        </w:tabs>
        <w:numPr>
          <w:ilvl w:val="0"/>
          <w:numId w:val="7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Borrower Request</w:t>
      </w:r>
      <w:r>
        <w:rPr>
          <w:rFonts w:ascii="Times New Roman" w:cs="Times New Roman" w:eastAsia="Times New Roman" w:hAnsi="Times New Roman"/>
          <w:sz w:val="22"/>
          <w:szCs w:val="22"/>
          <w:color w:val="auto"/>
        </w:rPr>
        <w:t>. The Borrower may by written notice to the Administrative Agent request (x)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Revolving Facility Maturity Date, an increase to the existing Revolving Commitments and/or LC Commitment or to establish one or more new Revolving Commitments and/or LC Commitments (each, an “</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and/or (y) at any time the establishment of one or more new Term Loan Commitments (each, an “</w:t>
      </w:r>
      <w:r>
        <w:rPr>
          <w:rFonts w:ascii="Times New Roman" w:cs="Times New Roman" w:eastAsia="Times New Roman" w:hAnsi="Times New Roman"/>
          <w:sz w:val="22"/>
          <w:szCs w:val="22"/>
          <w:i w:val="1"/>
          <w:iCs w:val="1"/>
          <w:color w:val="auto"/>
        </w:rPr>
        <w:t>Incremental Term Loan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40" w:right="339" w:bottom="1440" w:gutter="0" w:footer="0" w:header="0"/>
        </w:sectPr>
      </w:pPr>
    </w:p>
    <w:bookmarkStart w:id="640" w:name="page641"/>
    <w:bookmarkEnd w:id="640"/>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and together with the Incremental Revolving Commitments, the “</w:t>
      </w:r>
      <w:r>
        <w:rPr>
          <w:rFonts w:ascii="Times New Roman" w:cs="Times New Roman" w:eastAsia="Times New Roman" w:hAnsi="Times New Roman"/>
          <w:sz w:val="22"/>
          <w:szCs w:val="22"/>
          <w:i w:val="1"/>
          <w:iCs w:val="1"/>
          <w:color w:val="auto"/>
        </w:rPr>
        <w:t>Incremental Commitments</w:t>
      </w:r>
      <w:r>
        <w:rPr>
          <w:rFonts w:ascii="Times New Roman" w:cs="Times New Roman" w:eastAsia="Times New Roman" w:hAnsi="Times New Roman"/>
          <w:sz w:val="22"/>
          <w:szCs w:val="22"/>
          <w:color w:val="auto"/>
        </w:rPr>
        <w:t>”) by an amount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less than $50,000,000 individually. Each such notice shall specify (i) the date (each, an “</w:t>
      </w:r>
      <w:r>
        <w:rPr>
          <w:rFonts w:ascii="Times New Roman" w:cs="Times New Roman" w:eastAsia="Times New Roman" w:hAnsi="Times New Roman"/>
          <w:sz w:val="22"/>
          <w:szCs w:val="22"/>
          <w:i w:val="1"/>
          <w:iCs w:val="1"/>
          <w:color w:val="auto"/>
        </w:rPr>
        <w:t>Increase Effective Date</w:t>
      </w:r>
      <w:r>
        <w:rPr>
          <w:rFonts w:ascii="Times New Roman" w:cs="Times New Roman" w:eastAsia="Times New Roman" w:hAnsi="Times New Roman"/>
          <w:sz w:val="22"/>
          <w:szCs w:val="22"/>
          <w:color w:val="auto"/>
        </w:rPr>
        <w:t>”) on which the Borrower proposes that the Incremental Commitments shall be effective, which shall be a date not less than ten (10) Business Days after the date on which such notice is delivered to the Administrative Agent (or such earlier date agreed by the Administrative Agent) and (ii) the identity of each Eligible Assignee or other lender reasonably acceptable to the Administrative Agent (and, in the case of any Incremental Revolving Commitment that contains an LC Commitment, each Issuing Lender) to whom the Borrower proposes any portion of such Incremental Commitments be allocated (each, a “</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xml:space="preserve">”) and the amounts of such allocations;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existing Lender approached to provide all or a portion of the Incremental Commitments may elect or decline, in its sole discretion, to provide such Incremental Commitment.</w:t>
      </w:r>
    </w:p>
    <w:p>
      <w:pPr>
        <w:spacing w:after="0" w:line="180" w:lineRule="exact"/>
        <w:rPr>
          <w:sz w:val="20"/>
          <w:szCs w:val="20"/>
          <w:color w:val="auto"/>
        </w:rPr>
      </w:pPr>
    </w:p>
    <w:p>
      <w:pPr>
        <w:ind w:left="1920" w:hanging="616"/>
        <w:spacing w:after="0"/>
        <w:tabs>
          <w:tab w:leader="none" w:pos="1920" w:val="left"/>
        </w:tabs>
        <w:numPr>
          <w:ilvl w:val="0"/>
          <w:numId w:val="7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The Incremental Commitments shall become effective, as of such Increase Effective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96" w:lineRule="exact"/>
        <w:rPr>
          <w:sz w:val="20"/>
          <w:szCs w:val="20"/>
          <w:color w:val="auto"/>
        </w:rPr>
      </w:pPr>
    </w:p>
    <w:p>
      <w:pPr>
        <w:ind w:left="660" w:firstLine="644"/>
        <w:spacing w:after="0" w:line="271" w:lineRule="auto"/>
        <w:tabs>
          <w:tab w:leader="none" w:pos="1775" w:val="left"/>
        </w:tabs>
        <w:numPr>
          <w:ilvl w:val="0"/>
          <w:numId w:val="7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conditions set forth in Section 4.02 shall be satisfied on or prior to such Increase Effective Date before and after giving effect to such Incremental Commitments;</w:t>
      </w:r>
    </w:p>
    <w:p>
      <w:pPr>
        <w:spacing w:after="0" w:line="157" w:lineRule="exact"/>
        <w:rPr>
          <w:rFonts w:ascii="Times New Roman" w:cs="Times New Roman" w:eastAsia="Times New Roman" w:hAnsi="Times New Roman"/>
          <w:sz w:val="22"/>
          <w:szCs w:val="22"/>
          <w:color w:val="auto"/>
        </w:rPr>
      </w:pPr>
    </w:p>
    <w:p>
      <w:pPr>
        <w:ind w:left="660" w:firstLine="644"/>
        <w:spacing w:after="0" w:line="309" w:lineRule="auto"/>
        <w:tabs>
          <w:tab w:leader="none" w:pos="1888" w:val="left"/>
        </w:tabs>
        <w:numPr>
          <w:ilvl w:val="0"/>
          <w:numId w:val="7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or would immediately result from giving effect to the Incremental Commitments on, or the making of any new Loans on, such Increase Effective Date; and</w:t>
      </w:r>
    </w:p>
    <w:p>
      <w:pPr>
        <w:spacing w:after="0" w:line="120"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956" w:val="left"/>
        </w:tabs>
        <w:numPr>
          <w:ilvl w:val="0"/>
          <w:numId w:val="7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provide an Officer’s Certificate demonstrating in reasonable detail that, immediately after giving pro forma effect to (1) the Incremental Commitments, (2) any new Loans to be made on such Increase Effective Date and (3) the pledge of any Additional Collateral, the Collateral Coverage Ratio shall be no less than 1.6 to 1.0 and the aggregate amount of Liquidity shall be no less than $2,000,000,000.</w:t>
      </w:r>
    </w:p>
    <w:p>
      <w:pPr>
        <w:spacing w:after="0" w:line="189" w:lineRule="exact"/>
        <w:rPr>
          <w:sz w:val="20"/>
          <w:szCs w:val="20"/>
          <w:color w:val="auto"/>
        </w:rPr>
      </w:pPr>
    </w:p>
    <w:p>
      <w:pPr>
        <w:ind w:firstLine="1304"/>
        <w:spacing w:after="0" w:line="275" w:lineRule="auto"/>
        <w:tabs>
          <w:tab w:leader="none" w:pos="1887" w:val="left"/>
        </w:tabs>
        <w:numPr>
          <w:ilvl w:val="0"/>
          <w:numId w:val="7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of New Loans and Commitments</w:t>
      </w:r>
      <w:r>
        <w:rPr>
          <w:rFonts w:ascii="Times New Roman" w:cs="Times New Roman" w:eastAsia="Times New Roman" w:hAnsi="Times New Roman"/>
          <w:sz w:val="22"/>
          <w:szCs w:val="22"/>
          <w:color w:val="auto"/>
        </w:rPr>
        <w:t>. The terms and provisions of Loans made pursuant to the new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shall be as follows:</w:t>
      </w:r>
    </w:p>
    <w:p>
      <w:pPr>
        <w:spacing w:after="0" w:line="153" w:lineRule="exact"/>
        <w:rPr>
          <w:sz w:val="20"/>
          <w:szCs w:val="20"/>
          <w:color w:val="auto"/>
        </w:rPr>
      </w:pPr>
    </w:p>
    <w:p>
      <w:pPr>
        <w:jc w:val="both"/>
        <w:ind w:left="660" w:firstLine="644"/>
        <w:spacing w:after="0" w:line="256" w:lineRule="auto"/>
        <w:tabs>
          <w:tab w:leader="none" w:pos="1796" w:val="left"/>
        </w:tabs>
        <w:numPr>
          <w:ilvl w:val="0"/>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provisions with respect to interest rates, maturity date and amortization schedule of Loans made pursuant to any Incremental Term Loan Commitments (“</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shall be as agreed upon between the Borrower and the applicable Lenders providing such Loans (it being understood that the Incremental Term Loans may be part of the Initial Term Loans or any other Class of Term Loans);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7" w:val="left"/>
        </w:tabs>
        <w:numPr>
          <w:ilvl w:val="0"/>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Loans made pursuant to Incremental Term Loan Commitments shall be no earlier than the Term Loan Maturity Date applicable to the Initial Term Loans that have not been extended pursuant to Section 2.28;</w:t>
      </w:r>
    </w:p>
    <w:p>
      <w:pPr>
        <w:spacing w:after="0" w:line="172" w:lineRule="exact"/>
        <w:rPr>
          <w:rFonts w:ascii="Times New Roman" w:cs="Times New Roman" w:eastAsia="Times New Roman" w:hAnsi="Times New Roman"/>
          <w:sz w:val="22"/>
          <w:szCs w:val="22"/>
          <w:color w:val="auto"/>
        </w:rPr>
      </w:pPr>
    </w:p>
    <w:p>
      <w:pPr>
        <w:jc w:val="both"/>
        <w:ind w:left="660" w:right="20" w:firstLine="644"/>
        <w:spacing w:after="0" w:line="263" w:lineRule="auto"/>
        <w:tabs>
          <w:tab w:leader="none" w:pos="2118" w:val="left"/>
        </w:tabs>
        <w:numPr>
          <w:ilvl w:val="0"/>
          <w:numId w:val="7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any Loans made pursuant to Incremental Term Loan Commitments shall be no shorter than the Weighted Average Life to Maturity of the Term Loan Commitments made on the Closing Date;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40" w:right="339" w:bottom="1440" w:gutter="0" w:footer="0" w:header="0"/>
        </w:sectPr>
      </w:pPr>
    </w:p>
    <w:bookmarkStart w:id="641" w:name="page642"/>
    <w:bookmarkEnd w:id="641"/>
    <w:p>
      <w:pPr>
        <w:spacing w:after="0" w:line="199" w:lineRule="exact"/>
        <w:rPr>
          <w:sz w:val="20"/>
          <w:szCs w:val="20"/>
          <w:color w:val="auto"/>
        </w:rPr>
      </w:pPr>
    </w:p>
    <w:p>
      <w:pPr>
        <w:jc w:val="both"/>
        <w:ind w:left="660" w:firstLine="644"/>
        <w:spacing w:after="0" w:line="247" w:lineRule="auto"/>
        <w:tabs>
          <w:tab w:leader="none" w:pos="1941" w:val="left"/>
        </w:tabs>
        <w:numPr>
          <w:ilvl w:val="0"/>
          <w:numId w:val="7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interest rate margins for new Incremental Term Loans shall be determined by the Borrower and the applicable Lenders providing such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Class of Incremental Term Loans incurred prior to the date that is eighteen (18) months after the Closing Date that are denominated in Dollars and pari passu in right of payment with, and secured on a pari passu basis with, the Initial Term Loans, if the All-In Initial Yield on such Class of Incremental Term Loans exceeds the All-In Initial Yield on the Initial Term Loans funded hereunder on the Closing Date (the “</w:t>
      </w:r>
      <w:r>
        <w:rPr>
          <w:rFonts w:ascii="Times New Roman" w:cs="Times New Roman" w:eastAsia="Times New Roman" w:hAnsi="Times New Roman"/>
          <w:sz w:val="22"/>
          <w:szCs w:val="22"/>
          <w:i w:val="1"/>
          <w:iCs w:val="1"/>
          <w:color w:val="auto"/>
        </w:rPr>
        <w:t>Original Term Loans</w:t>
      </w:r>
      <w:r>
        <w:rPr>
          <w:rFonts w:ascii="Times New Roman" w:cs="Times New Roman" w:eastAsia="Times New Roman" w:hAnsi="Times New Roman"/>
          <w:sz w:val="22"/>
          <w:szCs w:val="22"/>
          <w:color w:val="auto"/>
        </w:rPr>
        <w:t>”) by more than 50 basis points (the amount of such excess, if any, above 50 basis points being referred to herein as the “</w:t>
      </w:r>
      <w:r>
        <w:rPr>
          <w:rFonts w:ascii="Times New Roman" w:cs="Times New Roman" w:eastAsia="Times New Roman" w:hAnsi="Times New Roman"/>
          <w:sz w:val="22"/>
          <w:szCs w:val="22"/>
          <w:i w:val="1"/>
          <w:iCs w:val="1"/>
          <w:color w:val="auto"/>
        </w:rPr>
        <w:t>Yield Differential</w:t>
      </w:r>
      <w:r>
        <w:rPr>
          <w:rFonts w:ascii="Times New Roman" w:cs="Times New Roman" w:eastAsia="Times New Roman" w:hAnsi="Times New Roman"/>
          <w:sz w:val="22"/>
          <w:szCs w:val="22"/>
          <w:color w:val="auto"/>
        </w:rPr>
        <w:t xml:space="preserve">”), then the interest rate margin (and, as provided in the following proviso, the Adjusted Term SOFR floor) then in effect for the Original Term Loans shall be increased to eliminate such Yield Differential;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to the extent any portion of the Yield Differential is attributable to any Term SOFR Reference Rate floor applicable to such Class of Incremental Term Loans exceeding the Adjusted Term SOFR floor applicable to the Original Term Loans, the Adjusted Term SOFR floor applicable to the Original Term Loans shall first be increased to eliminate such Yield Differential to an amount not to exceed the Term SOFR Reference Rate floor applicable to such Class of Incremental Term Loans prior to any increase in the interest rate margin applicable to such Original Term Loans;</w:t>
      </w:r>
    </w:p>
    <w:p>
      <w:pPr>
        <w:spacing w:after="0" w:line="20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0" w:val="left"/>
        </w:tabs>
        <w:numPr>
          <w:ilvl w:val="0"/>
          <w:numId w:val="7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Revolving Loans extended pursuant to such new Commitments shall be no earlier than the Revolving Facility Maturity Date applicable to the Revolving Commitments that have not been extended pursuant to Section 2.28;</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08" w:val="left"/>
        </w:tabs>
        <w:numPr>
          <w:ilvl w:val="0"/>
          <w:numId w:val="7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Revolving Commitments established pursuant to such Incremental Revolving Commitments shall not require any scheduled amortization or mandatory commitment reduction prior to the Revolving Facility Maturity Date;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2036" w:val="left"/>
        </w:tabs>
        <w:numPr>
          <w:ilvl w:val="0"/>
          <w:numId w:val="7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Incremental Commitments shall be effected by a joinder agreement (the “</w:t>
      </w:r>
      <w:r>
        <w:rPr>
          <w:rFonts w:ascii="Times New Roman" w:cs="Times New Roman" w:eastAsia="Times New Roman" w:hAnsi="Times New Roman"/>
          <w:sz w:val="22"/>
          <w:szCs w:val="22"/>
          <w:i w:val="1"/>
          <w:iCs w:val="1"/>
          <w:color w:val="auto"/>
        </w:rPr>
        <w:t>Increase Joinder</w:t>
      </w:r>
      <w:r>
        <w:rPr>
          <w:rFonts w:ascii="Times New Roman" w:cs="Times New Roman" w:eastAsia="Times New Roman" w:hAnsi="Times New Roman"/>
          <w:sz w:val="22"/>
          <w:szCs w:val="22"/>
          <w:color w:val="auto"/>
        </w:rPr>
        <w:t>”)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w:t>
      </w:r>
    </w:p>
    <w:p>
      <w:pPr>
        <w:spacing w:after="0" w:line="185" w:lineRule="exact"/>
        <w:rPr>
          <w:sz w:val="20"/>
          <w:szCs w:val="20"/>
          <w:color w:val="auto"/>
        </w:rPr>
      </w:pPr>
    </w:p>
    <w:p>
      <w:pPr>
        <w:ind w:right="20" w:firstLine="1304"/>
        <w:spacing w:after="0" w:line="275" w:lineRule="auto"/>
        <w:tabs>
          <w:tab w:leader="none" w:pos="1858" w:val="left"/>
        </w:tabs>
        <w:numPr>
          <w:ilvl w:val="0"/>
          <w:numId w:val="7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of Revolving Loans</w:t>
      </w:r>
      <w:r>
        <w:rPr>
          <w:rFonts w:ascii="Times New Roman" w:cs="Times New Roman" w:eastAsia="Times New Roman" w:hAnsi="Times New Roman"/>
          <w:sz w:val="22"/>
          <w:szCs w:val="22"/>
          <w:color w:val="auto"/>
        </w:rPr>
        <w:t>. To the extent the Commitments being increased on the relevant Increase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Date are Revolving Commitments, each of the existing Revolving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40" w:right="339" w:bottom="1440" w:gutter="0" w:footer="0" w:header="0"/>
        </w:sectPr>
      </w:pPr>
    </w:p>
    <w:bookmarkStart w:id="642" w:name="page643"/>
    <w:bookmarkEnd w:id="642"/>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 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increased Revolving Commitments shall make such Revolving Loans in accordance with Section 2.01(a).</w:t>
      </w:r>
    </w:p>
    <w:p>
      <w:pPr>
        <w:spacing w:after="0" w:line="176" w:lineRule="exact"/>
        <w:rPr>
          <w:sz w:val="20"/>
          <w:szCs w:val="20"/>
          <w:color w:val="auto"/>
        </w:rPr>
      </w:pPr>
    </w:p>
    <w:p>
      <w:pPr>
        <w:jc w:val="both"/>
        <w:ind w:firstLine="1304"/>
        <w:spacing w:after="0" w:line="258" w:lineRule="auto"/>
        <w:tabs>
          <w:tab w:leader="none" w:pos="1792"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Making of New Term Loans</w:t>
      </w:r>
      <w:r>
        <w:rPr>
          <w:rFonts w:ascii="Times New Roman" w:cs="Times New Roman" w:eastAsia="Times New Roman" w:hAnsi="Times New Roman"/>
          <w:sz w:val="22"/>
          <w:szCs w:val="22"/>
          <w:color w:val="auto"/>
        </w:rPr>
        <w:t>. On any Increase Effective Date on which one or more Incremental Term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becomes effective, subject to the satisfaction of the foregoing terms and conditions, each Lender of such Incremental Term Loan Commitment shall make an Incremental Term Loan to the Borrower in an amount equal to its Incremental Term Loan Commitment.</w:t>
      </w:r>
    </w:p>
    <w:p>
      <w:pPr>
        <w:spacing w:after="0" w:line="167" w:lineRule="exact"/>
        <w:rPr>
          <w:rFonts w:ascii="Times New Roman" w:cs="Times New Roman" w:eastAsia="Times New Roman" w:hAnsi="Times New Roman"/>
          <w:sz w:val="22"/>
          <w:szCs w:val="22"/>
          <w:color w:val="auto"/>
        </w:rPr>
      </w:pPr>
    </w:p>
    <w:p>
      <w:pPr>
        <w:jc w:val="both"/>
        <w:ind w:firstLine="1304"/>
        <w:spacing w:after="0" w:line="254" w:lineRule="auto"/>
        <w:tabs>
          <w:tab w:leader="none" w:pos="1741" w:val="left"/>
        </w:tabs>
        <w:numPr>
          <w:ilvl w:val="0"/>
          <w:numId w:val="7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 and Guaranty</w:t>
      </w:r>
      <w:r>
        <w:rPr>
          <w:rFonts w:ascii="Times New Roman" w:cs="Times New Roman" w:eastAsia="Times New Roman" w:hAnsi="Times New Roman"/>
          <w:sz w:val="22"/>
          <w:szCs w:val="22"/>
          <w:color w:val="auto"/>
        </w:rPr>
        <w:t>. The Incremental Commitments will be secured on a</w:t>
      </w:r>
      <w:r>
        <w:rPr>
          <w:rFonts w:ascii="Times New Roman" w:cs="Times New Roman" w:eastAsia="Times New Roman" w:hAnsi="Times New Roman"/>
          <w:sz w:val="22"/>
          <w:szCs w:val="22"/>
          <w:i w:val="1"/>
          <w:iCs w:val="1"/>
          <w:color w:val="auto"/>
        </w:rPr>
        <w:t xml:space="preserve"> pari passu </w:t>
      </w:r>
      <w:r>
        <w:rPr>
          <w:rFonts w:ascii="Times New Roman" w:cs="Times New Roman" w:eastAsia="Times New Roman" w:hAnsi="Times New Roman"/>
          <w:sz w:val="22"/>
          <w:szCs w:val="22"/>
          <w:color w:val="auto"/>
        </w:rPr>
        <w:t>or (at the Borrower’s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option) junior basis by the same Collateral securing the obligations under the Facilities, and the Incremental Commitments and any incremental loans drawn thereunder shall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with or (at the Borrower’s option) junior to the obligations under the Facilities (it being understood any such junior liens shall be subject to an Intercreditor Agreement). Incremental Commitments shall benefit from the same guarantees as the Facilities.</w:t>
      </w:r>
    </w:p>
    <w:p>
      <w:pPr>
        <w:spacing w:after="0" w:line="17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2.28.</w:t>
      </w:r>
      <w:r>
        <w:rPr>
          <w:sz w:val="20"/>
          <w:szCs w:val="20"/>
          <w:color w:val="auto"/>
        </w:rPr>
        <w:tab/>
      </w:r>
      <w:r>
        <w:rPr>
          <w:rFonts w:ascii="Times New Roman" w:cs="Times New Roman" w:eastAsia="Times New Roman" w:hAnsi="Times New Roman"/>
          <w:sz w:val="21"/>
          <w:szCs w:val="21"/>
          <w:u w:val="single" w:color="auto"/>
          <w:color w:val="auto"/>
        </w:rPr>
        <w:t>Extension of Term Loans; Extension of the Revolving Facility</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48" w:lineRule="auto"/>
        <w:tabs>
          <w:tab w:leader="none" w:pos="1833" w:val="left"/>
        </w:tabs>
        <w:numPr>
          <w:ilvl w:val="0"/>
          <w:numId w:val="7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of Term Loans</w:t>
      </w:r>
      <w:r>
        <w:rPr>
          <w:rFonts w:ascii="Times New Roman" w:cs="Times New Roman" w:eastAsia="Times New Roman" w:hAnsi="Times New Roman"/>
          <w:sz w:val="22"/>
          <w:szCs w:val="22"/>
          <w:color w:val="auto"/>
        </w:rPr>
        <w:t>. Notwithstanding anything to the contrary in this Agreement, pursuant to one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offers (each, a “</w:t>
      </w:r>
      <w:r>
        <w:rPr>
          <w:rFonts w:ascii="Times New Roman" w:cs="Times New Roman" w:eastAsia="Times New Roman" w:hAnsi="Times New Roman"/>
          <w:sz w:val="22"/>
          <w:szCs w:val="22"/>
          <w:i w:val="1"/>
          <w:iCs w:val="1"/>
          <w:color w:val="auto"/>
        </w:rPr>
        <w:t>Term Loan Extension Offer</w:t>
      </w:r>
      <w:r>
        <w:rPr>
          <w:rFonts w:ascii="Times New Roman" w:cs="Times New Roman" w:eastAsia="Times New Roman" w:hAnsi="Times New Roman"/>
          <w:sz w:val="22"/>
          <w:szCs w:val="22"/>
          <w:color w:val="auto"/>
        </w:rPr>
        <w:t>”),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Times New Roman" w:cs="Times New Roman" w:eastAsia="Times New Roman" w:hAnsi="Times New Roman"/>
          <w:sz w:val="22"/>
          <w:szCs w:val="22"/>
          <w:i w:val="1"/>
          <w:iCs w:val="1"/>
          <w:color w:val="auto"/>
        </w:rPr>
        <w:t>Term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Extension</w:t>
      </w:r>
      <w:r>
        <w:rPr>
          <w:rFonts w:ascii="Times New Roman" w:cs="Times New Roman" w:eastAsia="Times New Roman" w:hAnsi="Times New Roman"/>
          <w:sz w:val="22"/>
          <w:szCs w:val="22"/>
          <w:color w:val="auto"/>
        </w:rPr>
        <w:t>,” and each group of Term Loans, as so extended, as well as the original Term Loans not so extended, being a “</w:t>
      </w:r>
      <w:r>
        <w:rPr>
          <w:rFonts w:ascii="Times New Roman" w:cs="Times New Roman" w:eastAsia="Times New Roman" w:hAnsi="Times New Roman"/>
          <w:sz w:val="22"/>
          <w:szCs w:val="22"/>
          <w:i w:val="1"/>
          <w:iCs w:val="1"/>
          <w:color w:val="auto"/>
        </w:rPr>
        <w:t>tranche of Term Loans</w:t>
      </w:r>
      <w:r>
        <w:rPr>
          <w:rFonts w:ascii="Times New Roman" w:cs="Times New Roman" w:eastAsia="Times New Roman" w:hAnsi="Times New Roman"/>
          <w:sz w:val="22"/>
          <w:szCs w:val="22"/>
          <w:color w:val="auto"/>
        </w:rPr>
        <w:t>,” and subject to the last sentence of the definition of “Class,” any Extended Term Loan shall constitute a separate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of Term Loans from the tranche of Term Loans from which they were converted), so long as the following terms are satisfied:</w:t>
      </w:r>
    </w:p>
    <w:p>
      <w:pPr>
        <w:spacing w:after="0" w:line="188" w:lineRule="exact"/>
        <w:rPr>
          <w:sz w:val="20"/>
          <w:szCs w:val="20"/>
          <w:color w:val="auto"/>
        </w:rPr>
      </w:pPr>
    </w:p>
    <w:p>
      <w:pPr>
        <w:ind w:left="660" w:right="20" w:firstLine="644"/>
        <w:spacing w:after="0" w:line="284" w:lineRule="auto"/>
        <w:tabs>
          <w:tab w:leader="none" w:pos="1733" w:val="left"/>
        </w:tabs>
        <w:numPr>
          <w:ilvl w:val="0"/>
          <w:numId w:val="7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pursuant to Section 7.01(b), (e)(B), (f) or (g) shall have occurred and be continuing at the time the offering document in respect of a Term Loan Extension Offer is delivered to the applicable Term Lenders;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40" w:right="339" w:bottom="1440" w:gutter="0" w:footer="0" w:header="0"/>
        </w:sectPr>
      </w:pPr>
    </w:p>
    <w:bookmarkStart w:id="643" w:name="page644"/>
    <w:bookmarkEnd w:id="643"/>
    <w:p>
      <w:pPr>
        <w:spacing w:after="0" w:line="199" w:lineRule="exact"/>
        <w:rPr>
          <w:sz w:val="20"/>
          <w:szCs w:val="20"/>
          <w:color w:val="auto"/>
        </w:rPr>
      </w:pPr>
    </w:p>
    <w:p>
      <w:pPr>
        <w:jc w:val="both"/>
        <w:ind w:left="660" w:firstLine="644"/>
        <w:spacing w:after="0" w:line="259" w:lineRule="auto"/>
        <w:tabs>
          <w:tab w:leader="none" w:pos="1799" w:val="left"/>
        </w:tabs>
        <w:numPr>
          <w:ilvl w:val="0"/>
          <w:numId w:val="7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 Amendment (an “</w:t>
      </w:r>
      <w:r>
        <w:rPr>
          <w:rFonts w:ascii="Times New Roman" w:cs="Times New Roman" w:eastAsia="Times New Roman" w:hAnsi="Times New Roman"/>
          <w:sz w:val="21"/>
          <w:szCs w:val="21"/>
          <w:i w:val="1"/>
          <w:iCs w:val="1"/>
          <w:color w:val="auto"/>
        </w:rPr>
        <w:t>Extended Term Loan</w:t>
      </w:r>
      <w:r>
        <w:rPr>
          <w:rFonts w:ascii="Times New Roman" w:cs="Times New Roman" w:eastAsia="Times New Roman" w:hAnsi="Times New Roman"/>
          <w:sz w:val="21"/>
          <w:szCs w:val="21"/>
          <w:color w:val="auto"/>
        </w:rPr>
        <w:t xml:space="preserve">”), shall be a Term Loan with the same terms as the original Class of Term Loans being extended;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w:t>
      </w:r>
    </w:p>
    <w:p>
      <w:pPr>
        <w:spacing w:after="0" w:line="182"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0"/>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Term Loan Extension shall be consistent with the foregoing;</w:t>
      </w:r>
    </w:p>
    <w:p>
      <w:pPr>
        <w:spacing w:after="0" w:line="233" w:lineRule="exact"/>
        <w:rPr>
          <w:rFonts w:ascii="Times New Roman" w:cs="Times New Roman" w:eastAsia="Times New Roman" w:hAnsi="Times New Roman"/>
          <w:sz w:val="22"/>
          <w:szCs w:val="22"/>
          <w:color w:val="auto"/>
        </w:rPr>
      </w:pPr>
    </w:p>
    <w:p>
      <w:pPr>
        <w:ind w:left="660" w:firstLine="644"/>
        <w:spacing w:after="0" w:line="271" w:lineRule="auto"/>
        <w:tabs>
          <w:tab w:leader="none" w:pos="1888" w:val="left"/>
        </w:tabs>
        <w:numPr>
          <w:ilvl w:val="0"/>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amend, revoke or replace a Term Loan Extension Offer at any time prior to the date on which Lenders under the tranche of Term Loans are requested to respond to the offer; and</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87" w:val="left"/>
        </w:tabs>
        <w:numPr>
          <w:ilvl w:val="0"/>
          <w:numId w:val="7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Term Lender shall be obligated to accept any Term Loan Extension Offer.</w:t>
      </w:r>
    </w:p>
    <w:p>
      <w:pPr>
        <w:spacing w:after="0" w:line="154" w:lineRule="exact"/>
        <w:rPr>
          <w:sz w:val="20"/>
          <w:szCs w:val="20"/>
          <w:color w:val="auto"/>
        </w:rPr>
      </w:pPr>
    </w:p>
    <w:p>
      <w:pPr>
        <w:jc w:val="both"/>
        <w:ind w:firstLine="1304"/>
        <w:spacing w:after="0" w:line="251" w:lineRule="auto"/>
        <w:tabs>
          <w:tab w:leader="none" w:pos="1777" w:val="left"/>
        </w:tabs>
        <w:numPr>
          <w:ilvl w:val="0"/>
          <w:numId w:val="7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of the Revolving Facility</w:t>
      </w:r>
      <w:r>
        <w:rPr>
          <w:rFonts w:ascii="Times New Roman" w:cs="Times New Roman" w:eastAsia="Times New Roman" w:hAnsi="Times New Roman"/>
          <w:sz w:val="22"/>
          <w:szCs w:val="22"/>
          <w:color w:val="auto"/>
        </w:rPr>
        <w:t>. Notwithstanding anything to the contrary in this Agreement,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one or more offers (each, a “</w:t>
      </w:r>
      <w:r>
        <w:rPr>
          <w:rFonts w:ascii="Times New Roman" w:cs="Times New Roman" w:eastAsia="Times New Roman" w:hAnsi="Times New Roman"/>
          <w:sz w:val="22"/>
          <w:szCs w:val="22"/>
          <w:i w:val="1"/>
          <w:iCs w:val="1"/>
          <w:color w:val="auto"/>
        </w:rPr>
        <w:t>Revolver Extension Offer</w:t>
      </w:r>
      <w:r>
        <w:rPr>
          <w:rFonts w:ascii="Times New Roman" w:cs="Times New Roman" w:eastAsia="Times New Roman" w:hAnsi="Times New Roman"/>
          <w:sz w:val="22"/>
          <w:szCs w:val="22"/>
          <w:color w:val="auto"/>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all or a portion of each such Revolving Lender’s Revolving Commitments and otherwise modify the terms of such Revolving Commitments pursuant to the terms of the relevant Revolver Extension Offer (including, without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40" w:right="339" w:bottom="1440" w:gutter="0" w:footer="0" w:header="0"/>
        </w:sectPr>
      </w:pPr>
    </w:p>
    <w:bookmarkStart w:id="644" w:name="page645"/>
    <w:bookmarkEnd w:id="644"/>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limitation, by the changing interest rate or fees payable in respect of such Revolving Commitments (and related outstandings)) (each, a “</w:t>
      </w:r>
      <w:r>
        <w:rPr>
          <w:rFonts w:ascii="Times New Roman" w:cs="Times New Roman" w:eastAsia="Times New Roman" w:hAnsi="Times New Roman"/>
          <w:sz w:val="22"/>
          <w:szCs w:val="22"/>
          <w:i w:val="1"/>
          <w:iCs w:val="1"/>
          <w:color w:val="auto"/>
        </w:rPr>
        <w:t>Revolver Extension</w:t>
      </w:r>
      <w:r>
        <w:rPr>
          <w:rFonts w:ascii="Times New Roman" w:cs="Times New Roman" w:eastAsia="Times New Roman" w:hAnsi="Times New Roman"/>
          <w:sz w:val="22"/>
          <w:szCs w:val="22"/>
          <w:color w:val="auto"/>
        </w:rPr>
        <w:t>,” and each group of Revolving Commitments, as so extended, as well as the original Revolving Commitments not so extended, being a “</w:t>
      </w:r>
      <w:r>
        <w:rPr>
          <w:rFonts w:ascii="Times New Roman" w:cs="Times New Roman" w:eastAsia="Times New Roman" w:hAnsi="Times New Roman"/>
          <w:sz w:val="22"/>
          <w:szCs w:val="22"/>
          <w:i w:val="1"/>
          <w:iCs w:val="1"/>
          <w:color w:val="auto"/>
        </w:rPr>
        <w:t>tranche of Revolving Loans</w:t>
      </w:r>
      <w:r>
        <w:rPr>
          <w:rFonts w:ascii="Times New Roman" w:cs="Times New Roman" w:eastAsia="Times New Roman" w:hAnsi="Times New Roman"/>
          <w:sz w:val="22"/>
          <w:szCs w:val="22"/>
          <w:color w:val="auto"/>
        </w:rPr>
        <w:t>,” and any subject to the last sentence of the definition of "Class," Extended Revolving Commitments shall constitute a separate tranche of Revolving Commitments from the tranche of Revolving Commitments from which they were converted), so long as the following terms are satisfied:</w:t>
      </w:r>
    </w:p>
    <w:p>
      <w:pPr>
        <w:spacing w:after="0" w:line="179" w:lineRule="exact"/>
        <w:rPr>
          <w:sz w:val="20"/>
          <w:szCs w:val="20"/>
          <w:color w:val="auto"/>
        </w:rPr>
      </w:pPr>
    </w:p>
    <w:p>
      <w:pPr>
        <w:jc w:val="both"/>
        <w:ind w:left="660" w:right="20" w:firstLine="644"/>
        <w:spacing w:after="0" w:line="257" w:lineRule="auto"/>
        <w:tabs>
          <w:tab w:leader="none" w:pos="1782" w:val="left"/>
        </w:tabs>
        <w:numPr>
          <w:ilvl w:val="0"/>
          <w:numId w:val="7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pursuant to Section 7.01(b), (e)(B), (f) or (g) shall have occurred and be continuing at the time the offering document in respect of a Revolver Extension Offer is delivered to the applicable Revolving Lenders (the “</w:t>
      </w:r>
      <w:r>
        <w:rPr>
          <w:rFonts w:ascii="Times New Roman" w:cs="Times New Roman" w:eastAsia="Times New Roman" w:hAnsi="Times New Roman"/>
          <w:sz w:val="22"/>
          <w:szCs w:val="22"/>
          <w:i w:val="1"/>
          <w:iCs w:val="1"/>
          <w:color w:val="auto"/>
        </w:rPr>
        <w:t>Revolver Extension Offer Date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793" w:val="left"/>
        </w:tabs>
        <w:numPr>
          <w:ilvl w:val="0"/>
          <w:numId w:val="7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 w:cs="Times New Roman" w:eastAsia="Times New Roman" w:hAnsi="Times New Roman"/>
          <w:sz w:val="21"/>
          <w:szCs w:val="21"/>
          <w:i w:val="1"/>
          <w:iCs w:val="1"/>
          <w:color w:val="auto"/>
        </w:rPr>
        <w:t>Extended Revolving Commitment</w:t>
      </w:r>
      <w:r>
        <w:rPr>
          <w:rFonts w:ascii="Times New Roman" w:cs="Times New Roman" w:eastAsia="Times New Roman" w:hAnsi="Times New Roman"/>
          <w:sz w:val="21"/>
          <w:szCs w:val="21"/>
          <w:color w:val="auto"/>
        </w:rPr>
        <w:t xml:space="preserve">”), and the related outstandings, shall be a Revolving Commitment (or related outstandings, as the case may be) with the same terms as the original Class of Revolving Commitments being extended (and related outstandings);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 (a) prepayments of Revolving Loans other than in connection with a termination of commitments shall not be required to be on a pro rata basis and (b) the Borrower shall be permitted to permanently repay and terminate commitments of any such tranche of Revolving Loans on a better than pro rata basis as compared to any other tranche of Revolving 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w:t>
      </w:r>
    </w:p>
    <w:p>
      <w:pPr>
        <w:spacing w:after="0" w:line="182"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890" w:val="left"/>
        </w:tabs>
        <w:numPr>
          <w:ilvl w:val="0"/>
          <w:numId w:val="7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40" w:right="339" w:bottom="1440" w:gutter="0" w:footer="0" w:header="0"/>
        </w:sectPr>
      </w:pPr>
    </w:p>
    <w:bookmarkStart w:id="645" w:name="page646"/>
    <w:bookmarkEnd w:id="645"/>
    <w:p>
      <w:pPr>
        <w:spacing w:after="0" w:line="199" w:lineRule="exact"/>
        <w:rPr>
          <w:sz w:val="20"/>
          <w:szCs w:val="20"/>
          <w:color w:val="auto"/>
        </w:rPr>
      </w:pPr>
    </w:p>
    <w:p>
      <w:pPr>
        <w:jc w:val="both"/>
        <w:ind w:left="660" w:firstLine="644"/>
        <w:spacing w:after="0" w:line="260" w:lineRule="auto"/>
        <w:tabs>
          <w:tab w:leader="none" w:pos="1881" w:val="left"/>
        </w:tabs>
        <w:numPr>
          <w:ilvl w:val="0"/>
          <w:numId w:val="7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 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each Revolving Lender that does not respond affirmatively by the deadline set forth in the Revolver Extension Offer shall be deemed not to have accepted such Revolver Extension 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to this Section 2.28(b)(iv), if applicable) or the Borrower (in the case of all other amounts), (3) the processing and recordation fee specified in Section 10.02(b)(ii)(D) shall be paid by the Borrower or such assignee and (4) the assigning Revolving Lender shall continue to be entitled to the rights under Section 10.04 for any period prior to the effectiveness of such assignment;</w:t>
      </w:r>
    </w:p>
    <w:p>
      <w:pPr>
        <w:spacing w:after="0" w:line="174" w:lineRule="exact"/>
        <w:rPr>
          <w:rFonts w:ascii="Times New Roman" w:cs="Times New Roman" w:eastAsia="Times New Roman" w:hAnsi="Times New Roman"/>
          <w:sz w:val="21"/>
          <w:szCs w:val="21"/>
          <w:color w:val="auto"/>
        </w:rPr>
      </w:pPr>
    </w:p>
    <w:p>
      <w:pPr>
        <w:ind w:left="660" w:firstLine="644"/>
        <w:spacing w:after="0" w:line="271" w:lineRule="auto"/>
        <w:tabs>
          <w:tab w:leader="none" w:pos="1929" w:val="left"/>
        </w:tabs>
        <w:numPr>
          <w:ilvl w:val="0"/>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Revolver Extension shall be consistent with the foregoing unless otherwise agreed by the Administrative Agent and the Borrower;</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17" w:val="left"/>
        </w:tabs>
        <w:numPr>
          <w:ilvl w:val="0"/>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amend, revoke or replace a Revolver Extension Offer at any time prior to the date on which Lenders under the tranche of Revolving Loans are requested to respond to the offer; and</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82" w:val="left"/>
        </w:tabs>
        <w:numPr>
          <w:ilvl w:val="0"/>
          <w:numId w:val="7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Revolving Lender shall be obligated to accept any Revolver Extension Offer.</w:t>
      </w:r>
    </w:p>
    <w:p>
      <w:pPr>
        <w:spacing w:after="0" w:line="154" w:lineRule="exact"/>
        <w:rPr>
          <w:sz w:val="20"/>
          <w:szCs w:val="20"/>
          <w:color w:val="auto"/>
        </w:rPr>
      </w:pPr>
    </w:p>
    <w:p>
      <w:pPr>
        <w:jc w:val="both"/>
        <w:ind w:firstLine="1304"/>
        <w:spacing w:after="0" w:line="249" w:lineRule="auto"/>
        <w:tabs>
          <w:tab w:leader="none" w:pos="1752" w:val="left"/>
        </w:tabs>
        <w:numPr>
          <w:ilvl w:val="0"/>
          <w:numId w:val="7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With respect to all Extensions consummated by the Borrower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2.28, (i) such 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40" w:right="339" w:bottom="1440" w:gutter="0" w:footer="0" w:header="0"/>
        </w:sectPr>
      </w:pPr>
    </w:p>
    <w:bookmarkStart w:id="646" w:name="page647"/>
    <w:bookmarkEnd w:id="646"/>
    <w:p>
      <w:pPr>
        <w:spacing w:after="0" w:line="195" w:lineRule="exact"/>
        <w:rPr>
          <w:sz w:val="20"/>
          <w:szCs w:val="20"/>
          <w:color w:val="auto"/>
        </w:rPr>
      </w:pPr>
    </w:p>
    <w:p>
      <w:pPr>
        <w:jc w:val="both"/>
        <w:ind w:firstLine="1304"/>
        <w:spacing w:after="0" w:line="261" w:lineRule="auto"/>
        <w:tabs>
          <w:tab w:leader="none" w:pos="1980" w:val="left"/>
        </w:tabs>
        <w:numPr>
          <w:ilvl w:val="1"/>
          <w:numId w:val="7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Extension Amendment</w:t>
      </w:r>
      <w:r>
        <w:rPr>
          <w:rFonts w:ascii="Times New Roman" w:cs="Times New Roman" w:eastAsia="Times New Roman" w:hAnsi="Times New Roman"/>
          <w:sz w:val="21"/>
          <w:szCs w:val="21"/>
          <w:color w:val="auto"/>
        </w:rPr>
        <w:t>. The consent of the Administrative Agent shall be required to effectuate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Extension, such consent not to be unreasonably withheld. No consent of any Lender shall be required to effectuate any Extension, other than (A) in the case of a Revolver Extension, (i) the consent of each Lender agreeing to such Extension with respect to all or a portion of 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w:t>
      </w:r>
    </w:p>
    <w:p>
      <w:pPr>
        <w:spacing w:after="0" w:line="4" w:lineRule="exact"/>
        <w:rPr>
          <w:rFonts w:ascii="Times New Roman" w:cs="Times New Roman" w:eastAsia="Times New Roman" w:hAnsi="Times New Roman"/>
          <w:sz w:val="21"/>
          <w:szCs w:val="21"/>
          <w:color w:val="auto"/>
        </w:rPr>
      </w:pPr>
    </w:p>
    <w:p>
      <w:pPr>
        <w:jc w:val="both"/>
        <w:ind w:firstLine="8"/>
        <w:spacing w:after="0" w:line="258" w:lineRule="auto"/>
        <w:tabs>
          <w:tab w:leader="none" w:pos="350" w:val="left"/>
        </w:tabs>
        <w:numPr>
          <w:ilvl w:val="0"/>
          <w:numId w:val="7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Term Loan Extension, the consent of each Lender agreeing to such Extension with respect to all or a portion of its Term Loans, as applicable. All Extended Term Loans and Extended Revolving Commitments and all obligations in respect thereof shall be Obligations under this Agreement and the other Loan Documents that are secured by the Collateral on a </w:t>
      </w:r>
      <w:r>
        <w:rPr>
          <w:rFonts w:ascii="Times New Roman" w:cs="Times New Roman" w:eastAsia="Times New Roman" w:hAnsi="Times New Roman"/>
          <w:sz w:val="21"/>
          <w:szCs w:val="21"/>
          <w:i w:val="1"/>
          <w:iCs w:val="1"/>
          <w:color w:val="auto"/>
        </w:rPr>
        <w:t>pari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passu </w:t>
      </w:r>
      <w:r>
        <w:rPr>
          <w:rFonts w:ascii="Times New Roman" w:cs="Times New Roman" w:eastAsia="Times New Roman" w:hAnsi="Times New Roman"/>
          <w:sz w:val="21"/>
          <w:szCs w:val="21"/>
          <w:color w:val="auto"/>
        </w:rPr>
        <w:t>basis with all other applicable Obligations under this Agreement and the other Loan Documents. Notwithstanding anything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else to the contrary set forth in this Agreement or the other Loan Documents, the Lenders hereby irrevocably authorize each Agent to enter into amendments to this Agreement and the other Loan Documents (each, an “</w:t>
      </w:r>
      <w:r>
        <w:rPr>
          <w:rFonts w:ascii="Times New Roman" w:cs="Times New Roman" w:eastAsia="Times New Roman" w:hAnsi="Times New Roman"/>
          <w:sz w:val="21"/>
          <w:szCs w:val="21"/>
          <w:i w:val="1"/>
          <w:iCs w:val="1"/>
          <w:color w:val="auto"/>
        </w:rPr>
        <w:t>Extension Amendment</w:t>
      </w:r>
      <w:r>
        <w:rPr>
          <w:rFonts w:ascii="Times New Roman" w:cs="Times New Roman" w:eastAsia="Times New Roman" w:hAnsi="Times New Roman"/>
          <w:sz w:val="21"/>
          <w:szCs w:val="21"/>
          <w:color w:val="auto"/>
        </w:rPr>
        <w:t xml:space="preserve">”) with the Borrower 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 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w:t>
      </w:r>
    </w:p>
    <w:p>
      <w:pPr>
        <w:spacing w:after="0" w:line="200" w:lineRule="exact"/>
        <w:rPr>
          <w:rFonts w:ascii="Times New Roman" w:cs="Times New Roman" w:eastAsia="Times New Roman" w:hAnsi="Times New Roman"/>
          <w:sz w:val="21"/>
          <w:szCs w:val="21"/>
          <w:color w:val="auto"/>
        </w:rPr>
      </w:pPr>
    </w:p>
    <w:p>
      <w:pPr>
        <w:spacing w:after="0" w:line="237" w:lineRule="exact"/>
        <w:rPr>
          <w:rFonts w:ascii="Times New Roman" w:cs="Times New Roman" w:eastAsia="Times New Roman" w:hAnsi="Times New Roman"/>
          <w:sz w:val="21"/>
          <w:szCs w:val="21"/>
          <w:color w:val="auto"/>
        </w:rPr>
      </w:pPr>
    </w:p>
    <w:p>
      <w:pPr>
        <w:jc w:val="both"/>
        <w:ind w:firstLine="1304"/>
        <w:spacing w:after="0" w:line="253" w:lineRule="auto"/>
        <w:tabs>
          <w:tab w:leader="none" w:pos="1865" w:val="left"/>
        </w:tabs>
        <w:numPr>
          <w:ilvl w:val="1"/>
          <w:numId w:val="7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40" w:right="339" w:bottom="1440" w:gutter="0" w:footer="0" w:header="0"/>
        </w:sectPr>
      </w:pPr>
    </w:p>
    <w:bookmarkStart w:id="647" w:name="page648"/>
    <w:bookmarkEnd w:id="647"/>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and Authority</w:t>
      </w:r>
      <w:r>
        <w:rPr>
          <w:rFonts w:ascii="Times New Roman" w:cs="Times New Roman" w:eastAsia="Times New Roman" w:hAnsi="Times New Roman"/>
          <w:sz w:val="22"/>
          <w:szCs w:val="22"/>
          <w:color w:val="auto"/>
        </w:rPr>
        <w:t>.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Air Carrier Status</w:t>
      </w:r>
      <w:r>
        <w:rPr>
          <w:rFonts w:ascii="Times New Roman" w:cs="Times New Roman" w:eastAsia="Times New Roman" w:hAnsi="Times New Roman"/>
          <w:sz w:val="22"/>
          <w:szCs w:val="22"/>
          <w:color w:val="auto"/>
        </w:rPr>
        <w:t>. As of the date hereof, the Borrower is an “air carrier” within the meaning of Section 40102 of Title 49 and holds a certificate under Section 41102 of Title 49. The Borrower holds or co-holds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Times New Roman" w:cs="Times New Roman" w:eastAsia="Times New Roman" w:hAnsi="Times New Roman"/>
          <w:sz w:val="22"/>
          <w:szCs w:val="22"/>
          <w:i w:val="1"/>
          <w:iCs w:val="1"/>
          <w:color w:val="auto"/>
        </w:rPr>
        <w:t>United States Citizen</w:t>
      </w:r>
      <w:r>
        <w:rPr>
          <w:rFonts w:ascii="Times New Roman" w:cs="Times New Roman" w:eastAsia="Times New Roman" w:hAnsi="Times New Roman"/>
          <w:sz w:val="22"/>
          <w:szCs w:val="22"/>
          <w:color w:val="auto"/>
        </w:rPr>
        <w:t>”). The Borrower possesses or co-possesses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w:t>
      </w:r>
    </w:p>
    <w:p>
      <w:pPr>
        <w:spacing w:after="0" w:line="18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Due Execution</w:t>
      </w:r>
      <w:r>
        <w:rPr>
          <w:rFonts w:ascii="Times New Roman" w:cs="Times New Roman" w:eastAsia="Times New Roman" w:hAnsi="Times New Roman"/>
          <w:sz w:val="21"/>
          <w:szCs w:val="21"/>
          <w:color w:val="auto"/>
        </w:rPr>
        <w:t>.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40" w:right="339" w:bottom="1440" w:gutter="0" w:footer="0" w:header="0"/>
        </w:sectPr>
      </w:pPr>
    </w:p>
    <w:bookmarkStart w:id="648" w:name="page649"/>
    <w:bookmarkEnd w:id="648"/>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Documents and (b)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w:t>
      </w:r>
    </w:p>
    <w:p>
      <w:pPr>
        <w:spacing w:after="0" w:line="1" w:lineRule="exact"/>
        <w:rPr>
          <w:sz w:val="20"/>
          <w:szCs w:val="20"/>
          <w:color w:val="auto"/>
        </w:rPr>
      </w:pPr>
    </w:p>
    <w:p>
      <w:pPr>
        <w:jc w:val="both"/>
        <w:ind w:firstLine="8"/>
        <w:spacing w:after="0" w:line="245" w:lineRule="auto"/>
        <w:tabs>
          <w:tab w:leader="none" w:pos="369" w:val="left"/>
        </w:tabs>
        <w:numPr>
          <w:ilvl w:val="0"/>
          <w:numId w:val="7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Statements Made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10" w:val="left"/>
        </w:tabs>
        <w:numPr>
          <w:ilvl w:val="0"/>
          <w:numId w:val="7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2022 of Parent filed with the SEC and all Quarterly Reports on Form 10-Q or Current Reports on Form 8-K that have been filed after December 31, 2022,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2" w:val="left"/>
        </w:tabs>
        <w:numPr>
          <w:ilvl w:val="0"/>
          <w:numId w:val="7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Financial Statements; Material Adverse Change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928" w:val="left"/>
        </w:tabs>
        <w:numPr>
          <w:ilvl w:val="0"/>
          <w:numId w:val="7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Parent and its Subsidiaries for the fiscal year ended December 31, 2022, included in Parent’s Annual Report on Form 10-K for 2022 filed with the SEC, as amended and (ii) the unaudited consolidated financial statement of Parent and its Subsidiaries for the fiscal quarter ending September 30, 2023, each present fairly, in all material respects, in accordance with GAAP, the financial condition, results of operations and cash flows of Parent and its Subsidiaries on a consolidated basis as of such date and for such period (except that any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40" w:right="339" w:bottom="1440" w:gutter="0" w:footer="0" w:header="0"/>
        </w:sectPr>
      </w:pPr>
    </w:p>
    <w:bookmarkStart w:id="649" w:name="page650"/>
    <w:bookmarkEnd w:id="649"/>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consolidated financial statements are subject to normal year-end audit adjustments and the absence of footnotes).</w:t>
      </w:r>
    </w:p>
    <w:p>
      <w:pPr>
        <w:spacing w:after="0" w:line="220" w:lineRule="exact"/>
        <w:rPr>
          <w:sz w:val="20"/>
          <w:szCs w:val="20"/>
          <w:color w:val="auto"/>
        </w:rPr>
      </w:pPr>
    </w:p>
    <w:p>
      <w:pPr>
        <w:ind w:firstLine="1304"/>
        <w:spacing w:after="0" w:line="271" w:lineRule="auto"/>
        <w:tabs>
          <w:tab w:leader="none" w:pos="1856" w:val="left"/>
        </w:tabs>
        <w:numPr>
          <w:ilvl w:val="0"/>
          <w:numId w:val="7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Parent’s Annual Report on Form 10-K for 2022 or any subsequent report filed by Parent on Form 10-Q or Form 8-K with the SEC, since December 31, 2022, there has been no Material Adverse Change.</w:t>
      </w:r>
    </w:p>
    <w:p>
      <w:pPr>
        <w:spacing w:after="0" w:line="171" w:lineRule="exact"/>
        <w:rPr>
          <w:sz w:val="20"/>
          <w:szCs w:val="20"/>
          <w:color w:val="auto"/>
        </w:rPr>
      </w:pPr>
    </w:p>
    <w:p>
      <w:pPr>
        <w:ind w:left="1300"/>
        <w:spacing w:after="0"/>
        <w:tabs>
          <w:tab w:leader="none" w:pos="298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As of the Closing Date, other than as set forth on Schedule 3.06,</w:t>
      </w:r>
    </w:p>
    <w:p>
      <w:pPr>
        <w:spacing w:after="0" w:line="28" w:lineRule="exact"/>
        <w:rPr>
          <w:sz w:val="20"/>
          <w:szCs w:val="20"/>
          <w:color w:val="auto"/>
        </w:rPr>
      </w:pPr>
    </w:p>
    <w:p>
      <w:pPr>
        <w:ind w:firstLine="8"/>
        <w:spacing w:after="0" w:line="248" w:lineRule="auto"/>
        <w:tabs>
          <w:tab w:leader="none" w:pos="299" w:val="left"/>
        </w:tabs>
        <w:numPr>
          <w:ilvl w:val="0"/>
          <w:numId w:val="7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Persons listed on Schedule 3.06 is a wholly-owned, direct or indirect Subsidiary of Parent and (b) Parent owns no other Subsidiaries (other than Immaterial Subsidiaries), whether directly or indirectly.</w:t>
      </w:r>
    </w:p>
    <w:p>
      <w:pPr>
        <w:spacing w:after="0" w:line="182" w:lineRule="exact"/>
        <w:rPr>
          <w:sz w:val="20"/>
          <w:szCs w:val="20"/>
          <w:color w:val="auto"/>
        </w:rPr>
      </w:pPr>
    </w:p>
    <w:p>
      <w:pPr>
        <w:ind w:left="1300"/>
        <w:spacing w:after="0"/>
        <w:tabs>
          <w:tab w:leader="none" w:pos="302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There are no Liens of any nature whatsoever on any Collateral, except for Permitted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Liens.</w:t>
      </w:r>
    </w:p>
    <w:p>
      <w:pPr>
        <w:spacing w:after="0" w:line="209"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shall be used (i) to consummate the Refinancing,</w:t>
      </w:r>
    </w:p>
    <w:p>
      <w:pPr>
        <w:spacing w:after="0" w:line="28" w:lineRule="exact"/>
        <w:rPr>
          <w:sz w:val="20"/>
          <w:szCs w:val="20"/>
          <w:color w:val="auto"/>
        </w:rPr>
      </w:pPr>
    </w:p>
    <w:p>
      <w:pPr>
        <w:ind w:left="1300" w:right="2120" w:hanging="1292"/>
        <w:spacing w:after="0" w:line="436" w:lineRule="auto"/>
        <w:tabs>
          <w:tab w:leader="none" w:pos="322" w:val="left"/>
        </w:tabs>
        <w:numPr>
          <w:ilvl w:val="0"/>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pay fees and expenses in connection with the Transactions, and (iii) for general corporate purposes. SECTION 3.09. </w:t>
      </w:r>
      <w:r>
        <w:rPr>
          <w:rFonts w:ascii="Times New Roman" w:cs="Times New Roman" w:eastAsia="Times New Roman" w:hAnsi="Times New Roman"/>
          <w:sz w:val="22"/>
          <w:szCs w:val="22"/>
          <w:u w:val="single" w:color="auto"/>
          <w:color w:val="auto"/>
        </w:rPr>
        <w:t>Litigation and Compliance with Laws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7" w:val="left"/>
        </w:tabs>
        <w:numPr>
          <w:ilvl w:val="1"/>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Parent’s Annual Report on Form 10-K for 2022 or any subsequent report filed by Parent on Form 10-Q or Form 8-K with the SEC since December 31, 2022,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6" w:val="left"/>
        </w:tabs>
        <w:numPr>
          <w:ilvl w:val="1"/>
          <w:numId w:val="7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Slots</w:t>
      </w:r>
      <w:r>
        <w:rPr>
          <w:rFonts w:ascii="Times New Roman" w:cs="Times New Roman" w:eastAsia="Times New Roman" w:hAnsi="Times New Roman"/>
          <w:sz w:val="22"/>
          <w:szCs w:val="22"/>
          <w:color w:val="auto"/>
        </w:rPr>
        <w:t>.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40" w:right="339" w:bottom="1440" w:gutter="0" w:footer="0" w:header="0"/>
        </w:sectPr>
      </w:pPr>
    </w:p>
    <w:bookmarkStart w:id="650" w:name="page651"/>
    <w:bookmarkEnd w:id="650"/>
    <w:p>
      <w:pPr>
        <w:spacing w:after="0" w:line="19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Routes</w:t>
      </w:r>
      <w:r>
        <w:rPr>
          <w:rFonts w:ascii="Times New Roman" w:cs="Times New Roman" w:eastAsia="Times New Roman" w:hAnsi="Times New Roman"/>
          <w:sz w:val="21"/>
          <w:szCs w:val="21"/>
          <w:color w:val="auto"/>
        </w:rPr>
        <w:t>. With respect to the Pledged Route Authorities relating to the Scheduled Services, each applicable Grantor holds or co-holds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17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Margin Regulations; Investment Company Act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13" w:val="left"/>
        </w:tabs>
        <w:numPr>
          <w:ilvl w:val="0"/>
          <w:numId w:val="7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Guarantor is engaged, principally or as one of its important activities, in the business of purchasing or carrying margin stock (within the meaning of Regulation U issued by the Board, “</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or extending credit for the purpose of purchasing or carrying Margin Stock, and no proceeds of any Loans will be used to purchase or carry any Margin Stock or to extend credit to others for the purpose of purchasing or carrying any Margin Stock in violation of Regulation U.</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838" w:val="left"/>
        </w:tabs>
        <w:numPr>
          <w:ilvl w:val="0"/>
          <w:numId w:val="7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Guarantor is, or after the making of the Loans will be, or is required to be, registered as an “investment company” under the Investment Company Act of 1940, as amended.</w:t>
      </w:r>
    </w:p>
    <w:p>
      <w:pPr>
        <w:spacing w:after="0" w:line="15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Holding of Collateral</w:t>
      </w:r>
      <w:r>
        <w:rPr>
          <w:rFonts w:ascii="Times New Roman" w:cs="Times New Roman" w:eastAsia="Times New Roman" w:hAnsi="Times New Roman"/>
          <w:sz w:val="22"/>
          <w:szCs w:val="22"/>
          <w:color w:val="auto"/>
        </w:rPr>
        <w:t>. Each applicable Grantor is, and as to Collateral acquired by it from time to time after the date hereof such Grantor will be, the holder or a co-holder of all such Collateral free from any Lien except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Lien and security interest created by the Collateral Documents and (2) Permitted Liens.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3.14. </w:t>
      </w:r>
      <w:r>
        <w:rPr>
          <w:rFonts w:ascii="Times New Roman" w:cs="Times New Roman" w:eastAsia="Times New Roman" w:hAnsi="Times New Roman"/>
          <w:sz w:val="21"/>
          <w:szCs w:val="21"/>
          <w:u w:val="single" w:color="auto"/>
          <w:color w:val="auto"/>
        </w:rPr>
        <w:t>Perfected Security Interests</w:t>
      </w:r>
      <w:r>
        <w:rPr>
          <w:rFonts w:ascii="Times New Roman" w:cs="Times New Roman" w:eastAsia="Times New Roman" w:hAnsi="Times New Roman"/>
          <w:sz w:val="21"/>
          <w:szCs w:val="21"/>
          <w:color w:val="auto"/>
        </w:rPr>
        <w:t>. All UCC filings necessary or reasonably requested by the Collateral Trustee to create, preserve, protect and perfect the security interests granted by the Borrower or any Guarantor, as applicable, to the Collateral Trustee for the 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if any, as provided in Sections 9-104 and 9-106 of the UCC have been taken by such Grantor to the extent that such security interests can be perfected on or before the date hereof by execution and delivery of the Account Control Agreement. Subject to the Collateral Trust Agreement and any Intercreditor Agreement, the security interests granted to the Collateral Trustee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40" w:right="339" w:bottom="1440" w:gutter="0" w:footer="0" w:header="0"/>
        </w:sectPr>
      </w:pPr>
    </w:p>
    <w:bookmarkStart w:id="651" w:name="page652"/>
    <w:bookmarkEnd w:id="651"/>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Collateral Trustee is entitled with respect to such perfected security interest to all the rights, priorities and benefits afforded by the UCC to perfected security interests.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No Unlawful Payments</w:t>
      </w:r>
      <w:r>
        <w:rPr>
          <w:rFonts w:ascii="Times New Roman" w:cs="Times New Roman" w:eastAsia="Times New Roman" w:hAnsi="Times New Roman"/>
          <w:sz w:val="22"/>
          <w:szCs w:val="22"/>
          <w:color w:val="auto"/>
        </w:rPr>
        <w:t>.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Borrower and each Guarantor has implemented compliance programs for purposes of (a) informing the appropriate officers and employees of the Borrower, such Guarantor 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any purpose in breach of any laws described in clause (1) – (4) above.</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3.17. </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target of any U.S. sanctions administered by the U.S. federal government (including the Office of Foreign Assets Control of the U.S. Treasury Department (“</w:t>
      </w:r>
      <w:r>
        <w:rPr>
          <w:rFonts w:ascii="Times New Roman" w:cs="Times New Roman" w:eastAsia="Times New Roman" w:hAnsi="Times New Roman"/>
          <w:sz w:val="21"/>
          <w:szCs w:val="21"/>
          <w:i w:val="1"/>
          <w:iCs w:val="1"/>
          <w:color w:val="auto"/>
        </w:rPr>
        <w:t>OFAC</w:t>
      </w:r>
      <w:r>
        <w:rPr>
          <w:rFonts w:ascii="Times New Roman" w:cs="Times New Roman" w:eastAsia="Times New Roman" w:hAnsi="Times New Roman"/>
          <w:sz w:val="21"/>
          <w:szCs w:val="21"/>
          <w:color w:val="auto"/>
        </w:rPr>
        <w:t>”)); and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the purpose of financing the activities of any person (individual or entity) or in any country, region or territory, that is at the time of such financing the target of any U.S. sanctions administered by the U.S. federal government (including OFAC) in any manner that would result in the violation of any U.S. sanctions applicable to any party hereto.</w:t>
      </w:r>
    </w:p>
    <w:p>
      <w:pPr>
        <w:spacing w:after="0" w:line="17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The operations of the Borrower, the Guarantors and their respective subsidiaries are and have been conducted at all times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40" w:right="339" w:bottom="1440" w:gutter="0" w:footer="0" w:header="0"/>
        </w:sectPr>
      </w:pPr>
    </w:p>
    <w:bookmarkStart w:id="652" w:name="page653"/>
    <w:bookmarkEnd w:id="652"/>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material compliance with all applicable financial recordkeeping and reporting requirements, including those of the Bank Secrecy Act, as amended by the Patriot Act, and the applicable anti-money laundering statutes of jurisdictions where the Borrower, the Guarantors and their respective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 body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arbitrator involving the Borrower, the Guarantors or any of their respective subsidiaries with respect to the Anti-Money Laundering Laws is pending or, to the best knowledge of the Borrower and the Guarantors, threatened.</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the Closing Date, after giving effect to the Loans made on the Closing Date and the payment of all costs and expenses in connection therewith, that the Borrower and the Guarantors, taken as a whole, are Solvent.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OF LENDING</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Precedent to Closing</w:t>
      </w:r>
      <w:r>
        <w:rPr>
          <w:rFonts w:ascii="Times New Roman" w:cs="Times New Roman" w:eastAsia="Times New Roman" w:hAnsi="Times New Roman"/>
          <w:sz w:val="22"/>
          <w:szCs w:val="22"/>
          <w:color w:val="auto"/>
        </w:rPr>
        <w:t>. The Credit Agreement shall become effective on the date on which the following conditions precedent shall have been satisfied (or waived by the Lenders in accordance with Section 10.08 and by the Administrative Agent):</w:t>
      </w:r>
    </w:p>
    <w:p>
      <w:pPr>
        <w:spacing w:after="0" w:line="163" w:lineRule="exact"/>
        <w:rPr>
          <w:sz w:val="20"/>
          <w:szCs w:val="20"/>
          <w:color w:val="auto"/>
        </w:rPr>
      </w:pPr>
    </w:p>
    <w:p>
      <w:pPr>
        <w:ind w:right="20" w:firstLine="1304"/>
        <w:spacing w:after="0" w:line="275" w:lineRule="auto"/>
        <w:tabs>
          <w:tab w:leader="none" w:pos="1792" w:val="left"/>
        </w:tabs>
        <w:numPr>
          <w:ilvl w:val="0"/>
          <w:numId w:val="7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Supporting Documents</w:t>
      </w:r>
      <w:r>
        <w:rPr>
          <w:rFonts w:ascii="Times New Roman" w:cs="Times New Roman" w:eastAsia="Times New Roman" w:hAnsi="Times New Roman"/>
          <w:sz w:val="22"/>
          <w:szCs w:val="22"/>
          <w:color w:val="auto"/>
        </w:rPr>
        <w:t>. The Administrative Agent shall have received with respect to each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Guarantors in form and substance reasonably satisfactory to the Administrative Agent:</w:t>
      </w:r>
    </w:p>
    <w:p>
      <w:pPr>
        <w:spacing w:after="0" w:line="153" w:lineRule="exact"/>
        <w:rPr>
          <w:sz w:val="20"/>
          <w:szCs w:val="20"/>
          <w:color w:val="auto"/>
        </w:rPr>
      </w:pPr>
    </w:p>
    <w:p>
      <w:pPr>
        <w:ind w:left="660" w:firstLine="644"/>
        <w:spacing w:after="0" w:line="271" w:lineRule="auto"/>
        <w:tabs>
          <w:tab w:leader="none" w:pos="1803" w:val="left"/>
        </w:tabs>
        <w:numPr>
          <w:ilvl w:val="0"/>
          <w:numId w:val="7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of State of the state of such entity’s incorporation or formation, dated as of a recent date, as to the good standing of that entity (to the extent available in the applicable jurisdiction);</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44" w:val="left"/>
        </w:tabs>
        <w:numPr>
          <w:ilvl w:val="0"/>
          <w:numId w:val="7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or an Assistant Secretary (or similar officer), of such entity dated the Closing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hereunder, the execution, delivery and performance in accordance with their respective terms of the Credit Agreement, the other Loan Documents and any other documents required or contemplated hereunder or thereunder, and the granting of the security interests and other Liens contemplated hereby or by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Responsible Officer of that entity executing the Credit Agreement and the Loan Documents or any other document delivered by it in connection herewith or therewith (such certificate to contain a certification by another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40" w:right="339" w:bottom="1440" w:gutter="0" w:footer="0" w:header="0"/>
        </w:sectPr>
      </w:pPr>
    </w:p>
    <w:bookmarkStart w:id="653" w:name="page654"/>
    <w:bookmarkEnd w:id="653"/>
    <w:p>
      <w:pPr>
        <w:spacing w:after="0" w:line="199"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Responsible Officer of that entity as to the incumbency and signature of the Responsible Officer signing the certificate referred to in this clause (ii)); and</w:t>
      </w:r>
    </w:p>
    <w:p>
      <w:pPr>
        <w:spacing w:after="0" w:line="158"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1"/>
          <w:szCs w:val="21"/>
          <w:color w:val="auto"/>
        </w:rPr>
        <w:t>an Officer’s Certificate certifying as to the conditions set forth in Sections 4.01(k) and 4.01(l).</w:t>
      </w:r>
    </w:p>
    <w:p>
      <w:pPr>
        <w:spacing w:after="0" w:line="229" w:lineRule="exact"/>
        <w:rPr>
          <w:sz w:val="20"/>
          <w:szCs w:val="20"/>
          <w:color w:val="auto"/>
        </w:rPr>
      </w:pPr>
    </w:p>
    <w:p>
      <w:pPr>
        <w:ind w:left="1780" w:hanging="476"/>
        <w:spacing w:after="0"/>
        <w:tabs>
          <w:tab w:leader="none" w:pos="1780" w:val="left"/>
        </w:tabs>
        <w:numPr>
          <w:ilvl w:val="1"/>
          <w:numId w:val="7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Each party hereto shall have duly executed and delivered to the Administrative Agent the</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Credit Agreement.</w:t>
      </w:r>
    </w:p>
    <w:p>
      <w:pPr>
        <w:spacing w:after="0" w:line="191" w:lineRule="exact"/>
        <w:rPr>
          <w:rFonts w:ascii="Times New Roman" w:cs="Times New Roman" w:eastAsia="Times New Roman" w:hAnsi="Times New Roman"/>
          <w:sz w:val="21"/>
          <w:szCs w:val="21"/>
          <w:color w:val="auto"/>
        </w:rPr>
      </w:pPr>
    </w:p>
    <w:p>
      <w:pPr>
        <w:jc w:val="both"/>
        <w:ind w:firstLine="1304"/>
        <w:spacing w:after="0" w:line="254" w:lineRule="auto"/>
        <w:tabs>
          <w:tab w:leader="none" w:pos="1792" w:val="left"/>
        </w:tabs>
        <w:numPr>
          <w:ilvl w:val="1"/>
          <w:numId w:val="7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The Borrower shall have duly executed and delivered to the Administrative Agent (i)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Trust Agreement, (ii) any other Collateral Documents and (iii) the other Loan Documents, and has delivered all UCC financing statements in form and substance reasonably acceptable to the Administrative Agent as may be required to grant, continue and maintain an enforceable security interest in the applicable Collateral (subject to the terms hereof and of the other Loan Documents) in accordance with the UCC as enacted in all relevant jurisdictions.</w:t>
      </w:r>
    </w:p>
    <w:p>
      <w:pPr>
        <w:spacing w:after="0" w:line="173" w:lineRule="exact"/>
        <w:rPr>
          <w:rFonts w:ascii="Times New Roman" w:cs="Times New Roman" w:eastAsia="Times New Roman" w:hAnsi="Times New Roman"/>
          <w:sz w:val="22"/>
          <w:szCs w:val="22"/>
          <w:color w:val="auto"/>
        </w:rPr>
      </w:pPr>
    </w:p>
    <w:p>
      <w:pPr>
        <w:jc w:val="both"/>
        <w:ind w:firstLine="1304"/>
        <w:spacing w:after="0" w:line="269" w:lineRule="auto"/>
        <w:tabs>
          <w:tab w:leader="none" w:pos="1764" w:val="left"/>
        </w:tabs>
        <w:numPr>
          <w:ilvl w:val="1"/>
          <w:numId w:val="7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Initial Appraisals</w:t>
      </w:r>
      <w:r>
        <w:rPr>
          <w:rFonts w:ascii="Times New Roman" w:cs="Times New Roman" w:eastAsia="Times New Roman" w:hAnsi="Times New Roman"/>
          <w:sz w:val="21"/>
          <w:szCs w:val="21"/>
          <w:color w:val="auto"/>
        </w:rPr>
        <w:t>. The Administrative Agent shall have received (x) the Initial Appraisals in form reasonably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satisfactory to the Administrative Agent, and (y) an Officer’s Certificate from a Responsible Officer of the Borrower demonstrating that using the Appraised Value listed in the Initial Appraisals, on the Closing Date and immediately after giving effect to the Extensions of Credit to be made on such date, the Collateral Coverage Ratio shall be no less than 1.6 to 1.0.</w:t>
      </w:r>
    </w:p>
    <w:p>
      <w:pPr>
        <w:spacing w:after="0" w:line="172" w:lineRule="exact"/>
        <w:rPr>
          <w:rFonts w:ascii="Times New Roman" w:cs="Times New Roman" w:eastAsia="Times New Roman" w:hAnsi="Times New Roman"/>
          <w:sz w:val="21"/>
          <w:szCs w:val="21"/>
          <w:color w:val="auto"/>
        </w:rPr>
      </w:pPr>
    </w:p>
    <w:p>
      <w:pPr>
        <w:ind w:left="1800" w:hanging="496"/>
        <w:spacing w:after="0"/>
        <w:tabs>
          <w:tab w:leader="none" w:pos="1800" w:val="left"/>
        </w:tabs>
        <w:numPr>
          <w:ilvl w:val="1"/>
          <w:numId w:val="7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Opinions of Counsel</w:t>
      </w:r>
      <w:r>
        <w:rPr>
          <w:rFonts w:ascii="Times New Roman" w:cs="Times New Roman" w:eastAsia="Times New Roman" w:hAnsi="Times New Roman"/>
          <w:sz w:val="21"/>
          <w:szCs w:val="21"/>
          <w:color w:val="auto"/>
        </w:rPr>
        <w:t>. The Administrative Agent shall have received a customary written opinion of Latham</w:t>
      </w:r>
    </w:p>
    <w:p>
      <w:pPr>
        <w:spacing w:after="0" w:line="43" w:lineRule="exact"/>
        <w:rPr>
          <w:rFonts w:ascii="Times New Roman" w:cs="Times New Roman" w:eastAsia="Times New Roman" w:hAnsi="Times New Roman"/>
          <w:sz w:val="21"/>
          <w:szCs w:val="21"/>
          <w:color w:val="auto"/>
        </w:rPr>
      </w:pPr>
    </w:p>
    <w:p>
      <w:pPr>
        <w:ind w:firstLine="8"/>
        <w:spacing w:after="0" w:line="248" w:lineRule="auto"/>
        <w:tabs>
          <w:tab w:leader="none" w:pos="258" w:val="left"/>
        </w:tabs>
        <w:numPr>
          <w:ilvl w:val="0"/>
          <w:numId w:val="7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Watkins LLP, counsel for the Borrower and the Guarantors, dated the Closing Date, in a form and substance reasonably satisfactory to the Administrative Agent.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4" w:lineRule="auto"/>
        <w:tabs>
          <w:tab w:leader="none" w:pos="1795" w:val="left"/>
        </w:tabs>
        <w:numPr>
          <w:ilvl w:val="1"/>
          <w:numId w:val="7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Fees and Expenses</w:t>
      </w:r>
      <w:r>
        <w:rPr>
          <w:rFonts w:ascii="Times New Roman" w:cs="Times New Roman" w:eastAsia="Times New Roman" w:hAnsi="Times New Roman"/>
          <w:sz w:val="22"/>
          <w:szCs w:val="22"/>
          <w:color w:val="auto"/>
        </w:rPr>
        <w:t>. The Borrower shall have paid to the Administrative Agent, the Joint Lead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Arrangers and Bookrunners and the Lenders the then-unpaid balance of all accrued and unpaid Fees due, owing and payable on the Closing Date under and pursuant to the Credit Agreement, and all reasonable and documented out-of-pocket expenses of the Administrative Agent (including reasonable attorneys’ fees of Milbank LLP) required to be reimbursed by the Borrower hereunder for which invoices have been presented at least three (3) Business Days prior to the Closing Date.</w:t>
      </w:r>
    </w:p>
    <w:p>
      <w:pPr>
        <w:spacing w:after="0" w:line="17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777" w:val="left"/>
        </w:tabs>
        <w:numPr>
          <w:ilvl w:val="1"/>
          <w:numId w:val="7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Lien Searches</w:t>
      </w:r>
      <w:r>
        <w:rPr>
          <w:rFonts w:ascii="Times New Roman" w:cs="Times New Roman" w:eastAsia="Times New Roman" w:hAnsi="Times New Roman"/>
          <w:sz w:val="22"/>
          <w:szCs w:val="22"/>
          <w:color w:val="auto"/>
        </w:rPr>
        <w:t>. The Administrative Agent shall have received UCC searches conducted in the jurisdictions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Borrower is incorporated or such other jurisdictions as the Administrative Agent may reasonably request at least 20 Business Days prior to the Closing Date (it being acknowledged and agreed that the Administrative Agent has received such searches).</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93" w:val="left"/>
        </w:tabs>
        <w:numPr>
          <w:ilvl w:val="1"/>
          <w:numId w:val="7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The Lenders shall have received at least three (3) days prior to the Closing Date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documentation and other information required by bank regulatory authorities under applicable “know your customer” and anti-money laundering rules and regulations, including the Patriot Act, that the Administrative Agent shall have requested from the Borrower or Guarantor at least ten (10) days prior to the Closing Date.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40" w:right="339" w:bottom="1440" w:gutter="0" w:footer="0" w:header="0"/>
        </w:sectPr>
      </w:pPr>
    </w:p>
    <w:bookmarkStart w:id="654" w:name="page655"/>
    <w:bookmarkEnd w:id="654"/>
    <w:p>
      <w:pPr>
        <w:spacing w:after="0" w:line="195" w:lineRule="exact"/>
        <w:rPr>
          <w:sz w:val="20"/>
          <w:szCs w:val="20"/>
          <w:color w:val="auto"/>
        </w:rPr>
      </w:pPr>
    </w:p>
    <w:p>
      <w:pPr>
        <w:jc w:val="both"/>
        <w:ind w:firstLine="1304"/>
        <w:spacing w:after="0" w:line="274" w:lineRule="auto"/>
        <w:tabs>
          <w:tab w:leader="none" w:pos="1729" w:val="left"/>
        </w:tabs>
        <w:numPr>
          <w:ilvl w:val="0"/>
          <w:numId w:val="7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Perfected Liens</w:t>
      </w:r>
      <w:r>
        <w:rPr>
          <w:rFonts w:ascii="Times New Roman" w:cs="Times New Roman" w:eastAsia="Times New Roman" w:hAnsi="Times New Roman"/>
          <w:sz w:val="21"/>
          <w:szCs w:val="21"/>
          <w:color w:val="auto"/>
        </w:rPr>
        <w:t>. The Collateral Trustee, for the benefit of the Secured Parties, shall have received a valid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perfected first priority lien on and security interest in the Collateral subject to and pursuant to the SGR Security Agreement to the extent such security interests can be perfected under the UCC, and all UCC financing statements to be filed in the Borrower’s jurisdiction of organization shall have been delivered, or shall be delivered substantially concurrently with the initial funding.</w:t>
      </w:r>
    </w:p>
    <w:p>
      <w:pPr>
        <w:spacing w:after="0" w:line="152" w:lineRule="exact"/>
        <w:rPr>
          <w:rFonts w:ascii="Times New Roman" w:cs="Times New Roman" w:eastAsia="Times New Roman" w:hAnsi="Times New Roman"/>
          <w:sz w:val="21"/>
          <w:szCs w:val="21"/>
          <w:color w:val="auto"/>
        </w:rPr>
      </w:pPr>
    </w:p>
    <w:p>
      <w:pPr>
        <w:jc w:val="both"/>
        <w:ind w:firstLine="1304"/>
        <w:spacing w:after="0" w:line="259" w:lineRule="auto"/>
        <w:tabs>
          <w:tab w:leader="none" w:pos="1837" w:val="left"/>
        </w:tabs>
        <w:numPr>
          <w:ilvl w:val="0"/>
          <w:numId w:val="7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Solvency</w:t>
      </w:r>
      <w:r>
        <w:rPr>
          <w:rFonts w:ascii="Times New Roman" w:cs="Times New Roman" w:eastAsia="Times New Roman" w:hAnsi="Times New Roman"/>
          <w:sz w:val="22"/>
          <w:szCs w:val="22"/>
          <w:color w:val="auto"/>
        </w:rPr>
        <w:t>. The Administrative Agent shall have received an Officer’s Certificate certifying that as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immediately after giving effect to the Loans made on the Closing Date and the payment of all costs and expenses in connection therewith, that the Borrower and the Guarantors, taken as a whole together with their Subsidiaries, are Solvent.</w:t>
      </w:r>
    </w:p>
    <w:p>
      <w:pPr>
        <w:spacing w:after="0" w:line="166" w:lineRule="exact"/>
        <w:rPr>
          <w:rFonts w:ascii="Times New Roman" w:cs="Times New Roman" w:eastAsia="Times New Roman" w:hAnsi="Times New Roman"/>
          <w:sz w:val="22"/>
          <w:szCs w:val="22"/>
          <w:color w:val="auto"/>
        </w:rPr>
      </w:pPr>
    </w:p>
    <w:p>
      <w:pPr>
        <w:ind w:firstLine="1304"/>
        <w:spacing w:after="0" w:line="287" w:lineRule="auto"/>
        <w:tabs>
          <w:tab w:leader="none" w:pos="1764" w:val="left"/>
        </w:tabs>
        <w:numPr>
          <w:ilvl w:val="0"/>
          <w:numId w:val="7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Event of Default</w:t>
      </w:r>
      <w:r>
        <w:rPr>
          <w:rFonts w:ascii="Times New Roman" w:cs="Times New Roman" w:eastAsia="Times New Roman" w:hAnsi="Times New Roman"/>
          <w:sz w:val="22"/>
          <w:szCs w:val="22"/>
          <w:color w:val="auto"/>
        </w:rPr>
        <w:t>. No Default or Event of Default shall have occurred and be continuing immediately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giving effect to the Closing Date Transactions.</w:t>
      </w:r>
    </w:p>
    <w:p>
      <w:pPr>
        <w:spacing w:after="0" w:line="13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51" w:val="left"/>
        </w:tabs>
        <w:numPr>
          <w:ilvl w:val="0"/>
          <w:numId w:val="7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All representations and warranties of the Borrower and the Guarantors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contained in the Credit Agreement and the other Loan Documents executed and delivered on the Closing Date shall be true and correct in all material respects on and as of the Closing Date, immediately after giving effect to the Closing Date Transactions, as though made on and as of such date (except to the extent any such representation or warranty by its terms is made as of a different specified date, in which case as of such specified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after giving effect to the Closing Date Transactions.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execution by each Lender of the Credit Agreement shall be deemed to be confirmation by such Lender that any condition relating to such Lender’s satisfaction or reasonable satisfaction with any documentation set forth in this Section 4.01 has been satisfied as to such Lender.</w:t>
      </w:r>
    </w:p>
    <w:p>
      <w:pPr>
        <w:spacing w:after="0" w:line="16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Conditions Precedent to Each Loan and Each Letter of Credit</w:t>
      </w:r>
      <w:r>
        <w:rPr>
          <w:rFonts w:ascii="Times New Roman" w:cs="Times New Roman" w:eastAsia="Times New Roman" w:hAnsi="Times New Roman"/>
          <w:sz w:val="22"/>
          <w:szCs w:val="22"/>
          <w:color w:val="auto"/>
        </w:rPr>
        <w:t>. The obligation of the Lenders to make each Loan and of the Issuing Lenders to issue each Letter of Credit after the Closing Date is subject to the satisfaction (or waiver in accordance with Section 10.08) of the following conditions precedent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condition precedent to drawing of a Revolving Loan may be waived only by the Required Revolving Lenders):</w:t>
      </w:r>
    </w:p>
    <w:p>
      <w:pPr>
        <w:spacing w:after="0" w:line="172" w:lineRule="exact"/>
        <w:rPr>
          <w:sz w:val="20"/>
          <w:szCs w:val="20"/>
          <w:color w:val="auto"/>
        </w:rPr>
      </w:pPr>
    </w:p>
    <w:p>
      <w:pPr>
        <w:jc w:val="both"/>
        <w:ind w:firstLine="1304"/>
        <w:spacing w:after="0" w:line="299" w:lineRule="auto"/>
        <w:tabs>
          <w:tab w:leader="none" w:pos="1779" w:val="left"/>
        </w:tabs>
        <w:numPr>
          <w:ilvl w:val="0"/>
          <w:numId w:val="7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w:t>
      </w:r>
      <w:r>
        <w:rPr>
          <w:rFonts w:ascii="Times New Roman" w:cs="Times New Roman" w:eastAsia="Times New Roman" w:hAnsi="Times New Roman"/>
          <w:sz w:val="21"/>
          <w:szCs w:val="21"/>
          <w:color w:val="auto"/>
        </w:rPr>
        <w:t>. The Administrative Agent shall have received a Loan Request pursuant to Section 2.03 with respect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such borrowing or a Letter of Credit Request for issuance of such Letter of Credit pursuant to Section 2.02, as the case may be.</w:t>
      </w:r>
    </w:p>
    <w:p>
      <w:pPr>
        <w:spacing w:after="0" w:line="127" w:lineRule="exact"/>
        <w:rPr>
          <w:rFonts w:ascii="Times New Roman" w:cs="Times New Roman" w:eastAsia="Times New Roman" w:hAnsi="Times New Roman"/>
          <w:sz w:val="21"/>
          <w:szCs w:val="21"/>
          <w:color w:val="auto"/>
        </w:rPr>
      </w:pPr>
    </w:p>
    <w:p>
      <w:pPr>
        <w:jc w:val="both"/>
        <w:ind w:right="20" w:firstLine="1304"/>
        <w:spacing w:after="0" w:line="274" w:lineRule="auto"/>
        <w:tabs>
          <w:tab w:leader="none" w:pos="1872" w:val="left"/>
        </w:tabs>
        <w:numPr>
          <w:ilvl w:val="0"/>
          <w:numId w:val="7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Representations and Warranties</w:t>
      </w:r>
      <w:r>
        <w:rPr>
          <w:rFonts w:ascii="Times New Roman" w:cs="Times New Roman" w:eastAsia="Times New Roman" w:hAnsi="Times New Roman"/>
          <w:sz w:val="21"/>
          <w:szCs w:val="21"/>
          <w:color w:val="auto"/>
        </w:rPr>
        <w:t>. All representations and warranties contained in this Agreement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Loan Documents (other than in the case of each Borrowing Date after the Closing Date, the representations and warranties set forth in Sections 3.05(b), 3.06, 3.09(a) and 3.19) shall be true and correct in all material respects on and as of the date of such Loan or the issuance of such Letter of Credit hereunder (both immediately before and after giving effect thereto and, in the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40" w:right="339" w:bottom="1440" w:gutter="0" w:footer="0" w:header="0"/>
        </w:sectPr>
      </w:pPr>
    </w:p>
    <w:bookmarkStart w:id="655" w:name="page656"/>
    <w:bookmarkEnd w:id="655"/>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before and after giving effect to such Loan or the issuance of such Letter of Credit hereunder.</w:t>
      </w:r>
    </w:p>
    <w:p>
      <w:pPr>
        <w:spacing w:after="0" w:line="177" w:lineRule="exact"/>
        <w:rPr>
          <w:sz w:val="20"/>
          <w:szCs w:val="20"/>
          <w:color w:val="auto"/>
        </w:rPr>
      </w:pPr>
    </w:p>
    <w:p>
      <w:pPr>
        <w:jc w:val="both"/>
        <w:ind w:firstLine="1304"/>
        <w:spacing w:after="0" w:line="258" w:lineRule="auto"/>
        <w:tabs>
          <w:tab w:leader="none" w:pos="1833"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On the date of such Loan or the issuance of such Letter of Credit hereunder, no (i) Event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 or (ii) Default with respect to Section 7.01(b), (e), (f) or (g) shall have occurred and be continuing nor shall any such Default or Event of Default, as the case may be, immediately occur by reason of the making of the requested Borrowing or the issuance of the requested Letter of Credit and, in the case of each Loan, the application of proceeds thereof.</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59" w:lineRule="auto"/>
        <w:tabs>
          <w:tab w:leader="none" w:pos="1777"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 On the date of such Loan or the issuance of such Letter of Credit hereunder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giving pro forma effect thereto), the Collateral Coverage Ratio shall not be less than 1.6 to 1.0, as evidenced by the delivery of a Collateral Coverage Ratio Certificate to the Administrative Agent demonstrating such compliance.</w:t>
      </w:r>
    </w:p>
    <w:p>
      <w:pPr>
        <w:spacing w:after="0" w:line="16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9" w:val="left"/>
        </w:tabs>
        <w:numPr>
          <w:ilvl w:val="0"/>
          <w:numId w:val="7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Going Concern Qualification</w:t>
      </w:r>
      <w:r>
        <w:rPr>
          <w:rFonts w:ascii="Times New Roman" w:cs="Times New Roman" w:eastAsia="Times New Roman" w:hAnsi="Times New Roman"/>
          <w:sz w:val="22"/>
          <w:szCs w:val="22"/>
          <w:color w:val="auto"/>
        </w:rPr>
        <w:t>. For any Loan made or Letter of Credit issued after the filing by Parent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Annual Report on Form 10-K for the fiscal year ended on December 31, 2022, on the date of such Loan or the issuance of such Letter of Credit hereunder,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acceptance by the Borrower of each Extension of Credit hereunder shall be deemed to be a representation and warranty by the Borrower that the conditions specified in this Section 4.02 have been satisfied at that time.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23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40" w:right="339" w:bottom="1440" w:gutter="0" w:footer="0" w:header="0"/>
        </w:sectPr>
      </w:pPr>
    </w:p>
    <w:bookmarkStart w:id="656" w:name="page657"/>
    <w:bookmarkEnd w:id="656"/>
    <w:p>
      <w:pPr>
        <w:spacing w:after="0" w:line="19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Reports, etc.</w:t>
      </w:r>
      <w:r>
        <w:rPr>
          <w:rFonts w:ascii="Times New Roman" w:cs="Times New Roman" w:eastAsia="Times New Roman" w:hAnsi="Times New Roman"/>
          <w:sz w:val="22"/>
          <w:szCs w:val="22"/>
          <w:color w:val="auto"/>
        </w:rPr>
        <w:t xml:space="preserve"> The Borrower shall deliver to the Administrative Agent on behalf of the Lenders:</w:t>
      </w:r>
    </w:p>
    <w:p>
      <w:pPr>
        <w:spacing w:after="0" w:line="158" w:lineRule="exact"/>
        <w:rPr>
          <w:sz w:val="20"/>
          <w:szCs w:val="20"/>
          <w:color w:val="auto"/>
        </w:rPr>
      </w:pPr>
    </w:p>
    <w:p>
      <w:pPr>
        <w:jc w:val="both"/>
        <w:ind w:firstLine="1304"/>
        <w:spacing w:after="0" w:line="250" w:lineRule="auto"/>
        <w:tabs>
          <w:tab w:leader="none" w:pos="1860" w:val="left"/>
        </w:tabs>
        <w:numPr>
          <w:ilvl w:val="0"/>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Parent shall have filed with the SEC its Annual Report on Form 10-K for such fiscal year, which is available to the public via EDGAR or any similar successor system;</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1" w:val="left"/>
        </w:tabs>
        <w:numPr>
          <w:ilvl w:val="0"/>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Parent shall have filed with the SEC its Quarterly Report on Form 10-Q for such fiscal quarter, which is available to the public via EDGAR or any similar successor system;</w:t>
      </w:r>
    </w:p>
    <w:p>
      <w:pPr>
        <w:spacing w:after="0" w:line="19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57" w:val="left"/>
        </w:tabs>
        <w:numPr>
          <w:ilvl w:val="0"/>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w:t>
      </w:r>
    </w:p>
    <w:p>
      <w:pPr>
        <w:spacing w:after="0" w:line="179" w:lineRule="exact"/>
        <w:rPr>
          <w:rFonts w:ascii="Times New Roman" w:cs="Times New Roman" w:eastAsia="Times New Roman" w:hAnsi="Times New Roman"/>
          <w:sz w:val="22"/>
          <w:szCs w:val="22"/>
          <w:color w:val="auto"/>
        </w:rPr>
      </w:pPr>
    </w:p>
    <w:p>
      <w:pPr>
        <w:ind w:firstLine="1304"/>
        <w:spacing w:after="0" w:line="284" w:lineRule="auto"/>
        <w:tabs>
          <w:tab w:leader="none" w:pos="1766" w:val="left"/>
        </w:tabs>
        <w:numPr>
          <w:ilvl w:val="0"/>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under clauses (a) and (b) of this Section 5.01, an Officer’s Certificate demonstrating in reasonable detail compliance with Section 6.08 as of the end of the preceding fiscal quarter;</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65" w:val="left"/>
        </w:tabs>
        <w:numPr>
          <w:ilvl w:val="0"/>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thereof, written notice of the termination of a Plan of the Borrower or an ERISA Affiliate pursuant to Section 4042 of ERISA, to the extent such termination would constitute an Event of Default under Section 7.01(j);</w:t>
      </w:r>
    </w:p>
    <w:p>
      <w:pPr>
        <w:spacing w:after="0" w:line="172"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Collateral Coverage Ratio Certificate, as and when required under Section 6.09(a);</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72" w:val="left"/>
        </w:tabs>
        <w:numPr>
          <w:ilvl w:val="0"/>
          <w:numId w:val="7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Commitment, Loan or Letter of Credit is outstanding, promptly after the Chief Financial Officer or the Treasurer of Parent becoming aware of the occurrence of a Default or an Event of Default that is continuing, an Officer’s Certificate specifying such Default or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40" w:right="339" w:bottom="1440" w:gutter="0" w:footer="0" w:header="0"/>
        </w:sectPr>
      </w:pPr>
    </w:p>
    <w:bookmarkStart w:id="657" w:name="page658"/>
    <w:bookmarkEnd w:id="657"/>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Event of Default and what action Parent and its Subsidiaries are taking or propose to take with respect thereto;</w:t>
      </w:r>
    </w:p>
    <w:p>
      <w:pPr>
        <w:spacing w:after="0" w:line="220" w:lineRule="exact"/>
        <w:rPr>
          <w:sz w:val="20"/>
          <w:szCs w:val="20"/>
          <w:color w:val="auto"/>
        </w:rPr>
      </w:pPr>
    </w:p>
    <w:p>
      <w:pPr>
        <w:jc w:val="both"/>
        <w:ind w:firstLine="1304"/>
        <w:spacing w:after="0" w:line="253" w:lineRule="auto"/>
        <w:tabs>
          <w:tab w:leader="none" w:pos="1792" w:val="left"/>
        </w:tabs>
        <w:numPr>
          <w:ilvl w:val="0"/>
          <w:numId w:val="7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Borrower or Parent in a current report on Form 8-k filed with the SEC), (b) or (c) of the definition thereof;</w:t>
      </w:r>
    </w:p>
    <w:p>
      <w:pPr>
        <w:spacing w:after="0" w:line="17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7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Collateral Coverage Ratio Certificate as and when required under Section 6.04(ii)(D);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7" w:val="left"/>
        </w:tabs>
        <w:numPr>
          <w:ilvl w:val="0"/>
          <w:numId w:val="7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Any certificate to be delivered under this Section 5.01 may, at the Borrower’s option, be combined with any other certificate to be delivered under this Section 5.01 within the same time period.</w:t>
      </w:r>
    </w:p>
    <w:p>
      <w:pPr>
        <w:spacing w:after="0" w:line="15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Subject to the next succeeding sentence, information delivered pursuant to this Section 5.01 to the Administrative Agent may be made available by the Administrative Agent to the Lenders by posting such information on the Intralinks website on the Internet at http://www.intralinks.com and/or on the DebtDomain website on the Internet at http://www.debtdomain.com. Information required to be delivered pursuant to this Section 5.01 by the Borrower (and solely in the case of Section 5.01(a) or</w:t>
      </w:r>
    </w:p>
    <w:p>
      <w:pPr>
        <w:spacing w:after="0" w:line="1" w:lineRule="exact"/>
        <w:rPr>
          <w:sz w:val="20"/>
          <w:szCs w:val="20"/>
          <w:color w:val="auto"/>
        </w:rPr>
      </w:pPr>
    </w:p>
    <w:p>
      <w:pPr>
        <w:jc w:val="both"/>
        <w:ind w:firstLine="8"/>
        <w:spacing w:after="0" w:line="246" w:lineRule="auto"/>
        <w:tabs>
          <w:tab w:leader="none" w:pos="329" w:val="left"/>
        </w:tabs>
        <w:numPr>
          <w:ilvl w:val="0"/>
          <w:numId w:val="7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to the extent not made available on EDGAR) shall be delivered pursuant to Section 10.01 or as set forth the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w:t>
      </w:r>
    </w:p>
    <w:p>
      <w:pPr>
        <w:spacing w:after="0" w:line="18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w:t>
      </w:r>
    </w:p>
    <w:p>
      <w:pPr>
        <w:spacing w:after="0" w:line="1" w:lineRule="exact"/>
        <w:rPr>
          <w:sz w:val="20"/>
          <w:szCs w:val="20"/>
          <w:color w:val="auto"/>
        </w:rPr>
      </w:pPr>
    </w:p>
    <w:p>
      <w:pPr>
        <w:ind w:right="20" w:firstLine="8"/>
        <w:spacing w:after="0" w:line="248" w:lineRule="auto"/>
        <w:tabs>
          <w:tab w:leader="none" w:pos="415" w:val="left"/>
        </w:tabs>
        <w:numPr>
          <w:ilvl w:val="0"/>
          <w:numId w:val="7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or communication has been posted on the Borrower’s general commercial website on the Internet, as such website may be specified by the Borrower to the Administrative Agent from time to time.</w:t>
      </w:r>
    </w:p>
    <w:p>
      <w:pPr>
        <w:spacing w:after="0" w:line="182"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Parent shall pay, and shall cause each of its Subsidiaries to pay, all material taxes, assessments and governmental levies imposed or assessed on any of them 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40" w:right="339" w:bottom="1440" w:gutter="0" w:footer="0" w:header="0"/>
        </w:sectPr>
      </w:pPr>
    </w:p>
    <w:bookmarkStart w:id="658" w:name="page659"/>
    <w:bookmarkEnd w:id="658"/>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 on Parent.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Parent shall do or cause to be done all things reasonably necessary to preserve and keep in full force and effect:</w:t>
      </w:r>
    </w:p>
    <w:p>
      <w:pPr>
        <w:spacing w:after="0" w:line="158" w:lineRule="exact"/>
        <w:rPr>
          <w:sz w:val="20"/>
          <w:szCs w:val="20"/>
          <w:color w:val="auto"/>
        </w:rPr>
      </w:pPr>
    </w:p>
    <w:p>
      <w:pPr>
        <w:jc w:val="both"/>
        <w:ind w:left="660" w:firstLine="644"/>
        <w:spacing w:after="0" w:line="257" w:lineRule="auto"/>
        <w:tabs>
          <w:tab w:leader="none" w:pos="2031" w:val="left"/>
        </w:tabs>
        <w:numPr>
          <w:ilvl w:val="0"/>
          <w:numId w:val="7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corporate existence, and the corporate, partnership or other existence of each of its Restricted Subsidiaries, in accordance with the respective organizational documents (as the same may be amended from time to time) of Parent or any such Restricted Subsidiary; and</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18" w:val="left"/>
        </w:tabs>
        <w:numPr>
          <w:ilvl w:val="0"/>
          <w:numId w:val="7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(charter and statutory) and material franchises of Parent and its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the avoidance of doubt, this Section 5.03 shall not prohibit any actions permitted by Section 6.10 or described in Section 6.10(b).</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Designation of Restricted and Unrestricted Subsidiaries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25" w:val="left"/>
        </w:tabs>
        <w:numPr>
          <w:ilvl w:val="0"/>
          <w:numId w:val="7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40" w:right="339" w:bottom="1440" w:gutter="0" w:footer="0" w:header="0"/>
        </w:sectPr>
      </w:pPr>
    </w:p>
    <w:bookmarkStart w:id="659" w:name="page660"/>
    <w:bookmarkEnd w:id="659"/>
    <w:p>
      <w:pPr>
        <w:spacing w:after="0" w:line="199" w:lineRule="exact"/>
        <w:rPr>
          <w:sz w:val="20"/>
          <w:szCs w:val="20"/>
          <w:color w:val="auto"/>
        </w:rPr>
      </w:pPr>
    </w:p>
    <w:p>
      <w:pPr>
        <w:jc w:val="both"/>
        <w:ind w:firstLine="1304"/>
        <w:spacing w:after="0" w:line="257" w:lineRule="auto"/>
        <w:tabs>
          <w:tab w:leader="none" w:pos="1912" w:val="left"/>
        </w:tabs>
        <w:numPr>
          <w:ilvl w:val="0"/>
          <w:numId w:val="7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may at any time designate any Unrestricted Subsidiary to be a Restricted Subsidiary of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will be permitted only if no Default or Event of Default would be in existence following such designation.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3" w:val="left"/>
        </w:tabs>
        <w:numPr>
          <w:ilvl w:val="0"/>
          <w:numId w:val="7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w:t>
      </w:r>
    </w:p>
    <w:p>
      <w:pPr>
        <w:spacing w:after="0" w:line="17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Delivery of Appraisals</w:t>
      </w:r>
      <w:r>
        <w:rPr>
          <w:rFonts w:ascii="Times New Roman" w:cs="Times New Roman" w:eastAsia="Times New Roman" w:hAnsi="Times New Roman"/>
          <w:sz w:val="21"/>
          <w:szCs w:val="21"/>
          <w:color w:val="auto"/>
        </w:rPr>
        <w:t>. No later than:</w:t>
      </w:r>
    </w:p>
    <w:p>
      <w:pPr>
        <w:spacing w:after="0" w:line="220" w:lineRule="exact"/>
        <w:rPr>
          <w:sz w:val="20"/>
          <w:szCs w:val="20"/>
          <w:color w:val="auto"/>
        </w:rPr>
      </w:pPr>
    </w:p>
    <w:p>
      <w:pPr>
        <w:jc w:val="both"/>
        <w:ind w:left="660" w:firstLine="644"/>
        <w:spacing w:after="0" w:line="263" w:lineRule="auto"/>
        <w:tabs>
          <w:tab w:leader="none" w:pos="1812" w:val="left"/>
        </w:tabs>
        <w:numPr>
          <w:ilvl w:val="0"/>
          <w:numId w:val="7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with the fiscal year ended December 31, 2024, each of (x) June 30 of each year and (y) a date to be selected by the Borrower from time to time between July 1 and December 31 of each year, but in any event, no earlier than five (5) months after the delivery of the appraisal set forth in clause (x) for such year; and</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927" w:val="left"/>
        </w:tabs>
        <w:numPr>
          <w:ilvl w:val="0"/>
          <w:numId w:val="7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45-day period following a written request by the Administrative Agent if an Event of Default has occurred and is continuing,</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Borrower will deliver to the Administrative Agent one or more Appraisals establishing the Appraised Value of the Collateral (other than any cash or Cash Equivalents in the Collateral).</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Subject to the next succeeding sentence, the Borrower shall deliver the Appraisals described above to the Administrative Agent and the Administrative Agent shall make such Appraisals available to the Lenders by posting such information on the confidential, non-public portion of Intralinks website on the Internet at http://www.intralinks.com and/or on the DebtDomain website on the Internet at http://www.debtdomain.com. Information required to be delivered pursuant to this Section 5.06 by the Borrower shall be delivered pursuant to Section 10.01 and shall be deemed to contain material non-public information.</w:t>
      </w:r>
    </w:p>
    <w:p>
      <w:pPr>
        <w:spacing w:after="0" w:line="19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u w:val="single" w:color="auto"/>
          <w:color w:val="auto"/>
        </w:rPr>
        <w:t>Regulatory Matters; Utilization; Reporting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Borrower will:</w:t>
      </w:r>
    </w:p>
    <w:p>
      <w:pPr>
        <w:spacing w:after="0" w:line="220" w:lineRule="exact"/>
        <w:rPr>
          <w:sz w:val="20"/>
          <w:szCs w:val="20"/>
          <w:color w:val="auto"/>
        </w:rPr>
      </w:pPr>
    </w:p>
    <w:p>
      <w:pPr>
        <w:ind w:left="660" w:firstLine="644"/>
        <w:spacing w:after="0" w:line="271" w:lineRule="auto"/>
        <w:tabs>
          <w:tab w:leader="none" w:pos="1820" w:val="left"/>
        </w:tabs>
        <w:numPr>
          <w:ilvl w:val="0"/>
          <w:numId w:val="7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as an “air carrier” within the meaning of Section 40102(a)(2) of Title 49 and hold or co-hold a certificate under Section 41102(a)(1) of Title 49;</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6" w:val="left"/>
        </w:tabs>
        <w:numPr>
          <w:ilvl w:val="0"/>
          <w:numId w:val="7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at the FAA as an “air carrier” and hold or co-hold an air carrier operating certificate under Section 44705 of Title 49 and operations specifications issued by the FAA pursuant to Parts 119 and 121 of Title 14;</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40" w:right="339" w:bottom="1440" w:gutter="0" w:footer="0" w:header="0"/>
        </w:sectPr>
      </w:pPr>
    </w:p>
    <w:bookmarkStart w:id="660" w:name="page661"/>
    <w:bookmarkEnd w:id="660"/>
    <w:p>
      <w:pPr>
        <w:spacing w:after="0" w:line="199" w:lineRule="exact"/>
        <w:rPr>
          <w:sz w:val="20"/>
          <w:szCs w:val="20"/>
          <w:color w:val="auto"/>
        </w:rPr>
      </w:pPr>
    </w:p>
    <w:p>
      <w:pPr>
        <w:jc w:val="both"/>
        <w:ind w:left="660" w:firstLine="644"/>
        <w:spacing w:after="0" w:line="251" w:lineRule="auto"/>
        <w:tabs>
          <w:tab w:leader="none" w:pos="1803"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the Scheduled Services, except to the extent that any failure to possess or maintain would not reasonably be expected to result in a Material Adverse Effect;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21"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76"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89"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38"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4" w:val="left"/>
        </w:tabs>
        <w:numPr>
          <w:ilvl w:val="0"/>
          <w:numId w:val="7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done all things reasonably necessary to preserve and keep in full force and effect its authority to operate the Scheduled Services, except to the extent that any failure to do so would not reasonably be expected to result in a Material Adverse Effect.</w:t>
      </w:r>
    </w:p>
    <w:p>
      <w:pPr>
        <w:spacing w:after="0" w:line="173" w:lineRule="exact"/>
        <w:rPr>
          <w:sz w:val="20"/>
          <w:szCs w:val="20"/>
          <w:color w:val="auto"/>
        </w:rPr>
      </w:pPr>
    </w:p>
    <w:p>
      <w:pPr>
        <w:jc w:val="both"/>
        <w:ind w:firstLine="1304"/>
        <w:spacing w:after="0" w:line="250" w:lineRule="auto"/>
        <w:tabs>
          <w:tab w:leader="none" w:pos="1878" w:val="left"/>
        </w:tabs>
        <w:numPr>
          <w:ilvl w:val="0"/>
          <w:numId w:val="7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40" w:right="339" w:bottom="1440" w:gutter="0" w:footer="0" w:header="0"/>
        </w:sectPr>
      </w:pPr>
    </w:p>
    <w:bookmarkStart w:id="661" w:name="page662"/>
    <w:bookmarkEnd w:id="661"/>
    <w:p>
      <w:pPr>
        <w:spacing w:after="0" w:line="19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w:t>
      </w:r>
    </w:p>
    <w:p>
      <w:pPr>
        <w:spacing w:after="0" w:line="17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Maintenance of Ratings</w:t>
      </w:r>
      <w:r>
        <w:rPr>
          <w:rFonts w:ascii="Times New Roman" w:cs="Times New Roman" w:eastAsia="Times New Roman" w:hAnsi="Times New Roman"/>
          <w:sz w:val="22"/>
          <w:szCs w:val="22"/>
          <w:color w:val="auto"/>
        </w:rPr>
        <w:t>. The Borrower will use commercially reasonable efforts to maintain a rating of the Facilities by each of S&amp;P and Moody’s after such ratings are obtained (but not to obtain or maintain a specific rating).</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u w:val="single" w:color="auto"/>
          <w:color w:val="auto"/>
        </w:rPr>
        <w:t>Additional Guarantors; Additional Collateral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11" w:val="left"/>
        </w:tabs>
        <w:numPr>
          <w:ilvl w:val="0"/>
          <w:numId w:val="7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Domestic Subsidiary that constitutes an Immaterial Subsidiary, a Receivables Subsidiary or an Excluded Subsidiary need not become a Guarantor unless and until thirty (30) Business Days after such time as it ceases to be (and is no longer any of) an Immaterial Subsidiary, a Receivables Subsidiary or an Excluded Subsidiary or such time as it guarantees, or pledges any property or assets to secure, any other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7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40" w:right="339" w:bottom="1440" w:gutter="0" w:footer="0" w:header="0"/>
        </w:sectPr>
      </w:pPr>
    </w:p>
    <w:bookmarkStart w:id="662" w:name="page663"/>
    <w:bookmarkEnd w:id="662"/>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thirty (30) Business Days after such time as it ceases to be (and is no longer any of ) an Immaterial Subsidiary, a Receivables Subsidiary or an Excluded Subsidiary or such time as it guarantees, or pledges any property or assets to secure, any other Obligations.</w:t>
      </w:r>
    </w:p>
    <w:p>
      <w:pPr>
        <w:spacing w:after="0" w:line="186" w:lineRule="exact"/>
        <w:rPr>
          <w:sz w:val="20"/>
          <w:szCs w:val="20"/>
          <w:color w:val="auto"/>
        </w:rPr>
      </w:pPr>
    </w:p>
    <w:p>
      <w:pPr>
        <w:jc w:val="both"/>
        <w:ind w:firstLine="1304"/>
        <w:spacing w:after="0" w:line="257" w:lineRule="auto"/>
        <w:tabs>
          <w:tab w:leader="none" w:pos="1881" w:val="left"/>
        </w:tabs>
        <w:numPr>
          <w:ilvl w:val="0"/>
          <w:numId w:val="7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in Section 5.09(a) and 5.09(b), no Regional Airline shall be required to become a Guarantor hereunder at any time, provided however that a Regional Airline may become a Guarantor at the sole discretion of the Borrower.</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798" w:val="left"/>
        </w:tabs>
        <w:numPr>
          <w:ilvl w:val="0"/>
          <w:numId w:val="7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with prior written notice to the Administrative Agent and the Collateral Trustee, the Borrower may, and may cause any other Guarantor to, at its sole discretion, pledge additional assets as Additional Collateral.</w:t>
      </w:r>
    </w:p>
    <w:p>
      <w:pPr>
        <w:spacing w:after="0" w:line="17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Access to Books and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817" w:val="left"/>
        </w:tabs>
        <w:numPr>
          <w:ilvl w:val="1"/>
          <w:numId w:val="7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w:t>
      </w:r>
    </w:p>
    <w:p>
      <w:pPr>
        <w:spacing w:after="0" w:line="17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14" w:val="left"/>
        </w:tabs>
        <w:numPr>
          <w:ilvl w:val="1"/>
          <w:numId w:val="7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with respect to Collateral and matters relating thereto, the rights of Administrative Agent and the Lenders under this Section 5.10 shall be limited to the following: upon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w:t>
      </w:r>
    </w:p>
    <w:p>
      <w:pPr>
        <w:spacing w:after="0" w:line="11" w:lineRule="exact"/>
        <w:rPr>
          <w:rFonts w:ascii="Times New Roman" w:cs="Times New Roman" w:eastAsia="Times New Roman" w:hAnsi="Times New Roman"/>
          <w:sz w:val="21"/>
          <w:szCs w:val="21"/>
          <w:color w:val="auto"/>
        </w:rPr>
      </w:pPr>
    </w:p>
    <w:p>
      <w:pPr>
        <w:jc w:val="both"/>
        <w:ind w:firstLine="8"/>
        <w:spacing w:after="0" w:line="246" w:lineRule="auto"/>
        <w:tabs>
          <w:tab w:leader="none" w:pos="346" w:val="left"/>
        </w:tabs>
        <w:numPr>
          <w:ilvl w:val="0"/>
          <w:numId w:val="7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40" w:right="339" w:bottom="1440" w:gutter="0" w:footer="0" w:header="0"/>
        </w:sectPr>
      </w:pPr>
    </w:p>
    <w:bookmarkStart w:id="663" w:name="page664"/>
    <w:bookmarkEnd w:id="663"/>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order of any court or administrative agency or by any statute, rule, regulation or order of any Governmental Authority.</w:t>
      </w:r>
    </w:p>
    <w:p>
      <w:pPr>
        <w:spacing w:after="0" w:line="220" w:lineRule="exact"/>
        <w:rPr>
          <w:sz w:val="20"/>
          <w:szCs w:val="20"/>
          <w:color w:val="auto"/>
        </w:rPr>
      </w:pPr>
    </w:p>
    <w:p>
      <w:pPr>
        <w:ind w:left="130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932" w:val="left"/>
        </w:tabs>
        <w:numPr>
          <w:ilvl w:val="0"/>
          <w:numId w:val="7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Pledged Route Authorities, Pledged Slots, Pledged Foreign Gate Leaseholds and any Additional Route Authorities or Gate Leaseholds otherwise constituting Collateral, upon the reasonable request of the Administrative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the SGR Security Agreement or other applicable Collateral Document is in effect, the perfection of the security interests created by the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Administrative Agent will furnish to the Collateral Trustee such financing statements and continuation statements as may be required to enable the Collateral Trustee to take such action.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77" w:val="left"/>
        </w:tabs>
        <w:numPr>
          <w:ilvl w:val="0"/>
          <w:numId w:val="7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constituting aircraft or spare engines, each of the applicable Aircraft Security Agreements will provide that the Borrower or the applicable Grantor shall take, or cause to be taken, upon the reasonable request of the Administrative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Collateral Trustee appointed pursuant to Section 8.01(d), will furnish such trustee with such instruments, in execution form, and such other information, as may be required to enable such trustee to take such action.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7" w:val="left"/>
        </w:tabs>
        <w:numPr>
          <w:ilvl w:val="0"/>
          <w:numId w:val="7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constituting Real Property Assets, each of the applicable Collateral Documents relating to such Collateral will provide that the Borrower or the applicable Grantor shall provide, or cause to be provided, to the Collateral Trustee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Collateral Trustee for such title insurer to deliver endorsements to such title insurance as are customary (as determined by the Borrower in its sole discretion), environmental assessments, flood certifications and flood insurance (if applicable) and reports and evidence regarding recording and payment of fees, insurance premium and taxes), in each case that the Administrative Agent may reasonably request, to create, register, perfect, maintain, evidence the existence, substance, form or validity of or enforce a valid lien on such parcel of or leasehold interest in real property subject only to Permitted Liens.</w:t>
      </w:r>
    </w:p>
    <w:p>
      <w:pPr>
        <w:spacing w:after="0" w:line="20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25" w:val="left"/>
        </w:tabs>
        <w:numPr>
          <w:ilvl w:val="0"/>
          <w:numId w:val="7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other than Pledged Route Authorities, Pledged Slots, Pledged Foreign Gate Leaseholds, Additional Route Authorities, Gate Leaseholds, aircraft or spare engines, each of the applicable Collateral Documents relating to such Collateral will provide that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40" w:right="339" w:bottom="1440" w:gutter="0" w:footer="0" w:header="0"/>
        </w:sectPr>
      </w:pPr>
    </w:p>
    <w:bookmarkStart w:id="664" w:name="page665"/>
    <w:bookmarkEnd w:id="664"/>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Borrower or the applicable Grantor shall take, or cause to be taken, upon the reasonable request of the Administrative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Trustee, will furnish the Collateral Trustee with such instruments, in execution form, and such other information, as may be required to enable the Collateral Trustee to take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AND FINANCIAL COVENANTS</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Parent will not, and will not permit any of its Restricted Subsidiaries to, directly or indirectly:</w:t>
      </w:r>
    </w:p>
    <w:p>
      <w:pPr>
        <w:spacing w:after="0" w:line="233" w:lineRule="exact"/>
        <w:rPr>
          <w:sz w:val="20"/>
          <w:szCs w:val="20"/>
          <w:color w:val="auto"/>
        </w:rPr>
      </w:pPr>
    </w:p>
    <w:p>
      <w:pPr>
        <w:jc w:val="both"/>
        <w:ind w:left="660" w:firstLine="644"/>
        <w:spacing w:after="0" w:line="265" w:lineRule="auto"/>
        <w:tabs>
          <w:tab w:leader="none" w:pos="1787" w:val="left"/>
        </w:tabs>
        <w:numPr>
          <w:ilvl w:val="1"/>
          <w:numId w:val="7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w:t>
      </w:r>
    </w:p>
    <w:p>
      <w:pPr>
        <w:spacing w:after="0" w:line="168"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7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redeem or otherwise acquire or retire for value any Equity Interests of Parent;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26" w:val="left"/>
        </w:tabs>
        <w:numPr>
          <w:ilvl w:val="1"/>
          <w:numId w:val="7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voluntary payment on or with respect to, or purchase, redeem, defease or otherwise acquire or retire for value (collectively for purposes of this clause (iii), a “</w:t>
      </w:r>
      <w:r>
        <w:rPr>
          <w:rFonts w:ascii="Times New Roman" w:cs="Times New Roman" w:eastAsia="Times New Roman" w:hAnsi="Times New Roman"/>
          <w:sz w:val="22"/>
          <w:szCs w:val="22"/>
          <w:i w:val="1"/>
          <w:iCs w:val="1"/>
          <w:color w:val="auto"/>
        </w:rPr>
        <w:t>purchase</w:t>
      </w:r>
      <w:r>
        <w:rPr>
          <w:rFonts w:ascii="Times New Roman" w:cs="Times New Roman" w:eastAsia="Times New Roman" w:hAnsi="Times New Roman"/>
          <w:sz w:val="22"/>
          <w:szCs w:val="22"/>
          <w:color w:val="auto"/>
        </w:rPr>
        <w:t>”)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w:t>
      </w:r>
    </w:p>
    <w:p>
      <w:pPr>
        <w:spacing w:after="0" w:line="17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7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Restricted Investment (all such payments and other actions set forth in these clauses (i) through</w:t>
      </w:r>
    </w:p>
    <w:p>
      <w:pPr>
        <w:spacing w:after="0" w:line="2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7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being collectively referred to as “</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40" w:right="339" w:bottom="1440" w:gutter="0" w:footer="0" w:header="0"/>
        </w:sectPr>
      </w:pPr>
    </w:p>
    <w:bookmarkStart w:id="665" w:name="page666"/>
    <w:bookmarkEnd w:id="665"/>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at the time of and after giving effect to such Restricted Payment:</w:t>
      </w:r>
    </w:p>
    <w:p>
      <w:pPr>
        <w:spacing w:after="0" w:line="220" w:lineRule="exact"/>
        <w:rPr>
          <w:sz w:val="20"/>
          <w:szCs w:val="20"/>
          <w:color w:val="auto"/>
        </w:rPr>
      </w:pPr>
    </w:p>
    <w:p>
      <w:pPr>
        <w:jc w:val="both"/>
        <w:ind w:firstLine="8"/>
        <w:spacing w:after="0" w:line="256" w:lineRule="auto"/>
        <w:tabs>
          <w:tab w:leader="none" w:pos="490" w:val="left"/>
        </w:tabs>
        <w:numPr>
          <w:ilvl w:val="0"/>
          <w:numId w:val="7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$4,000,000,000, or</w:t>
      </w:r>
    </w:p>
    <w:p>
      <w:pPr>
        <w:spacing w:after="0" w:line="176" w:lineRule="exact"/>
        <w:rPr>
          <w:rFonts w:ascii="Times New Roman" w:cs="Times New Roman" w:eastAsia="Times New Roman" w:hAnsi="Times New Roman"/>
          <w:sz w:val="22"/>
          <w:szCs w:val="22"/>
          <w:color w:val="auto"/>
        </w:rPr>
      </w:pPr>
    </w:p>
    <w:p>
      <w:pPr>
        <w:jc w:val="both"/>
        <w:ind w:firstLine="8"/>
        <w:spacing w:after="0" w:line="256" w:lineRule="auto"/>
        <w:tabs>
          <w:tab w:leader="none" w:pos="492" w:val="left"/>
        </w:tabs>
        <w:numPr>
          <w:ilvl w:val="0"/>
          <w:numId w:val="7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836" w:val="left"/>
        </w:tabs>
        <w:numPr>
          <w:ilvl w:val="1"/>
          <w:numId w:val="7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 of the Consolidated Net Income of Parent for the period (taken as one accounting period) from April 1,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w:t>
      </w:r>
    </w:p>
    <w:p>
      <w:pPr>
        <w:spacing w:after="0" w:line="168"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861" w:val="left"/>
        </w:tabs>
        <w:numPr>
          <w:ilvl w:val="1"/>
          <w:numId w:val="7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855" w:val="left"/>
        </w:tabs>
        <w:numPr>
          <w:ilvl w:val="1"/>
          <w:numId w:val="7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40" w:right="339" w:bottom="1440" w:gutter="0" w:footer="0" w:header="0"/>
        </w:sectPr>
      </w:pPr>
    </w:p>
    <w:bookmarkStart w:id="666" w:name="page667"/>
    <w:bookmarkEnd w:id="666"/>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w:t>
      </w:r>
    </w:p>
    <w:p>
      <w:pPr>
        <w:spacing w:after="0" w:line="176" w:lineRule="exact"/>
        <w:rPr>
          <w:sz w:val="20"/>
          <w:szCs w:val="20"/>
          <w:color w:val="auto"/>
        </w:rPr>
      </w:pPr>
    </w:p>
    <w:p>
      <w:pPr>
        <w:jc w:val="both"/>
        <w:ind w:firstLine="644"/>
        <w:spacing w:after="0" w:line="252" w:lineRule="auto"/>
        <w:tabs>
          <w:tab w:leader="none" w:pos="1262" w:val="left"/>
        </w:tabs>
        <w:numPr>
          <w:ilvl w:val="0"/>
          <w:numId w:val="7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Restricted Investment that was made after the Closing Date is (i) sold for cash or otherwise cancelled, liquidated or repaid for cash or (ii) made in an entity that subsequently becomes a Restricted Subsidiary of Parent, the initial amount of such Restricted Investment (or, if less, the amount of cash received upon repayment or sale); plus</w:t>
      </w:r>
    </w:p>
    <w:p>
      <w:pPr>
        <w:spacing w:after="0" w:line="192" w:lineRule="exact"/>
        <w:rPr>
          <w:rFonts w:ascii="Times New Roman" w:cs="Times New Roman" w:eastAsia="Times New Roman" w:hAnsi="Times New Roman"/>
          <w:sz w:val="22"/>
          <w:szCs w:val="22"/>
          <w:color w:val="auto"/>
        </w:rPr>
      </w:pPr>
    </w:p>
    <w:p>
      <w:pPr>
        <w:jc w:val="both"/>
        <w:ind w:firstLine="644"/>
        <w:spacing w:after="0" w:line="265" w:lineRule="auto"/>
        <w:tabs>
          <w:tab w:leader="none" w:pos="1271" w:val="left"/>
        </w:tabs>
        <w:numPr>
          <w:ilvl w:val="0"/>
          <w:numId w:val="7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w:t>
      </w:r>
    </w:p>
    <w:p>
      <w:pPr>
        <w:spacing w:after="0" w:line="165" w:lineRule="exact"/>
        <w:rPr>
          <w:rFonts w:ascii="Times New Roman" w:cs="Times New Roman" w:eastAsia="Times New Roman" w:hAnsi="Times New Roman"/>
          <w:sz w:val="21"/>
          <w:szCs w:val="21"/>
          <w:color w:val="auto"/>
        </w:rPr>
      </w:pPr>
    </w:p>
    <w:p>
      <w:pPr>
        <w:jc w:val="both"/>
        <w:ind w:firstLine="644"/>
        <w:spacing w:after="0" w:line="256" w:lineRule="auto"/>
        <w:tabs>
          <w:tab w:leader="none" w:pos="1135" w:val="left"/>
        </w:tabs>
        <w:numPr>
          <w:ilvl w:val="0"/>
          <w:numId w:val="7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w:t>
      </w:r>
    </w:p>
    <w:p>
      <w:pPr>
        <w:spacing w:after="0" w:line="176"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provisions of Section 6.01(a) will not prohibit:</w:t>
      </w:r>
    </w:p>
    <w:p>
      <w:pPr>
        <w:spacing w:after="0" w:line="220" w:lineRule="exact"/>
        <w:rPr>
          <w:sz w:val="20"/>
          <w:szCs w:val="20"/>
          <w:color w:val="auto"/>
        </w:rPr>
      </w:pPr>
    </w:p>
    <w:p>
      <w:pPr>
        <w:jc w:val="both"/>
        <w:ind w:firstLine="644"/>
        <w:spacing w:after="0" w:line="256" w:lineRule="auto"/>
        <w:tabs>
          <w:tab w:leader="none" w:pos="1239" w:val="left"/>
        </w:tabs>
        <w:numPr>
          <w:ilvl w:val="0"/>
          <w:numId w:val="7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w:t>
      </w:r>
    </w:p>
    <w:p>
      <w:pPr>
        <w:spacing w:after="0" w:line="176" w:lineRule="exact"/>
        <w:rPr>
          <w:rFonts w:ascii="Times New Roman" w:cs="Times New Roman" w:eastAsia="Times New Roman" w:hAnsi="Times New Roman"/>
          <w:sz w:val="22"/>
          <w:szCs w:val="22"/>
          <w:color w:val="auto"/>
        </w:rPr>
      </w:pPr>
    </w:p>
    <w:p>
      <w:pPr>
        <w:jc w:val="both"/>
        <w:ind w:firstLine="644"/>
        <w:spacing w:after="0" w:line="268" w:lineRule="auto"/>
        <w:tabs>
          <w:tab w:leader="none" w:pos="1254" w:val="left"/>
        </w:tabs>
        <w:numPr>
          <w:ilvl w:val="0"/>
          <w:numId w:val="7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w:t>
      </w:r>
    </w:p>
    <w:p>
      <w:pPr>
        <w:spacing w:after="0" w:line="163" w:lineRule="exact"/>
        <w:rPr>
          <w:rFonts w:ascii="Times New Roman" w:cs="Times New Roman" w:eastAsia="Times New Roman" w:hAnsi="Times New Roman"/>
          <w:sz w:val="21"/>
          <w:szCs w:val="21"/>
          <w:color w:val="auto"/>
        </w:rPr>
      </w:pPr>
    </w:p>
    <w:p>
      <w:pPr>
        <w:jc w:val="both"/>
        <w:ind w:firstLine="644"/>
        <w:spacing w:after="0" w:line="257" w:lineRule="auto"/>
        <w:tabs>
          <w:tab w:leader="none" w:pos="1214" w:val="left"/>
        </w:tabs>
        <w:numPr>
          <w:ilvl w:val="0"/>
          <w:numId w:val="7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in the case of any partnership or limited liability company, any similar distribution), distribution or payment by a Restricted Subsidiary of Parent to the holders of its Equity Interests on a pro rata basis;</w:t>
      </w:r>
    </w:p>
    <w:p>
      <w:pPr>
        <w:spacing w:after="0" w:line="200" w:lineRule="exact"/>
        <w:rPr>
          <w:sz w:val="20"/>
          <w:szCs w:val="20"/>
          <w:color w:val="auto"/>
        </w:rPr>
      </w:pPr>
    </w:p>
    <w:p>
      <w:pPr>
        <w:spacing w:after="0" w:line="28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0580"/>
          </w:cols>
          <w:pgMar w:left="980" w:top="1440" w:right="339" w:bottom="1440" w:gutter="0" w:footer="0" w:header="0"/>
        </w:sectPr>
      </w:pPr>
    </w:p>
    <w:bookmarkStart w:id="667" w:name="page668"/>
    <w:bookmarkEnd w:id="667"/>
    <w:p>
      <w:pPr>
        <w:spacing w:after="0" w:line="199" w:lineRule="exact"/>
        <w:rPr>
          <w:sz w:val="20"/>
          <w:szCs w:val="20"/>
          <w:color w:val="auto"/>
        </w:rPr>
      </w:pPr>
    </w:p>
    <w:p>
      <w:pPr>
        <w:jc w:val="both"/>
        <w:ind w:left="-460" w:firstLine="644"/>
        <w:spacing w:after="0" w:line="257" w:lineRule="auto"/>
        <w:tabs>
          <w:tab w:leader="none" w:pos="734" w:val="left"/>
        </w:tabs>
        <w:numPr>
          <w:ilvl w:val="0"/>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redemption, defeasance or other acquisition or retirement for value of Indebtedness of the Borrower or any Guarantor that is contractually subordinated in right of payment to the Loans with the net cash proceeds from an incurrence of Permitted Refinancing Indebtedness;</w:t>
      </w:r>
    </w:p>
    <w:p>
      <w:pPr>
        <w:spacing w:after="0" w:line="186" w:lineRule="exact"/>
        <w:rPr>
          <w:rFonts w:ascii="Times New Roman" w:cs="Times New Roman" w:eastAsia="Times New Roman" w:hAnsi="Times New Roman"/>
          <w:sz w:val="22"/>
          <w:szCs w:val="22"/>
          <w:color w:val="auto"/>
        </w:rPr>
      </w:pPr>
    </w:p>
    <w:p>
      <w:pPr>
        <w:jc w:val="both"/>
        <w:ind w:left="-460" w:firstLine="644"/>
        <w:spacing w:after="0" w:line="248" w:lineRule="auto"/>
        <w:tabs>
          <w:tab w:leader="none" w:pos="784" w:val="left"/>
        </w:tabs>
        <w:numPr>
          <w:ilvl w:val="0"/>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w:t>
      </w:r>
    </w:p>
    <w:p>
      <w:pPr>
        <w:spacing w:after="0" w:line="184" w:lineRule="exact"/>
        <w:rPr>
          <w:rFonts w:ascii="Times New Roman" w:cs="Times New Roman" w:eastAsia="Times New Roman" w:hAnsi="Times New Roman"/>
          <w:sz w:val="22"/>
          <w:szCs w:val="22"/>
          <w:color w:val="auto"/>
        </w:rPr>
      </w:pPr>
    </w:p>
    <w:p>
      <w:pPr>
        <w:jc w:val="both"/>
        <w:ind w:left="-460" w:firstLine="644"/>
        <w:spacing w:after="0" w:line="251" w:lineRule="auto"/>
        <w:tabs>
          <w:tab w:leader="none" w:pos="669" w:val="left"/>
        </w:tabs>
        <w:numPr>
          <w:ilvl w:val="0"/>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687" w:val="left"/>
        </w:tabs>
        <w:numPr>
          <w:ilvl w:val="0"/>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spacing w:after="0" w:line="186" w:lineRule="exact"/>
        <w:rPr>
          <w:rFonts w:ascii="Times New Roman" w:cs="Times New Roman" w:eastAsia="Times New Roman" w:hAnsi="Times New Roman"/>
          <w:sz w:val="22"/>
          <w:szCs w:val="22"/>
          <w:color w:val="auto"/>
        </w:rPr>
      </w:pPr>
    </w:p>
    <w:p>
      <w:pPr>
        <w:ind w:left="-460" w:firstLine="644"/>
        <w:spacing w:after="0" w:line="271" w:lineRule="auto"/>
        <w:tabs>
          <w:tab w:leader="none" w:pos="684" w:val="left"/>
        </w:tabs>
        <w:numPr>
          <w:ilvl w:val="0"/>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cash, dividends, distributions, advances, common stock or other Restricted Payments by Parent or any of its Restricted Subsidiaries to allow the payment of cash in lieu of the issuance of fractional shares;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683" w:val="left"/>
        </w:tabs>
        <w:numPr>
          <w:ilvl w:val="0"/>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w:t>
      </w:r>
    </w:p>
    <w:p>
      <w:pPr>
        <w:spacing w:after="0" w:line="172"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7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with Excluded Contributions;</w:t>
      </w:r>
    </w:p>
    <w:p>
      <w:pPr>
        <w:spacing w:after="0" w:line="200" w:lineRule="exact"/>
        <w:rPr>
          <w:sz w:val="20"/>
          <w:szCs w:val="20"/>
          <w:color w:val="auto"/>
        </w:rPr>
      </w:pPr>
    </w:p>
    <w:p>
      <w:pPr>
        <w:spacing w:after="0" w:line="3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0120"/>
          </w:cols>
          <w:pgMar w:left="1440" w:top="1440" w:right="339" w:bottom="1440" w:gutter="0" w:footer="0" w:header="0"/>
        </w:sectPr>
      </w:pPr>
    </w:p>
    <w:bookmarkStart w:id="668" w:name="page669"/>
    <w:bookmarkEnd w:id="668"/>
    <w:p>
      <w:pPr>
        <w:spacing w:after="0" w:line="199" w:lineRule="exact"/>
        <w:rPr>
          <w:sz w:val="20"/>
          <w:szCs w:val="20"/>
          <w:color w:val="auto"/>
        </w:rPr>
      </w:pPr>
    </w:p>
    <w:p>
      <w:pPr>
        <w:ind w:left="-460" w:right="20" w:firstLine="644"/>
        <w:spacing w:after="0" w:line="271" w:lineRule="auto"/>
        <w:tabs>
          <w:tab w:leader="none" w:pos="763"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as a dividend or otherwise, of shares of Capital Stock of, or Indebtedness owed to Parent or any of its Restricted Subsidiaries by, any Unrestricted Subsidiary;</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954"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Payment in connection with any full or partial “spin-off” of a Subsidiary or similar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or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assets distributed or dividended do not include, directly or indirectly, any property or asset that constitutes Collateral;</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15"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distribution or dividend of assets or Capital Stock of any Person in connection with any full or partial “spin-off” of a Subsidiary or similar transactions having an aggregate Fair Market Value not to exceed $600,000,000 since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assets distributed or dividended do not include, directly or indirectly, any property or asset that constitutes Collateral;</w:t>
      </w:r>
    </w:p>
    <w:p>
      <w:pPr>
        <w:spacing w:after="0" w:line="176"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18"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38"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950"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w:t>
      </w:r>
    </w:p>
    <w:p>
      <w:pPr>
        <w:spacing w:after="0" w:line="192"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48"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payments in connection with a Permitted Bond Hedge Transaction and (b) the settlement of any related Permitted Warrant Transaction (i) by delivery of shares of Parent’s or a parent company of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 such parent company or such common stock, cash and/or other property;</w:t>
      </w:r>
    </w:p>
    <w:p>
      <w:pPr>
        <w:spacing w:after="0" w:line="180"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02" w:val="left"/>
        </w:tabs>
        <w:numPr>
          <w:ilvl w:val="0"/>
          <w:numId w:val="7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has occurred and is continuing, Restricted Payments (i) made to purchase or redeem Equity Interests of Parent or (ii) consisting of payments in respect of any Indebtedness (whether for purchase or prepayment thereof or otherwise);</w:t>
      </w:r>
    </w:p>
    <w:p>
      <w:pPr>
        <w:spacing w:after="0" w:line="200" w:lineRule="exact"/>
        <w:rPr>
          <w:sz w:val="20"/>
          <w:szCs w:val="20"/>
          <w:color w:val="auto"/>
        </w:rPr>
      </w:pPr>
    </w:p>
    <w:p>
      <w:pPr>
        <w:spacing w:after="0" w:line="28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0120"/>
          </w:cols>
          <w:pgMar w:left="1440" w:top="1440" w:right="339" w:bottom="1440" w:gutter="0" w:footer="0" w:header="0"/>
        </w:sectPr>
      </w:pPr>
    </w:p>
    <w:bookmarkStart w:id="669" w:name="page670"/>
    <w:bookmarkEnd w:id="669"/>
    <w:p>
      <w:pPr>
        <w:spacing w:after="0" w:line="199" w:lineRule="exact"/>
        <w:rPr>
          <w:sz w:val="20"/>
          <w:szCs w:val="20"/>
          <w:color w:val="auto"/>
        </w:rPr>
      </w:pPr>
    </w:p>
    <w:p>
      <w:pPr>
        <w:jc w:val="both"/>
        <w:ind w:left="660" w:firstLine="644"/>
        <w:spacing w:after="0" w:line="253" w:lineRule="auto"/>
        <w:tabs>
          <w:tab w:leader="none" w:pos="1954" w:val="left"/>
        </w:tabs>
        <w:numPr>
          <w:ilvl w:val="0"/>
          <w:numId w:val="7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04" w:val="left"/>
        </w:tabs>
        <w:numPr>
          <w:ilvl w:val="0"/>
          <w:numId w:val="7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w:t>
      </w:r>
    </w:p>
    <w:p>
      <w:pPr>
        <w:spacing w:after="0" w:line="163"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0"/>
          <w:numId w:val="7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repurchase of Receivables and/or related assets pursuant to a Receivables Repurchase Obligation.</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440" w:right="339" w:bottom="1440" w:gutter="0" w:footer="0" w:header="0"/>
        </w:sectPr>
      </w:pPr>
    </w:p>
    <w:bookmarkStart w:id="670" w:name="page671"/>
    <w:bookmarkEnd w:id="670"/>
    <w:p>
      <w:pPr>
        <w:spacing w:after="0" w:line="199" w:lineRule="exact"/>
        <w:rPr>
          <w:sz w:val="20"/>
          <w:szCs w:val="20"/>
          <w:color w:val="auto"/>
        </w:rPr>
      </w:pPr>
    </w:p>
    <w:p>
      <w:pPr>
        <w:jc w:val="right"/>
        <w:spacing w:after="0"/>
        <w:tabs>
          <w:tab w:leader="none" w:pos="820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2"/>
          <w:szCs w:val="22"/>
          <w:u w:val="single" w:color="auto"/>
          <w:color w:val="auto"/>
        </w:rPr>
        <w:t>Restrictions on Ability of Restricted Subsidiaries to Pay Dividends and Make Certain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304"/>
        <w:spacing w:after="0" w:line="263" w:lineRule="auto"/>
        <w:tabs>
          <w:tab w:leader="none" w:pos="1789" w:val="left"/>
        </w:tabs>
        <w:numPr>
          <w:ilvl w:val="0"/>
          <w:numId w:val="7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will not, and will not permit any of its Restricted Subsidiaries other than the Borrower to, directly or indirectly, create or permit to exist or become effective any consensual encumbrance or restriction on the ability of any such Restricted Subsidiary to:</w:t>
      </w:r>
    </w:p>
    <w:p>
      <w:pPr>
        <w:spacing w:after="0" w:line="167" w:lineRule="exact"/>
        <w:rPr>
          <w:sz w:val="20"/>
          <w:szCs w:val="20"/>
          <w:color w:val="auto"/>
        </w:rPr>
      </w:pPr>
    </w:p>
    <w:p>
      <w:pPr>
        <w:jc w:val="both"/>
        <w:ind w:left="660" w:firstLine="644"/>
        <w:spacing w:after="0" w:line="257" w:lineRule="auto"/>
        <w:tabs>
          <w:tab w:leader="none" w:pos="1948" w:val="left"/>
        </w:tabs>
        <w:numPr>
          <w:ilvl w:val="0"/>
          <w:numId w:val="7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on its Capital Stock to Parent or any of its Restricted Subsidiaries or with respect to any other interest or participation in the profits of such Restricted Subsidiary, or measured by the profits of such Restricted Subsidiary;</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Indebtedness owed to Parent or any of its Restricted Subsidiaries;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loans or advances to Parent or any of its Restricted Subsidiaries;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or transfer any of its properties or assets to Parent or any of its Restricted Subsidiaries.</w:t>
      </w:r>
    </w:p>
    <w:p>
      <w:pPr>
        <w:spacing w:after="0" w:line="220" w:lineRule="exact"/>
        <w:rPr>
          <w:sz w:val="20"/>
          <w:szCs w:val="20"/>
          <w:color w:val="auto"/>
        </w:rPr>
      </w:pPr>
    </w:p>
    <w:p>
      <w:pPr>
        <w:ind w:left="1780" w:hanging="476"/>
        <w:spacing w:after="0"/>
        <w:tabs>
          <w:tab w:leader="none" w:pos="1780" w:val="left"/>
        </w:tabs>
        <w:numPr>
          <w:ilvl w:val="0"/>
          <w:numId w:val="7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restrictions in Section 6.02(a) will not apply to encumbrances or restrictions existing under or by reason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196" w:lineRule="exact"/>
        <w:rPr>
          <w:sz w:val="20"/>
          <w:szCs w:val="20"/>
          <w:color w:val="auto"/>
        </w:rPr>
      </w:pPr>
    </w:p>
    <w:p>
      <w:pPr>
        <w:jc w:val="both"/>
        <w:ind w:left="660" w:firstLine="644"/>
        <w:spacing w:after="0" w:line="263" w:lineRule="auto"/>
        <w:tabs>
          <w:tab w:leader="none" w:pos="1803"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(A) governing Existing Indebtedness, Credit Facilities and any other obligations, in each case as in effect on (or required by agreements in effect on) the Closing Date, (B) in effect on the Closing Date or (C) of US Airways Group, Inc. and any of its Subsidiaries in effect on the date of the AMR/US Airways Merger;</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Collateral Documents, including any Intercreditor Agreement;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09"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agreements governing other Indebtedness or shares of preferred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 or any reimbursement obligation with respect to LC Disbursements;</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 rule, regulation or order;</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38" w:val="left"/>
        </w:tabs>
        <w:numPr>
          <w:ilvl w:val="0"/>
          <w:numId w:val="7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40" w:right="339" w:bottom="1440" w:gutter="0" w:footer="0" w:header="0"/>
        </w:sectPr>
      </w:pPr>
    </w:p>
    <w:bookmarkStart w:id="671" w:name="page672"/>
    <w:bookmarkEnd w:id="671"/>
    <w:p>
      <w:pPr>
        <w:spacing w:after="0" w:line="199" w:lineRule="exact"/>
        <w:rPr>
          <w:sz w:val="20"/>
          <w:szCs w:val="20"/>
          <w:color w:val="auto"/>
        </w:rPr>
      </w:pPr>
    </w:p>
    <w:p>
      <w:pPr>
        <w:ind w:left="-460" w:firstLine="644"/>
        <w:spacing w:after="0" w:line="271" w:lineRule="auto"/>
        <w:tabs>
          <w:tab w:leader="none" w:pos="749"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contracts, licenses, leases and asset sale agreements entered into in the Ordinary Course of Business;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755"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obligations for property acquired in the Ordinary Course of Business and Capital Lease Obligations that impose restrictions on the property (or proceeds thereof) purchased or leased of the nature described in clause (4) of Section 6.02(a);</w:t>
      </w:r>
    </w:p>
    <w:p>
      <w:pPr>
        <w:spacing w:after="0" w:line="167"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878"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agreement for the sale or other disposition of a Restricted Subsidiary that restricts distributions, asset sales or loans by that Restricted Subsidiary pending its sale or other disposition;</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1" w:lineRule="auto"/>
        <w:tabs>
          <w:tab w:leader="none" w:pos="779"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Refinancing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w:t>
      </w:r>
    </w:p>
    <w:p>
      <w:pPr>
        <w:spacing w:after="0" w:line="181"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 and Liens that limit the right of the debtor to dispose of the assets subject to such Liens;</w:t>
      </w:r>
    </w:p>
    <w:p>
      <w:pPr>
        <w:spacing w:after="0" w:line="233"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777"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w:t>
      </w:r>
    </w:p>
    <w:p>
      <w:pPr>
        <w:spacing w:after="0" w:line="194" w:lineRule="exact"/>
        <w:rPr>
          <w:rFonts w:ascii="Times New Roman" w:cs="Times New Roman" w:eastAsia="Times New Roman" w:hAnsi="Times New Roman"/>
          <w:sz w:val="22"/>
          <w:szCs w:val="22"/>
          <w:color w:val="auto"/>
        </w:rPr>
      </w:pPr>
    </w:p>
    <w:p>
      <w:pPr>
        <w:ind w:left="-460" w:firstLine="644"/>
        <w:spacing w:after="0" w:line="271" w:lineRule="auto"/>
        <w:tabs>
          <w:tab w:leader="none" w:pos="782"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cash or other deposits or net worth imposed by customers under contracts entered into in the Ordinary Course of Business;</w:t>
      </w:r>
    </w:p>
    <w:p>
      <w:pPr>
        <w:spacing w:after="0" w:line="157"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779"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or agreement entered into in connection with (or in anticipation of) any full or partial “spin-off” or similar transactions;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60" w:val="left"/>
        </w:tabs>
        <w:numPr>
          <w:ilvl w:val="0"/>
          <w:numId w:val="7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w:t>
      </w:r>
    </w:p>
    <w:p>
      <w:pPr>
        <w:spacing w:after="0" w:line="200" w:lineRule="exact"/>
        <w:rPr>
          <w:sz w:val="20"/>
          <w:szCs w:val="20"/>
          <w:color w:val="auto"/>
        </w:rPr>
      </w:pPr>
    </w:p>
    <w:p>
      <w:pPr>
        <w:spacing w:after="0" w:line="29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0120"/>
          </w:cols>
          <w:pgMar w:left="1440" w:top="1440" w:right="339" w:bottom="1440" w:gutter="0" w:footer="0" w:header="0"/>
        </w:sectPr>
      </w:pPr>
    </w:p>
    <w:bookmarkStart w:id="672" w:name="page673"/>
    <w:bookmarkEnd w:id="672"/>
    <w:p>
      <w:pPr>
        <w:spacing w:after="0" w:line="199" w:lineRule="exact"/>
        <w:rPr>
          <w:sz w:val="20"/>
          <w:szCs w:val="20"/>
          <w:color w:val="auto"/>
        </w:rPr>
      </w:pPr>
    </w:p>
    <w:p>
      <w:pPr>
        <w:jc w:val="both"/>
        <w:ind w:left="660" w:firstLine="644"/>
        <w:spacing w:after="0" w:line="257" w:lineRule="auto"/>
        <w:tabs>
          <w:tab w:leader="none" w:pos="2144" w:val="left"/>
        </w:tabs>
        <w:numPr>
          <w:ilvl w:val="0"/>
          <w:numId w:val="7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existing under or by reason of Indebtedness or other contractual requirements of a Receivables Subsidiary or any Standard Securitization Undertaking, in each case, in connection with a Qualified Receivables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apply only to such Receivables Subsidiary</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u w:val="single" w:color="auto"/>
          <w:color w:val="auto"/>
        </w:rPr>
        <w:t>Disposition of Collateral</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 (A) upon consummation of any such Disposition, no Event of Default shall have occurred and be continuing, (B) either (I) there is (1) no Collateral Coverage Ratio Failure after giving effect to such Disposition (including any deposit of any Net Proceeds received upon consummation thereof in the Collateral Proceeds Account subject to an Account Control Agreement) and (2) no Core Collateral Failure after giving effect to such Disposition;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(x) 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less than 1.6 to 1.0 and (y) no Core Collateral Failure shall have occurred and be continuing as a result of such Disposition or after giving effect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Disposition that is not a voluntary Disposition of Collateral by the Borrower or such Grantor, the Borrower shall have up to 45 days after such Disposition to accomplish the actions contemplated by this clause (II); or (III) (1) the Borrower shall comply with its obligations set forth in Section 2.12(a), (2) no Collateral Coverage Ratio Failure has occurred and is continuing after giving effect to such Disposition and any prepayments or deposits made pursuant to Section 2.12(a) and (3) no Core Collateral Failure has occurred and is continuing after giving effect to such Disposition and any prepayments or deposits made pursuant to Section 2.12(a), (C) such sale or other Disposition, if to any other Person that is not a Subsidiary of the Borrower, is an arms’ length Disposition and</w:t>
      </w:r>
    </w:p>
    <w:p>
      <w:pPr>
        <w:jc w:val="both"/>
        <w:ind w:firstLine="8"/>
        <w:spacing w:after="0" w:line="245" w:lineRule="auto"/>
        <w:tabs>
          <w:tab w:leader="none" w:pos="384" w:val="left"/>
        </w:tabs>
        <w:numPr>
          <w:ilvl w:val="0"/>
          <w:numId w:val="7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provide to the Administrative Agent a Collateral Coverage Ratio Certificate calculating the Collateral Coverage Ratio and certifying that no Core Collateral Failure is continuing after giving effect to such Disposition (provided, that such certification that no Core Collateral Failure is continuing may be given up to 45 days after such Disposition in the case of any Disposition that is not a voluntary Disposition).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none of (v) the reduction of the frequency of flight operations over any Scheduled Service,</w:t>
      </w:r>
    </w:p>
    <w:p>
      <w:pPr>
        <w:spacing w:after="0" w:line="29" w:lineRule="exact"/>
        <w:rPr>
          <w:sz w:val="20"/>
          <w:szCs w:val="20"/>
          <w:color w:val="auto"/>
        </w:rPr>
      </w:pPr>
    </w:p>
    <w:p>
      <w:pPr>
        <w:jc w:val="both"/>
        <w:ind w:firstLine="8"/>
        <w:spacing w:after="0" w:line="251" w:lineRule="auto"/>
        <w:tabs>
          <w:tab w:leader="none" w:pos="362" w:val="left"/>
        </w:tabs>
        <w:numPr>
          <w:ilvl w:val="0"/>
          <w:numId w:val="7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440" w:right="339" w:bottom="1440" w:gutter="0" w:footer="0" w:header="0"/>
        </w:sectPr>
      </w:pPr>
    </w:p>
    <w:bookmarkStart w:id="673" w:name="page674"/>
    <w:bookmarkEnd w:id="673"/>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Authority, Pledged Slot, Pledged Foreign Gate Leasehold or Additional Route Authority or Gate Leasehold constituting Collateral, as 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 or Gate Leasehold otherwise constituting Collateral, as applicable, shall constitute a Disposition nor, solely with respect to this clause (y), result in the automatic release of such Collateral.</w:t>
      </w:r>
    </w:p>
    <w:p>
      <w:pPr>
        <w:spacing w:after="0" w:line="200" w:lineRule="exact"/>
        <w:rPr>
          <w:sz w:val="20"/>
          <w:szCs w:val="20"/>
          <w:color w:val="auto"/>
        </w:rPr>
      </w:pPr>
    </w:p>
    <w:p>
      <w:pPr>
        <w:spacing w:after="0" w:line="20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72" w:lineRule="auto"/>
        <w:tabs>
          <w:tab w:leader="none" w:pos="1782" w:val="left"/>
        </w:tabs>
        <w:numPr>
          <w:ilvl w:val="0"/>
          <w:numId w:val="7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 w:cs="Times New Roman" w:eastAsia="Times New Roman" w:hAnsi="Times New Roman"/>
          <w:sz w:val="21"/>
          <w:szCs w:val="21"/>
          <w:i w:val="1"/>
          <w:iCs w:val="1"/>
          <w:color w:val="auto"/>
        </w:rPr>
        <w:t>Affiliate Transaction</w:t>
      </w:r>
      <w:r>
        <w:rPr>
          <w:rFonts w:ascii="Times New Roman" w:cs="Times New Roman" w:eastAsia="Times New Roman" w:hAnsi="Times New Roman"/>
          <w:sz w:val="21"/>
          <w:szCs w:val="21"/>
          <w:color w:val="auto"/>
        </w:rPr>
        <w:t>”) involving aggregate payments or consideration in excess of $60,000,000, unless:</w:t>
      </w:r>
    </w:p>
    <w:p>
      <w:pPr>
        <w:spacing w:after="0" w:line="161" w:lineRule="exact"/>
        <w:rPr>
          <w:sz w:val="20"/>
          <w:szCs w:val="20"/>
          <w:color w:val="auto"/>
        </w:rPr>
      </w:pPr>
    </w:p>
    <w:p>
      <w:pPr>
        <w:jc w:val="both"/>
        <w:ind w:left="660" w:firstLine="644"/>
        <w:spacing w:after="0" w:line="252" w:lineRule="auto"/>
        <w:tabs>
          <w:tab w:leader="none" w:pos="1791" w:val="left"/>
        </w:tabs>
        <w:numPr>
          <w:ilvl w:val="0"/>
          <w:numId w:val="7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w:t>
      </w:r>
    </w:p>
    <w:p>
      <w:pPr>
        <w:spacing w:after="0" w:line="19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delivers to the Administrative Agent: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666" w:val="left"/>
        </w:tabs>
        <w:numPr>
          <w:ilvl w:val="1"/>
          <w:numId w:val="7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Affiliate Transaction or series of related Affiliate Transactions involving aggregate consideration in excess of $150,000,000, an Officer’s Certificate certifying that such Affiliate Transaction complies with clause (1) of this Section 6.05(a); and</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658" w:val="left"/>
        </w:tabs>
        <w:numPr>
          <w:ilvl w:val="1"/>
          <w:numId w:val="7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w:t>
      </w:r>
    </w:p>
    <w:p>
      <w:pPr>
        <w:spacing w:after="0" w:line="176" w:lineRule="exact"/>
        <w:rPr>
          <w:sz w:val="20"/>
          <w:szCs w:val="20"/>
          <w:color w:val="auto"/>
        </w:rPr>
      </w:pPr>
    </w:p>
    <w:p>
      <w:pPr>
        <w:ind w:firstLine="1304"/>
        <w:spacing w:after="0" w:line="271" w:lineRule="auto"/>
        <w:tabs>
          <w:tab w:leader="none" w:pos="1780" w:val="left"/>
        </w:tabs>
        <w:numPr>
          <w:ilvl w:val="0"/>
          <w:numId w:val="7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items will not be deemed to be Affiliate Transactions and, therefore, will not be subject to the provisions of Section 6.05(a):</w:t>
      </w:r>
    </w:p>
    <w:p>
      <w:pPr>
        <w:spacing w:after="0" w:line="171" w:lineRule="exact"/>
        <w:rPr>
          <w:sz w:val="20"/>
          <w:szCs w:val="20"/>
          <w:color w:val="auto"/>
        </w:rPr>
      </w:pPr>
    </w:p>
    <w:p>
      <w:pPr>
        <w:jc w:val="both"/>
        <w:ind w:left="660" w:firstLine="644"/>
        <w:spacing w:after="0" w:line="252" w:lineRule="auto"/>
        <w:tabs>
          <w:tab w:leader="none" w:pos="2068" w:val="left"/>
        </w:tabs>
        <w:numPr>
          <w:ilvl w:val="0"/>
          <w:numId w:val="7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40" w:right="339" w:bottom="1440" w:gutter="0" w:footer="0" w:header="0"/>
        </w:sectPr>
      </w:pPr>
    </w:p>
    <w:bookmarkStart w:id="674" w:name="page675"/>
    <w:bookmarkEnd w:id="674"/>
    <w:p>
      <w:pPr>
        <w:spacing w:after="0" w:line="199" w:lineRule="exact"/>
        <w:rPr>
          <w:sz w:val="20"/>
          <w:szCs w:val="20"/>
          <w:color w:val="auto"/>
        </w:rPr>
      </w:pPr>
    </w:p>
    <w:p>
      <w:pPr>
        <w:ind w:firstLine="644"/>
        <w:spacing w:after="0" w:line="271" w:lineRule="auto"/>
        <w:tabs>
          <w:tab w:leader="none" w:pos="1144"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Restricted Subsidiaries (including without limitation in connection with (or in anticipation of) any full or partial “spin-off” or similar transactions);</w:t>
      </w:r>
    </w:p>
    <w:p>
      <w:pPr>
        <w:spacing w:after="0" w:line="157" w:lineRule="exact"/>
        <w:rPr>
          <w:rFonts w:ascii="Times New Roman" w:cs="Times New Roman" w:eastAsia="Times New Roman" w:hAnsi="Times New Roman"/>
          <w:sz w:val="22"/>
          <w:szCs w:val="22"/>
          <w:color w:val="auto"/>
        </w:rPr>
      </w:pPr>
    </w:p>
    <w:p>
      <w:pPr>
        <w:ind w:firstLine="644"/>
        <w:spacing w:after="0" w:line="284" w:lineRule="auto"/>
        <w:tabs>
          <w:tab w:leader="none" w:pos="1213"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a Person (other than an Unrestricted Subsidiary of Parent) that is an Affiliate of Parent solely because Parent owns, directly or through a Restricted Subsidiary, an Equity Interest in, or controls, such Person;</w:t>
      </w:r>
    </w:p>
    <w:p>
      <w:pPr>
        <w:spacing w:after="0" w:line="143" w:lineRule="exact"/>
        <w:rPr>
          <w:rFonts w:ascii="Times New Roman" w:cs="Times New Roman" w:eastAsia="Times New Roman" w:hAnsi="Times New Roman"/>
          <w:sz w:val="22"/>
          <w:szCs w:val="22"/>
          <w:color w:val="auto"/>
        </w:rPr>
      </w:pPr>
    </w:p>
    <w:p>
      <w:pPr>
        <w:jc w:val="both"/>
        <w:ind w:firstLine="644"/>
        <w:spacing w:after="0" w:line="257" w:lineRule="auto"/>
        <w:tabs>
          <w:tab w:leader="none" w:pos="1314"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spacing w:after="0" w:line="172"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7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issuance of Qualifying Equity Interests or any increase in the liquidation preference of preferred stock of</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Parent;</w:t>
      </w:r>
    </w:p>
    <w:p>
      <w:pPr>
        <w:spacing w:after="0" w:line="207" w:lineRule="exact"/>
        <w:rPr>
          <w:rFonts w:ascii="Times New Roman" w:cs="Times New Roman" w:eastAsia="Times New Roman" w:hAnsi="Times New Roman"/>
          <w:sz w:val="21"/>
          <w:szCs w:val="21"/>
          <w:color w:val="auto"/>
        </w:rPr>
      </w:pPr>
    </w:p>
    <w:p>
      <w:pPr>
        <w:jc w:val="both"/>
        <w:ind w:firstLine="644"/>
        <w:spacing w:after="0" w:line="257" w:lineRule="auto"/>
        <w:tabs>
          <w:tab w:leader="none" w:pos="1176"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spacing w:after="0" w:line="172"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and Restricted Payments that do not violate Section 6.01;</w:t>
      </w:r>
    </w:p>
    <w:p>
      <w:pPr>
        <w:spacing w:after="0" w:line="219" w:lineRule="exact"/>
        <w:rPr>
          <w:rFonts w:ascii="Times New Roman" w:cs="Times New Roman" w:eastAsia="Times New Roman" w:hAnsi="Times New Roman"/>
          <w:sz w:val="22"/>
          <w:szCs w:val="22"/>
          <w:color w:val="auto"/>
        </w:rPr>
      </w:pPr>
    </w:p>
    <w:p>
      <w:pPr>
        <w:ind w:firstLine="644"/>
        <w:spacing w:after="0" w:line="284" w:lineRule="auto"/>
        <w:tabs>
          <w:tab w:leader="none" w:pos="1267"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employees in the Ordinary Course of Business not to exceed $30,000,000 in the aggregate at any one time outstanding;</w:t>
      </w:r>
    </w:p>
    <w:p>
      <w:pPr>
        <w:spacing w:after="0" w:line="143" w:lineRule="exact"/>
        <w:rPr>
          <w:rFonts w:ascii="Times New Roman" w:cs="Times New Roman" w:eastAsia="Times New Roman" w:hAnsi="Times New Roman"/>
          <w:sz w:val="22"/>
          <w:szCs w:val="22"/>
          <w:color w:val="auto"/>
        </w:rPr>
      </w:pPr>
    </w:p>
    <w:p>
      <w:pPr>
        <w:jc w:val="both"/>
        <w:ind w:firstLine="644"/>
        <w:spacing w:after="0" w:line="249" w:lineRule="auto"/>
        <w:tabs>
          <w:tab w:leader="none" w:pos="1201"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w:t>
      </w:r>
    </w:p>
    <w:p>
      <w:pPr>
        <w:spacing w:after="0" w:line="183" w:lineRule="exact"/>
        <w:rPr>
          <w:rFonts w:ascii="Times New Roman" w:cs="Times New Roman" w:eastAsia="Times New Roman" w:hAnsi="Times New Roman"/>
          <w:sz w:val="22"/>
          <w:szCs w:val="22"/>
          <w:color w:val="auto"/>
        </w:rPr>
      </w:pPr>
    </w:p>
    <w:p>
      <w:pPr>
        <w:ind w:right="20" w:firstLine="644"/>
        <w:spacing w:after="0" w:line="271" w:lineRule="auto"/>
        <w:tabs>
          <w:tab w:leader="none" w:pos="1257"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Subsidiaries or transactions between a Receivables Subsidiary and any Person in which the Receivables Subsidiary has an Investment;</w:t>
      </w:r>
    </w:p>
    <w:p>
      <w:pPr>
        <w:spacing w:after="0" w:line="157" w:lineRule="exact"/>
        <w:rPr>
          <w:rFonts w:ascii="Times New Roman" w:cs="Times New Roman" w:eastAsia="Times New Roman" w:hAnsi="Times New Roman"/>
          <w:sz w:val="22"/>
          <w:szCs w:val="22"/>
          <w:color w:val="auto"/>
        </w:rPr>
      </w:pPr>
    </w:p>
    <w:p>
      <w:pPr>
        <w:ind w:left="1220" w:hanging="576"/>
        <w:spacing w:after="0"/>
        <w:tabs>
          <w:tab w:leader="none" w:pos="1220" w:val="left"/>
        </w:tabs>
        <w:numPr>
          <w:ilvl w:val="0"/>
          <w:numId w:val="7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effected as part of a Qualified Receivables Transaction;</w:t>
      </w:r>
    </w:p>
    <w:p>
      <w:pPr>
        <w:spacing w:after="0" w:line="200" w:lineRule="exact"/>
        <w:rPr>
          <w:sz w:val="20"/>
          <w:szCs w:val="20"/>
          <w:color w:val="auto"/>
        </w:rPr>
      </w:pPr>
    </w:p>
    <w:p>
      <w:pPr>
        <w:spacing w:after="0" w:line="33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0580"/>
          </w:cols>
          <w:pgMar w:left="980" w:top="1440" w:right="339" w:bottom="1440" w:gutter="0" w:footer="0" w:header="0"/>
        </w:sectPr>
      </w:pPr>
    </w:p>
    <w:bookmarkStart w:id="675" w:name="page676"/>
    <w:bookmarkEnd w:id="675"/>
    <w:p>
      <w:pPr>
        <w:spacing w:after="0" w:line="199" w:lineRule="exact"/>
        <w:rPr>
          <w:sz w:val="20"/>
          <w:szCs w:val="20"/>
          <w:color w:val="auto"/>
        </w:rPr>
      </w:pPr>
    </w:p>
    <w:p>
      <w:pPr>
        <w:ind w:left="660" w:firstLine="644"/>
        <w:spacing w:after="0" w:line="271" w:lineRule="auto"/>
        <w:tabs>
          <w:tab w:leader="none" w:pos="2006" w:val="left"/>
        </w:tabs>
        <w:numPr>
          <w:ilvl w:val="0"/>
          <w:numId w:val="7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by Parent’s Affiliates of Indebtedness of Parent or any of its Restricted Subsidiaries, the majority of which Indebtedness is offered to Persons who are not Affiliates of Parent;</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7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contemplated by the Marketing and Service Agreements;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38" w:val="left"/>
        </w:tabs>
        <w:numPr>
          <w:ilvl w:val="0"/>
          <w:numId w:val="7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Parent or any of its Restricted Subsidiaries with any employee labor unions or other employee groups of Parent or such Restricted Subsidiary provided such transactions are not otherwise prohibited by this Agreement;</w:t>
      </w:r>
    </w:p>
    <w:p>
      <w:pPr>
        <w:spacing w:after="0" w:line="172"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7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captive insurance companies of Parent or any of its Restricted Subsidiaries; and</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2052" w:val="left"/>
        </w:tabs>
        <w:numPr>
          <w:ilvl w:val="0"/>
          <w:numId w:val="7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Subsidiaries or transactions between a Non-Recourse Financing Subsidiary and any Person in which the Non-Recourse Financing Subsidiary has an Investment.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Parent will not, and will not permit any of its Restricted Subsidiaries to, directly or indirectly, create, incur, assume or suffer to exist any Lien of any kind on any property or asset that constitutes Collateral, except Permitted Liens.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Business Activities</w:t>
      </w:r>
      <w:r>
        <w:rPr>
          <w:rFonts w:ascii="Times New Roman" w:cs="Times New Roman" w:eastAsia="Times New Roman" w:hAnsi="Times New Roman"/>
          <w:sz w:val="22"/>
          <w:szCs w:val="22"/>
          <w:color w:val="auto"/>
        </w:rPr>
        <w:t>. Parent will not, and will not permit any of its Restricted Subsidiaries to, engage in any business other than Permitted Businesses, except to such extent as would not be material to Parent and its Restricted Subsidiaries taken as a whole.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Parent will not permit the aggregate amount of Liquidity at the close of any Business Day of to be less than $2,000,000,000.</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6.09.</w:t>
      </w:r>
      <w:r>
        <w:rPr>
          <w:sz w:val="20"/>
          <w:szCs w:val="20"/>
          <w:color w:val="auto"/>
        </w:rPr>
        <w:tab/>
      </w:r>
      <w:r>
        <w:rPr>
          <w:rFonts w:ascii="Times New Roman" w:cs="Times New Roman" w:eastAsia="Times New Roman" w:hAnsi="Times New Roman"/>
          <w:sz w:val="21"/>
          <w:szCs w:val="21"/>
          <w:u w:val="single" w:color="auto"/>
          <w:color w:val="auto"/>
        </w:rPr>
        <w:t>Collateral Coverage Ratio</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84" w:val="left"/>
        </w:tabs>
        <w:numPr>
          <w:ilvl w:val="0"/>
          <w:numId w:val="7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the delivery of each Appraisal of Collateral hereunder pursuant to Sections 5.06(1) or (2) (such day, a “</w:t>
      </w:r>
      <w:r>
        <w:rPr>
          <w:rFonts w:ascii="Times New Roman" w:cs="Times New Roman" w:eastAsia="Times New Roman" w:hAnsi="Times New Roman"/>
          <w:sz w:val="22"/>
          <w:szCs w:val="22"/>
          <w:i w:val="1"/>
          <w:iCs w:val="1"/>
          <w:color w:val="auto"/>
        </w:rPr>
        <w:t>Reference Date</w:t>
      </w:r>
      <w:r>
        <w:rPr>
          <w:rFonts w:ascii="Times New Roman" w:cs="Times New Roman" w:eastAsia="Times New Roman" w:hAnsi="Times New Roman"/>
          <w:sz w:val="22"/>
          <w:szCs w:val="22"/>
          <w:color w:val="auto"/>
        </w:rPr>
        <w:t>,” and the tenth Business Day after a Reference Date, the “</w:t>
      </w:r>
      <w:r>
        <w:rPr>
          <w:rFonts w:ascii="Times New Roman" w:cs="Times New Roman" w:eastAsia="Times New Roman" w:hAnsi="Times New Roman"/>
          <w:sz w:val="22"/>
          <w:szCs w:val="22"/>
          <w:i w:val="1"/>
          <w:iCs w:val="1"/>
          <w:color w:val="auto"/>
        </w:rPr>
        <w:t>Certificate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Delivery Date</w:t>
      </w:r>
      <w:r>
        <w:rPr>
          <w:rFonts w:ascii="Times New Roman" w:cs="Times New Roman" w:eastAsia="Times New Roman" w:hAnsi="Times New Roman"/>
          <w:sz w:val="22"/>
          <w:szCs w:val="22"/>
          <w:color w:val="auto"/>
        </w:rPr>
        <w:t>”), the Borrower will deliver to the Administrative Agent a Collateral Coverage Ratio Certificate (i) calculating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Coverage Ratio with respect to such Reference Date and (ii) for each Certificate Delivery Date, no Core Collateral Failure has occurred and is continuing.</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3" w:val="left"/>
        </w:tabs>
        <w:numPr>
          <w:ilvl w:val="0"/>
          <w:numId w:val="7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(x)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or (y) at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40" w:right="339" w:bottom="1440" w:gutter="0" w:footer="0" w:header="0"/>
        </w:sectPr>
      </w:pPr>
    </w:p>
    <w:bookmarkStart w:id="676" w:name="page677"/>
    <w:bookmarkEnd w:id="676"/>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any Reference Date, it is determined that a Core Collateral Failure has occurred, the Borrower shall, no later than forty-five (45) days after the date of such determination, either (A) grant (or cause another Grantor to grant) a security interest in Additional Collateral such that following such grant, the Collateral shall include Core Collateral or (B) prepay the Loans in full in accordance with Section 2.12(h).</w:t>
      </w:r>
    </w:p>
    <w:p>
      <w:pPr>
        <w:spacing w:after="0" w:line="176" w:lineRule="exact"/>
        <w:rPr>
          <w:sz w:val="20"/>
          <w:szCs w:val="20"/>
          <w:color w:val="auto"/>
        </w:rPr>
      </w:pPr>
    </w:p>
    <w:p>
      <w:pPr>
        <w:jc w:val="both"/>
        <w:ind w:firstLine="1304"/>
        <w:spacing w:after="0" w:line="252" w:lineRule="auto"/>
        <w:tabs>
          <w:tab w:leader="none" w:pos="1765" w:val="left"/>
        </w:tabs>
        <w:numPr>
          <w:ilvl w:val="0"/>
          <w:numId w:val="7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the following conditions are satisfied or waived:</w:t>
      </w:r>
    </w:p>
    <w:p>
      <w:pPr>
        <w:spacing w:after="0" w:line="193" w:lineRule="exact"/>
        <w:rPr>
          <w:sz w:val="20"/>
          <w:szCs w:val="20"/>
          <w:color w:val="auto"/>
        </w:rPr>
      </w:pPr>
    </w:p>
    <w:p>
      <w:pPr>
        <w:ind w:left="1600" w:hanging="296"/>
        <w:spacing w:after="0"/>
        <w:tabs>
          <w:tab w:leader="none" w:pos="1600" w:val="left"/>
        </w:tabs>
        <w:numPr>
          <w:ilvl w:val="0"/>
          <w:numId w:val="7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have occurred and be continuing;</w:t>
      </w:r>
    </w:p>
    <w:p>
      <w:pPr>
        <w:spacing w:after="0" w:line="219"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7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19"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7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giving effect to such release, the Collateral Coverage Ratio is not less than 1.6 to 1.0;</w:t>
      </w:r>
    </w:p>
    <w:p>
      <w:pPr>
        <w:spacing w:after="0" w:line="39" w:lineRule="exact"/>
        <w:rPr>
          <w:rFonts w:ascii="Times New Roman" w:cs="Times New Roman" w:eastAsia="Times New Roman" w:hAnsi="Times New Roman"/>
          <w:sz w:val="21"/>
          <w:szCs w:val="21"/>
          <w:color w:val="auto"/>
        </w:rPr>
      </w:pPr>
    </w:p>
    <w:p>
      <w:pPr>
        <w:ind w:left="1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95" w:lineRule="exact"/>
        <w:rPr>
          <w:rFonts w:ascii="Times New Roman" w:cs="Times New Roman" w:eastAsia="Times New Roman" w:hAnsi="Times New Roman"/>
          <w:sz w:val="21"/>
          <w:szCs w:val="21"/>
          <w:color w:val="auto"/>
        </w:rPr>
      </w:pPr>
    </w:p>
    <w:p>
      <w:pPr>
        <w:jc w:val="both"/>
        <w:ind w:left="1960" w:hanging="8"/>
        <w:spacing w:after="0" w:line="250" w:lineRule="auto"/>
        <w:tabs>
          <w:tab w:leader="none" w:pos="2308" w:val="left"/>
        </w:tabs>
        <w:numPr>
          <w:ilvl w:val="1"/>
          <w:numId w:val="7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 grant (or cause another Grantor to grant) a security interest in Additional Collateral and/or (B) prepay or cause to be prepaid the Loans and (if required by its terms) any Pari Passu Senior Secured Debt (on a ratable basis with the Loans) such that immediately following such actions in clauses (A) and/or (B)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w:t>
      </w:r>
    </w:p>
    <w:p>
      <w:pPr>
        <w:spacing w:after="0" w:line="193" w:lineRule="exact"/>
        <w:rPr>
          <w:rFonts w:ascii="Times New Roman" w:cs="Times New Roman" w:eastAsia="Times New Roman" w:hAnsi="Times New Roman"/>
          <w:sz w:val="22"/>
          <w:szCs w:val="22"/>
          <w:color w:val="auto"/>
        </w:rPr>
      </w:pPr>
    </w:p>
    <w:p>
      <w:pPr>
        <w:ind w:left="1300" w:firstLine="4"/>
        <w:spacing w:after="0" w:line="271" w:lineRule="auto"/>
        <w:tabs>
          <w:tab w:leader="none" w:pos="1606" w:val="left"/>
        </w:tabs>
        <w:numPr>
          <w:ilvl w:val="0"/>
          <w:numId w:val="7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Core Collateral Failure shall have occurred as a result of such Borrower Release or immediately after giving effect thereto and any concurrent grant of Additional Collateral; and</w:t>
      </w:r>
    </w:p>
    <w:p>
      <w:pPr>
        <w:spacing w:after="0" w:line="157" w:lineRule="exact"/>
        <w:rPr>
          <w:rFonts w:ascii="Times New Roman" w:cs="Times New Roman" w:eastAsia="Times New Roman" w:hAnsi="Times New Roman"/>
          <w:sz w:val="22"/>
          <w:szCs w:val="22"/>
          <w:color w:val="auto"/>
        </w:rPr>
      </w:pPr>
    </w:p>
    <w:p>
      <w:pPr>
        <w:ind w:left="1300" w:firstLine="4"/>
        <w:spacing w:after="0" w:line="295" w:lineRule="auto"/>
        <w:tabs>
          <w:tab w:leader="none" w:pos="1618" w:val="left"/>
        </w:tabs>
        <w:numPr>
          <w:ilvl w:val="0"/>
          <w:numId w:val="7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deliver an Officer’s Certificate and a Collateral Coverage Ratio Certificate (which may be delivered in a combined certificate) demonstrating compliance with this Section 6.09(c) following such release.</w:t>
      </w:r>
    </w:p>
    <w:p>
      <w:pPr>
        <w:spacing w:after="0" w:line="135"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22"/>
          <w:szCs w:val="22"/>
          <w:color w:val="auto"/>
        </w:rPr>
        <w:t>The Administrative Agent will promptly provide any documents reasonably requested by the Borrower or the Collateral Trustee to evidence any release described above, and the Collateral Trust Agreement will provide that the Collateral Trustee agrees to promptly provide any documents or releases reasonably requested by the Borrower to evidence any release described above.</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6.10.</w:t>
      </w:r>
      <w:r>
        <w:rPr>
          <w:sz w:val="20"/>
          <w:szCs w:val="20"/>
          <w:color w:val="auto"/>
        </w:rPr>
        <w:tab/>
      </w:r>
      <w:r>
        <w:rPr>
          <w:rFonts w:ascii="Times New Roman" w:cs="Times New Roman" w:eastAsia="Times New Roman" w:hAnsi="Times New Roman"/>
          <w:sz w:val="21"/>
          <w:szCs w:val="21"/>
          <w:u w:val="single" w:color="auto"/>
          <w:color w:val="auto"/>
        </w:rPr>
        <w:t>Merger, Consolidation, or Sale of Assets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980" w:hanging="676"/>
        <w:spacing w:after="0"/>
        <w:tabs>
          <w:tab w:leader="none" w:pos="1980" w:val="left"/>
        </w:tabs>
        <w:numPr>
          <w:ilvl w:val="0"/>
          <w:numId w:val="7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Parent nor the Borrower (whichever is applicable, the “</w:t>
      </w:r>
      <w:r>
        <w:rPr>
          <w:rFonts w:ascii="Times New Roman" w:cs="Times New Roman" w:eastAsia="Times New Roman" w:hAnsi="Times New Roman"/>
          <w:sz w:val="22"/>
          <w:szCs w:val="22"/>
          <w:i w:val="1"/>
          <w:iCs w:val="1"/>
          <w:color w:val="auto"/>
        </w:rPr>
        <w:t>Subject Company</w:t>
      </w:r>
      <w:r>
        <w:rPr>
          <w:rFonts w:ascii="Times New Roman" w:cs="Times New Roman" w:eastAsia="Times New Roman" w:hAnsi="Times New Roman"/>
          <w:sz w:val="22"/>
          <w:szCs w:val="22"/>
          <w:color w:val="auto"/>
        </w:rPr>
        <w:t>”) shall directly or</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indirectly: (i) consolidate or merge with or into another Person or (ii) sell,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40" w:right="339" w:bottom="1440" w:gutter="0" w:footer="0" w:header="0"/>
        </w:sectPr>
      </w:pPr>
    </w:p>
    <w:bookmarkStart w:id="677" w:name="page678"/>
    <w:bookmarkEnd w:id="677"/>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assign, transfer, convey or otherwise dispose of all or substantially all of the properties or assets of the Subject Company and 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Subsidiaries taken as a whole, in one or more related transactions, to another Person, unless:</w:t>
      </w:r>
    </w:p>
    <w:p>
      <w:pPr>
        <w:spacing w:after="0" w:line="196" w:lineRule="exact"/>
        <w:rPr>
          <w:sz w:val="20"/>
          <w:szCs w:val="20"/>
          <w:color w:val="auto"/>
        </w:rPr>
      </w:pPr>
    </w:p>
    <w:p>
      <w:pPr>
        <w:ind w:left="1780" w:hanging="476"/>
        <w:spacing w:after="0"/>
        <w:tabs>
          <w:tab w:leader="none" w:pos="1780" w:val="left"/>
        </w:tabs>
        <w:numPr>
          <w:ilvl w:val="0"/>
          <w:numId w:val="7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33"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7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Company is the surviving corporation; or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97" w:val="left"/>
        </w:tabs>
        <w:numPr>
          <w:ilvl w:val="1"/>
          <w:numId w:val="7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09" w:val="left"/>
        </w:tabs>
        <w:numPr>
          <w:ilvl w:val="0"/>
          <w:numId w:val="7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such transaction, no Event of Default exists; and</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42" w:val="left"/>
        </w:tabs>
        <w:numPr>
          <w:ilvl w:val="0"/>
          <w:numId w:val="7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Company shall have delivered to the Administrative Agent an Officer’s Certificate stating that such consolidation, merger or transfer complies with this Agreement.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173" w:lineRule="exact"/>
        <w:rPr>
          <w:sz w:val="20"/>
          <w:szCs w:val="20"/>
          <w:color w:val="auto"/>
        </w:rPr>
      </w:pPr>
    </w:p>
    <w:p>
      <w:pPr>
        <w:ind w:right="20" w:firstLine="1304"/>
        <w:spacing w:after="0" w:line="284" w:lineRule="auto"/>
        <w:tabs>
          <w:tab w:leader="none" w:pos="1855" w:val="left"/>
        </w:tabs>
        <w:numPr>
          <w:ilvl w:val="0"/>
          <w:numId w:val="7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6.10(a) will not apply to any sale, assignment, transfer, conveyance, lease or other disposition of assets between or among Parent and/or its Restricted Subsidiaries.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Clauses (3) and (4) of Section 6.10(a) will not apply to any merger, consolidation or transfer of assets:</w:t>
      </w:r>
    </w:p>
    <w:p>
      <w:pPr>
        <w:spacing w:after="0" w:line="220" w:lineRule="exact"/>
        <w:rPr>
          <w:sz w:val="20"/>
          <w:szCs w:val="20"/>
          <w:color w:val="auto"/>
        </w:rPr>
      </w:pPr>
    </w:p>
    <w:p>
      <w:pPr>
        <w:ind w:left="1780" w:hanging="476"/>
        <w:spacing w:after="0"/>
        <w:tabs>
          <w:tab w:leader="none" w:pos="1780" w:val="left"/>
        </w:tabs>
        <w:numPr>
          <w:ilvl w:val="0"/>
          <w:numId w:val="7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or among Parent and any of Parent’s Restricted Subsidiaries;</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or among any of Parent’s Restricted Subsidiaries or by a Restricted Subsidiary that is not a</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or</w:t>
      </w:r>
    </w:p>
    <w:p>
      <w:pPr>
        <w:spacing w:after="0" w:line="20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or into an Affiliate solely for the purpose of reincorporating a Subject Company in another jurisdiction.</w:t>
      </w:r>
    </w:p>
    <w:p>
      <w:pPr>
        <w:spacing w:after="0" w:line="231" w:lineRule="exact"/>
        <w:rPr>
          <w:sz w:val="20"/>
          <w:szCs w:val="20"/>
          <w:color w:val="auto"/>
        </w:rPr>
      </w:pPr>
    </w:p>
    <w:p>
      <w:pPr>
        <w:jc w:val="both"/>
        <w:ind w:firstLine="1304"/>
        <w:spacing w:after="0" w:line="252" w:lineRule="auto"/>
        <w:tabs>
          <w:tab w:leader="none" w:pos="1752" w:val="left"/>
        </w:tabs>
        <w:numPr>
          <w:ilvl w:val="0"/>
          <w:numId w:val="8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40" w:right="339" w:bottom="1440" w:gutter="0" w:footer="0" w:header="0"/>
        </w:sectPr>
      </w:pPr>
    </w:p>
    <w:bookmarkStart w:id="678" w:name="page679"/>
    <w:bookmarkEnd w:id="678"/>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w:t>
      </w:r>
    </w:p>
    <w:p>
      <w:pPr>
        <w:spacing w:after="0" w:line="195" w:lineRule="exact"/>
        <w:rPr>
          <w:sz w:val="20"/>
          <w:szCs w:val="20"/>
          <w:color w:val="auto"/>
        </w:rPr>
      </w:pPr>
    </w:p>
    <w:p>
      <w:pPr>
        <w:ind w:left="130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6.11.</w:t>
      </w:r>
      <w:r>
        <w:rPr>
          <w:sz w:val="20"/>
          <w:szCs w:val="20"/>
          <w:color w:val="auto"/>
        </w:rPr>
        <w:tab/>
      </w:r>
      <w:r>
        <w:rPr>
          <w:rFonts w:ascii="Times New Roman" w:cs="Times New Roman" w:eastAsia="Times New Roman" w:hAnsi="Times New Roman"/>
          <w:sz w:val="21"/>
          <w:szCs w:val="21"/>
          <w:u w:val="single" w:color="auto"/>
          <w:color w:val="auto"/>
        </w:rPr>
        <w:t>Sanctions.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Borrower will not, directly or indirectly, use the proceeds of the Loans or any Letter of Credit issued hereunder, or lend, contribute or otherwise make available such proceeds to any subsidiary, joint venture partner or other Person to fund any activities or business of or with any Person, or in any country or territory, that, at the time of such funding, is the subject of U.S. sanctions administered by the U.S. federal government (including OFAC), in any manner that would result in a violation of U.S. sanctions administered by the U.S. federal government (including OFAC) by any Person (including any Person participating in the Loans, whether as Administrative Agent, arranger, Lender, underwriter, advisor, investor, or otherwise).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In the case of the happening of any of the following events and the continuance thereof beyond the applicable grace period if any (each, an “</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304"/>
        <w:spacing w:after="0" w:line="250" w:lineRule="auto"/>
        <w:tabs>
          <w:tab w:leader="none" w:pos="1826" w:val="left"/>
        </w:tabs>
        <w:numPr>
          <w:ilvl w:val="0"/>
          <w:numId w:val="8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w:t>
      </w:r>
    </w:p>
    <w:p>
      <w:pPr>
        <w:spacing w:after="0" w:line="19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1" w:val="left"/>
        </w:tabs>
        <w:numPr>
          <w:ilvl w:val="0"/>
          <w:numId w:val="8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440" w:right="339" w:bottom="1440" w:gutter="0" w:footer="0" w:header="0"/>
        </w:sectPr>
      </w:pPr>
    </w:p>
    <w:bookmarkStart w:id="679" w:name="page680"/>
    <w:bookmarkEnd w:id="679"/>
    <w:p>
      <w:pPr>
        <w:spacing w:after="0" w:line="199" w:lineRule="exact"/>
        <w:rPr>
          <w:sz w:val="20"/>
          <w:szCs w:val="20"/>
          <w:color w:val="auto"/>
        </w:rPr>
      </w:pPr>
    </w:p>
    <w:p>
      <w:pPr>
        <w:jc w:val="both"/>
        <w:ind w:firstLine="1304"/>
        <w:spacing w:after="0" w:line="257" w:lineRule="auto"/>
        <w:tabs>
          <w:tab w:leader="none" w:pos="1816" w:val="left"/>
        </w:tabs>
        <w:numPr>
          <w:ilvl w:val="0"/>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5" w:val="left"/>
        </w:tabs>
        <w:numPr>
          <w:ilvl w:val="0"/>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86" w:val="left"/>
        </w:tabs>
        <w:numPr>
          <w:ilvl w:val="0"/>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Loan Document ceases to be in full force and effect (except as permitted by the terms of this Agreement or the Loan Documents or other than as a result of the action or inaction of any Agent) for a period of 60 consecutive days after the Borrower receives notice thereof or (B) any of the Collateral Documents ceases to give the Collateral Trustee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w:t>
      </w:r>
    </w:p>
    <w:p>
      <w:pPr>
        <w:spacing w:after="0" w:line="183" w:lineRule="exact"/>
        <w:rPr>
          <w:rFonts w:ascii="Times New Roman" w:cs="Times New Roman" w:eastAsia="Times New Roman" w:hAnsi="Times New Roman"/>
          <w:sz w:val="22"/>
          <w:szCs w:val="22"/>
          <w:color w:val="auto"/>
        </w:rPr>
      </w:pPr>
    </w:p>
    <w:p>
      <w:pPr>
        <w:ind w:firstLine="1304"/>
        <w:spacing w:after="0" w:line="271" w:lineRule="auto"/>
        <w:tabs>
          <w:tab w:leader="none" w:pos="1893" w:val="left"/>
        </w:tabs>
        <w:numPr>
          <w:ilvl w:val="0"/>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any Significant Subsidiary or any group of Restricted Subsidiaries of Parent that, taken together, would constitute a Significant Subsidiary pursuant to or within the meaning of Bankruptcy Law:</w:t>
      </w:r>
    </w:p>
    <w:p>
      <w:pPr>
        <w:spacing w:after="0" w:line="17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all or substantially all of its property,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admits in writing its inability generally to pay its debts; or</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554" w:val="left"/>
        </w:tabs>
        <w:numPr>
          <w:ilvl w:val="1"/>
          <w:numId w:val="8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Parent, the Borrower, any Significant Subsidiary or any group of Restricted Subsidiaries of Parent that, taken together, would constitute a Significant Subsidiary in an involuntary case;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440" w:right="339" w:bottom="1440" w:gutter="0" w:footer="0" w:header="0"/>
        </w:sectPr>
      </w:pPr>
    </w:p>
    <w:bookmarkStart w:id="680" w:name="page681"/>
    <w:bookmarkEnd w:id="680"/>
    <w:p>
      <w:pPr>
        <w:spacing w:after="0" w:line="199" w:lineRule="exact"/>
        <w:rPr>
          <w:sz w:val="20"/>
          <w:szCs w:val="20"/>
          <w:color w:val="auto"/>
        </w:rPr>
      </w:pPr>
    </w:p>
    <w:p>
      <w:pPr>
        <w:jc w:val="both"/>
        <w:ind w:left="1300" w:firstLine="652"/>
        <w:spacing w:after="0" w:line="256" w:lineRule="auto"/>
        <w:tabs>
          <w:tab w:leader="none" w:pos="2470" w:val="left"/>
        </w:tabs>
        <w:numPr>
          <w:ilvl w:val="0"/>
          <w:numId w:val="8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452" w:val="left"/>
        </w:tabs>
        <w:numPr>
          <w:ilvl w:val="0"/>
          <w:numId w:val="8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liquidation of Parent, the Borrower, any Significant Subsidiary or any group of Restricted Subsidiaries of Parent that, taken together, would constitute a Significant Subsidiary;</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and in each case the order or decree remains unstayed and in effect for sixty (60) consecutive days;</w:t>
      </w:r>
    </w:p>
    <w:p>
      <w:pPr>
        <w:spacing w:after="0" w:line="220" w:lineRule="exact"/>
        <w:rPr>
          <w:sz w:val="20"/>
          <w:szCs w:val="20"/>
          <w:color w:val="auto"/>
        </w:rPr>
      </w:pPr>
    </w:p>
    <w:p>
      <w:pPr>
        <w:jc w:val="both"/>
        <w:ind w:firstLine="1304"/>
        <w:spacing w:after="0" w:line="264" w:lineRule="auto"/>
        <w:tabs>
          <w:tab w:leader="none" w:pos="1779" w:val="left"/>
        </w:tabs>
        <w:numPr>
          <w:ilvl w:val="1"/>
          <w:numId w:val="8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w:t>
      </w:r>
    </w:p>
    <w:p>
      <w:pPr>
        <w:ind w:left="420" w:hanging="412"/>
        <w:spacing w:after="0"/>
        <w:tabs>
          <w:tab w:leader="none" w:pos="420" w:val="left"/>
        </w:tabs>
        <w:numPr>
          <w:ilvl w:val="0"/>
          <w:numId w:val="8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days;</w:t>
      </w:r>
    </w:p>
    <w:p>
      <w:pPr>
        <w:spacing w:after="0" w:line="19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0" w:val="left"/>
        </w:tabs>
        <w:numPr>
          <w:ilvl w:val="1"/>
          <w:numId w:val="8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w:t>
      </w:r>
    </w:p>
    <w:p>
      <w:pPr>
        <w:spacing w:after="0" w:line="183" w:lineRule="exact"/>
        <w:rPr>
          <w:rFonts w:ascii="Times New Roman" w:cs="Times New Roman" w:eastAsia="Times New Roman" w:hAnsi="Times New Roman"/>
          <w:sz w:val="22"/>
          <w:szCs w:val="22"/>
          <w:color w:val="auto"/>
        </w:rPr>
      </w:pPr>
    </w:p>
    <w:p>
      <w:pPr>
        <w:ind w:right="20" w:firstLine="1304"/>
        <w:spacing w:after="0" w:line="271" w:lineRule="auto"/>
        <w:tabs>
          <w:tab w:leader="none" w:pos="1753" w:val="left"/>
        </w:tabs>
        <w:numPr>
          <w:ilvl w:val="1"/>
          <w:numId w:val="8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a Plan of the Borrower or an ERISA Affiliate pursuant to Section 4042 of ERISA and such termination would reasonably be expected to result in a Material Adverse Effect;</w:t>
      </w:r>
    </w:p>
    <w:p>
      <w:pPr>
        <w:spacing w:after="0" w:line="17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w:t>
      </w:r>
    </w:p>
    <w:p>
      <w:pPr>
        <w:spacing w:after="0" w:line="173" w:lineRule="exact"/>
        <w:rPr>
          <w:sz w:val="20"/>
          <w:szCs w:val="20"/>
          <w:color w:val="auto"/>
        </w:rPr>
      </w:pPr>
    </w:p>
    <w:p>
      <w:pPr>
        <w:ind w:left="1720" w:hanging="416"/>
        <w:spacing w:after="0"/>
        <w:tabs>
          <w:tab w:leader="none" w:pos="1720" w:val="left"/>
        </w:tabs>
        <w:numPr>
          <w:ilvl w:val="0"/>
          <w:numId w:val="8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forthwith the Commitments;</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50" w:val="left"/>
        </w:tabs>
        <w:numPr>
          <w:ilvl w:val="0"/>
          <w:numId w:val="8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or any portion thereof then outstanding to be forthwith due and payable, whereupon the principal of the Loans and other Obligations (other than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440" w:right="339" w:bottom="1440" w:gutter="0" w:footer="0" w:header="0"/>
        </w:sectPr>
      </w:pPr>
    </w:p>
    <w:bookmarkStart w:id="681" w:name="page682"/>
    <w:bookmarkEnd w:id="681"/>
    <w:p>
      <w:pPr>
        <w:spacing w:after="0" w:line="19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w:t>
      </w:r>
    </w:p>
    <w:p>
      <w:pPr>
        <w:spacing w:after="0" w:line="179" w:lineRule="exact"/>
        <w:rPr>
          <w:sz w:val="20"/>
          <w:szCs w:val="20"/>
          <w:color w:val="auto"/>
        </w:rPr>
      </w:pPr>
    </w:p>
    <w:p>
      <w:pPr>
        <w:jc w:val="both"/>
        <w:ind w:left="660" w:firstLine="644"/>
        <w:spacing w:after="0" w:line="253" w:lineRule="auto"/>
        <w:tabs>
          <w:tab w:leader="none" w:pos="1910" w:val="left"/>
        </w:tabs>
        <w:numPr>
          <w:ilvl w:val="0"/>
          <w:numId w:val="8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60" w:val="left"/>
        </w:tabs>
        <w:numPr>
          <w:ilvl w:val="0"/>
          <w:numId w:val="8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w:t>
      </w:r>
    </w:p>
    <w:p>
      <w:pPr>
        <w:spacing w:after="0" w:line="192" w:lineRule="exact"/>
        <w:rPr>
          <w:rFonts w:ascii="Times New Roman" w:cs="Times New Roman" w:eastAsia="Times New Roman" w:hAnsi="Times New Roman"/>
          <w:sz w:val="22"/>
          <w:szCs w:val="22"/>
          <w:color w:val="auto"/>
        </w:rPr>
      </w:pPr>
    </w:p>
    <w:p>
      <w:pPr>
        <w:ind w:left="660" w:firstLine="644"/>
        <w:spacing w:after="0" w:line="271" w:lineRule="auto"/>
        <w:tabs>
          <w:tab w:leader="none" w:pos="1972" w:val="left"/>
        </w:tabs>
        <w:numPr>
          <w:ilvl w:val="0"/>
          <w:numId w:val="8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and all remedies under the Loan Documents and under applicable law available to the Administrative Agent and the Lenders.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THE AGENTS</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Administration by Agents.</w:t>
      </w:r>
    </w:p>
    <w:p>
      <w:pPr>
        <w:spacing w:after="0" w:line="233" w:lineRule="exact"/>
        <w:rPr>
          <w:sz w:val="20"/>
          <w:szCs w:val="20"/>
          <w:color w:val="auto"/>
        </w:rPr>
      </w:pPr>
    </w:p>
    <w:p>
      <w:pPr>
        <w:jc w:val="both"/>
        <w:ind w:firstLine="1304"/>
        <w:spacing w:after="0" w:line="250" w:lineRule="auto"/>
        <w:tabs>
          <w:tab w:leader="none" w:pos="1892" w:val="left"/>
        </w:tabs>
        <w:numPr>
          <w:ilvl w:val="0"/>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w:t>
      </w:r>
    </w:p>
    <w:p>
      <w:pPr>
        <w:spacing w:after="0" w:line="180" w:lineRule="exact"/>
        <w:rPr>
          <w:rFonts w:ascii="Times New Roman" w:cs="Times New Roman" w:eastAsia="Times New Roman" w:hAnsi="Times New Roman"/>
          <w:sz w:val="22"/>
          <w:szCs w:val="22"/>
          <w:color w:val="auto"/>
        </w:rPr>
      </w:pPr>
    </w:p>
    <w:p>
      <w:pPr>
        <w:ind w:right="20" w:firstLine="1304"/>
        <w:spacing w:after="0" w:line="284" w:lineRule="auto"/>
        <w:tabs>
          <w:tab w:leader="none" w:pos="1837" w:val="left"/>
        </w:tabs>
        <w:numPr>
          <w:ilvl w:val="0"/>
          <w:numId w:val="8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authorizes each of the Administrative Agent and the Collateral Trustee, in its sole discretion, where applicable: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40" w:right="339" w:bottom="1440" w:gutter="0" w:footer="0" w:header="0"/>
        </w:sectPr>
      </w:pPr>
    </w:p>
    <w:bookmarkStart w:id="682" w:name="page683"/>
    <w:bookmarkEnd w:id="682"/>
    <w:p>
      <w:pPr>
        <w:spacing w:after="0" w:line="199" w:lineRule="exact"/>
        <w:rPr>
          <w:sz w:val="20"/>
          <w:szCs w:val="20"/>
          <w:color w:val="auto"/>
        </w:rPr>
      </w:pPr>
    </w:p>
    <w:p>
      <w:pPr>
        <w:jc w:val="both"/>
        <w:ind w:left="660" w:firstLine="644"/>
        <w:spacing w:after="0" w:line="263" w:lineRule="auto"/>
        <w:tabs>
          <w:tab w:leader="none" w:pos="1756" w:val="left"/>
        </w:tabs>
        <w:numPr>
          <w:ilvl w:val="0"/>
          <w:numId w:val="8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Trustee,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 or (z) as otherwise may be expressly provided in the relevant Collateral Documents, to release a Lien granted to the Collateral Trustee, for the benefit of the Secured Parties, on any asset that is part of the Collateral of the Borrower or any other Grantor, as the case may be;</w:t>
      </w:r>
    </w:p>
    <w:p>
      <w:pPr>
        <w:spacing w:after="0" w:line="169"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797" w:val="left"/>
        </w:tabs>
        <w:numPr>
          <w:ilvl w:val="0"/>
          <w:numId w:val="8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Trustee, for the benefit of the Secured Parties;</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07" w:val="left"/>
        </w:tabs>
        <w:numPr>
          <w:ilvl w:val="0"/>
          <w:numId w:val="8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other Loan Documents on terms acceptable to the Administrative Agent or the Collateral Trustee, as applicable, and to perform its respective obligations thereunder;</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84" w:val="left"/>
        </w:tabs>
        <w:numPr>
          <w:ilvl w:val="0"/>
          <w:numId w:val="8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any documents or instruments necessary to release any Guarantor from the guarantees provided herein pursuant to Section 9.05;</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20" w:val="left"/>
        </w:tabs>
        <w:numPr>
          <w:ilvl w:val="0"/>
          <w:numId w:val="8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Collateral Documents or any Intercreditor Agreement (and/or subordination agreements on terms reasonably acceptable to the Collateral Trustee and the Administrative Agent) and in each case to perform its obligations thereunder and to take such action and to exercise the powers, rights and remedies granted to it thereunder and with respect thereto;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9" w:val="left"/>
        </w:tabs>
        <w:numPr>
          <w:ilvl w:val="0"/>
          <w:numId w:val="8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any other agreements in the forms contemplated hereby or otherwise reasonably satisfactory to the Administrative Agent granting Liens to the Collateral Trustee, for the benefit of the Secured Parties, on any assets of the Borrower or any other Grantor to secure the Obligations.</w:t>
      </w:r>
    </w:p>
    <w:p>
      <w:pPr>
        <w:spacing w:after="0" w:line="186" w:lineRule="exact"/>
        <w:rPr>
          <w:sz w:val="20"/>
          <w:szCs w:val="20"/>
          <w:color w:val="auto"/>
        </w:rPr>
      </w:pPr>
    </w:p>
    <w:p>
      <w:pPr>
        <w:jc w:val="both"/>
        <w:ind w:firstLine="1304"/>
        <w:spacing w:after="0" w:line="257" w:lineRule="auto"/>
        <w:tabs>
          <w:tab w:leader="none" w:pos="1826" w:val="left"/>
        </w:tabs>
        <w:numPr>
          <w:ilvl w:val="0"/>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may appoint the Administrative Agent as its agent for the purposes of holding any Collateral and/or perfecting the Collateral Trustee’s security interest therein and for the purpose of taking such other action with respect to the Collateral as such Agents may from time to time agree.</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6" w:val="left"/>
        </w:tabs>
        <w:numPr>
          <w:ilvl w:val="0"/>
          <w:numId w:val="8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property described in clause (d) of the definition of “Additional Collateral” is to be pledged by the Borrower or any other Grantor as Additional Collateral, the Collateral Trustee will appoint Wilmington Trust Company or another trustee designated by the Borrower and reasonably acceptable to the Collateral Trustee to serve as the security trustee under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40" w:right="339" w:bottom="1440" w:gutter="0" w:footer="0" w:header="0"/>
        </w:sectPr>
      </w:pPr>
    </w:p>
    <w:bookmarkStart w:id="683" w:name="page684"/>
    <w:bookmarkEnd w:id="683"/>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applicable Aircraft Security Agreement with respect to such Additional Collateral, and in such event, references herein to the “Collateral Trustee” with respect to such Additional Collateral and such Aircraft Security Agreement, as the context requires, shall be deemed to refer to such security trustee. The Collateral Trustee will cause such trustee to join any Intercreditor Agreements.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Rights of Agents</w:t>
      </w:r>
      <w:r>
        <w:rPr>
          <w:rFonts w:ascii="Times New Roman" w:cs="Times New Roman" w:eastAsia="Times New Roman" w:hAnsi="Times New Roman"/>
          <w:sz w:val="22"/>
          <w:szCs w:val="22"/>
          <w:color w:val="auto"/>
        </w:rPr>
        <w:t>.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Liability of Agents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6" w:lineRule="auto"/>
        <w:tabs>
          <w:tab w:leader="none" w:pos="1798" w:val="left"/>
        </w:tabs>
        <w:numPr>
          <w:ilvl w:val="0"/>
          <w:numId w:val="8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440" w:right="339" w:bottom="1440" w:gutter="0" w:footer="0" w:header="0"/>
        </w:sectPr>
      </w:pPr>
    </w:p>
    <w:bookmarkStart w:id="684" w:name="page685"/>
    <w:bookmarkEnd w:id="684"/>
    <w:p>
      <w:pPr>
        <w:spacing w:after="0" w:line="199" w:lineRule="exact"/>
        <w:rPr>
          <w:sz w:val="20"/>
          <w:szCs w:val="20"/>
          <w:color w:val="auto"/>
        </w:rPr>
      </w:pPr>
    </w:p>
    <w:p>
      <w:pPr>
        <w:jc w:val="both"/>
        <w:ind w:firstLine="1304"/>
        <w:spacing w:after="0" w:line="265" w:lineRule="auto"/>
        <w:tabs>
          <w:tab w:leader="none" w:pos="1874" w:val="left"/>
        </w:tabs>
        <w:numPr>
          <w:ilvl w:val="0"/>
          <w:numId w:val="8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w:t>
      </w:r>
    </w:p>
    <w:p>
      <w:pPr>
        <w:spacing w:after="0" w:line="168"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36" w:val="left"/>
        </w:tabs>
        <w:numPr>
          <w:ilvl w:val="0"/>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perform any and all of its duties and exercise its rights and powers by or through any one or more sub-agents appointed by it (including the Collateral Trustee). The Administrative Agent and any such sub-agent may perform any and all of its duties and exercise its rights and powers through its Related Parties. The exculpatory provisions of Article VIII shall apply to any such sub-agent (including the Collateral Trustee) and to the Related Parties of each Agent and any such sub-agent, and shall apply to their respective activities in connection with the syndication of the credit facilities provided for herein as well as activities as Administrative Agent or Collateral Trustee.</w:t>
      </w:r>
    </w:p>
    <w:p>
      <w:pPr>
        <w:spacing w:after="0" w:line="181" w:lineRule="exact"/>
        <w:rPr>
          <w:rFonts w:ascii="Times New Roman" w:cs="Times New Roman" w:eastAsia="Times New Roman" w:hAnsi="Times New Roman"/>
          <w:sz w:val="22"/>
          <w:szCs w:val="22"/>
          <w:color w:val="auto"/>
        </w:rPr>
      </w:pPr>
    </w:p>
    <w:p>
      <w:pPr>
        <w:jc w:val="both"/>
        <w:ind w:firstLine="1304"/>
        <w:spacing w:after="0" w:line="281" w:lineRule="auto"/>
        <w:tabs>
          <w:tab w:leader="none" w:pos="1755" w:val="left"/>
        </w:tabs>
        <w:numPr>
          <w:ilvl w:val="0"/>
          <w:numId w:val="8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herein to the contrary notwithstanding, none of the Joint Lead Arrangers and Bookrunners listed on the cover page hereof shall have any powers, duties or responsibilities under this Agreement or any of the other Loan Documents, except in its capacity, as applicable, as the Administrative Agent, Collateral Trustee, a Lender or the Issuing Lender.</w:t>
      </w:r>
    </w:p>
    <w:p>
      <w:pPr>
        <w:spacing w:after="0" w:line="150"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62" w:val="left"/>
        </w:tabs>
        <w:numPr>
          <w:ilvl w:val="0"/>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have any obligation whatsoever to the Lenders or to any other Person to assure that the Collateral exists or is owned by the applicable Grantor or is cared for, protected or insured or that the Liens granted to the Collateral Trustee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9" w:val="left"/>
        </w:tabs>
        <w:numPr>
          <w:ilvl w:val="0"/>
          <w:numId w:val="8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assignor of a Loan or seller of a participation hereunder shall be entitled to rely conclusively on a representation of the assignee Lender or Participant in the relevant Assignment and Acceptance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Reimbursement and Indemnification</w:t>
      </w:r>
      <w:r>
        <w:rPr>
          <w:rFonts w:ascii="Times New Roman" w:cs="Times New Roman" w:eastAsia="Times New Roman" w:hAnsi="Times New Roman"/>
          <w:sz w:val="22"/>
          <w:szCs w:val="22"/>
          <w:color w:val="auto"/>
        </w:rPr>
        <w:t>.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440" w:right="339" w:bottom="1440" w:gutter="0" w:footer="0" w:header="0"/>
        </w:sectPr>
      </w:pPr>
    </w:p>
    <w:bookmarkStart w:id="685" w:name="page686"/>
    <w:bookmarkEnd w:id="685"/>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Successor Agents</w:t>
      </w:r>
      <w:r>
        <w:rPr>
          <w:rFonts w:ascii="Times New Roman" w:cs="Times New Roman" w:eastAsia="Times New Roman" w:hAnsi="Times New Roman"/>
          <w:sz w:val="22"/>
          <w:szCs w:val="22"/>
          <w:color w:val="auto"/>
        </w:rPr>
        <w:t>. Subject to the appointment and acceptance of a successor agent as provided in this paragraph, (i) each Agent may be removed by the Borrower or the Required Lenders if such Agent or a controlling affiliate of such Agent is a Defaulting Lender and (ii) any Agent may resign upon ten (10) days’ notice to the Lenders, the Issuing Lenders and the Borrower. Upon any such removal or resignation by any Agent, the Required Lenders shall appoint, with the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 days after the retiring Agent gives notice of its resignation, then the retiring Agent may, with the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Independent Lenders</w:t>
      </w:r>
      <w:r>
        <w:rPr>
          <w:rFonts w:ascii="Times New Roman" w:cs="Times New Roman" w:eastAsia="Times New Roman" w:hAnsi="Times New Roman"/>
          <w:sz w:val="22"/>
          <w:szCs w:val="22"/>
          <w:color w:val="auto"/>
        </w:rPr>
        <w:t>. Each Lender expressly acknowledges that none of the Administrative Agent nor the Joint Lead Arrangers and Bookrunners have made any representation or warranty to it, and that no act by the Administrative Agent or the Joint Lead Arrangers and Bookrunners hereafter taken, including any consent to, and acceptance of any assignment or review of the affairs of any Loan Party of any Affiliate thereof, shall be deemed to constitute any representation or warranty by the Administrative Agent or any Joint Lead Arranger and Bookrunner to any Lender as to any matter, including whether the Administrative Agent or the Joint Lead Arrangers and Bookrunners have disclosed material information in their (or their Related Parties’) possession. Each Lender acknowledges that it has, independently and without reliance upon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1240"/>
          </w:cols>
          <w:pgMar w:left="320" w:top="1440" w:right="339" w:bottom="1440" w:gutter="0" w:footer="0" w:header="0"/>
        </w:sectPr>
      </w:pPr>
    </w:p>
    <w:bookmarkStart w:id="686" w:name="page687"/>
    <w:bookmarkEnd w:id="686"/>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Advances and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08" w:val="left"/>
        </w:tabs>
        <w:numPr>
          <w:ilvl w:val="0"/>
          <w:numId w:val="8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4" w:val="left"/>
        </w:tabs>
        <w:numPr>
          <w:ilvl w:val="0"/>
          <w:numId w:val="8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received by the Administrative Agent in connection with this Agreement (other than amounts to which the Administrative Agent is entitled pursuant to Sections 2.19, 2.20,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Sharing of Setoffs</w:t>
      </w:r>
      <w:r>
        <w:rPr>
          <w:rFonts w:ascii="Times New Roman" w:cs="Times New Roman" w:eastAsia="Times New Roman" w:hAnsi="Times New Roman"/>
          <w:sz w:val="22"/>
          <w:szCs w:val="22"/>
          <w:color w:val="auto"/>
        </w:rPr>
        <w:t>.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440" w:right="339" w:bottom="1440" w:gutter="0" w:footer="0" w:header="0"/>
        </w:sectPr>
      </w:pPr>
    </w:p>
    <w:bookmarkStart w:id="687" w:name="page688"/>
    <w:bookmarkEnd w:id="687"/>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20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8.09.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including any penalties or interest and together with any expenses incurred.</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Appointment by Secured Parties</w:t>
      </w:r>
      <w:r>
        <w:rPr>
          <w:rFonts w:ascii="Times New Roman" w:cs="Times New Roman" w:eastAsia="Times New Roman" w:hAnsi="Times New Roman"/>
          <w:sz w:val="22"/>
          <w:szCs w:val="22"/>
          <w:color w:val="auto"/>
        </w:rPr>
        <w:t xml:space="preserve">. Each Secured Party that is not a party to this Agreement shall be deemed to have appointed each of the Administrative Agent and the Collateral Trustee as its agent under the Loan Documents in accordance with the terms of this Article VIII and to have acknowledged that the provisions of this Article VIII apply to such Secured Party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as though it were a party hereto (and any acceptance by such Secured Party of the benefits of this Agreement or any other Loan Document shall be deemed an acknowledgment of the foregoing).</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Delivery of Information</w:t>
      </w:r>
      <w:r>
        <w:rPr>
          <w:rFonts w:ascii="Times New Roman" w:cs="Times New Roman" w:eastAsia="Times New Roman" w:hAnsi="Times New Roman"/>
          <w:sz w:val="22"/>
          <w:szCs w:val="22"/>
          <w:color w:val="auto"/>
        </w:rPr>
        <w:t>.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1240"/>
          </w:cols>
          <w:pgMar w:left="320" w:top="1440" w:right="339" w:bottom="1440" w:gutter="0" w:footer="0" w:header="0"/>
        </w:sectPr>
      </w:pPr>
    </w:p>
    <w:bookmarkStart w:id="688" w:name="page689"/>
    <w:bookmarkEnd w:id="688"/>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received by and in the possession of the Administrative Agent at the time of receipt of such request and then only in accordance with such specific request.</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Erroneous Payments.</w:t>
      </w:r>
    </w:p>
    <w:p>
      <w:pPr>
        <w:spacing w:after="0" w:line="233" w:lineRule="exact"/>
        <w:rPr>
          <w:sz w:val="20"/>
          <w:szCs w:val="20"/>
          <w:color w:val="auto"/>
        </w:rPr>
      </w:pPr>
    </w:p>
    <w:p>
      <w:pPr>
        <w:jc w:val="both"/>
        <w:ind w:firstLine="1304"/>
        <w:spacing w:after="0" w:line="259" w:lineRule="auto"/>
        <w:tabs>
          <w:tab w:leader="none" w:pos="1844" w:val="left"/>
        </w:tabs>
        <w:numPr>
          <w:ilvl w:val="0"/>
          <w:numId w:val="8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(x) notifies a Lender, Issuing Bank or Secured Party, or any Person who has received funds on behalf of a Lender, Issuing Bank or Secured Party (any such Lender, Issuing Bank, Secured Party or other recipient who has received funds on behalf of a Lender, Issuing Bank or Secured Party (and each of their respective successors and assigns), a “</w:t>
      </w:r>
      <w:r>
        <w:rPr>
          <w:rFonts w:ascii="Times New Roman" w:cs="Times New Roman" w:eastAsia="Times New Roman" w:hAnsi="Times New Roman"/>
          <w:sz w:val="21"/>
          <w:szCs w:val="21"/>
          <w:i w:val="1"/>
          <w:iCs w:val="1"/>
          <w:color w:val="auto"/>
        </w:rPr>
        <w:t>Payment Recipient</w:t>
      </w:r>
      <w:r>
        <w:rPr>
          <w:rFonts w:ascii="Times New Roman" w:cs="Times New Roman" w:eastAsia="Times New Roman" w:hAnsi="Times New Roman"/>
          <w:sz w:val="21"/>
          <w:szCs w:val="21"/>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1"/>
          <w:szCs w:val="21"/>
          <w:i w:val="1"/>
          <w:iCs w:val="1"/>
          <w:color w:val="auto"/>
        </w:rPr>
        <w:t>Erroneous Payment</w:t>
      </w:r>
      <w:r>
        <w:rPr>
          <w:rFonts w:ascii="Times New Roman" w:cs="Times New Roman" w:eastAsia="Times New Roman" w:hAnsi="Times New Roman"/>
          <w:sz w:val="21"/>
          <w:szCs w:val="21"/>
          <w:color w:val="auto"/>
        </w:rPr>
        <w:t>”) and (y) demands in writing the return of such Erroneous Payment (or a portion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without limiting any other rights or remedies (whether at law or in equity), the Administrative Agent may not make any such demand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with respect to an Erroneous Payment unless such demand is made within 5 Business Days of the date of receipt of such Erroneous Payment by the applicable Payment Recipient), such Erroneous Payment shall at all times remain the property of the Administrative Agent pending its return or repayment as contemplated below in this Section 8.12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shall be conclusive, absent manifest error.</w:t>
      </w:r>
    </w:p>
    <w:p>
      <w:pPr>
        <w:spacing w:after="0" w:line="171"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62" w:val="left"/>
        </w:tabs>
        <w:numPr>
          <w:ilvl w:val="0"/>
          <w:numId w:val="8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each Lender, Issuing Bank, Secured Party or any Person who has received funds on behalf of a Lender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1240"/>
          </w:cols>
          <w:pgMar w:left="320" w:top="1440" w:right="339" w:bottom="1440" w:gutter="0" w:footer="0" w:header="0"/>
        </w:sectPr>
      </w:pPr>
    </w:p>
    <w:bookmarkStart w:id="689" w:name="page690"/>
    <w:bookmarkEnd w:id="689"/>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Affiliates), or (z) that such Lender, Issuing Bank or Secured Party, or other such recipient who has received funds on behalf of a Lender or Secured Party, otherwise becomes aware was transmitted, or received, in error or by mistake (in whole or in part), then in each such case:</w:t>
      </w:r>
    </w:p>
    <w:p>
      <w:pPr>
        <w:spacing w:after="0" w:line="186" w:lineRule="exact"/>
        <w:rPr>
          <w:sz w:val="20"/>
          <w:szCs w:val="20"/>
          <w:color w:val="auto"/>
        </w:rPr>
      </w:pPr>
    </w:p>
    <w:p>
      <w:pPr>
        <w:jc w:val="both"/>
        <w:ind w:firstLine="1304"/>
        <w:spacing w:after="0" w:line="252" w:lineRule="auto"/>
        <w:tabs>
          <w:tab w:leader="none" w:pos="1845" w:val="left"/>
        </w:tabs>
        <w:numPr>
          <w:ilvl w:val="0"/>
          <w:numId w:val="8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acknowledges and agrees that (A)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in each case, with respect to such payment, prepayment or repayment; and</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83" w:val="left"/>
        </w:tabs>
        <w:numPr>
          <w:ilvl w:val="0"/>
          <w:numId w:val="8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Issuing Bank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notify the Administrative Agent of its receipt of such payment, prepayment or repayment, the details thereof (in reasonable detail) and that it is so notifying the Administrative Agent pursuant to this (b).</w:t>
      </w:r>
    </w:p>
    <w:p>
      <w:pPr>
        <w:spacing w:after="0" w:line="179"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21"/>
          <w:szCs w:val="21"/>
          <w:color w:val="auto"/>
        </w:rPr>
        <w:t>For the avoidance of doubt, the failure to deliver a notice to the Administrative Agent pursuant to this (b) shall not have any effect on a Payment Recipient’s obligations pursuant to (a) or on whether or not an Erroneous Payment has been made.</w:t>
      </w:r>
    </w:p>
    <w:p>
      <w:pPr>
        <w:spacing w:after="0" w:line="149" w:lineRule="exact"/>
        <w:rPr>
          <w:sz w:val="20"/>
          <w:szCs w:val="20"/>
          <w:color w:val="auto"/>
        </w:rPr>
      </w:pPr>
    </w:p>
    <w:p>
      <w:pPr>
        <w:jc w:val="both"/>
        <w:ind w:firstLine="1304"/>
        <w:spacing w:after="0" w:line="250" w:lineRule="auto"/>
        <w:tabs>
          <w:tab w:leader="none" w:pos="1803" w:val="left"/>
        </w:tabs>
        <w:numPr>
          <w:ilvl w:val="0"/>
          <w:numId w:val="8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52" w:val="left"/>
        </w:tabs>
        <w:numPr>
          <w:ilvl w:val="0"/>
          <w:numId w:val="8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22"/>
          <w:szCs w:val="22"/>
          <w:i w:val="1"/>
          <w:iCs w:val="1"/>
          <w:color w:val="auto"/>
        </w:rPr>
        <w:t>Erroneous Payment Subrogation Rights</w:t>
      </w:r>
      <w:r>
        <w:rPr>
          <w:rFonts w:ascii="Times New Roman" w:cs="Times New Roman" w:eastAsia="Times New Roman" w:hAnsi="Times New Roman"/>
          <w:sz w:val="22"/>
          <w:szCs w:val="22"/>
          <w:color w:val="auto"/>
        </w:rPr>
        <w:t xml:space="preserve">”) and (y) an Erroneous Payment shall not pay, prepay, repay, discharge or otherwise satisfy any Obligations owed by the Borrower or any other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8.12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2"/>
          <w:szCs w:val="22"/>
          <w:i w:val="1"/>
          <w:iCs w:val="1"/>
          <w:color w:val="auto"/>
        </w:rPr>
        <w:t xml:space="preserve">provided, further, that for the avoidance of doubt, immediately preceding </w:t>
      </w:r>
      <w:r>
        <w:rPr>
          <w:rFonts w:ascii="Times New Roman" w:cs="Times New Roman" w:eastAsia="Times New Roman" w:hAnsi="Times New Roman"/>
          <w:sz w:val="22"/>
          <w:szCs w:val="22"/>
          <w:i w:val="1"/>
          <w:iCs w:val="1"/>
          <w:u w:val="single" w:color="auto"/>
          <w:color w:val="auto"/>
        </w:rPr>
        <w:t>clauses (x)</w:t>
      </w:r>
      <w:r>
        <w:rPr>
          <w:rFonts w:ascii="Times New Roman" w:cs="Times New Roman" w:eastAsia="Times New Roman" w:hAnsi="Times New Roman"/>
          <w:sz w:val="22"/>
          <w:szCs w:val="22"/>
          <w:i w:val="1"/>
          <w:iCs w:val="1"/>
          <w:color w:val="auto"/>
        </w:rPr>
        <w:t xml:space="preserve"> and </w:t>
      </w:r>
      <w:r>
        <w:rPr>
          <w:rFonts w:ascii="Times New Roman" w:cs="Times New Roman" w:eastAsia="Times New Roman" w:hAnsi="Times New Roman"/>
          <w:sz w:val="22"/>
          <w:szCs w:val="22"/>
          <w:i w:val="1"/>
          <w:iCs w:val="1"/>
          <w:u w:val="single" w:color="auto"/>
          <w:color w:val="auto"/>
        </w:rPr>
        <w:t>(y)</w:t>
      </w:r>
      <w:r>
        <w:rPr>
          <w:rFonts w:ascii="Times New Roman" w:cs="Times New Roman" w:eastAsia="Times New Roman" w:hAnsi="Times New Roman"/>
          <w:sz w:val="22"/>
          <w:szCs w:val="22"/>
          <w:i w:val="1"/>
          <w:iCs w:val="1"/>
          <w:color w:val="auto"/>
        </w:rPr>
        <w:t xml:space="preserve"> shall not apply to the extent any such Erroneous Payment is, and solely with respect to the amount of such Erroneous Payment that is, comprised of funds received by the Administrative Agent from, or on behalf of (including through the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1240"/>
          </w:cols>
          <w:pgMar w:left="320" w:top="1440" w:right="339" w:bottom="1440" w:gutter="0" w:footer="0" w:header="0"/>
        </w:sectPr>
      </w:pPr>
    </w:p>
    <w:bookmarkStart w:id="690" w:name="page691"/>
    <w:bookmarkEnd w:id="690"/>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exercise of remedies under any Loan Document), the Borrower for the purpose of making a payment on the Obligations).</w:t>
      </w:r>
    </w:p>
    <w:p>
      <w:pPr>
        <w:spacing w:after="0" w:line="224" w:lineRule="exact"/>
        <w:rPr>
          <w:sz w:val="20"/>
          <w:szCs w:val="20"/>
          <w:color w:val="auto"/>
        </w:rPr>
      </w:pPr>
    </w:p>
    <w:p>
      <w:pPr>
        <w:jc w:val="both"/>
        <w:ind w:firstLine="1304"/>
        <w:spacing w:after="0" w:line="256" w:lineRule="auto"/>
        <w:tabs>
          <w:tab w:leader="none" w:pos="1902" w:val="left"/>
        </w:tabs>
        <w:numPr>
          <w:ilvl w:val="0"/>
          <w:numId w:val="8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Each party’s obligations, agreements and waivers under this Section 8.12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of the Loan Documents.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GUARANTY</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4" w:lineRule="auto"/>
        <w:tabs>
          <w:tab w:leader="none" w:pos="1854" w:val="left"/>
        </w:tabs>
        <w:numPr>
          <w:ilvl w:val="0"/>
          <w:numId w:val="8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cs="Times New Roman" w:eastAsia="Times New Roman" w:hAnsi="Times New Roman"/>
          <w:sz w:val="21"/>
          <w:szCs w:val="21"/>
          <w:i w:val="1"/>
          <w:iCs w:val="1"/>
          <w:color w:val="auto"/>
        </w:rPr>
        <w:t>Guaranteed Obligations</w:t>
      </w:r>
      <w:r>
        <w:rPr>
          <w:rFonts w:ascii="Times New Roman" w:cs="Times New Roman" w:eastAsia="Times New Roman" w:hAnsi="Times New Roman"/>
          <w:sz w:val="21"/>
          <w:szCs w:val="21"/>
          <w:color w:val="auto"/>
        </w:rPr>
        <w:t>” and the obligations of each Guarantor in respect thereof, its “</w:t>
      </w:r>
      <w:r>
        <w:rPr>
          <w:rFonts w:ascii="Times New Roman" w:cs="Times New Roman" w:eastAsia="Times New Roman" w:hAnsi="Times New Roman"/>
          <w:sz w:val="21"/>
          <w:szCs w:val="21"/>
          <w:i w:val="1"/>
          <w:iCs w:val="1"/>
          <w:color w:val="auto"/>
        </w:rPr>
        <w:t>Guaranty Obligations</w:t>
      </w:r>
      <w:r>
        <w:rPr>
          <w:rFonts w:ascii="Times New Roman" w:cs="Times New Roman" w:eastAsia="Times New Roman" w:hAnsi="Times New Roman"/>
          <w:sz w:val="21"/>
          <w:szCs w:val="21"/>
          <w:color w:val="auto"/>
        </w:rPr>
        <w:t>”). Each of the Guarantors further agrees that, to the extent permitted by applicable law, the Obligations may be extended or renewed, in whole or in part, without notice to or further assent from such Guarantor,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w:t>
      </w:r>
    </w:p>
    <w:p>
      <w:pPr>
        <w:spacing w:after="0" w:line="169"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55" w:val="left"/>
        </w:tabs>
        <w:numPr>
          <w:ilvl w:val="0"/>
          <w:numId w:val="8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herein or in any other Loan Document to the contrary notwithstanding, (i)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 (ii) the Guaranteed Obligations with respect to any Guarantor shall not include Excluded Swap Obligations.</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07" w:val="left"/>
        </w:tabs>
        <w:numPr>
          <w:ilvl w:val="0"/>
          <w:numId w:val="8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440" w:right="339" w:bottom="1440" w:gutter="0" w:footer="0" w:header="0"/>
        </w:sectPr>
      </w:pPr>
    </w:p>
    <w:bookmarkStart w:id="691" w:name="page692"/>
    <w:bookmarkEnd w:id="691"/>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renewal of any provision hereof or thereof; (iii) any rescission, waiver, compromise, acceleration, amendment or modification of any of the terms or provisions of any of the Loan Documents other than pursuant to a written agreement in compliance with Section 10.08; (iv) the release, exchange, waiver or foreclosure of any security held by the Collateral Trustee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w:t>
      </w:r>
    </w:p>
    <w:p>
      <w:pPr>
        <w:spacing w:after="0" w:line="195" w:lineRule="exact"/>
        <w:rPr>
          <w:sz w:val="20"/>
          <w:szCs w:val="20"/>
          <w:color w:val="auto"/>
        </w:rPr>
      </w:pPr>
    </w:p>
    <w:p>
      <w:pPr>
        <w:jc w:val="both"/>
        <w:ind w:firstLine="1304"/>
        <w:spacing w:after="0" w:line="265" w:lineRule="auto"/>
        <w:tabs>
          <w:tab w:leader="none" w:pos="1824" w:val="left"/>
        </w:tabs>
        <w:numPr>
          <w:ilvl w:val="0"/>
          <w:numId w:val="8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w:t>
      </w:r>
    </w:p>
    <w:p>
      <w:pPr>
        <w:spacing w:after="0" w:line="16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87" w:val="left"/>
        </w:tabs>
        <w:numPr>
          <w:ilvl w:val="0"/>
          <w:numId w:val="8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87" w:val="left"/>
        </w:tabs>
        <w:numPr>
          <w:ilvl w:val="0"/>
          <w:numId w:val="8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the Obligations becoming due and payable (by acceleration or otherwise), the Lenders shall be entitled to prompt and complete payment of such Obligations by the Guarantors upon written demand by the Administrative Agent.</w:t>
      </w:r>
    </w:p>
    <w:p>
      <w:pPr>
        <w:spacing w:after="0" w:line="18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Right of Contribution</w:t>
      </w:r>
      <w:r>
        <w:rPr>
          <w:rFonts w:ascii="Times New Roman" w:cs="Times New Roman" w:eastAsia="Times New Roman" w:hAnsi="Times New Roman"/>
          <w:sz w:val="22"/>
          <w:szCs w:val="22"/>
          <w:color w:val="auto"/>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Times New Roman" w:cs="Times New Roman" w:eastAsia="Times New Roman" w:hAnsi="Times New Roman"/>
          <w:sz w:val="22"/>
          <w:szCs w:val="22"/>
          <w:i w:val="1"/>
          <w:iCs w:val="1"/>
          <w:color w:val="auto"/>
        </w:rPr>
        <w:t>Adjusted Net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Worth</w:t>
      </w:r>
      <w:r>
        <w:rPr>
          <w:rFonts w:ascii="Times New Roman" w:cs="Times New Roman" w:eastAsia="Times New Roman" w:hAnsi="Times New Roman"/>
          <w:sz w:val="22"/>
          <w:szCs w:val="22"/>
          <w:color w:val="auto"/>
        </w:rPr>
        <w:t>” of any Guarantor shall mean at any time, the greater of (x) $0 and (y) the amount by which the fair saleable value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Guarantor’s assets on the date of the respective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ectPr>
          <w:pgSz w:w="11900" w:h="16838" w:orient="portrait"/>
          <w:cols w:equalWidth="0" w:num="1">
            <w:col w:w="11240"/>
          </w:cols>
          <w:pgMar w:left="320" w:top="1440" w:right="339" w:bottom="1440" w:gutter="0" w:footer="0" w:header="0"/>
        </w:sectPr>
      </w:pPr>
    </w:p>
    <w:bookmarkStart w:id="692" w:name="page693"/>
    <w:bookmarkEnd w:id="692"/>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payment hereunder exceeds its debts and other liabilities (including contingent liabilities, but without giving effect to any of its obligations under this Agreement or any other Loan Documents) on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Continuation and Reinstatement, etc</w:t>
      </w:r>
      <w:r>
        <w:rPr>
          <w:rFonts w:ascii="Times New Roman" w:cs="Times New Roman" w:eastAsia="Times New Roman" w:hAnsi="Times New Roman"/>
          <w:sz w:val="22"/>
          <w:szCs w:val="22"/>
          <w:color w:val="auto"/>
        </w:rPr>
        <w:t>.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spacing w:after="0" w:line="19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9.05.</w:t>
      </w:r>
      <w:r>
        <w:rPr>
          <w:sz w:val="20"/>
          <w:szCs w:val="20"/>
          <w:color w:val="auto"/>
        </w:rPr>
        <w:tab/>
      </w:r>
      <w:r>
        <w:rPr>
          <w:rFonts w:ascii="Times New Roman" w:cs="Times New Roman" w:eastAsia="Times New Roman" w:hAnsi="Times New Roman"/>
          <w:sz w:val="21"/>
          <w:szCs w:val="21"/>
          <w:u w:val="single" w:color="auto"/>
          <w:color w:val="auto"/>
        </w:rPr>
        <w:t>Discharge of Guaranty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12" w:val="left"/>
        </w:tabs>
        <w:numPr>
          <w:ilvl w:val="0"/>
          <w:numId w:val="8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06" w:val="left"/>
        </w:tabs>
        <w:numPr>
          <w:ilvl w:val="0"/>
          <w:numId w:val="8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ectPr>
          <w:pgSz w:w="11900" w:h="16838" w:orient="portrait"/>
          <w:cols w:equalWidth="0" w:num="1">
            <w:col w:w="11240"/>
          </w:cols>
          <w:pgMar w:left="320" w:top="1440" w:right="339" w:bottom="1440" w:gutter="0" w:footer="0" w:header="0"/>
        </w:sectPr>
      </w:pPr>
    </w:p>
    <w:bookmarkStart w:id="693" w:name="page694"/>
    <w:bookmarkEnd w:id="693"/>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Junior Secured Debt shall be irrevocably released and discharged substantially simultaneously with the release of such guarantee hereunder.</w:t>
      </w:r>
    </w:p>
    <w:p>
      <w:pPr>
        <w:spacing w:after="0" w:line="158" w:lineRule="exact"/>
        <w:rPr>
          <w:sz w:val="20"/>
          <w:szCs w:val="20"/>
          <w:color w:val="auto"/>
        </w:rPr>
      </w:pPr>
    </w:p>
    <w:p>
      <w:pPr>
        <w:jc w:val="both"/>
        <w:ind w:firstLine="1304"/>
        <w:spacing w:after="0" w:line="263" w:lineRule="auto"/>
        <w:tabs>
          <w:tab w:leader="none" w:pos="1751" w:val="left"/>
        </w:tabs>
        <w:numPr>
          <w:ilvl w:val="0"/>
          <w:numId w:val="8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use commercially reasonable efforts to execute and deliver, at the Borrower’s expense, such documents as the Borrower or any such Guarantor may reasonably request to evidence the release of the guaranty of such Guarantor provided herein.</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5" w:val="left"/>
        </w:tabs>
        <w:numPr>
          <w:ilvl w:val="0"/>
          <w:numId w:val="8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will be automatically released and relieved of any obligations under its Guarantee of the Guaranteed Obligations upon the first date on which all of the Loans and Obligations then due and owing shall have been satisfied by payment in full in cash, no Letter of Credit shall be outstanding (except for Letters of Credit that have been Cash Collateralized or otherwise provided for in a manner reasonably satisfactory to the Administrative Agent) and the Commitments shall be terminated.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11" w:val="left"/>
        </w:tabs>
        <w:numPr>
          <w:ilvl w:val="0"/>
          <w:numId w:val="8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electronic mail or sent by facsimile, as follows:</w:t>
      </w:r>
    </w:p>
    <w:p>
      <w:pPr>
        <w:spacing w:after="0" w:line="176" w:lineRule="exact"/>
        <w:rPr>
          <w:sz w:val="20"/>
          <w:szCs w:val="20"/>
          <w:color w:val="auto"/>
        </w:rPr>
      </w:pPr>
    </w:p>
    <w:p>
      <w:pPr>
        <w:jc w:val="both"/>
        <w:ind w:left="660" w:firstLine="644"/>
        <w:spacing w:after="0" w:line="253" w:lineRule="auto"/>
        <w:tabs>
          <w:tab w:leader="none" w:pos="1836" w:val="left"/>
        </w:tabs>
        <w:numPr>
          <w:ilvl w:val="0"/>
          <w:numId w:val="8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or any Guarantor, to it at American Airlines, Inc., American Airlines, Inc. 1 Skyview Drive, MD8B361, Fort Worth, Texas 76155; Telephone: ###; Attention: Treasurer and, in respect of notices of proposed assignments of Loans or Commitments, to the Borrower by email at ###; in each case with copies (which shall not constitute notice) to: Latham &amp; Watkins LLP, 140 Scott Drive, Menlo Park. CA 94025, email: ###; Attention: Tony Richmond;</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798" w:val="left"/>
        </w:tabs>
        <w:numPr>
          <w:ilvl w:val="0"/>
          <w:numId w:val="8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to it at Citibank Delaware, One Penns Way, OPS 2/2, New Castle, DE 19720, Attn: Agency Operations, Phone: ###, Fax: ###, Email:</w:t>
      </w:r>
    </w:p>
    <w:p>
      <w:pPr>
        <w:spacing w:after="0" w:line="171"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8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inquiries only: ###,</w:t>
      </w:r>
    </w:p>
    <w:p>
      <w:pPr>
        <w:spacing w:after="0" w:line="21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8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notifications: ###,</w:t>
      </w:r>
    </w:p>
    <w:p>
      <w:pPr>
        <w:spacing w:after="0" w:line="21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8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Team Mail (Financial Reporting): ###,</w:t>
      </w:r>
    </w:p>
    <w:p>
      <w:pPr>
        <w:spacing w:after="0" w:line="21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8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Investor Relations Team (investor inquiries only): ###;</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80" w:val="left"/>
        </w:tabs>
        <w:numPr>
          <w:ilvl w:val="0"/>
          <w:numId w:val="8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Collateral Trustee, to it at 50 South Sixth Street, Suite 1290, Minneapolis, Minnesota 55402, Attention: American Airlines, Administrator, and by email at ###;</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150</w:t>
      </w:r>
    </w:p>
    <w:p>
      <w:pPr>
        <w:sectPr>
          <w:pgSz w:w="11900" w:h="16838" w:orient="portrait"/>
          <w:cols w:equalWidth="0" w:num="1">
            <w:col w:w="11240"/>
          </w:cols>
          <w:pgMar w:left="320" w:top="1440" w:right="339" w:bottom="1440" w:gutter="0" w:footer="0" w:header="0"/>
        </w:sectPr>
      </w:pPr>
    </w:p>
    <w:bookmarkStart w:id="694" w:name="page695"/>
    <w:bookmarkEnd w:id="694"/>
    <w:p>
      <w:pPr>
        <w:spacing w:after="0" w:line="199" w:lineRule="exact"/>
        <w:rPr>
          <w:sz w:val="20"/>
          <w:szCs w:val="20"/>
          <w:color w:val="auto"/>
        </w:rPr>
      </w:pPr>
    </w:p>
    <w:p>
      <w:pPr>
        <w:jc w:val="both"/>
        <w:ind w:left="660" w:firstLine="644"/>
        <w:spacing w:after="0" w:line="256" w:lineRule="auto"/>
        <w:tabs>
          <w:tab w:leader="none" w:pos="1871" w:val="left"/>
        </w:tabs>
        <w:numPr>
          <w:ilvl w:val="0"/>
          <w:numId w:val="8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80" w:val="left"/>
        </w:tabs>
        <w:numPr>
          <w:ilvl w:val="0"/>
          <w:numId w:val="8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telecopy number) set forth in Annex A hereto or, if subsequently delivered, an Assignment and Acceptance.</w:t>
      </w:r>
    </w:p>
    <w:p>
      <w:pPr>
        <w:spacing w:after="0" w:line="158" w:lineRule="exact"/>
        <w:rPr>
          <w:sz w:val="20"/>
          <w:szCs w:val="20"/>
          <w:color w:val="auto"/>
        </w:rPr>
      </w:pPr>
    </w:p>
    <w:p>
      <w:pPr>
        <w:jc w:val="both"/>
        <w:ind w:firstLine="1304"/>
        <w:spacing w:after="0" w:line="250" w:lineRule="auto"/>
        <w:tabs>
          <w:tab w:leader="none" w:pos="1860" w:val="left"/>
        </w:tabs>
        <w:numPr>
          <w:ilvl w:val="0"/>
          <w:numId w:val="8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approval shall be required for any notice delivered to the Administrative Agent by electronic mail pursuant to Section 2.05(b) or Section 2.13(a).</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2" w:val="left"/>
        </w:tabs>
        <w:numPr>
          <w:ilvl w:val="0"/>
          <w:numId w:val="8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7"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48" w:val="left"/>
        </w:tabs>
        <w:numPr>
          <w:ilvl w:val="0"/>
          <w:numId w:val="8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w:t>
      </w:r>
    </w:p>
    <w:p>
      <w:pPr>
        <w:spacing w:after="0" w:line="18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93" w:val="left"/>
        </w:tabs>
        <w:numPr>
          <w:ilvl w:val="0"/>
          <w:numId w:val="8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ectPr>
          <w:pgSz w:w="11900" w:h="16838" w:orient="portrait"/>
          <w:cols w:equalWidth="0" w:num="1">
            <w:col w:w="11240"/>
          </w:cols>
          <w:pgMar w:left="320" w:top="1440" w:right="339" w:bottom="1440" w:gutter="0" w:footer="0" w:header="0"/>
        </w:sectPr>
      </w:pPr>
    </w:p>
    <w:bookmarkStart w:id="695" w:name="page696"/>
    <w:bookmarkEnd w:id="695"/>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Commitment and the Loans at the time owing to it), pursuant to an Assignment and Acceptance with the prior written consent (such consent not to be unreasonably withheld or delayed) of:</w:t>
      </w:r>
    </w:p>
    <w:p>
      <w:pPr>
        <w:spacing w:after="0" w:line="158" w:lineRule="exact"/>
        <w:rPr>
          <w:sz w:val="20"/>
          <w:szCs w:val="20"/>
          <w:color w:val="auto"/>
        </w:rPr>
      </w:pPr>
    </w:p>
    <w:p>
      <w:pPr>
        <w:jc w:val="both"/>
        <w:ind w:left="660" w:firstLine="644"/>
        <w:spacing w:after="0" w:line="256" w:lineRule="auto"/>
        <w:tabs>
          <w:tab w:leader="none" w:pos="1916" w:val="left"/>
        </w:tabs>
        <w:numPr>
          <w:ilvl w:val="0"/>
          <w:numId w:val="8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 pursuant to Section 10.02(g) and (III) of Loans made pursuant to Section 2.18(b) or 2.26(a);</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7" w:val="left"/>
        </w:tabs>
        <w:numPr>
          <w:ilvl w:val="0"/>
          <w:numId w:val="8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(a) in the case of the Term Loans; if the assignee is a Lender, an Affiliate of a Lender or an Approved Fund of a Lender, in each case so long as such assignee is an Eligible Assignee and (b) in the case of Revolving Commitments or Revolving Loans, if the assignee is a Revolving Lender, an Affiliate of a Revolving Lender or an Approved Fund of a Revolving Lender, as in each case so long as such assignee is an Eligible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Borrower’s consent will be deemed given with respect to a proposed assignment if no response is received within ten (10) Business Days after having received a written request from such Lender pursuant to this Section 10.02(b)(i)(B); and</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3" w:val="left"/>
        </w:tabs>
        <w:numPr>
          <w:ilvl w:val="0"/>
          <w:numId w:val="8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any Issuing Lender shall be required for an assignment of all or any portion of a Term Loan.</w:t>
      </w:r>
    </w:p>
    <w:p>
      <w:pPr>
        <w:spacing w:after="0" w:line="158"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Assignments shall be subject to the following additional conditions:</w:t>
      </w:r>
    </w:p>
    <w:p>
      <w:pPr>
        <w:spacing w:after="0" w:line="220" w:lineRule="exact"/>
        <w:rPr>
          <w:sz w:val="20"/>
          <w:szCs w:val="20"/>
          <w:color w:val="auto"/>
        </w:rPr>
      </w:pPr>
    </w:p>
    <w:p>
      <w:pPr>
        <w:ind w:left="660" w:firstLine="644"/>
        <w:spacing w:after="0" w:line="284" w:lineRule="auto"/>
        <w:tabs>
          <w:tab w:leader="none" w:pos="1911" w:val="left"/>
        </w:tabs>
        <w:numPr>
          <w:ilvl w:val="0"/>
          <w:numId w:val="8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any portion of the Total Revolving Commitment, Revolving Loans, LC Exposure and Term Loans shall be made to an Eligible Assignee;</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14" w:val="left"/>
        </w:tabs>
        <w:numPr>
          <w:ilvl w:val="0"/>
          <w:numId w:val="8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an Affiliate of a Lender or an Approved Fund of a Lender or an assignment of the entire remaining amount of the assigning Lender’s Commitment or Loans, the amount of such Commitment or Loans of the assigning Lender subject to each such assignment (determined as of the date the Assignment and Acceptance with respect to such assignment is delivered to the Administrative Agent) (i) with respect to any Revolving Commitment or Revolving Loans, shall not be less than $5,000,000, and after giving effect to such assignment, the portion of the Loan or Commitment held by the assigning Lender of the same tranche as the assigned portion of the Loan or Commitment shall not be less than $5,000,000 and (ii) with respect to any Term Loan Commitment or Term Loans, shall not be less than $500,000, and after giving effect to such assignment, the portion of the Loan or Commitment held by the assigning Lender of the same tranche as the assigned portion of the Loan or Commitment shall not be less than $500,000, in each case under either clause (i) or (ii) unless the Borrower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with respect to such assignment if an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such assignment (a) with respect to any Revolving Commitment or Revolving Loans, shall be in increments of $500,000 in excess of the minimum amount described in clause (i) above and (b) with respect to any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ectPr>
          <w:pgSz w:w="11900" w:h="16838" w:orient="portrait"/>
          <w:cols w:equalWidth="0" w:num="1">
            <w:col w:w="11240"/>
          </w:cols>
          <w:pgMar w:left="320" w:top="1440" w:right="339" w:bottom="1440" w:gutter="0" w:footer="0" w:header="0"/>
        </w:sectPr>
      </w:pPr>
    </w:p>
    <w:bookmarkStart w:id="696" w:name="page697"/>
    <w:bookmarkEnd w:id="696"/>
    <w:p>
      <w:pPr>
        <w:spacing w:after="0" w:line="199"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Term Loan Commitment or Term Loans, shall be in increments of $100,000 in excess of the minimum amount described in clause (ii) above.</w:t>
      </w:r>
    </w:p>
    <w:p>
      <w:pPr>
        <w:spacing w:after="0" w:line="158" w:lineRule="exact"/>
        <w:rPr>
          <w:sz w:val="20"/>
          <w:szCs w:val="20"/>
          <w:color w:val="auto"/>
        </w:rPr>
      </w:pPr>
    </w:p>
    <w:p>
      <w:pPr>
        <w:ind w:left="660" w:firstLine="644"/>
        <w:spacing w:after="0" w:line="284" w:lineRule="auto"/>
        <w:tabs>
          <w:tab w:leader="none" w:pos="1838" w:val="left"/>
        </w:tabs>
        <w:numPr>
          <w:ilvl w:val="0"/>
          <w:numId w:val="8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18" w:val="left"/>
        </w:tabs>
        <w:numPr>
          <w:ilvl w:val="0"/>
          <w:numId w:val="8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concurrent assignments to two or more Approved Funds such assignment fee shall be required to be paid only once in respect of and at the time of such assignment;</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13" w:val="left"/>
        </w:tabs>
        <w:numPr>
          <w:ilvl w:val="0"/>
          <w:numId w:val="8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was not a Lender immediately prior to such assignment, shall deliver to the Administrative Agent an administrative questionnaire in a form as the Administrative Agent may require;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01" w:val="left"/>
        </w:tabs>
        <w:numPr>
          <w:ilvl w:val="0"/>
          <w:numId w:val="8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any assignment of any Term Loans to the Borrower shall be subject to the requirements of Section 10.02(g).</w:t>
      </w:r>
    </w:p>
    <w:p>
      <w:pPr>
        <w:spacing w:after="0" w:line="15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For the purposes of this Section 10.02(b), the term “</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except to the extent the Borrower, the Administrative Agent and each Issuing Lender have consented to such assignment in writing (in which case such Lender will not be considered a Defaulting Lender, Disqualified Institution or natural person solely for that particular assignment). In connection with any proposed assignment or participation, the Borrower shall promptly provide the list of Disqualified Institutions to the Administrative Agent and such assigning or participating Lender upon reasonable written request.</w:t>
      </w:r>
    </w:p>
    <w:p>
      <w:pPr>
        <w:spacing w:after="0" w:line="187" w:lineRule="exact"/>
        <w:rPr>
          <w:sz w:val="20"/>
          <w:szCs w:val="20"/>
          <w:color w:val="auto"/>
        </w:rPr>
      </w:pPr>
    </w:p>
    <w:p>
      <w:pPr>
        <w:jc w:val="both"/>
        <w:ind w:firstLine="1304"/>
        <w:spacing w:after="0" w:line="249" w:lineRule="auto"/>
        <w:tabs>
          <w:tab w:leader="none" w:pos="1901" w:val="left"/>
        </w:tabs>
        <w:numPr>
          <w:ilvl w:val="0"/>
          <w:numId w:val="8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ectPr>
          <w:pgSz w:w="11900" w:h="16838" w:orient="portrait"/>
          <w:cols w:equalWidth="0" w:num="1">
            <w:col w:w="11240"/>
          </w:cols>
          <w:pgMar w:left="320" w:top="1440" w:right="339" w:bottom="1440" w:gutter="0" w:footer="0" w:header="0"/>
        </w:sectPr>
      </w:pPr>
    </w:p>
    <w:bookmarkStart w:id="697" w:name="page698"/>
    <w:bookmarkEnd w:id="697"/>
    <w:p>
      <w:pPr>
        <w:spacing w:after="0" w:line="199" w:lineRule="exact"/>
        <w:rPr>
          <w:sz w:val="20"/>
          <w:szCs w:val="20"/>
          <w:color w:val="auto"/>
        </w:rPr>
      </w:pPr>
    </w:p>
    <w:p>
      <w:pPr>
        <w:jc w:val="both"/>
        <w:ind w:firstLine="1304"/>
        <w:spacing w:after="0" w:line="249" w:lineRule="auto"/>
        <w:tabs>
          <w:tab w:leader="none" w:pos="1877" w:val="left"/>
        </w:tabs>
        <w:numPr>
          <w:ilvl w:val="0"/>
          <w:numId w:val="8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solely for this purpose as an agent of the Borrower, shall maintain at its offices a copy of each Assignment and Acceptance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54" w:val="left"/>
        </w:tabs>
        <w:numPr>
          <w:ilvl w:val="0"/>
          <w:numId w:val="8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w:t>
      </w:r>
    </w:p>
    <w:p>
      <w:pPr>
        <w:spacing w:after="0" w:line="200"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89" w:val="left"/>
        </w:tabs>
        <w:numPr>
          <w:ilvl w:val="0"/>
          <w:numId w:val="8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93" w:lineRule="exact"/>
        <w:rPr>
          <w:sz w:val="20"/>
          <w:szCs w:val="20"/>
          <w:color w:val="auto"/>
        </w:rPr>
      </w:pPr>
    </w:p>
    <w:p>
      <w:pPr>
        <w:jc w:val="both"/>
        <w:ind w:firstLine="1304"/>
        <w:spacing w:after="0" w:line="250" w:lineRule="auto"/>
        <w:tabs>
          <w:tab w:leader="none" w:pos="1811" w:val="left"/>
        </w:tabs>
        <w:numPr>
          <w:ilvl w:val="0"/>
          <w:numId w:val="8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the assigning Lender or the assignee shall have failed to make any payment required to be made by it pursuant to Section 2.02(d) or (e), 2.04(a) or (b), 8.04 or 10.04(d),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ectPr>
          <w:pgSz w:w="11900" w:h="16838" w:orient="portrait"/>
          <w:cols w:equalWidth="0" w:num="1">
            <w:col w:w="11240"/>
          </w:cols>
          <w:pgMar w:left="320" w:top="1440" w:right="339" w:bottom="1440" w:gutter="0" w:footer="0" w:header="0"/>
        </w:sectPr>
      </w:pPr>
    </w:p>
    <w:bookmarkStart w:id="698" w:name="page699"/>
    <w:bookmarkEnd w:id="698"/>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76" w:lineRule="exact"/>
        <w:rPr>
          <w:sz w:val="20"/>
          <w:szCs w:val="20"/>
          <w:color w:val="auto"/>
        </w:rPr>
      </w:pPr>
    </w:p>
    <w:p>
      <w:pPr>
        <w:jc w:val="both"/>
        <w:ind w:firstLine="1304"/>
        <w:spacing w:after="0" w:line="246" w:lineRule="auto"/>
        <w:tabs>
          <w:tab w:leader="none" w:pos="1807" w:val="left"/>
        </w:tabs>
        <w:numPr>
          <w:ilvl w:val="0"/>
          <w:numId w:val="8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may, without the consent of the Borrower, the Administrative Agent or any Issuing Lender, sell participations (other than to any Defaulting Lender, Disqualified Institution or natural person) to one or more banks or other entities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of (and stated interest on) of each Participant’s interest in the Loans or other obligations under this Agreement (the “</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and Section 1.163-5(b) of the proposed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ectPr>
          <w:pgSz w:w="11900" w:h="16838" w:orient="portrait"/>
          <w:cols w:equalWidth="0" w:num="1">
            <w:col w:w="11240"/>
          </w:cols>
          <w:pgMar w:left="320" w:top="1440" w:right="339" w:bottom="1440" w:gutter="0" w:footer="0" w:header="0"/>
        </w:sectPr>
      </w:pPr>
    </w:p>
    <w:bookmarkStart w:id="699" w:name="page700"/>
    <w:bookmarkEnd w:id="699"/>
    <w:p>
      <w:pPr>
        <w:spacing w:after="0" w:line="199" w:lineRule="exact"/>
        <w:rPr>
          <w:sz w:val="20"/>
          <w:szCs w:val="20"/>
          <w:color w:val="auto"/>
        </w:rPr>
      </w:pPr>
    </w:p>
    <w:p>
      <w:pPr>
        <w:jc w:val="both"/>
        <w:ind w:firstLine="1304"/>
        <w:spacing w:after="0" w:line="250" w:lineRule="auto"/>
        <w:tabs>
          <w:tab w:leader="none" w:pos="1908" w:val="left"/>
        </w:tabs>
        <w:numPr>
          <w:ilvl w:val="0"/>
          <w:numId w:val="8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 (it being understood that the documentation required under Sections 2.16(f) and 2.16(g) shall be delivered to the participating Lender).</w:t>
      </w:r>
    </w:p>
    <w:p>
      <w:pPr>
        <w:spacing w:after="0" w:line="180" w:lineRule="exact"/>
        <w:rPr>
          <w:sz w:val="20"/>
          <w:szCs w:val="20"/>
          <w:color w:val="auto"/>
        </w:rPr>
      </w:pPr>
    </w:p>
    <w:p>
      <w:pPr>
        <w:jc w:val="both"/>
        <w:ind w:firstLine="1304"/>
        <w:spacing w:after="0" w:line="253" w:lineRule="auto"/>
        <w:tabs>
          <w:tab w:leader="none" w:pos="1781" w:val="left"/>
        </w:tabs>
        <w:numPr>
          <w:ilvl w:val="0"/>
          <w:numId w:val="8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37" w:val="left"/>
        </w:tabs>
        <w:numPr>
          <w:ilvl w:val="0"/>
          <w:numId w:val="8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5" w:val="left"/>
        </w:tabs>
        <w:numPr>
          <w:ilvl w:val="0"/>
          <w:numId w:val="8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67" w:lineRule="exact"/>
        <w:rPr>
          <w:sz w:val="20"/>
          <w:szCs w:val="20"/>
          <w:color w:val="auto"/>
        </w:rPr>
      </w:pPr>
    </w:p>
    <w:p>
      <w:pPr>
        <w:ind w:left="660" w:right="20" w:firstLine="644"/>
        <w:spacing w:after="0" w:line="271" w:lineRule="auto"/>
        <w:tabs>
          <w:tab w:leader="none" w:pos="1800" w:val="left"/>
        </w:tabs>
        <w:numPr>
          <w:ilvl w:val="0"/>
          <w:numId w:val="8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assigning Lender and the Borrower purchasing such Lender’s Term Loans, as applicable, shall execute and deliver to the Administrative Agent an Assignment and Acceptance;</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44" w:val="left"/>
        </w:tabs>
        <w:numPr>
          <w:ilvl w:val="0"/>
          <w:numId w:val="8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 Loans assigned to the Borrower shall be automatically and permanently cancelled upon the effectiveness of such assignment and will thereafter no longer be outstanding for any purpose hereunder;</w:t>
      </w:r>
    </w:p>
    <w:p>
      <w:pPr>
        <w:spacing w:after="0" w:line="14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8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has occurred or is continuing;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2015" w:val="left"/>
        </w:tabs>
        <w:numPr>
          <w:ilvl w:val="0"/>
          <w:numId w:val="8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ectPr>
          <w:pgSz w:w="11900" w:h="16838" w:orient="portrait"/>
          <w:cols w:equalWidth="0" w:num="1">
            <w:col w:w="11240"/>
          </w:cols>
          <w:pgMar w:left="320" w:top="1440" w:right="339" w:bottom="1440" w:gutter="0" w:footer="0" w:header="0"/>
        </w:sectPr>
      </w:pPr>
    </w:p>
    <w:bookmarkStart w:id="700" w:name="page701"/>
    <w:bookmarkEnd w:id="700"/>
    <w:p>
      <w:pPr>
        <w:spacing w:after="0" w:line="199"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with respect to the Term Loans of such Class shall be reduced pro rata by the aggregate principal amount of Term Loans of such Class purchased hereunder.</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Times New Roman" w:cs="Times New Roman" w:eastAsia="Times New Roman" w:hAnsi="Times New Roman"/>
          <w:sz w:val="22"/>
          <w:szCs w:val="22"/>
          <w:i w:val="1"/>
          <w:iCs w:val="1"/>
          <w:color w:val="auto"/>
        </w:rPr>
        <w:t>Excluded Information</w:t>
      </w:r>
      <w:r>
        <w:rPr>
          <w:rFonts w:ascii="Times New Roman" w:cs="Times New Roman" w:eastAsia="Times New Roman" w:hAnsi="Times New Roman"/>
          <w:sz w:val="22"/>
          <w:szCs w:val="22"/>
          <w:color w:val="auto"/>
        </w:rPr>
        <w:t>”),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189" w:lineRule="exact"/>
        <w:rPr>
          <w:sz w:val="20"/>
          <w:szCs w:val="20"/>
          <w:color w:val="auto"/>
        </w:rPr>
      </w:pPr>
    </w:p>
    <w:p>
      <w:pPr>
        <w:jc w:val="both"/>
        <w:ind w:firstLine="1304"/>
        <w:spacing w:after="0" w:line="251" w:lineRule="auto"/>
        <w:tabs>
          <w:tab w:leader="none" w:pos="1766" w:val="left"/>
        </w:tabs>
        <w:numPr>
          <w:ilvl w:val="0"/>
          <w:numId w:val="8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26" w:val="left"/>
        </w:tabs>
        <w:numPr>
          <w:ilvl w:val="0"/>
          <w:numId w:val="8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w:t>
      </w:r>
    </w:p>
    <w:p>
      <w:pPr>
        <w:spacing w:after="0" w:line="18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24" w:val="left"/>
        </w:tabs>
        <w:numPr>
          <w:ilvl w:val="0"/>
          <w:numId w:val="8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replacement of a Lender pursuant to Section 2.18, 2.26(a), 10.08(b) or other provision hereof (collectively, a “</w:t>
      </w:r>
      <w:r>
        <w:rPr>
          <w:rFonts w:ascii="Times New Roman" w:cs="Times New Roman" w:eastAsia="Times New Roman" w:hAnsi="Times New Roman"/>
          <w:sz w:val="22"/>
          <w:szCs w:val="22"/>
          <w:i w:val="1"/>
          <w:iCs w:val="1"/>
          <w:color w:val="auto"/>
        </w:rPr>
        <w:t>Replaceable Lender</w:t>
      </w:r>
      <w:r>
        <w:rPr>
          <w:rFonts w:ascii="Times New Roman" w:cs="Times New Roman" w:eastAsia="Times New Roman" w:hAnsi="Times New Roman"/>
          <w:sz w:val="22"/>
          <w:szCs w:val="22"/>
          <w:color w:val="auto"/>
        </w:rPr>
        <w:t>”), if any such Replaceable Lender does not execute and deliver to the Administrative Agent a duly executed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ectPr>
          <w:pgSz w:w="11900" w:h="16838" w:orient="portrait"/>
          <w:cols w:equalWidth="0" w:num="1">
            <w:col w:w="11240"/>
          </w:cols>
          <w:pgMar w:left="320" w:top="1440" w:right="339" w:bottom="1440" w:gutter="0" w:footer="0" w:header="0"/>
        </w:sectPr>
      </w:pPr>
    </w:p>
    <w:bookmarkStart w:id="701" w:name="page702"/>
    <w:bookmarkEnd w:id="701"/>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w:t>
      </w:r>
    </w:p>
    <w:p>
      <w:pPr>
        <w:spacing w:after="0" w:line="176" w:lineRule="exact"/>
        <w:rPr>
          <w:sz w:val="20"/>
          <w:szCs w:val="20"/>
          <w:color w:val="auto"/>
        </w:rPr>
      </w:pPr>
    </w:p>
    <w:p>
      <w:pPr>
        <w:ind w:left="130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Agent and each Lender agrees to keep confidential any information</w:t>
      </w:r>
    </w:p>
    <w:p>
      <w:pPr>
        <w:spacing w:after="0" w:line="28" w:lineRule="exact"/>
        <w:rPr>
          <w:sz w:val="20"/>
          <w:szCs w:val="20"/>
          <w:color w:val="auto"/>
        </w:rPr>
      </w:pPr>
    </w:p>
    <w:p>
      <w:pPr>
        <w:ind w:left="300" w:hanging="292"/>
        <w:spacing w:after="0"/>
        <w:tabs>
          <w:tab w:leader="none" w:pos="300" w:val="left"/>
        </w:tabs>
        <w:numPr>
          <w:ilvl w:val="0"/>
          <w:numId w:val="8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or made available by Parent, the Borrower or any of the Guarantors or any of their respective Subsidiaries or</w:t>
      </w:r>
    </w:p>
    <w:p>
      <w:pPr>
        <w:spacing w:after="0" w:line="3" w:lineRule="exact"/>
        <w:rPr>
          <w:rFonts w:ascii="Times New Roman" w:cs="Times New Roman" w:eastAsia="Times New Roman" w:hAnsi="Times New Roman"/>
          <w:sz w:val="22"/>
          <w:szCs w:val="22"/>
          <w:color w:val="auto"/>
        </w:rPr>
      </w:pPr>
    </w:p>
    <w:p>
      <w:pPr>
        <w:jc w:val="both"/>
        <w:ind w:firstLine="8"/>
        <w:spacing w:after="0" w:line="257" w:lineRule="auto"/>
        <w:tabs>
          <w:tab w:leader="none" w:pos="328" w:val="left"/>
        </w:tabs>
        <w:numPr>
          <w:ilvl w:val="0"/>
          <w:numId w:val="8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prevent any Agent or any Lender from disclosing such information (a) to any of its Related Parties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w:t>
      </w:r>
    </w:p>
    <w:p>
      <w:pPr>
        <w:spacing w:after="0" w:line="4" w:lineRule="exact"/>
        <w:rPr>
          <w:rFonts w:ascii="Times New Roman" w:cs="Times New Roman" w:eastAsia="Times New Roman" w:hAnsi="Times New Roman"/>
          <w:sz w:val="21"/>
          <w:szCs w:val="21"/>
          <w:color w:val="auto"/>
        </w:rPr>
      </w:pPr>
    </w:p>
    <w:p>
      <w:pPr>
        <w:jc w:val="both"/>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w:t>
      </w:r>
    </w:p>
    <w:p>
      <w:pPr>
        <w:spacing w:after="0" w:line="6"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w:t>
      </w:r>
    </w:p>
    <w:p>
      <w:pPr>
        <w:spacing w:after="0" w:line="182"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u w:val="single" w:color="auto"/>
          <w:color w:val="auto"/>
        </w:rPr>
        <w:t>Expenses; Indemnity; Damage 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849" w:val="left"/>
        </w:tabs>
        <w:numPr>
          <w:ilvl w:val="0"/>
          <w:numId w:val="8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Borrower shall pay or reimburse: (A) all reasonable fees and reasonable and documented out-of-pocket expenses of each Agent and the Joint Lead Arrangers and Bookrunners (including the reasonable fees, disbursements and other charges of Milbank LLP, special counsel to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ectPr>
          <w:pgSz w:w="11900" w:h="16838" w:orient="portrait"/>
          <w:cols w:equalWidth="0" w:num="1">
            <w:col w:w="11240"/>
          </w:cols>
          <w:pgMar w:left="320" w:top="1440" w:right="339" w:bottom="1440" w:gutter="0" w:footer="0" w:header="0"/>
        </w:sectPr>
      </w:pPr>
    </w:p>
    <w:bookmarkStart w:id="702" w:name="page703"/>
    <w:bookmarkEnd w:id="702"/>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Agents) associated with the syndication of the credit 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w:t>
      </w:r>
    </w:p>
    <w:p>
      <w:pPr>
        <w:spacing w:after="0" w:line="2" w:lineRule="exact"/>
        <w:rPr>
          <w:sz w:val="20"/>
          <w:szCs w:val="20"/>
          <w:color w:val="auto"/>
        </w:rPr>
      </w:pPr>
    </w:p>
    <w:p>
      <w:pPr>
        <w:jc w:val="both"/>
        <w:ind w:firstLine="8"/>
        <w:spacing w:after="0" w:line="258" w:lineRule="auto"/>
        <w:tabs>
          <w:tab w:leader="none" w:pos="349" w:val="left"/>
        </w:tabs>
        <w:numPr>
          <w:ilvl w:val="0"/>
          <w:numId w:val="8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enforcement of the Loan Documents (including with respect to enforcement of their respective rights to indemnity hereunder), all fees and documented out-of-pocket expenses of each Agent and any trustee appointed pursuant to Section 8.01(d) (including the reasonable fees, disbursements and other charges of counsel for the Agents and such trustee and one local counsel for each relevant jurisdiction and one regulatory counsel, and, in each case, if necessary in the case of an actual conflict of interest, one additional local counsel in each such applicable jurisdiction or one additional regulatory counsel, as applicable) and each Lender (including the reasonable fees, disbursements and other charges of counsel for such Lender) incurred during the continuance of a Default and (C) all reasonable, documented, out-of-pocket costs, expenses, taxes, assessments and other charges (including the reasonable fees, disbursements and other charges of counsel for the Collateral Trustee) incurred by the Collateral Trustee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so long as no Event of Default shall have occurred and be continuing, the Borrower shall not, in connection with this Section 10.04(a), be responsible hereunder for the reasonable fees and expenses of more than one such firm of separate counsel and one regulatory counsel, in addition to any local counsel.</w:t>
      </w:r>
    </w:p>
    <w:p>
      <w:pPr>
        <w:spacing w:after="0" w:line="178" w:lineRule="exact"/>
        <w:rPr>
          <w:rFonts w:ascii="Times New Roman" w:cs="Times New Roman" w:eastAsia="Times New Roman" w:hAnsi="Times New Roman"/>
          <w:sz w:val="21"/>
          <w:szCs w:val="21"/>
          <w:color w:val="auto"/>
        </w:rPr>
      </w:pPr>
    </w:p>
    <w:p>
      <w:pPr>
        <w:ind w:firstLine="1304"/>
        <w:spacing w:after="0" w:line="284" w:lineRule="auto"/>
        <w:tabs>
          <w:tab w:leader="none" w:pos="1704" w:val="left"/>
        </w:tabs>
        <w:numPr>
          <w:ilvl w:val="1"/>
          <w:numId w:val="8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or reimbursements pursuant to the foregoing clause (a)(i) shall be paid within thirty (30) days of written demand together with back-up documentation supporting such reimbursement request.</w:t>
      </w:r>
    </w:p>
    <w:p>
      <w:pPr>
        <w:spacing w:after="0" w:line="144" w:lineRule="exact"/>
        <w:rPr>
          <w:sz w:val="20"/>
          <w:szCs w:val="20"/>
          <w:color w:val="auto"/>
        </w:rPr>
      </w:pPr>
    </w:p>
    <w:p>
      <w:pPr>
        <w:jc w:val="both"/>
        <w:ind w:firstLine="1304"/>
        <w:spacing w:after="0" w:line="260" w:lineRule="auto"/>
        <w:tabs>
          <w:tab w:leader="none" w:pos="1850" w:val="left"/>
        </w:tabs>
        <w:numPr>
          <w:ilvl w:val="0"/>
          <w:numId w:val="8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indemnify each Agent, any trustee appointed pursuant to Section 8.01(d), the Issuing Lenders and each Lender, and each Related Party of any of the foregoing Persons (each such Person being called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against, and hold each Indemnitee harmless from, any and all losses, claims, damages, liabilities and related expenses, including the reasonable fees, charges and disbursements of one firm counsel for all Indemnitees and, if necessary, one firm of local counsel in each appropriate jurisdiction and one regulatory counsel for all Indemnitees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ectPr>
          <w:pgSz w:w="11900" w:h="16838" w:orient="portrait"/>
          <w:cols w:equalWidth="0" w:num="1">
            <w:col w:w="11240"/>
          </w:cols>
          <w:pgMar w:left="320" w:top="1440" w:right="339" w:bottom="1440" w:gutter="0" w:footer="0" w:header="0"/>
        </w:sectPr>
      </w:pPr>
    </w:p>
    <w:bookmarkStart w:id="703" w:name="page704"/>
    <w:bookmarkEnd w:id="703"/>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such demand do not strictly comply with the terms of such Letter of Credit) or (iii) any actual or alleged presence or Release of Hazardous Materials on or from any property owned or operated by Parent or any of its Subsidiaries, or any Environmental Liability related in any way to, or asserted against, Parent or any of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w:t>
      </w:r>
    </w:p>
    <w:p>
      <w:pPr>
        <w:spacing w:after="0" w:line="5" w:lineRule="exact"/>
        <w:rPr>
          <w:sz w:val="20"/>
          <w:szCs w:val="20"/>
          <w:color w:val="auto"/>
        </w:rPr>
      </w:pPr>
    </w:p>
    <w:p>
      <w:pPr>
        <w:jc w:val="both"/>
        <w:ind w:firstLine="8"/>
        <w:spacing w:after="0" w:line="245" w:lineRule="auto"/>
        <w:tabs>
          <w:tab w:leader="none" w:pos="310" w:val="left"/>
        </w:tabs>
        <w:numPr>
          <w:ilvl w:val="0"/>
          <w:numId w:val="8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result from any proceeding between or among Indemnitees that does not involve an action or omission by the Borrower or its Affiliates (other than claims against any Indemnitee in its capacity or in fulfilling its role as an Agent, trustee Bookrunner or Joint Lead Arranger or any other similar role under the Facilities (excluding its role as a Lender)). This Section 10.04(b) shall not apply with respect to Taxes other than Taxes that represent losses or damages arising from any non-Tax claim. Neither the Borrower nor any Indemnitee shall be liable for any indirect, special, punitive or consequential damages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w:t>
      </w:r>
    </w:p>
    <w:p>
      <w:pPr>
        <w:spacing w:after="0" w:line="191"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65" w:val="left"/>
        </w:tabs>
        <w:numPr>
          <w:ilvl w:val="1"/>
          <w:numId w:val="8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such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26" w:val="left"/>
        </w:tabs>
        <w:numPr>
          <w:ilvl w:val="0"/>
          <w:numId w:val="8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ectPr>
          <w:pgSz w:w="11900" w:h="16838" w:orient="portrait"/>
          <w:cols w:equalWidth="0" w:num="1">
            <w:col w:w="11240"/>
          </w:cols>
          <w:pgMar w:left="320" w:top="1440" w:right="339" w:bottom="1440" w:gutter="0" w:footer="0" w:header="0"/>
        </w:sectPr>
      </w:pPr>
    </w:p>
    <w:bookmarkStart w:id="704" w:name="page705"/>
    <w:bookmarkEnd w:id="704"/>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w:t>
      </w:r>
    </w:p>
    <w:p>
      <w:pPr>
        <w:spacing w:after="0" w:line="179" w:lineRule="exact"/>
        <w:rPr>
          <w:sz w:val="20"/>
          <w:szCs w:val="20"/>
          <w:color w:val="auto"/>
        </w:rPr>
      </w:pPr>
    </w:p>
    <w:p>
      <w:pPr>
        <w:jc w:val="both"/>
        <w:ind w:firstLine="1304"/>
        <w:spacing w:after="0" w:line="251" w:lineRule="auto"/>
        <w:tabs>
          <w:tab w:leader="none" w:pos="1870" w:val="left"/>
        </w:tabs>
        <w:numPr>
          <w:ilvl w:val="0"/>
          <w:numId w:val="8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applicable Issuing Lender in its capacity as such.</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7" w:val="left"/>
        </w:tabs>
        <w:numPr>
          <w:ilvl w:val="0"/>
          <w:numId w:val="8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76"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946" w:val="left"/>
        </w:tabs>
        <w:numPr>
          <w:ilvl w:val="0"/>
          <w:numId w:val="8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AND OBLIGATIONS OF THE PARTIES UNDER THIS AGREEMENT SHALL BE GOVERNED BY, AND CONSTRUED AND INTERPRETED IN ACCORDANCE WITH, THE LAWS OF THE STATE OF NEW YORK.</w:t>
      </w:r>
    </w:p>
    <w:p>
      <w:pPr>
        <w:spacing w:after="0" w:line="18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58" w:val="left"/>
        </w:tabs>
        <w:numPr>
          <w:ilvl w:val="0"/>
          <w:numId w:val="8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8" w:val="left"/>
        </w:tabs>
        <w:numPr>
          <w:ilvl w:val="0"/>
          <w:numId w:val="8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ectPr>
          <w:pgSz w:w="11900" w:h="16838" w:orient="portrait"/>
          <w:cols w:equalWidth="0" w:num="1">
            <w:col w:w="11240"/>
          </w:cols>
          <w:pgMar w:left="320" w:top="1440" w:right="339" w:bottom="1440" w:gutter="0" w:footer="0" w:header="0"/>
        </w:sectPr>
      </w:pPr>
    </w:p>
    <w:bookmarkStart w:id="705" w:name="page706"/>
    <w:bookmarkEnd w:id="705"/>
    <w:p>
      <w:pPr>
        <w:spacing w:after="0" w:line="199" w:lineRule="exact"/>
        <w:rPr>
          <w:sz w:val="20"/>
          <w:szCs w:val="20"/>
          <w:color w:val="auto"/>
        </w:rPr>
      </w:pPr>
    </w:p>
    <w:p>
      <w:pPr>
        <w:jc w:val="both"/>
        <w:ind w:firstLine="1304"/>
        <w:spacing w:after="0" w:line="257" w:lineRule="auto"/>
        <w:tabs>
          <w:tab w:leader="none" w:pos="1902" w:val="left"/>
        </w:tabs>
        <w:numPr>
          <w:ilvl w:val="0"/>
          <w:numId w:val="8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consents to service of process in the manner provided for notices in Section 10.01. Nothing in this Agreement will affect the right of any party to this Agreement to serve process in any other manner permitted by law.</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Extension of Maturity</w:t>
      </w:r>
      <w:r>
        <w:rPr>
          <w:rFonts w:ascii="Times New Roman" w:cs="Times New Roman" w:eastAsia="Times New Roman" w:hAnsi="Times New Roman"/>
          <w:sz w:val="22"/>
          <w:szCs w:val="22"/>
          <w:color w:val="auto"/>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(a) 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Required Class Lenders (as applicable) (or signed by the Administrative Agent with the consent of the Required Lenders or Required Class Lenders, as applicable), and then such waiver or consent shall be effective only in the specific instance and for the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modification or amendment shall without the prior written consent of:</w:t>
      </w:r>
    </w:p>
    <w:p>
      <w:pPr>
        <w:spacing w:after="0" w:line="194" w:lineRule="exact"/>
        <w:rPr>
          <w:sz w:val="20"/>
          <w:szCs w:val="20"/>
          <w:color w:val="auto"/>
        </w:rPr>
      </w:pPr>
    </w:p>
    <w:p>
      <w:pPr>
        <w:jc w:val="both"/>
        <w:ind w:left="660" w:firstLine="644"/>
        <w:spacing w:after="0" w:line="258" w:lineRule="auto"/>
        <w:tabs>
          <w:tab w:leader="none" w:pos="1779" w:val="left"/>
        </w:tabs>
        <w:numPr>
          <w:ilvl w:val="0"/>
          <w:numId w:val="8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or (B) reduce the principal amount of any Loan, any reimbursement obligation in respect of any Letter of Credit, or the rate of interest payable on any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w:t>
      </w:r>
      <w:r>
        <w:rPr>
          <w:rFonts w:ascii="Times New Roman" w:cs="Times New Roman" w:eastAsia="Times New Roman" w:hAnsi="Times New Roman"/>
          <w:sz w:val="21"/>
          <w:szCs w:val="21"/>
          <w:b w:val="1"/>
          <w:bCs w:val="1"/>
          <w:color w:val="FF0000"/>
          <w:strike w:val="1"/>
        </w:rPr>
        <w:t>or</w:t>
      </w:r>
      <w:r>
        <w:rPr>
          <w:rFonts w:ascii="Times New Roman" w:cs="Times New Roman" w:eastAsia="Times New Roman" w:hAnsi="Times New Roman"/>
          <w:sz w:val="21"/>
          <w:szCs w:val="21"/>
          <w:color w:val="auto"/>
        </w:rPr>
        <w:t xml:space="preserve"> (D) amend or modify the terms of Section 2.17(e) in any manner that would alter the pro rata sharing of payments required thereby</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or (E) other than in connection with any debtor-in-possession financing or use of the</w:t>
      </w:r>
    </w:p>
    <w:p>
      <w:pPr>
        <w:spacing w:after="0" w:line="6" w:lineRule="exact"/>
        <w:rPr>
          <w:rFonts w:ascii="Times New Roman" w:cs="Times New Roman" w:eastAsia="Times New Roman" w:hAnsi="Times New Roman"/>
          <w:sz w:val="21"/>
          <w:szCs w:val="21"/>
          <w:color w:val="auto"/>
        </w:rPr>
      </w:pPr>
    </w:p>
    <w:p>
      <w:pPr>
        <w:jc w:val="both"/>
        <w:ind w:left="66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0000FF"/>
        </w:rPr>
        <w:t>Collateral in any insolvency proceeding, subordinate, or have the effect of subordinating the Obligations (or any portion thereof) or the Liens securing the Obligations (or any portion thereof) to any other Indebtedness, unless such affected Lender has been offered a bona fide opportunity to fund or otherwise provide its pro rata share (based on the amount of obligations under the Facility that are adversely affected thereby held by such Lender) of such other Indebtedness on the same terms (other than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ectPr>
          <w:pgSz w:w="11900" w:h="16838" w:orient="portrait"/>
          <w:cols w:equalWidth="0" w:num="1">
            <w:col w:w="11240"/>
          </w:cols>
          <w:pgMar w:left="320" w:top="1440" w:right="339" w:bottom="1440" w:gutter="0" w:footer="0" w:header="0"/>
        </w:sectPr>
      </w:pPr>
    </w:p>
    <w:bookmarkStart w:id="706" w:name="page707"/>
    <w:bookmarkEnd w:id="706"/>
    <w:p>
      <w:pPr>
        <w:spacing w:after="0" w:line="19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0000FF"/>
        </w:rPr>
        <w:t>bona fide backstop fees, any arrangement or restructuring fees and reimbursement of counsel fees and other expenses in connection with the negotiation of the terms of such transaction; such fees and expenses, as offered to all other providers (or their Affiliates) of such other Indebtedness pursuant to a written offer made to such Lender describing the material terms of the arrangements pursuant to which such other Indebtedness is to be provided, which offer shall remain open to such Lenders for a period of not less than ten (10) Business Days;</w:t>
      </w:r>
    </w:p>
    <w:p>
      <w:pPr>
        <w:spacing w:after="0" w:line="177" w:lineRule="exact"/>
        <w:rPr>
          <w:sz w:val="20"/>
          <w:szCs w:val="20"/>
          <w:color w:val="auto"/>
        </w:rPr>
      </w:pPr>
    </w:p>
    <w:p>
      <w:pPr>
        <w:jc w:val="both"/>
        <w:ind w:left="660" w:firstLine="644"/>
        <w:spacing w:after="0" w:line="253" w:lineRule="auto"/>
        <w:tabs>
          <w:tab w:leader="none" w:pos="1811" w:val="left"/>
        </w:tabs>
        <w:numPr>
          <w:ilvl w:val="0"/>
          <w:numId w:val="8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Lenders, (A) amend or modify any provision of this Agreement which provides for the unanimous consent or approval of the Lenders, (B) release all or substantially all of the Liens granted to the Collateral Trustee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 and</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854" w:val="left"/>
        </w:tabs>
        <w:numPr>
          <w:ilvl w:val="0"/>
          <w:numId w:val="8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Revolving Lenders, change the definition of the term “Required Revolving Lenders” or the percentage of Lenders which shall be required for Revolving Lenders to take any action hereunder.</w:t>
      </w:r>
    </w:p>
    <w:p>
      <w:pPr>
        <w:spacing w:after="0" w:line="158" w:lineRule="exact"/>
        <w:rPr>
          <w:sz w:val="20"/>
          <w:szCs w:val="20"/>
          <w:color w:val="auto"/>
        </w:rPr>
      </w:pPr>
    </w:p>
    <w:p>
      <w:pPr>
        <w:ind w:firstLine="1304"/>
        <w:spacing w:after="0" w:line="271" w:lineRule="auto"/>
        <w:tabs>
          <w:tab w:leader="none" w:pos="1824" w:val="left"/>
        </w:tabs>
        <w:numPr>
          <w:ilvl w:val="0"/>
          <w:numId w:val="8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or modification shall adversely affect the rights and obligations of the Administrative Agent or any Issuing Lender hereunder without its prior written consent.</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3" w:val="left"/>
        </w:tabs>
        <w:numPr>
          <w:ilvl w:val="0"/>
          <w:numId w:val="8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38" w:val="left"/>
        </w:tabs>
        <w:numPr>
          <w:ilvl w:val="0"/>
          <w:numId w:val="8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 (A) may replace any non-consenting Lender with respect to all or a portion of its Loans or Commitments, as applicable, in accordance with Section 10.02;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or modification can be effected as a result of 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non-consenting Lender in whole or in part, without premium or penalty, subject to</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ectPr>
          <w:pgSz w:w="11900" w:h="16838" w:orient="portrait"/>
          <w:cols w:equalWidth="0" w:num="1">
            <w:col w:w="11240"/>
          </w:cols>
          <w:pgMar w:left="320" w:top="1440" w:right="339" w:bottom="1440" w:gutter="0" w:footer="0" w:header="0"/>
        </w:sectPr>
      </w:pPr>
    </w:p>
    <w:bookmarkStart w:id="707" w:name="page708"/>
    <w:bookmarkEnd w:id="707"/>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Sections 2.13(d) and 10.04(b) and reallocate the LC Exposure of such non-consenting Lender under Section 2.26(d) (as if such Lender were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termination of Commitments shall be permitted 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w:t>
      </w:r>
    </w:p>
    <w:p>
      <w:pPr>
        <w:spacing w:after="0" w:line="5" w:lineRule="exact"/>
        <w:rPr>
          <w:sz w:val="20"/>
          <w:szCs w:val="20"/>
          <w:color w:val="auto"/>
        </w:rPr>
      </w:pPr>
    </w:p>
    <w:p>
      <w:pPr>
        <w:jc w:val="both"/>
        <w:ind w:firstLine="8"/>
        <w:spacing w:after="0" w:line="247" w:lineRule="auto"/>
        <w:tabs>
          <w:tab w:leader="none" w:pos="379" w:val="left"/>
        </w:tabs>
        <w:numPr>
          <w:ilvl w:val="0"/>
          <w:numId w:val="8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spacing w:after="0" w:line="18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83" w:val="left"/>
        </w:tabs>
        <w:numPr>
          <w:ilvl w:val="1"/>
          <w:numId w:val="8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Times New Roman" w:cs="Times New Roman" w:eastAsia="Times New Roman" w:hAnsi="Times New Roman"/>
          <w:sz w:val="22"/>
          <w:szCs w:val="22"/>
          <w:i w:val="1"/>
          <w:iCs w:val="1"/>
          <w:color w:val="auto"/>
        </w:rPr>
        <w:t>Refinanced Term Loans</w:t>
      </w:r>
      <w:r>
        <w:rPr>
          <w:rFonts w:ascii="Times New Roman" w:cs="Times New Roman" w:eastAsia="Times New Roman" w:hAnsi="Times New Roman"/>
          <w:sz w:val="22"/>
          <w:szCs w:val="22"/>
          <w:color w:val="auto"/>
        </w:rPr>
        <w:t>”) with a replacement term loan tranche (“</w:t>
      </w:r>
      <w:r>
        <w:rPr>
          <w:rFonts w:ascii="Times New Roman" w:cs="Times New Roman" w:eastAsia="Times New Roman" w:hAnsi="Times New Roman"/>
          <w:sz w:val="22"/>
          <w:szCs w:val="22"/>
          <w:i w:val="1"/>
          <w:iCs w:val="1"/>
          <w:color w:val="auto"/>
        </w:rPr>
        <w:t>Replacement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or the refinancing, replacement or modification of all or a portion of the outstanding Revolving Loans of any tranche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Revolving Loans</w:t>
      </w:r>
      <w:r>
        <w:rPr>
          <w:rFonts w:ascii="Times New Roman" w:cs="Times New Roman" w:eastAsia="Times New Roman" w:hAnsi="Times New Roman"/>
          <w:sz w:val="22"/>
          <w:szCs w:val="22"/>
          <w:color w:val="auto"/>
        </w:rPr>
        <w:t>” and, together with the Refinanced Term Loans, the “</w:t>
      </w:r>
      <w:r>
        <w:rPr>
          <w:rFonts w:ascii="Times New Roman" w:cs="Times New Roman" w:eastAsia="Times New Roman" w:hAnsi="Times New Roman"/>
          <w:sz w:val="22"/>
          <w:szCs w:val="22"/>
          <w:i w:val="1"/>
          <w:iCs w:val="1"/>
          <w:color w:val="auto"/>
        </w:rPr>
        <w:t>Refinanced Loans</w:t>
      </w:r>
      <w:r>
        <w:rPr>
          <w:rFonts w:ascii="Times New Roman" w:cs="Times New Roman" w:eastAsia="Times New Roman" w:hAnsi="Times New Roman"/>
          <w:sz w:val="22"/>
          <w:szCs w:val="22"/>
          <w:color w:val="auto"/>
        </w:rPr>
        <w:t>”) with a replacement revolving loan tranche (“</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and, together with the “</w:t>
      </w:r>
      <w:r>
        <w:rPr>
          <w:rFonts w:ascii="Times New Roman" w:cs="Times New Roman" w:eastAsia="Times New Roman" w:hAnsi="Times New Roman"/>
          <w:sz w:val="22"/>
          <w:szCs w:val="22"/>
          <w:i w:val="1"/>
          <w:iCs w:val="1"/>
          <w:color w:val="auto"/>
        </w:rPr>
        <w:t>Replacement Term Loans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i w:val="1"/>
          <w:iCs w:val="1"/>
          <w:color w:val="auto"/>
        </w:rPr>
        <w:t>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hereunder and (y) to include appropriately the Lenders holding such credit facilities in any determination of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Lenders, Required Class Lenders, Required Term Lenders in Required Revolving Lenders,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ectPr>
          <w:pgSz w:w="11900" w:h="16838" w:orient="portrait"/>
          <w:cols w:equalWidth="0" w:num="1">
            <w:col w:w="11240"/>
          </w:cols>
          <w:pgMar w:left="320" w:top="1440" w:right="339" w:bottom="1440" w:gutter="0" w:footer="0" w:header="0"/>
        </w:sectPr>
      </w:pPr>
    </w:p>
    <w:bookmarkStart w:id="708" w:name="page709"/>
    <w:bookmarkEnd w:id="708"/>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applicable Term Loans) and (d) 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 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w:t>
      </w:r>
    </w:p>
    <w:p>
      <w:pPr>
        <w:spacing w:after="0" w:line="186" w:lineRule="exact"/>
        <w:rPr>
          <w:sz w:val="20"/>
          <w:szCs w:val="20"/>
          <w:color w:val="auto"/>
        </w:rPr>
      </w:pPr>
    </w:p>
    <w:p>
      <w:pPr>
        <w:jc w:val="both"/>
        <w:ind w:firstLine="1304"/>
        <w:spacing w:after="0" w:line="249" w:lineRule="auto"/>
        <w:tabs>
          <w:tab w:leader="none" w:pos="1766" w:val="left"/>
        </w:tabs>
        <w:numPr>
          <w:ilvl w:val="0"/>
          <w:numId w:val="8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70" w:val="left"/>
        </w:tabs>
        <w:numPr>
          <w:ilvl w:val="0"/>
          <w:numId w:val="8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Times New Roman" w:cs="Times New Roman" w:eastAsia="Times New Roman" w:hAnsi="Times New Roman"/>
          <w:sz w:val="22"/>
          <w:szCs w:val="22"/>
          <w:i w:val="1"/>
          <w:iCs w:val="1"/>
          <w:color w:val="auto"/>
        </w:rPr>
        <w:t>Non-Extending Lender</w:t>
      </w:r>
      <w:r>
        <w:rPr>
          <w:rFonts w:ascii="Times New Roman" w:cs="Times New Roman" w:eastAsia="Times New Roman" w:hAnsi="Times New Roman"/>
          <w:sz w:val="22"/>
          <w:szCs w:val="22"/>
          <w:color w:val="auto"/>
        </w:rPr>
        <w:t>”)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9" w:val="left"/>
        </w:tabs>
        <w:numPr>
          <w:ilvl w:val="0"/>
          <w:numId w:val="8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the amendment provisions of this Section 10.08 shall not apply to extensions of the Revolving Facility Maturity Date, the Term Loan Maturity Date or the maturity date of any tranche of Revolving Commitments, in each case, made in accordance with Section 2.28.</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57" w:val="left"/>
        </w:tabs>
        <w:numPr>
          <w:ilvl w:val="0"/>
          <w:numId w:val="8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ectPr>
          <w:pgSz w:w="11900" w:h="16838" w:orient="portrait"/>
          <w:cols w:equalWidth="0" w:num="1">
            <w:col w:w="11240"/>
          </w:cols>
          <w:pgMar w:left="320" w:top="1440" w:right="339" w:bottom="1440" w:gutter="0" w:footer="0" w:header="0"/>
        </w:sectPr>
      </w:pPr>
    </w:p>
    <w:bookmarkStart w:id="709" w:name="page710"/>
    <w:bookmarkEnd w:id="709"/>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assignment of the security interest in the Collateral from the Collateral Trustee to such collateral trustee.</w:t>
      </w:r>
    </w:p>
    <w:p>
      <w:pPr>
        <w:spacing w:after="0" w:line="220" w:lineRule="exact"/>
        <w:rPr>
          <w:sz w:val="20"/>
          <w:szCs w:val="20"/>
          <w:color w:val="auto"/>
        </w:rPr>
      </w:pPr>
    </w:p>
    <w:p>
      <w:pPr>
        <w:jc w:val="both"/>
        <w:ind w:firstLine="1304"/>
        <w:spacing w:after="0" w:line="251" w:lineRule="auto"/>
        <w:tabs>
          <w:tab w:leader="none" w:pos="1808" w:val="left"/>
        </w:tabs>
        <w:numPr>
          <w:ilvl w:val="0"/>
          <w:numId w:val="8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after-acquired assets of that type or category) from the Collateral covered by such Collateral Document to the extent the release thereof is permitted by Section 6.09(c) or constitutes a Permitted Disposition.</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used herein are for convenience only and are not to affect the construction of or be taken into consideration in interpreting this Agreement.</w:t>
      </w:r>
    </w:p>
    <w:p>
      <w:pPr>
        <w:spacing w:after="0" w:line="17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Letters of Credit and the Commitments, or the termination of this Agreement or any provision hereof.</w:t>
      </w:r>
    </w:p>
    <w:p>
      <w:pPr>
        <w:spacing w:after="0" w:line="204"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10.12.</w:t>
      </w:r>
      <w:r>
        <w:rPr>
          <w:sz w:val="20"/>
          <w:szCs w:val="20"/>
          <w:color w:val="auto"/>
        </w:rPr>
        <w:tab/>
      </w:r>
      <w:r>
        <w:rPr>
          <w:rFonts w:ascii="Times New Roman" w:cs="Times New Roman" w:eastAsia="Times New Roman" w:hAnsi="Times New Roman"/>
          <w:sz w:val="21"/>
          <w:szCs w:val="21"/>
          <w:u w:val="single" w:color="auto"/>
          <w:color w:val="auto"/>
        </w:rPr>
        <w:t>Execution in Counterparts; Integration; Effectiveness</w:t>
      </w:r>
    </w:p>
    <w:p>
      <w:pPr>
        <w:spacing w:after="0" w:line="220"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ectPr>
          <w:pgSz w:w="11900" w:h="16838" w:orient="portrait"/>
          <w:cols w:equalWidth="0" w:num="1">
            <w:col w:w="11240"/>
          </w:cols>
          <w:pgMar w:left="320" w:top="1440" w:right="339" w:bottom="1440" w:gutter="0" w:footer="0" w:header="0"/>
        </w:sectPr>
      </w:pPr>
    </w:p>
    <w:bookmarkStart w:id="710" w:name="page711"/>
    <w:bookmarkEnd w:id="710"/>
    <w:p>
      <w:pPr>
        <w:spacing w:after="0" w:line="19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counterpart of a signature page of this Agreement by facsimile or electronic .pdf copy shall be effective as delivery of a manually executed counterpart of this Agreement.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w:t>
      </w:r>
    </w:p>
    <w:p>
      <w:pPr>
        <w:spacing w:after="0" w:line="179"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New Value</w:t>
      </w:r>
      <w:r>
        <w:rPr>
          <w:rFonts w:ascii="Times New Roman" w:cs="Times New Roman" w:eastAsia="Times New Roman" w:hAnsi="Times New Roman"/>
          <w:sz w:val="21"/>
          <w:szCs w:val="21"/>
          <w:color w:val="auto"/>
        </w:rPr>
        <w:t>.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w:t>
      </w:r>
    </w:p>
    <w:p>
      <w:pPr>
        <w:spacing w:after="0" w:line="15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3" w:lineRule="exact"/>
        <w:rPr>
          <w:sz w:val="20"/>
          <w:szCs w:val="20"/>
          <w:color w:val="auto"/>
        </w:rPr>
      </w:pPr>
    </w:p>
    <w:p>
      <w:pPr>
        <w:jc w:val="both"/>
        <w:ind w:firstLine="8"/>
        <w:spacing w:after="0" w:line="252" w:lineRule="auto"/>
        <w:tabs>
          <w:tab w:leader="none" w:pos="344" w:val="left"/>
        </w:tabs>
        <w:numPr>
          <w:ilvl w:val="0"/>
          <w:numId w:val="8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BY, AMONG OTHER THINGS, THE MUTUAL WAIVERS AND CERTIFICATIONS IN THIS SECTION 10.15.</w:t>
      </w:r>
    </w:p>
    <w:p>
      <w:pPr>
        <w:spacing w:after="0" w:line="17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10.16. </w:t>
      </w:r>
      <w:r>
        <w:rPr>
          <w:rFonts w:ascii="Times New Roman" w:cs="Times New Roman" w:eastAsia="Times New Roman" w:hAnsi="Times New Roman"/>
          <w:sz w:val="21"/>
          <w:szCs w:val="21"/>
          <w:u w:val="single" w:color="auto"/>
          <w:color w:val="auto"/>
        </w:rPr>
        <w:t>No Fiduciary Duty</w:t>
      </w:r>
      <w:r>
        <w:rPr>
          <w:rFonts w:ascii="Times New Roman" w:cs="Times New Roman" w:eastAsia="Times New Roman" w:hAnsi="Times New Roman"/>
          <w:sz w:val="21"/>
          <w:szCs w:val="21"/>
          <w:color w:val="auto"/>
        </w:rPr>
        <w:t>. Each Agent, each Lender and their Affiliates (collectively, solely for purposes of this paragraph, the “</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Guarantors, on the other hand, and (ii) in connection therewith and with the process leading thereto, (x) no Lender has assumed an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ectPr>
          <w:pgSz w:w="11900" w:h="16838" w:orient="portrait"/>
          <w:cols w:equalWidth="0" w:num="1">
            <w:col w:w="11240"/>
          </w:cols>
          <w:pgMar w:left="320" w:top="1440" w:right="339" w:bottom="1440" w:gutter="0" w:footer="0" w:header="0"/>
        </w:sectPr>
      </w:pPr>
    </w:p>
    <w:bookmarkStart w:id="711" w:name="page712"/>
    <w:bookmarkEnd w:id="711"/>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8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Lender Action</w:t>
      </w:r>
      <w:r>
        <w:rPr>
          <w:rFonts w:ascii="Times New Roman" w:cs="Times New Roman" w:eastAsia="Times New Roman" w:hAnsi="Times New Roman"/>
          <w:sz w:val="22"/>
          <w:szCs w:val="22"/>
          <w:color w:val="auto"/>
        </w:rPr>
        <w:t>.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w:t>
      </w:r>
    </w:p>
    <w:p>
      <w:pPr>
        <w:spacing w:after="0" w:line="18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Intercreditor Agreements</w:t>
      </w:r>
      <w:r>
        <w:rPr>
          <w:rFonts w:ascii="Times New Roman" w:cs="Times New Roman" w:eastAsia="Times New Roman" w:hAnsi="Times New Roman"/>
          <w:sz w:val="22"/>
          <w:szCs w:val="22"/>
          <w:color w:val="auto"/>
        </w:rPr>
        <w:t>. Notwithstanding anything to the contrary contained in this Agreement, if at any time the Administrative Agent or the Collateral Trustee shall enter into any Intercreditor Agreement, pursuant to and as permitted by the terms of this Agreement, and such Intercreditor Agreement shall remain outstanding, the rights granted to the Secured Parties hereunder and under the other Loan Documents, the Liens and security interest granted to the Collateral Trustee pursuant to this Agreement or any other Loan Document and the exercise of any right or remedy by any Agent hereunder or under any other Loan Document shall be subject to the terms and conditions of such Intercreditor Agreement. In the event of any conflict between the terms of this Agreement, any other Loan Document and such Intercreditor Agreement, the terms of such Intercreditor 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ectPr>
          <w:pgSz w:w="11900" w:h="16838" w:orient="portrait"/>
          <w:cols w:equalWidth="0" w:num="1">
            <w:col w:w="11240"/>
          </w:cols>
          <w:pgMar w:left="320" w:top="1440" w:right="339" w:bottom="1440" w:gutter="0" w:footer="0" w:header="0"/>
        </w:sectPr>
      </w:pPr>
    </w:p>
    <w:bookmarkStart w:id="712" w:name="page713"/>
    <w:bookmarkEnd w:id="712"/>
    <w:p>
      <w:pPr>
        <w:spacing w:after="0" w:line="199" w:lineRule="exact"/>
        <w:rPr>
          <w:sz w:val="20"/>
          <w:szCs w:val="20"/>
          <w:color w:val="auto"/>
        </w:rPr>
      </w:pPr>
    </w:p>
    <w:p>
      <w:pPr>
        <w:ind w:firstLine="1304"/>
        <w:spacing w:after="0" w:line="271" w:lineRule="auto"/>
        <w:tabs>
          <w:tab w:leader="none" w:pos="1830" w:val="left"/>
        </w:tabs>
        <w:numPr>
          <w:ilvl w:val="0"/>
          <w:numId w:val="8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sz w:val="20"/>
          <w:szCs w:val="20"/>
          <w:color w:val="auto"/>
        </w:rPr>
      </w:pPr>
    </w:p>
    <w:p>
      <w:pPr>
        <w:ind w:left="1720" w:hanging="416"/>
        <w:spacing w:after="0"/>
        <w:tabs>
          <w:tab w:leader="none" w:pos="1720" w:val="left"/>
        </w:tabs>
        <w:numPr>
          <w:ilvl w:val="0"/>
          <w:numId w:val="8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91" w:val="left"/>
        </w:tabs>
        <w:numPr>
          <w:ilvl w:val="0"/>
          <w:numId w:val="8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848" w:val="left"/>
        </w:tabs>
        <w:numPr>
          <w:ilvl w:val="0"/>
          <w:numId w:val="8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any Loan Document to the extent necessary to give effect to any Bail-In Action in relation to any such liability.</w:t>
      </w:r>
    </w:p>
    <w:p>
      <w:pPr>
        <w:spacing w:after="0" w:line="158"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10.20.</w:t>
      </w:r>
      <w:r>
        <w:rPr>
          <w:sz w:val="20"/>
          <w:szCs w:val="20"/>
          <w:color w:val="auto"/>
        </w:rPr>
        <w:tab/>
      </w:r>
      <w:r>
        <w:rPr>
          <w:rFonts w:ascii="Times New Roman" w:cs="Times New Roman" w:eastAsia="Times New Roman" w:hAnsi="Times New Roman"/>
          <w:sz w:val="21"/>
          <w:szCs w:val="21"/>
          <w:u w:val="single" w:color="auto"/>
          <w:color w:val="auto"/>
        </w:rPr>
        <w:t>Acknowledgment Regarding Any Supported QFCs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To the extent that the Loan Documents provide support, through a guarantee or otherwise, for Designated Hedging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22" w:lineRule="exact"/>
        <w:rPr>
          <w:sz w:val="20"/>
          <w:szCs w:val="20"/>
          <w:color w:val="auto"/>
        </w:rPr>
      </w:pPr>
    </w:p>
    <w:p>
      <w:pPr>
        <w:jc w:val="both"/>
        <w:ind w:firstLine="1304"/>
        <w:spacing w:after="0" w:line="258" w:lineRule="auto"/>
        <w:tabs>
          <w:tab w:leader="none" w:pos="1727" w:val="left"/>
        </w:tabs>
        <w:numPr>
          <w:ilvl w:val="0"/>
          <w:numId w:val="8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13"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8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used in this Section 10.20, the following terms have the following meanings: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169</w:t>
      </w:r>
    </w:p>
    <w:p>
      <w:pPr>
        <w:sectPr>
          <w:pgSz w:w="11900" w:h="16838" w:orient="portrait"/>
          <w:cols w:equalWidth="0" w:num="1">
            <w:col w:w="11240"/>
          </w:cols>
          <w:pgMar w:left="320" w:top="1440" w:right="339" w:bottom="1440" w:gutter="0" w:footer="0" w:header="0"/>
        </w:sectPr>
      </w:pPr>
    </w:p>
    <w:bookmarkStart w:id="713" w:name="page714"/>
    <w:bookmarkEnd w:id="713"/>
    <w:p>
      <w:pPr>
        <w:ind w:left="180" w:right="20" w:firstLine="652"/>
        <w:spacing w:after="0" w:line="284" w:lineRule="auto"/>
        <w:tabs>
          <w:tab w:leader="none" w:pos="1240" w:val="left"/>
        </w:tabs>
        <w:numPr>
          <w:ilvl w:val="0"/>
          <w:numId w:val="8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89" w:lineRule="exact"/>
        <w:rPr>
          <w:rFonts w:ascii="Times New Roman" w:cs="Times New Roman" w:eastAsia="Times New Roman" w:hAnsi="Times New Roman"/>
          <w:sz w:val="20"/>
          <w:szCs w:val="20"/>
          <w:color w:val="auto"/>
        </w:rPr>
      </w:pPr>
    </w:p>
    <w:p>
      <w:pPr>
        <w:ind w:left="1280" w:hanging="448"/>
        <w:spacing w:after="0"/>
        <w:tabs>
          <w:tab w:leader="none" w:pos="1280" w:val="left"/>
        </w:tabs>
        <w:numPr>
          <w:ilvl w:val="0"/>
          <w:numId w:val="8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152" w:lineRule="exact"/>
        <w:rPr>
          <w:rFonts w:ascii="Times New Roman" w:cs="Times New Roman" w:eastAsia="Times New Roman" w:hAnsi="Times New Roman"/>
          <w:sz w:val="20"/>
          <w:szCs w:val="20"/>
          <w:color w:val="auto"/>
        </w:rPr>
      </w:pPr>
    </w:p>
    <w:p>
      <w:pPr>
        <w:ind w:left="2040" w:right="220" w:hanging="560"/>
        <w:spacing w:after="0" w:line="284" w:lineRule="auto"/>
        <w:tabs>
          <w:tab w:leader="none" w:pos="1945" w:val="left"/>
        </w:tabs>
        <w:numPr>
          <w:ilvl w:val="1"/>
          <w:numId w:val="8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89" w:lineRule="exact"/>
        <w:rPr>
          <w:rFonts w:ascii="Times New Roman" w:cs="Times New Roman" w:eastAsia="Times New Roman" w:hAnsi="Times New Roman"/>
          <w:sz w:val="20"/>
          <w:szCs w:val="20"/>
          <w:color w:val="auto"/>
        </w:rPr>
      </w:pPr>
    </w:p>
    <w:p>
      <w:pPr>
        <w:ind w:left="2040" w:right="300" w:hanging="560"/>
        <w:spacing w:after="0" w:line="284" w:lineRule="auto"/>
        <w:tabs>
          <w:tab w:leader="none" w:pos="1935" w:val="left"/>
        </w:tabs>
        <w:numPr>
          <w:ilvl w:val="1"/>
          <w:numId w:val="8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89" w:lineRule="exact"/>
        <w:rPr>
          <w:rFonts w:ascii="Times New Roman" w:cs="Times New Roman" w:eastAsia="Times New Roman" w:hAnsi="Times New Roman"/>
          <w:sz w:val="20"/>
          <w:szCs w:val="20"/>
          <w:color w:val="auto"/>
        </w:rPr>
      </w:pPr>
    </w:p>
    <w:p>
      <w:pPr>
        <w:ind w:left="2040" w:right="420" w:hanging="560"/>
        <w:spacing w:after="0" w:line="284" w:lineRule="auto"/>
        <w:tabs>
          <w:tab w:leader="none" w:pos="1935" w:val="left"/>
        </w:tabs>
        <w:numPr>
          <w:ilvl w:val="1"/>
          <w:numId w:val="8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76" w:lineRule="exact"/>
        <w:rPr>
          <w:rFonts w:ascii="Times New Roman" w:cs="Times New Roman" w:eastAsia="Times New Roman" w:hAnsi="Times New Roman"/>
          <w:sz w:val="20"/>
          <w:szCs w:val="20"/>
          <w:color w:val="auto"/>
        </w:rPr>
      </w:pPr>
    </w:p>
    <w:p>
      <w:pPr>
        <w:ind w:left="180" w:firstLine="652"/>
        <w:spacing w:after="0" w:line="284" w:lineRule="auto"/>
        <w:tabs>
          <w:tab w:leader="none" w:pos="1471" w:val="left"/>
        </w:tabs>
        <w:numPr>
          <w:ilvl w:val="0"/>
          <w:numId w:val="8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89" w:lineRule="exact"/>
        <w:rPr>
          <w:rFonts w:ascii="Times New Roman" w:cs="Times New Roman" w:eastAsia="Times New Roman" w:hAnsi="Times New Roman"/>
          <w:sz w:val="20"/>
          <w:szCs w:val="20"/>
          <w:color w:val="auto"/>
        </w:rPr>
      </w:pPr>
    </w:p>
    <w:p>
      <w:pPr>
        <w:ind w:left="180" w:firstLine="652"/>
        <w:spacing w:after="0" w:line="284" w:lineRule="auto"/>
        <w:tabs>
          <w:tab w:leader="none" w:pos="1311" w:val="left"/>
        </w:tabs>
        <w:numPr>
          <w:ilvl w:val="0"/>
          <w:numId w:val="8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3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blank intentionally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170</w:t>
      </w:r>
    </w:p>
    <w:p>
      <w:pPr>
        <w:sectPr>
          <w:pgSz w:w="11900" w:h="16838" w:orient="portrait"/>
          <w:cols w:equalWidth="0" w:num="1">
            <w:col w:w="10120"/>
          </w:cols>
          <w:pgMar w:left="1440" w:top="1422" w:right="339" w:bottom="1440" w:gutter="0" w:footer="0" w:header="0"/>
        </w:sectPr>
      </w:pPr>
    </w:p>
    <w:bookmarkStart w:id="714" w:name="page715"/>
    <w:bookmarkEnd w:id="714"/>
    <w:p>
      <w:pPr>
        <w:spacing w:after="0" w:line="19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signatories hereto have caused this Credit and Guaranty Agreement to be executed by their respective officers thereunto duly authorized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274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20"/>
          </w:cols>
          <w:pgMar w:left="320" w:top="1440" w:right="359" w:bottom="1440" w:gutter="0" w:footer="0" w:header="0"/>
        </w:sectPr>
      </w:pPr>
    </w:p>
    <w:bookmarkStart w:id="715" w:name="page716"/>
    <w:bookmarkEnd w:id="715"/>
    <w:p>
      <w:pPr>
        <w:ind w:left="2780"/>
        <w:spacing w:after="0"/>
        <w:rPr>
          <w:sz w:val="20"/>
          <w:szCs w:val="20"/>
          <w:color w:val="auto"/>
        </w:rPr>
      </w:pPr>
      <w:r>
        <w:rPr>
          <w:rFonts w:ascii="Times New Roman" w:cs="Times New Roman" w:eastAsia="Times New Roman" w:hAnsi="Times New Roman"/>
          <w:sz w:val="21"/>
          <w:szCs w:val="21"/>
          <w:color w:val="auto"/>
        </w:rPr>
        <w:t>AMERICAN AIRLINES GROUP INC., as Parent and a Guarantor</w:t>
      </w:r>
    </w:p>
    <w:p>
      <w:pPr>
        <w:spacing w:after="0" w:line="200" w:lineRule="exact"/>
        <w:rPr>
          <w:sz w:val="20"/>
          <w:szCs w:val="20"/>
          <w:color w:val="auto"/>
        </w:rPr>
      </w:pPr>
    </w:p>
    <w:p>
      <w:pPr>
        <w:spacing w:after="0" w:line="3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274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422" w:right="1440" w:bottom="1440" w:gutter="0" w:footer="0" w:header="0"/>
        </w:sectPr>
      </w:pPr>
    </w:p>
    <w:bookmarkStart w:id="716" w:name="page717"/>
    <w:bookmarkEnd w:id="716"/>
    <w:p>
      <w:pPr>
        <w:ind w:left="2780"/>
        <w:spacing w:after="0"/>
        <w:rPr>
          <w:sz w:val="20"/>
          <w:szCs w:val="20"/>
          <w:color w:val="auto"/>
        </w:rPr>
      </w:pPr>
      <w:r>
        <w:rPr>
          <w:rFonts w:ascii="Times New Roman" w:cs="Times New Roman" w:eastAsia="Times New Roman" w:hAnsi="Times New Roman"/>
          <w:sz w:val="21"/>
          <w:szCs w:val="21"/>
          <w:color w:val="auto"/>
        </w:rPr>
        <w:t>CITIBANK, N.A., as Administrative Agent and as Lender</w:t>
      </w: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274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422" w:right="1440" w:bottom="1440" w:gutter="0" w:footer="0" w:header="0"/>
        </w:sectPr>
      </w:pPr>
    </w:p>
    <w:bookmarkStart w:id="717" w:name="page718"/>
    <w:bookmarkEnd w:id="717"/>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Commitments and Lenders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Term Loan Commitments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Revolving Commitments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LC Commitments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718" w:name="page719"/>
    <w:bookmarkEnd w:id="718"/>
    <w:p>
      <w:pPr>
        <w:ind w:left="10180"/>
        <w:spacing w:after="0"/>
        <w:rPr>
          <w:sz w:val="20"/>
          <w:szCs w:val="20"/>
          <w:color w:val="auto"/>
        </w:rPr>
      </w:pPr>
      <w:r>
        <w:rPr>
          <w:rFonts w:ascii="Times New Roman" w:cs="Times New Roman" w:eastAsia="Times New Roman" w:hAnsi="Times New Roman"/>
          <w:sz w:val="21"/>
          <w:szCs w:val="2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35560</wp:posOffset>
            </wp:positionV>
            <wp:extent cx="6677660" cy="3771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77660" cy="377190"/>
                    </a:xfrm>
                    <a:prstGeom prst="rect">
                      <a:avLst/>
                    </a:prstGeom>
                    <a:noFill/>
                  </pic:spPr>
                </pic:pic>
              </a:graphicData>
            </a:graphic>
          </wp:anchor>
        </w:drawing>
      </w:r>
    </w:p>
    <w:p>
      <w:pPr>
        <w:spacing w:after="0" w:line="59" w:lineRule="exact"/>
        <w:rPr>
          <w:sz w:val="20"/>
          <w:szCs w:val="20"/>
          <w:color w:val="auto"/>
        </w:rPr>
      </w:pPr>
    </w:p>
    <w:p>
      <w:pPr>
        <w:ind w:left="400" w:right="560"/>
        <w:spacing w:after="0" w:line="275" w:lineRule="auto"/>
        <w:rPr>
          <w:sz w:val="20"/>
          <w:szCs w:val="20"/>
          <w:color w:val="auto"/>
        </w:rPr>
      </w:pPr>
      <w:r>
        <w:rPr>
          <w:rFonts w:ascii="Times New Roman" w:cs="Times New Roman" w:eastAsia="Times New Roman" w:hAnsi="Times New Roman"/>
          <w:sz w:val="22"/>
          <w:szCs w:val="22"/>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SECOND AMENDMENT TO CREDIT AND GUARANTY AGREEMENT</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THIS SECOND AMENDMENT TO CREDIT AND GUARANTY AGREEMENT (this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dated as of June 4, 2024, is entered into among American Airlines,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American Airlines Group Inc., a Delaware corporation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and Citibank N.A. (“</w:t>
      </w:r>
      <w:r>
        <w:rPr>
          <w:rFonts w:ascii="Times New Roman" w:cs="Times New Roman" w:eastAsia="Times New Roman" w:hAnsi="Times New Roman"/>
          <w:sz w:val="22"/>
          <w:szCs w:val="22"/>
          <w:u w:val="single" w:color="auto"/>
          <w:color w:val="auto"/>
        </w:rPr>
        <w:t>Citi</w:t>
      </w:r>
      <w:r>
        <w:rPr>
          <w:rFonts w:ascii="Times New Roman" w:cs="Times New Roman" w:eastAsia="Times New Roman" w:hAnsi="Times New Roman"/>
          <w:sz w:val="22"/>
          <w:szCs w:val="22"/>
          <w:color w:val="auto"/>
        </w:rPr>
        <w:t>”),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as the designated lender of 2024 Replacement Term Loans referred to below (in such capacity, the “</w:t>
      </w:r>
      <w:r>
        <w:rPr>
          <w:rFonts w:ascii="Times New Roman" w:cs="Times New Roman" w:eastAsia="Times New Roman" w:hAnsi="Times New Roman"/>
          <w:sz w:val="22"/>
          <w:szCs w:val="22"/>
          <w:u w:val="single" w:color="auto"/>
          <w:color w:val="auto"/>
        </w:rPr>
        <w:t>Designated 2024 Replacement Term Lender</w:t>
      </w:r>
      <w:r>
        <w:rPr>
          <w:rFonts w:ascii="Times New Roman" w:cs="Times New Roman" w:eastAsia="Times New Roman" w:hAnsi="Times New Roman"/>
          <w:sz w:val="22"/>
          <w:szCs w:val="22"/>
          <w:color w:val="auto"/>
        </w:rPr>
        <w:t>”). Unless otherwise indicated, all capitalized terms used herein and not otherwise defined shall have the respective meanings provided to such terms in the Credit Agreement referred to below.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WHEREAS, the Borrower, the Guarantor, the lenders from time to time party thereto, the Administrative Agent and certain other parties thereto are parties to that certain Credit and Guaranty Agreement, dated as of December 4, 2023 (as amended by that certain First Amendment to Credit and Guaranty Agreement, dated as of June 4, 2024 and as further amended, amended and restated, supplemented or otherwise modified up to, but not including the Second Amendment Effective Date (as defined below),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right="360" w:firstLine="1296"/>
        <w:spacing w:after="0" w:line="257" w:lineRule="auto"/>
        <w:rPr>
          <w:sz w:val="20"/>
          <w:szCs w:val="20"/>
          <w:color w:val="auto"/>
        </w:rPr>
      </w:pPr>
      <w:r>
        <w:rPr>
          <w:rFonts w:ascii="Times New Roman" w:cs="Times New Roman" w:eastAsia="Times New Roman" w:hAnsi="Times New Roman"/>
          <w:sz w:val="22"/>
          <w:szCs w:val="22"/>
          <w:color w:val="auto"/>
        </w:rPr>
        <w:t>WHEREAS, on the date hereof, immediately prior to giving effect to this Second Amendment, there are outstanding term loans incurred under the Credit Agreement on the Closing Date (the “</w:t>
      </w:r>
      <w:r>
        <w:rPr>
          <w:rFonts w:ascii="Times New Roman" w:cs="Times New Roman" w:eastAsia="Times New Roman" w:hAnsi="Times New Roman"/>
          <w:sz w:val="22"/>
          <w:szCs w:val="22"/>
          <w:u w:val="single" w:color="auto"/>
          <w:color w:val="auto"/>
        </w:rPr>
        <w:t>Existing Term Loans</w:t>
      </w:r>
      <w:r>
        <w:rPr>
          <w:rFonts w:ascii="Times New Roman" w:cs="Times New Roman" w:eastAsia="Times New Roman" w:hAnsi="Times New Roman"/>
          <w:sz w:val="22"/>
          <w:szCs w:val="22"/>
          <w:color w:val="auto"/>
        </w:rPr>
        <w:t>”) in an aggregate principal amount of $1,100,000,000.00;</w:t>
      </w:r>
    </w:p>
    <w:p>
      <w:pPr>
        <w:spacing w:after="0" w:line="173" w:lineRule="exact"/>
        <w:rPr>
          <w:sz w:val="20"/>
          <w:szCs w:val="20"/>
          <w:color w:val="auto"/>
        </w:rPr>
      </w:pPr>
    </w:p>
    <w:p>
      <w:pPr>
        <w:ind w:right="300" w:firstLine="1296"/>
        <w:spacing w:after="0" w:line="295" w:lineRule="auto"/>
        <w:rPr>
          <w:sz w:val="20"/>
          <w:szCs w:val="20"/>
          <w:color w:val="auto"/>
        </w:rPr>
      </w:pPr>
      <w:r>
        <w:rPr>
          <w:rFonts w:ascii="Times New Roman" w:cs="Times New Roman" w:eastAsia="Times New Roman" w:hAnsi="Times New Roman"/>
          <w:sz w:val="21"/>
          <w:szCs w:val="21"/>
          <w:color w:val="auto"/>
        </w:rPr>
        <w:t>WHEREAS, pursuant to Section 10.08(e) of the Credit Agreement, the Borrower desires to refinance in full the Existing Term Loans with the proceeds of the 2024 Replacement Term Loans (as defined below) (the “</w:t>
      </w:r>
      <w:r>
        <w:rPr>
          <w:rFonts w:ascii="Times New Roman" w:cs="Times New Roman" w:eastAsia="Times New Roman" w:hAnsi="Times New Roman"/>
          <w:sz w:val="21"/>
          <w:szCs w:val="21"/>
          <w:u w:val="single" w:color="auto"/>
          <w:color w:val="auto"/>
        </w:rPr>
        <w:t>2024 Refinancing</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right="400" w:firstLine="1296"/>
        <w:spacing w:after="0" w:line="257" w:lineRule="auto"/>
        <w:rPr>
          <w:sz w:val="20"/>
          <w:szCs w:val="20"/>
          <w:color w:val="auto"/>
        </w:rPr>
      </w:pPr>
      <w:r>
        <w:rPr>
          <w:rFonts w:ascii="Times New Roman" w:cs="Times New Roman" w:eastAsia="Times New Roman" w:hAnsi="Times New Roman"/>
          <w:sz w:val="22"/>
          <w:szCs w:val="22"/>
          <w:color w:val="auto"/>
        </w:rPr>
        <w:t>WHEREAS, each 2024 Replacement Term Lender is willing to provide its 2024 Replacement Term Loan Commitments and make the 2024 Replacement Term Loans (as defined below) subject to and on the terms and conditions set forth herein and in the Credit Agreement, in each case on the Second Amendment Effective Date;</w:t>
      </w:r>
    </w:p>
    <w:p>
      <w:pPr>
        <w:spacing w:after="0" w:line="173" w:lineRule="exact"/>
        <w:rPr>
          <w:sz w:val="20"/>
          <w:szCs w:val="20"/>
          <w:color w:val="auto"/>
        </w:rPr>
      </w:pPr>
    </w:p>
    <w:p>
      <w:pPr>
        <w:jc w:val="both"/>
        <w:ind w:right="40" w:firstLine="1296"/>
        <w:spacing w:after="0" w:line="263" w:lineRule="auto"/>
        <w:rPr>
          <w:sz w:val="20"/>
          <w:szCs w:val="20"/>
          <w:color w:val="auto"/>
        </w:rPr>
      </w:pPr>
      <w:r>
        <w:rPr>
          <w:rFonts w:ascii="Times New Roman" w:cs="Times New Roman" w:eastAsia="Times New Roman" w:hAnsi="Times New Roman"/>
          <w:sz w:val="22"/>
          <w:szCs w:val="22"/>
          <w:color w:val="auto"/>
        </w:rPr>
        <w:t>WHEREAS, the Borrower, the Administrative Agent and the Designated 2024 Replacement Term Lender wish to amend the Credit Agreement to provide for (i) the 2024 Refinancing and (ii) certain other modifications to the Credit Agreement, in each case, on the terms and subject to the conditions set forth herein; and</w:t>
      </w:r>
    </w:p>
    <w:p>
      <w:pPr>
        <w:spacing w:after="0" w:line="167" w:lineRule="exact"/>
        <w:rPr>
          <w:sz w:val="20"/>
          <w:szCs w:val="20"/>
          <w:color w:val="auto"/>
        </w:rPr>
      </w:pPr>
    </w:p>
    <w:p>
      <w:pPr>
        <w:jc w:val="both"/>
        <w:ind w:right="60"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ectPr>
          <w:pgSz w:w="11900" w:h="16838" w:orient="portrait"/>
          <w:cols w:equalWidth="0" w:num="1">
            <w:col w:w="11240"/>
          </w:cols>
          <w:pgMar w:left="320" w:top="126" w:right="339" w:bottom="1440" w:gutter="0" w:footer="0" w:header="0"/>
        </w:sectPr>
      </w:pPr>
    </w:p>
    <w:bookmarkStart w:id="719" w:name="page720"/>
    <w:bookmarkEnd w:id="7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SECTION ONE - Credit Agreement Amendments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120" w:firstLine="1304"/>
        <w:spacing w:after="0" w:line="253" w:lineRule="auto"/>
        <w:tabs>
          <w:tab w:leader="none" w:pos="779" w:val="left"/>
        </w:tabs>
        <w:numPr>
          <w:ilvl w:val="0"/>
          <w:numId w:val="8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Second Amendment Effective Date (as defined below): on the Second Amendment Effective Date, the Borrower, the Administrative Agent and the Designated 2024 Replacement Term Lender agree that the Credit Agreement is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bolded, underlined text (indicated textually in the same manner as the following example: </w:t>
      </w:r>
      <w:r>
        <w:rPr>
          <w:rFonts w:ascii="Times New Roman" w:cs="Times New Roman" w:eastAsia="Times New Roman" w:hAnsi="Times New Roman"/>
          <w:sz w:val="22"/>
          <w:szCs w:val="22"/>
          <w:b w:val="1"/>
          <w:bCs w:val="1"/>
          <w:u w:val="single" w:color="auto"/>
          <w:color w:val="0000FF"/>
        </w:rPr>
        <w:t>underlined text</w:t>
      </w:r>
      <w:r>
        <w:rPr>
          <w:rFonts w:ascii="Times New Roman" w:cs="Times New Roman" w:eastAsia="Times New Roman" w:hAnsi="Times New Roman"/>
          <w:sz w:val="22"/>
          <w:szCs w:val="22"/>
          <w:color w:val="auto"/>
        </w:rPr>
        <w:t xml:space="preserve">) as set forth in the pages of the Credit Agreement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w:t>
      </w:r>
    </w:p>
    <w:p>
      <w:pPr>
        <w:spacing w:after="0" w:line="178" w:lineRule="exact"/>
        <w:rPr>
          <w:rFonts w:ascii="Times New Roman" w:cs="Times New Roman" w:eastAsia="Times New Roman" w:hAnsi="Times New Roman"/>
          <w:sz w:val="22"/>
          <w:szCs w:val="22"/>
          <w:color w:val="auto"/>
        </w:rPr>
      </w:pPr>
    </w:p>
    <w:p>
      <w:pPr>
        <w:jc w:val="both"/>
        <w:ind w:left="-1120" w:firstLine="1304"/>
        <w:spacing w:after="0" w:line="257" w:lineRule="auto"/>
        <w:tabs>
          <w:tab w:leader="none" w:pos="799" w:val="left"/>
        </w:tabs>
        <w:numPr>
          <w:ilvl w:val="0"/>
          <w:numId w:val="8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confirms that it has received at least three (3) business days written notice pursuant to the requirements of Section 2.13 of the Credit Agreement in connection with the optional prepayment of the Existing Term Loans.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SECTION TWO - Certain Terms Applicable to 2024 Replacement Term Loans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120" w:firstLine="1304"/>
        <w:spacing w:after="0" w:line="250" w:lineRule="auto"/>
        <w:tabs>
          <w:tab w:leader="none" w:pos="853" w:val="left"/>
        </w:tabs>
        <w:numPr>
          <w:ilvl w:val="0"/>
          <w:numId w:val="8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satisfaction (or waiver) of the conditions set forth in Section Four hereof, the 2024 Replacement Term Lenders hereby agree to make 2024 Replacement Term Loans (as defined below) to the Borrower on the Second Amendment Effective Date (as defined below) in the aggregate principal amount of $1,100,000,000.00, which shall be used solely to refinance in full all outstanding Existing Term Loans and to pay fees and expenses in connection with this Second Amendment.</w:t>
      </w:r>
    </w:p>
    <w:p>
      <w:pPr>
        <w:spacing w:after="0" w:line="194" w:lineRule="exact"/>
        <w:rPr>
          <w:rFonts w:ascii="Times New Roman" w:cs="Times New Roman" w:eastAsia="Times New Roman" w:hAnsi="Times New Roman"/>
          <w:sz w:val="22"/>
          <w:szCs w:val="22"/>
          <w:color w:val="auto"/>
        </w:rPr>
      </w:pPr>
    </w:p>
    <w:p>
      <w:pPr>
        <w:jc w:val="both"/>
        <w:ind w:left="-1120" w:firstLine="1304"/>
        <w:spacing w:after="0" w:line="248" w:lineRule="auto"/>
        <w:tabs>
          <w:tab w:leader="none" w:pos="842" w:val="left"/>
        </w:tabs>
        <w:numPr>
          <w:ilvl w:val="0"/>
          <w:numId w:val="8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Second Amendment Effective Date, immediately prior to the effectiveness of the Second Amendment, the Administrative Agent has prepared and provided a true and correct copy to the Borrower of a schedule (the “</w:t>
      </w:r>
      <w:r>
        <w:rPr>
          <w:rFonts w:ascii="Times New Roman" w:cs="Times New Roman" w:eastAsia="Times New Roman" w:hAnsi="Times New Roman"/>
          <w:sz w:val="22"/>
          <w:szCs w:val="22"/>
          <w:u w:val="single" w:color="auto"/>
          <w:color w:val="auto"/>
        </w:rPr>
        <w:t>2024 Replacement Term Loan Commitments Schedule</w:t>
      </w:r>
      <w:r>
        <w:rPr>
          <w:rFonts w:ascii="Times New Roman" w:cs="Times New Roman" w:eastAsia="Times New Roman" w:hAnsi="Times New Roman"/>
          <w:sz w:val="22"/>
          <w:szCs w:val="22"/>
          <w:color w:val="auto"/>
        </w:rPr>
        <w:t>”) which sets forth the allocated commitments received by it (the “</w:t>
      </w:r>
      <w:r>
        <w:rPr>
          <w:rFonts w:ascii="Times New Roman" w:cs="Times New Roman" w:eastAsia="Times New Roman" w:hAnsi="Times New Roman"/>
          <w:sz w:val="22"/>
          <w:szCs w:val="22"/>
          <w:u w:val="single" w:color="auto"/>
          <w:color w:val="auto"/>
        </w:rPr>
        <w:t>2024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Replacement Term Loan Commitments</w:t>
      </w:r>
      <w:r>
        <w:rPr>
          <w:rFonts w:ascii="Times New Roman" w:cs="Times New Roman" w:eastAsia="Times New Roman" w:hAnsi="Times New Roman"/>
          <w:sz w:val="22"/>
          <w:szCs w:val="22"/>
          <w:color w:val="auto"/>
        </w:rPr>
        <w:t>”) from the Lenders providing the 2024 Replacement Term Loans (the “</w:t>
      </w:r>
      <w:r>
        <w:rPr>
          <w:rFonts w:ascii="Times New Roman" w:cs="Times New Roman" w:eastAsia="Times New Roman" w:hAnsi="Times New Roman"/>
          <w:sz w:val="22"/>
          <w:szCs w:val="22"/>
          <w:u w:val="single" w:color="auto"/>
          <w:color w:val="auto"/>
        </w:rPr>
        <w:t>2024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Replacement Term Lenders</w:t>
      </w:r>
      <w:r>
        <w:rPr>
          <w:rFonts w:ascii="Times New Roman" w:cs="Times New Roman" w:eastAsia="Times New Roman" w:hAnsi="Times New Roman"/>
          <w:sz w:val="22"/>
          <w:szCs w:val="22"/>
          <w:color w:val="auto"/>
        </w:rPr>
        <w:t xml:space="preserve">”). The Administrative Agent has notified each 2024 Replacement Term Lender of its allocated 2024 Replacement Term Loan Commitment, and each of the 2024 Replacement Term Lenders has provided the Administrative Agent with an executed consent substantially in the form of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approving this amendment and agreeing to the obligations set forth in this Amendment (each such consent, a “</w:t>
      </w:r>
      <w:r>
        <w:rPr>
          <w:rFonts w:ascii="Times New Roman" w:cs="Times New Roman" w:eastAsia="Times New Roman" w:hAnsi="Times New Roman"/>
          <w:sz w:val="22"/>
          <w:szCs w:val="22"/>
          <w:u w:val="single" w:color="auto"/>
          <w:color w:val="auto"/>
        </w:rPr>
        <w:t>Lender Consent</w:t>
      </w:r>
      <w:r>
        <w:rPr>
          <w:rFonts w:ascii="Times New Roman" w:cs="Times New Roman" w:eastAsia="Times New Roman" w:hAnsi="Times New Roman"/>
          <w:sz w:val="22"/>
          <w:szCs w:val="22"/>
          <w:color w:val="auto"/>
        </w:rPr>
        <w:t>”). On the Second Amendment Effective Date, all Existing Term Loans shall be refinanced in full as follows:</w:t>
      </w:r>
    </w:p>
    <w:p>
      <w:pPr>
        <w:spacing w:after="0" w:line="185" w:lineRule="exact"/>
        <w:rPr>
          <w:rFonts w:ascii="Times New Roman" w:cs="Times New Roman" w:eastAsia="Times New Roman" w:hAnsi="Times New Roman"/>
          <w:sz w:val="22"/>
          <w:szCs w:val="22"/>
          <w:color w:val="auto"/>
        </w:rPr>
      </w:pPr>
    </w:p>
    <w:p>
      <w:pPr>
        <w:ind w:left="-1120" w:firstLine="1952"/>
        <w:spacing w:after="0" w:line="284" w:lineRule="auto"/>
        <w:tabs>
          <w:tab w:leader="none" w:pos="1313" w:val="left"/>
        </w:tabs>
        <w:numPr>
          <w:ilvl w:val="1"/>
          <w:numId w:val="8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outstanding aggregate principal amount of Existing Term Loans of each Lender which does not have a 2024 Replacement Term Loan Commitment (each, a “</w:t>
      </w:r>
      <w:r>
        <w:rPr>
          <w:rFonts w:ascii="Times New Roman" w:cs="Times New Roman" w:eastAsia="Times New Roman" w:hAnsi="Times New Roman"/>
          <w:sz w:val="22"/>
          <w:szCs w:val="22"/>
          <w:u w:val="single" w:color="auto"/>
          <w:color w:val="auto"/>
        </w:rPr>
        <w:t>Non-Converting Term</w:t>
      </w:r>
      <w:r>
        <w:rPr>
          <w:rFonts w:ascii="Times New Roman" w:cs="Times New Roman" w:eastAsia="Times New Roman" w:hAnsi="Times New Roman"/>
          <w:sz w:val="22"/>
          <w:szCs w:val="22"/>
          <w:color w:val="auto"/>
        </w:rPr>
        <w:t xml:space="preserve"> Lender”) shall be repaid in full in cash;</w:t>
      </w:r>
    </w:p>
    <w:p>
      <w:pPr>
        <w:spacing w:after="0" w:line="143" w:lineRule="exact"/>
        <w:rPr>
          <w:rFonts w:ascii="Times New Roman" w:cs="Times New Roman" w:eastAsia="Times New Roman" w:hAnsi="Times New Roman"/>
          <w:sz w:val="22"/>
          <w:szCs w:val="22"/>
          <w:color w:val="auto"/>
        </w:rPr>
      </w:pPr>
    </w:p>
    <w:p>
      <w:pPr>
        <w:jc w:val="both"/>
        <w:ind w:left="-1120" w:firstLine="1952"/>
        <w:spacing w:after="0" w:line="252" w:lineRule="auto"/>
        <w:tabs>
          <w:tab w:leader="none" w:pos="1360" w:val="left"/>
        </w:tabs>
        <w:numPr>
          <w:ilvl w:val="1"/>
          <w:numId w:val="8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Lender has a 2024 Replacement Term Loan Commitment that is less than the full outstanding aggregate principal amount of Existing Term Loans of such Lender, such Lender shall be repaid in cash in an amount equal to the difference between the outstanding aggregate principal amount of Existing Term Loans of such Lender and such Lender’s 2024 Replacement Term Loan Commitment (the “Non-Converting Term Portion”);</w:t>
      </w:r>
    </w:p>
    <w:p>
      <w:pPr>
        <w:sectPr>
          <w:pgSz w:w="11900" w:h="16838" w:orient="portrait"/>
          <w:cols w:equalWidth="0" w:num="1">
            <w:col w:w="10120"/>
          </w:cols>
          <w:pgMar w:left="1440" w:top="1440" w:right="339" w:bottom="1440" w:gutter="0" w:footer="0" w:header="0"/>
        </w:sectPr>
      </w:pPr>
    </w:p>
    <w:bookmarkStart w:id="720" w:name="page721"/>
    <w:bookmarkEnd w:id="720"/>
    <w:p>
      <w:pPr>
        <w:spacing w:after="0" w:line="200" w:lineRule="exact"/>
        <w:rPr>
          <w:sz w:val="20"/>
          <w:szCs w:val="20"/>
          <w:color w:val="auto"/>
        </w:rPr>
      </w:pPr>
    </w:p>
    <w:p>
      <w:pPr>
        <w:spacing w:after="0" w:line="323" w:lineRule="exact"/>
        <w:rPr>
          <w:sz w:val="20"/>
          <w:szCs w:val="20"/>
          <w:color w:val="auto"/>
        </w:rPr>
      </w:pPr>
    </w:p>
    <w:p>
      <w:pPr>
        <w:jc w:val="both"/>
        <w:ind w:left="-1120" w:firstLine="1952"/>
        <w:spacing w:after="0" w:line="251" w:lineRule="auto"/>
        <w:tabs>
          <w:tab w:leader="none" w:pos="1364" w:val="left"/>
        </w:tabs>
        <w:numPr>
          <w:ilvl w:val="1"/>
          <w:numId w:val="8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outstanding aggregate principal amount of Existing Term Loans of each Lender which has a 2024 Replacement Term Loan Commitment (each, a “Converting Term Lender,” and, together with the Non-Converting Term Lenders, the “Existing Term Lenders”) shall automatically be converted into 2024 Replacement Term Loans (a “Converted 2024 Replacement Term Loan”) in a principal amount equal to such Converting Term Lender’s Existing Term Loans outstanding on the Second Amendment Effective Date immediately prior to such conversion, less an amount equal to any Non-Converting Term Portion of such Converting Term Lender; and</w:t>
      </w:r>
    </w:p>
    <w:p>
      <w:pPr>
        <w:spacing w:after="0" w:line="181" w:lineRule="exact"/>
        <w:rPr>
          <w:rFonts w:ascii="Times New Roman" w:cs="Times New Roman" w:eastAsia="Times New Roman" w:hAnsi="Times New Roman"/>
          <w:sz w:val="22"/>
          <w:szCs w:val="22"/>
          <w:color w:val="auto"/>
        </w:rPr>
      </w:pPr>
    </w:p>
    <w:p>
      <w:pPr>
        <w:jc w:val="both"/>
        <w:ind w:left="-1120" w:firstLine="1952"/>
        <w:spacing w:after="0" w:line="249" w:lineRule="auto"/>
        <w:tabs>
          <w:tab w:leader="none" w:pos="1414" w:val="left"/>
        </w:tabs>
        <w:numPr>
          <w:ilvl w:val="1"/>
          <w:numId w:val="8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each 2024 Replacement Term Lender that is not an Existing Term Lender (each, a “New Term Lender”) and (2) each Converting Term Lender with a 2024 Replacement Term Loan Commitment in an amount in excess of such Converting Term Lender’s aggregate principal amount of Existing Term Loans (such difference, the “</w:t>
      </w:r>
      <w:r>
        <w:rPr>
          <w:rFonts w:ascii="Times New Roman" w:cs="Times New Roman" w:eastAsia="Times New Roman" w:hAnsi="Times New Roman"/>
          <w:sz w:val="22"/>
          <w:szCs w:val="22"/>
          <w:u w:val="single" w:color="auto"/>
          <w:color w:val="auto"/>
        </w:rPr>
        <w:t>New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agrees to make to the Borrower a new Term Loan (each, a “</w:t>
      </w:r>
      <w:r>
        <w:rPr>
          <w:rFonts w:ascii="Times New Roman" w:cs="Times New Roman" w:eastAsia="Times New Roman" w:hAnsi="Times New Roman"/>
          <w:sz w:val="22"/>
          <w:szCs w:val="22"/>
          <w:u w:val="single" w:color="auto"/>
          <w:color w:val="auto"/>
        </w:rPr>
        <w:t>New Term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New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and, together with the Converted 2024 Replacement Term Loans, the “</w:t>
      </w:r>
      <w:r>
        <w:rPr>
          <w:rFonts w:ascii="Times New Roman" w:cs="Times New Roman" w:eastAsia="Times New Roman" w:hAnsi="Times New Roman"/>
          <w:sz w:val="22"/>
          <w:szCs w:val="22"/>
          <w:u w:val="single" w:color="auto"/>
          <w:color w:val="auto"/>
        </w:rPr>
        <w:t>2024 Replacement Term Loans</w:t>
      </w:r>
      <w:r>
        <w:rPr>
          <w:rFonts w:ascii="Times New Roman" w:cs="Times New Roman" w:eastAsia="Times New Roman" w:hAnsi="Times New Roman"/>
          <w:sz w:val="22"/>
          <w:szCs w:val="22"/>
          <w:color w:val="auto"/>
        </w:rPr>
        <w:t>”) in a principal amount equal to such Converting Term Lender’s New Term Commitment or such New Term Lender’s 2024 Replacement Term Loan Commitment, as the case may be, on the Second Amendment Effective Date, which upon giving effect to this Second Amendment, the 2024 Replacement Term Loans shall be subject to the terms of the Credit Agreement.</w:t>
      </w:r>
    </w:p>
    <w:p>
      <w:pPr>
        <w:spacing w:after="0" w:line="195"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686" w:val="left"/>
        </w:tabs>
        <w:numPr>
          <w:ilvl w:val="0"/>
          <w:numId w:val="8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Amendment Effective Date, each 2024 Replacement Term Lender hereby agrees to fund its 2024 Replacement Term Loans in an aggregate principal amount equal to such 2024 Replacement Term Lender’s 2024 Replacement Term Loan Commitment as follows: (x) each Converting Term Lender shall fund its 2024 Replacement Term Loans to the Borrower by converting its then outstanding principal amount of Existing Term Loans into 2024 Replacement Term Loans in an equal principal amount as provided in clause (iii) above and (y) the Designated 2024 Replacement Term Lender shall fund in cash to the Borrower an amount equal to the New Term Commitment of each Converting Term Lender and the 2024 Replacement Term Loan Commitment of each New Term Lender.</w:t>
      </w:r>
    </w:p>
    <w:p>
      <w:pPr>
        <w:spacing w:after="0" w:line="180" w:lineRule="exact"/>
        <w:rPr>
          <w:rFonts w:ascii="Times New Roman" w:cs="Times New Roman" w:eastAsia="Times New Roman" w:hAnsi="Times New Roman"/>
          <w:sz w:val="22"/>
          <w:szCs w:val="22"/>
          <w:color w:val="auto"/>
        </w:rPr>
      </w:pPr>
    </w:p>
    <w:p>
      <w:pPr>
        <w:jc w:val="both"/>
        <w:ind w:left="-1120" w:firstLine="1304"/>
        <w:spacing w:after="0" w:line="261" w:lineRule="auto"/>
        <w:tabs>
          <w:tab w:leader="none" w:pos="752" w:val="left"/>
        </w:tabs>
        <w:numPr>
          <w:ilvl w:val="0"/>
          <w:numId w:val="8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outstanding Borrowings of Existing Term Loans shall continue in effect for the equivalent principal amount of 2024 Replacement Term Loans after the Second Amendment Effective Date and each resulting “borrowing” of 2024 Replacement Term Loans shall be deemed to constitute a new deemed “borrowing” under the Credit Agreement and be subject to the same Interest Period (and the same Term SOFR Reference Rate) applicable to the Existing Term Loans to which it relates immediately prior to the Second Amendment Effective Date, which Interest Period shall continue in effect (until such Interest Periods expire, at which time subsequent Interest Periods shall be determined in accordance with the provisions of Section 2.05 of the Credit Agreement). New Term Loans shall be initially incurred as Term SOFR Loans. New Term Loans shall be allocated ratably to the outstanding deemed “borrowings” of 2024 Replacement Term Loans on the Second Amendment Effective Date. Each such Borrowing of New Term Loans shall be subject to (x) an Interest Period which commences on the Second Amendment Effective Date and ends on the last day of the Interest Period applicable to the Existing Term Loans and (y) the same Term SOFR Reference Rate applicable to the 2024 Replacement Term Loans. The 2024 Replacement Term Loans of each 2024 Replacement Term Lender shall be allocated ratably to such Interest Periods (based upon the relative principal</w:t>
      </w:r>
    </w:p>
    <w:p>
      <w:pPr>
        <w:sectPr>
          <w:pgSz w:w="11900" w:h="16838" w:orient="portrait"/>
          <w:cols w:equalWidth="0" w:num="1">
            <w:col w:w="10120"/>
          </w:cols>
          <w:pgMar w:left="1440" w:top="1440" w:right="339" w:bottom="1440" w:gutter="0" w:footer="0" w:header="0"/>
        </w:sectPr>
      </w:pPr>
    </w:p>
    <w:bookmarkStart w:id="721" w:name="page722"/>
    <w:bookmarkEnd w:id="721"/>
    <w:p>
      <w:pPr>
        <w:spacing w:after="0" w:line="200" w:lineRule="exact"/>
        <w:rPr>
          <w:sz w:val="20"/>
          <w:szCs w:val="20"/>
          <w:color w:val="auto"/>
        </w:rPr>
      </w:pPr>
    </w:p>
    <w:p>
      <w:pPr>
        <w:spacing w:after="0" w:line="3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amounts of Borrowings of Existing Term Loans subject to such Interest Periods immediately prior to the Second Amendment Effective Date), with the effect being that Existing Term Loans which are converted into Converted 2024 Replacement Term Loans hereunder shall continue to be subject to the same Interest Periods and any 2024 Replacement Term Loans that are funded in cash on the Second Amendment Effective Date shall be ratably allocated to the various Interest Periods as described above.</w:t>
      </w:r>
    </w:p>
    <w:p>
      <w:pPr>
        <w:spacing w:after="0" w:line="161" w:lineRule="exact"/>
        <w:rPr>
          <w:sz w:val="20"/>
          <w:szCs w:val="20"/>
          <w:color w:val="auto"/>
        </w:rPr>
      </w:pPr>
    </w:p>
    <w:p>
      <w:pPr>
        <w:jc w:val="both"/>
        <w:ind w:firstLine="1304"/>
        <w:spacing w:after="0" w:line="248" w:lineRule="auto"/>
        <w:tabs>
          <w:tab w:leader="none" w:pos="1847" w:val="left"/>
        </w:tabs>
        <w:numPr>
          <w:ilvl w:val="0"/>
          <w:numId w:val="8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Amendment Effective Date, the Borrower shall pay in cash (i) all interest accrued on the Existing Term Loans through the Second Amendment Effective Date and (ii) to each Non-Converting Term Lender and each Converting Term Lender with a Non-Converting Term Portion, any breakage loss or expenses due under Section 2.15 of the Credit Agreement (it being understood that existing Interest Periods of the Existing Term Loans held by 2024 Replacement Term Lenders prior to the Second Amendment Effective Date shall continue on and after the Second Amendment Effective Date and shall accrue interest in accordance with Section 2.07 of the Credit Agreement on and after the Second Amendment Effective Date). Each Converting Term Lender hereby waives any entitlement to any breakage loss or expenses due under Section 2.15 of the Credit Agreement with respect to the repayment of that portion of its Existing Term Loans with the proceeds of Converted 2024 Replacement Term Loans.</w:t>
      </w:r>
    </w:p>
    <w:p>
      <w:pPr>
        <w:spacing w:after="0" w:line="185"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751" w:val="left"/>
        </w:tabs>
        <w:numPr>
          <w:ilvl w:val="0"/>
          <w:numId w:val="8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Amendment Effective Date, all promissory notes, if any, evidencing the Existing Term Loans shall be automatically cancelled, and any 2024 Replacement Term Lender may request that its 2024 Replacement Term Loan be evidenced by a promissory note pursuant to Section 2.10(f) of the Credit Agreement.</w:t>
      </w:r>
    </w:p>
    <w:p>
      <w:pPr>
        <w:spacing w:after="0" w:line="167"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THREE - Titles and Roles</w:t>
      </w:r>
      <w:r>
        <w:rPr>
          <w:rFonts w:ascii="Times New Roman" w:cs="Times New Roman" w:eastAsia="Times New Roman" w:hAnsi="Times New Roman"/>
          <w:sz w:val="22"/>
          <w:szCs w:val="22"/>
          <w:color w:val="auto"/>
        </w:rPr>
        <w:t>. The parties hereto agree that, as of the Second Amendment Effective Date and in connection with the Second Amendment:</w:t>
      </w:r>
    </w:p>
    <w:p>
      <w:pPr>
        <w:spacing w:after="0" w:line="154" w:lineRule="exact"/>
        <w:rPr>
          <w:sz w:val="20"/>
          <w:szCs w:val="20"/>
          <w:color w:val="auto"/>
        </w:rPr>
      </w:pPr>
    </w:p>
    <w:p>
      <w:pPr>
        <w:jc w:val="both"/>
        <w:ind w:firstLine="1304"/>
        <w:spacing w:after="0" w:line="258" w:lineRule="auto"/>
        <w:tabs>
          <w:tab w:leader="none" w:pos="1761" w:val="left"/>
        </w:tabs>
        <w:numPr>
          <w:ilvl w:val="0"/>
          <w:numId w:val="8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Citi (as defined in the Engagement Letter dated May 11, 2024, by and between,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the Borrower and the Lead Arranger (as defined below) (as amended, modified, or supplemented from time to time, the “</w:t>
      </w:r>
      <w:r>
        <w:rPr>
          <w:rFonts w:ascii="Times New Roman" w:cs="Times New Roman" w:eastAsia="Times New Roman" w:hAnsi="Times New Roman"/>
          <w:sz w:val="22"/>
          <w:szCs w:val="22"/>
          <w:u w:val="single" w:color="auto"/>
          <w:color w:val="auto"/>
        </w:rPr>
        <w:t>Engagement Letter</w:t>
      </w:r>
      <w:r>
        <w:rPr>
          <w:rFonts w:ascii="Times New Roman" w:cs="Times New Roman" w:eastAsia="Times New Roman" w:hAnsi="Times New Roman"/>
          <w:sz w:val="22"/>
          <w:szCs w:val="22"/>
          <w:color w:val="auto"/>
        </w:rPr>
        <w:t>”)) and any permitted assignees under the Engagement Letter, shall be designated as, and perform the roles associated with, a joint lead arranger and bookrunner (in such capacity, the “</w:t>
      </w:r>
      <w:r>
        <w:rPr>
          <w:rFonts w:ascii="Times New Roman" w:cs="Times New Roman" w:eastAsia="Times New Roman" w:hAnsi="Times New Roman"/>
          <w:sz w:val="22"/>
          <w:szCs w:val="22"/>
          <w:u w:val="single" w:color="auto"/>
          <w:color w:val="auto"/>
        </w:rPr>
        <w:t>Lead Arranger</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 shall be designated as, and perform the roles associated with, a syndication agent; and</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8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 shall be designated as, and perform the roles associated with, a documentation agent.</w:t>
      </w:r>
    </w:p>
    <w:p>
      <w:pPr>
        <w:spacing w:after="0" w:line="233"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21"/>
          <w:szCs w:val="21"/>
          <w:color w:val="auto"/>
        </w:rPr>
        <w:t>For the avoidance of doubt, the provisions of Section 10.04 of the Credit Agreement shall apply to, and inure to the benefit of, each Lead Arranger, each Syndication Agent and each Documentation Agent in connection with their respective roles hereunder.</w:t>
      </w:r>
    </w:p>
    <w:p>
      <w:pPr>
        <w:sectPr>
          <w:pgSz w:w="11900" w:h="16838" w:orient="portrait"/>
          <w:cols w:equalWidth="0" w:num="1">
            <w:col w:w="11240"/>
          </w:cols>
          <w:pgMar w:left="320" w:top="1440" w:right="339" w:bottom="1440" w:gutter="0" w:footer="0" w:header="0"/>
        </w:sectPr>
      </w:pPr>
    </w:p>
    <w:bookmarkStart w:id="722" w:name="page723"/>
    <w:bookmarkEnd w:id="722"/>
    <w:p>
      <w:pPr>
        <w:spacing w:after="0" w:line="200" w:lineRule="exact"/>
        <w:rPr>
          <w:sz w:val="20"/>
          <w:szCs w:val="20"/>
          <w:color w:val="auto"/>
        </w:rPr>
      </w:pPr>
    </w:p>
    <w:p>
      <w:pPr>
        <w:spacing w:after="0" w:line="32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FOUR - Conditions to Effectiveness</w:t>
      </w:r>
      <w:r>
        <w:rPr>
          <w:rFonts w:ascii="Times New Roman" w:cs="Times New Roman" w:eastAsia="Times New Roman" w:hAnsi="Times New Roman"/>
          <w:sz w:val="22"/>
          <w:szCs w:val="22"/>
          <w:color w:val="auto"/>
        </w:rPr>
        <w:t>. The provisions of Section One of this Second Amendment shall become effective on the date (the “</w:t>
      </w:r>
      <w:r>
        <w:rPr>
          <w:rFonts w:ascii="Times New Roman" w:cs="Times New Roman" w:eastAsia="Times New Roman" w:hAnsi="Times New Roman"/>
          <w:sz w:val="22"/>
          <w:szCs w:val="22"/>
          <w:u w:val="single" w:color="auto"/>
          <w:color w:val="auto"/>
        </w:rPr>
        <w:t>Second Amendment Effective Date</w:t>
      </w:r>
      <w:r>
        <w:rPr>
          <w:rFonts w:ascii="Times New Roman" w:cs="Times New Roman" w:eastAsia="Times New Roman" w:hAnsi="Times New Roman"/>
          <w:sz w:val="22"/>
          <w:szCs w:val="22"/>
          <w:color w:val="auto"/>
        </w:rPr>
        <w:t>”) when each of the following conditions specified below shall have been satisfied:</w:t>
      </w:r>
    </w:p>
    <w:p>
      <w:pPr>
        <w:spacing w:after="0" w:line="186" w:lineRule="exact"/>
        <w:rPr>
          <w:sz w:val="20"/>
          <w:szCs w:val="20"/>
          <w:color w:val="auto"/>
        </w:rPr>
      </w:pPr>
    </w:p>
    <w:p>
      <w:pPr>
        <w:jc w:val="both"/>
        <w:ind w:firstLine="1304"/>
        <w:spacing w:after="0" w:line="252" w:lineRule="auto"/>
        <w:tabs>
          <w:tab w:leader="none" w:pos="1776" w:val="left"/>
        </w:tabs>
        <w:numPr>
          <w:ilvl w:val="0"/>
          <w:numId w:val="8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 the Administrative Agent and the 2024 Designated Replacement Term Lender shall have signed a counterpart hereof (whether the same or different counterparts), and the 2024 Replacement Term Lenders shall have signed a counterpart of its Lender Consent and each shall have delivered the same to Milbank LLP, 55 Hudson Yards, New York, NY 10001, attention: Joshua Forman and Michael Gibbons;</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66" w:val="left"/>
        </w:tabs>
        <w:numPr>
          <w:ilvl w:val="0"/>
          <w:numId w:val="8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invoiced out-of-pocket expenses incurred by the 2024 Replacement Term Lenders and the Administrative Agent pursuant to Section 10.04 of the Credit Agreement or the Engagement Letter (including the reasonable and documented fees, charges and disbursements of counsel) and all accrued and unpaid interest and accrued and unpaid fees, owing and payable (including any fees agreed to in connection with this Second Amendment) shall have been paid to the extent invoiced at least two (2) Business Days prior to the Second Amendment Effective Date (or such shorter period as may be agreed by the Borrower);</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767" w:val="left"/>
        </w:tabs>
        <w:numPr>
          <w:ilvl w:val="0"/>
          <w:numId w:val="8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an Officer’s Certificate certifying as to the Collateral Coverage Ratio in accordance with Section 4.02(d) of the Credit Agreement;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0" w:val="left"/>
        </w:tabs>
        <w:numPr>
          <w:ilvl w:val="0"/>
          <w:numId w:val="8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customary written opinion of Latham &amp; Watkins LLP, special counsel for the Borrower and the Guarantor addressed to the Administrative Agent and the 2024 Replacement Term Lenders party hereto, and dated the Second Amendment Effective Date;</w:t>
      </w:r>
    </w:p>
    <w:p>
      <w:pPr>
        <w:spacing w:after="0" w:line="172"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25" w:val="left"/>
        </w:tabs>
        <w:numPr>
          <w:ilvl w:val="0"/>
          <w:numId w:val="8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Assistant Secretary (or similar Responsible Officer), dated the Second Amendment Effective Date (i) certifying as to the incumbency and specimen signature of each Responsible Officer of the Borrower and the Guarantor executing this Second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Second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2" w:val="left"/>
        </w:tabs>
        <w:numPr>
          <w:ilvl w:val="0"/>
          <w:numId w:val="8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w:t>
      </w:r>
    </w:p>
    <w:p>
      <w:pPr>
        <w:sectPr>
          <w:pgSz w:w="11900" w:h="16838" w:orient="portrait"/>
          <w:cols w:equalWidth="0" w:num="1">
            <w:col w:w="11240"/>
          </w:cols>
          <w:pgMar w:left="320" w:top="1440" w:right="339" w:bottom="1440" w:gutter="0" w:footer="0" w:header="0"/>
        </w:sectPr>
      </w:pPr>
    </w:p>
    <w:bookmarkStart w:id="723" w:name="page724"/>
    <w:bookmarkEnd w:id="723"/>
    <w:p>
      <w:pPr>
        <w:spacing w:after="0" w:line="200" w:lineRule="exact"/>
        <w:rPr>
          <w:sz w:val="20"/>
          <w:szCs w:val="20"/>
          <w:color w:val="auto"/>
        </w:rPr>
      </w:pPr>
    </w:p>
    <w:p>
      <w:pPr>
        <w:spacing w:after="0" w:line="3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or, in the case of any such representation and warranty that relates to a specified date, as though made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purposes of this Section 4(f), the representations and warranties contained in Sections 3.04(a) and 3.05(a) of the Credit Agreement shall be deemed to refer to the audited consolidated financial statements of Parent and its Subsidiaries for the fiscal year ended December 31, 2023, included in Parent’s Annual Report on Form 10-K for 2023 (as amended) and the unaudited consolidated financial statements of Parent and its Subsidiaries for the fiscal quarter ended March 31, 2024, Annual Report on Form 10-K for 2023 and Quarterly Reports on Form 10-Q, or Current Reports on Form 8-K that have been filed after December 31, 2023 by Parent with the SEC) shall be true and correct in all respects as of the applicable date, before and after giving effect to this Second Amendment and (B) as to the absence of any event occurring and continuing, or resulting from this Second Amendment on, the Second Amendment Effective Date, that constitutes a Default or Event of Default; and</w:t>
      </w:r>
    </w:p>
    <w:p>
      <w:pPr>
        <w:spacing w:after="0" w:line="193" w:lineRule="exact"/>
        <w:rPr>
          <w:sz w:val="20"/>
          <w:szCs w:val="20"/>
          <w:color w:val="auto"/>
        </w:rPr>
      </w:pPr>
    </w:p>
    <w:p>
      <w:pPr>
        <w:jc w:val="both"/>
        <w:ind w:firstLine="1304"/>
        <w:spacing w:after="0" w:line="263" w:lineRule="auto"/>
        <w:tabs>
          <w:tab w:leader="none" w:pos="1809" w:val="left"/>
        </w:tabs>
        <w:numPr>
          <w:ilvl w:val="0"/>
          <w:numId w:val="8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Loan Request delivered in compliance with Section 2.03(b) of the Credit Agreement not later than 1:00 p.m. New York City time one (1) Business Days before the Second Amendment Effective Date or such shorter time as the Administrative Agent may agree.</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FIVE - No Default; Representations and Warranties</w:t>
      </w:r>
      <w:r>
        <w:rPr>
          <w:rFonts w:ascii="Times New Roman" w:cs="Times New Roman" w:eastAsia="Times New Roman" w:hAnsi="Times New Roman"/>
          <w:sz w:val="22"/>
          <w:szCs w:val="22"/>
          <w:color w:val="auto"/>
        </w:rPr>
        <w:t xml:space="preserve">. In order to induce the 2024 Replacement Term Lenders and the Administrative Agent to enter into this Second Amendment, the Borrower represents and warrants to each of the 2024 Replacement Term Lenders and the Administrative Agent that, on and as of the date hereof after giving effect to this Second Amendment, (i) no Default or Event of Default has occurred and is continuing or would result from giving effect to this Second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purposes of this Section Five, the representations and warranties contained in Sections 3.04(a) and 3.05(a) of the Credit Agreement shall be deemed to refer to the audited consolidated financial statements of Parent and its Subsidiaries for the fiscal year ended December 31, 2023, included in Parent’s Annual Report on Form 10-K (as amended) and the unaudited consolidated financial statements of Parent and its Subsidiaries for the fiscal quarter ended March 31, 2024, Annual Report on Form 10-K for 2023 and Quarterly Reports on Form 10-Q, or Current Reports on Form 8-K that have been filed after December 31, 2023 by Parent with the SEC) shall be true and correct in all respects as of the applicable date, before and after giving effect to this Second Amendment.</w:t>
      </w:r>
    </w:p>
    <w:p>
      <w:pPr>
        <w:sectPr>
          <w:pgSz w:w="11900" w:h="16838" w:orient="portrait"/>
          <w:cols w:equalWidth="0" w:num="1">
            <w:col w:w="11240"/>
          </w:cols>
          <w:pgMar w:left="320" w:top="1440" w:right="339" w:bottom="1440" w:gutter="0" w:footer="0" w:header="0"/>
        </w:sectPr>
      </w:pPr>
    </w:p>
    <w:bookmarkStart w:id="724" w:name="page725"/>
    <w:bookmarkEnd w:id="724"/>
    <w:p>
      <w:pPr>
        <w:spacing w:after="0" w:line="200" w:lineRule="exact"/>
        <w:rPr>
          <w:sz w:val="20"/>
          <w:szCs w:val="20"/>
          <w:color w:val="auto"/>
        </w:rPr>
      </w:pPr>
    </w:p>
    <w:p>
      <w:pPr>
        <w:spacing w:after="0" w:line="32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u w:val="single" w:color="auto"/>
          <w:color w:val="auto"/>
        </w:rPr>
        <w:t>SECTION SIX - Confirmation</w:t>
      </w:r>
      <w:r>
        <w:rPr>
          <w:rFonts w:ascii="Times New Roman" w:cs="Times New Roman" w:eastAsia="Times New Roman" w:hAnsi="Times New Roman"/>
          <w:sz w:val="21"/>
          <w:szCs w:val="21"/>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2024 Replacement Term Loans (after giving effect to this Second Amendment) and all obligations of the Guarantor with respect to the guarantee of such obligations, respectively, and (ii) reaffirm the grant of Liens on the Collateral to secure the Obligations (including the Obligations under the 2024 Replacement Term Loans incurred pursuant to this Second Amendment) pursuant to the Collateral Documents.</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SEVEN - Reference to and Effect on the Credit Agreement</w:t>
      </w:r>
      <w:r>
        <w:rPr>
          <w:rFonts w:ascii="Times New Roman" w:cs="Times New Roman" w:eastAsia="Times New Roman" w:hAnsi="Times New Roman"/>
          <w:sz w:val="22"/>
          <w:szCs w:val="22"/>
          <w:color w:val="auto"/>
        </w:rPr>
        <w:t>. On and after the Second Amendment Effective Date, each reference in the Credit Agreement to “this Agreement,” “hereunder,” “hereof” or words of like import referring to the Credit Agreement, shall mean and be a reference to the Credit Agreement as amended by this Second Amendment. The Credit Agreement and each of the other Loan Documents, as specifically amended by this Second Amendment, are and shall continue to be in full force and effect and are hereby in all respects ratified and confirmed. This Second Amendment shall be deemed to be a “Loan Document” for all purposes of the Credit Agreement (as amended hereby) and the other Loan Documents. The execution, delivery and effectiveness of this Second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SECTION EIGHT - Execution in Counterparts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3" w:lineRule="auto"/>
        <w:tabs>
          <w:tab w:leader="none" w:pos="1892" w:val="left"/>
        </w:tabs>
        <w:numPr>
          <w:ilvl w:val="0"/>
          <w:numId w:val="8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Second Amendment may be executed in counterparts (and by different parties hereto on different counterparts), each of which shall constitute an original, but all of which when taken together shall constitute a single contract. This Second Amendment shall be binding upon and inure to the benefit of the parties hereto and their respective successors and assigns. Delivery of an executed counterpart of a signature page of this Second Amendment by facsimile or electronic (e.g., “pdf” or “tif) format shall be effective as delivery of a manually executed counterpart of this Second Amendment.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7" w:val="left"/>
        </w:tabs>
        <w:numPr>
          <w:ilvl w:val="0"/>
          <w:numId w:val="8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“execution,” “signed,” “signature,” and words of like import in this Second Amendment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NINE - Governing Law</w:t>
      </w:r>
      <w:r>
        <w:rPr>
          <w:rFonts w:ascii="Times New Roman" w:cs="Times New Roman" w:eastAsia="Times New Roman" w:hAnsi="Times New Roman"/>
          <w:sz w:val="22"/>
          <w:szCs w:val="22"/>
          <w:color w:val="auto"/>
        </w:rPr>
        <w:t>. THIS SECOND AMENDMENT AND THE RIGHTS AND OBLIGATIONS OF THE PARTIES UNDER THIS SECOND AMENDMENT (WHETHER IN CONTRACT, TORT OR OTHERWISE AND IN LAW OR EQUITY) SHALL BE</w:t>
      </w:r>
    </w:p>
    <w:p>
      <w:pPr>
        <w:sectPr>
          <w:pgSz w:w="11900" w:h="16838" w:orient="portrait"/>
          <w:cols w:equalWidth="0" w:num="1">
            <w:col w:w="11240"/>
          </w:cols>
          <w:pgMar w:left="320" w:top="1440" w:right="339" w:bottom="1440" w:gutter="0" w:footer="0" w:header="0"/>
        </w:sectPr>
      </w:pPr>
    </w:p>
    <w:bookmarkStart w:id="725" w:name="page726"/>
    <w:bookmarkEnd w:id="725"/>
    <w:p>
      <w:pPr>
        <w:spacing w:after="0" w:line="200" w:lineRule="exact"/>
        <w:rPr>
          <w:sz w:val="20"/>
          <w:szCs w:val="20"/>
          <w:color w:val="auto"/>
        </w:rPr>
      </w:pPr>
    </w:p>
    <w:p>
      <w:pPr>
        <w:spacing w:after="0" w:line="3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GOVERNED BY, AND CONSTRUED AND INTERPRETED IN ACCORDANCE WITH, THE LAWS OF THE STATE OF NEW YORK.</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TEN - Miscellaneous</w:t>
      </w:r>
      <w:r>
        <w:rPr>
          <w:rFonts w:ascii="Times New Roman" w:cs="Times New Roman" w:eastAsia="Times New Roman" w:hAnsi="Times New Roman"/>
          <w:sz w:val="22"/>
          <w:szCs w:val="22"/>
          <w:color w:val="auto"/>
        </w:rPr>
        <w:t>.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THIS PAGE IS LEFT BLANK INTENTIONALLY]</w:t>
      </w:r>
    </w:p>
    <w:p>
      <w:pPr>
        <w:sectPr>
          <w:pgSz w:w="11900" w:h="16838" w:orient="portrait"/>
          <w:cols w:equalWidth="0" w:num="1">
            <w:col w:w="11240"/>
          </w:cols>
          <w:pgMar w:left="320" w:top="1440" w:right="339" w:bottom="1440" w:gutter="0" w:footer="0" w:header="0"/>
        </w:sectPr>
      </w:pPr>
    </w:p>
    <w:bookmarkStart w:id="726" w:name="page727"/>
    <w:bookmarkEnd w:id="726"/>
    <w:p>
      <w:pPr>
        <w:spacing w:after="0" w:line="19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Second Amendment to be duly executed and delivered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Meghan Montana</w:t>
      </w:r>
      <w:r>
        <w:rPr>
          <w:rFonts w:ascii="Times New Roman" w:cs="Times New Roman" w:eastAsia="Times New Roman" w:hAnsi="Times New Roman"/>
          <w:sz w:val="22"/>
          <w:szCs w:val="22"/>
          <w:color w:val="auto"/>
        </w:rPr>
        <w:t>____________________</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Meghan Montana</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GROUP INC., as Parent and Guarantor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Meghan Montana</w:t>
      </w:r>
      <w:r>
        <w:rPr>
          <w:rFonts w:ascii="Times New Roman" w:cs="Times New Roman" w:eastAsia="Times New Roman" w:hAnsi="Times New Roman"/>
          <w:sz w:val="22"/>
          <w:szCs w:val="22"/>
          <w:color w:val="auto"/>
        </w:rPr>
        <w:t>____________________</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Meghan Montana</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ectPr>
          <w:pgSz w:w="11900" w:h="16838" w:orient="portrait"/>
          <w:cols w:equalWidth="0" w:num="1">
            <w:col w:w="10580"/>
          </w:cols>
          <w:pgMar w:left="320" w:top="1440" w:right="999" w:bottom="1440" w:gutter="0" w:footer="0" w:header="0"/>
        </w:sectPr>
      </w:pPr>
    </w:p>
    <w:bookmarkStart w:id="727" w:name="page728"/>
    <w:bookmarkEnd w:id="727"/>
    <w:p>
      <w:pPr>
        <w:spacing w:after="0" w:line="200" w:lineRule="exact"/>
        <w:rPr>
          <w:sz w:val="20"/>
          <w:szCs w:val="20"/>
          <w:color w:val="auto"/>
        </w:rPr>
      </w:pPr>
    </w:p>
    <w:p>
      <w:pPr>
        <w:spacing w:after="0" w:line="2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CITIBANK,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1"/>
          <w:szCs w:val="21"/>
          <w:color w:val="auto"/>
        </w:rPr>
        <w:t>By:</w:t>
        <w:tab/>
        <w:t>/s/ Michael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-6985</wp:posOffset>
            </wp:positionV>
            <wp:extent cx="13785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Michael Leonard</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VP</w:t>
      </w:r>
    </w:p>
    <w:p>
      <w:pPr>
        <w:sectPr>
          <w:pgSz w:w="11900" w:h="16838" w:orient="portrait"/>
          <w:cols w:equalWidth="0" w:num="1">
            <w:col w:w="9019"/>
          </w:cols>
          <w:pgMar w:left="1440" w:top="1440" w:right="1440" w:bottom="1440" w:gutter="0" w:footer="0" w:header="0"/>
        </w:sectPr>
      </w:pPr>
    </w:p>
    <w:bookmarkStart w:id="728" w:name="page729"/>
    <w:bookmarkEnd w:id="728"/>
    <w:p>
      <w:pPr>
        <w:ind w:left="2780"/>
        <w:spacing w:after="0"/>
        <w:rPr>
          <w:sz w:val="20"/>
          <w:szCs w:val="20"/>
          <w:color w:val="auto"/>
        </w:rPr>
      </w:pPr>
      <w:r>
        <w:rPr>
          <w:rFonts w:ascii="Times New Roman" w:cs="Times New Roman" w:eastAsia="Times New Roman" w:hAnsi="Times New Roman"/>
          <w:sz w:val="22"/>
          <w:szCs w:val="22"/>
          <w:color w:val="auto"/>
        </w:rPr>
        <w:t>CITIBANK, N.A.,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as the Designated 2024 Replacement Term Lender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and a 2024 Replacement Term Lender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Michael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3785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Michael Leonard</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VP:</w:t>
      </w:r>
    </w:p>
    <w:p>
      <w:pPr>
        <w:sectPr>
          <w:pgSz w:w="11900" w:h="16838" w:orient="portrait"/>
          <w:cols w:equalWidth="0" w:num="1">
            <w:col w:w="9019"/>
          </w:cols>
          <w:pgMar w:left="1440" w:top="1422" w:right="1440" w:bottom="1440" w:gutter="0" w:footer="0" w:header="0"/>
        </w:sectPr>
      </w:pPr>
    </w:p>
    <w:bookmarkStart w:id="729" w:name="page730"/>
    <w:bookmarkEnd w:id="72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Schedule I</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47000.00068</w:t>
      </w:r>
    </w:p>
    <w:p>
      <w:pPr>
        <w:sectPr>
          <w:pgSz w:w="11900" w:h="16838" w:orient="portrait"/>
          <w:cols w:equalWidth="0" w:num="1">
            <w:col w:w="11240"/>
          </w:cols>
          <w:pgMar w:left="320" w:top="1416" w:right="339" w:bottom="1440" w:gutter="0" w:footer="0" w:header="0"/>
        </w:sectPr>
      </w:pPr>
    </w:p>
    <w:bookmarkStart w:id="730" w:name="page731"/>
    <w:bookmarkEnd w:id="730"/>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A TO </w:t>
      </w:r>
      <w:r>
        <w:rPr>
          <w:rFonts w:ascii="Times New Roman" w:cs="Times New Roman" w:eastAsia="Times New Roman" w:hAnsi="Times New Roman"/>
          <w:sz w:val="18"/>
          <w:szCs w:val="18"/>
          <w:b w:val="1"/>
          <w:bCs w:val="1"/>
          <w:color w:val="FF0000"/>
          <w:strike w:val="1"/>
        </w:rPr>
        <w:t>FIRST</w:t>
      </w:r>
      <w:r>
        <w:rPr>
          <w:rFonts w:ascii="Times New Roman" w:cs="Times New Roman" w:eastAsia="Times New Roman" w:hAnsi="Times New Roman"/>
          <w:sz w:val="18"/>
          <w:szCs w:val="18"/>
          <w:b w:val="1"/>
          <w:bCs w:val="1"/>
          <w:u w:val="single" w:color="auto"/>
          <w:color w:val="0000FF"/>
        </w:rPr>
        <w:t>SECOND</w:t>
      </w:r>
      <w:r>
        <w:rPr>
          <w:rFonts w:ascii="Times New Roman" w:cs="Times New Roman" w:eastAsia="Times New Roman" w:hAnsi="Times New Roman"/>
          <w:sz w:val="18"/>
          <w:szCs w:val="18"/>
          <w:b w:val="1"/>
          <w:bCs w:val="1"/>
          <w:color w:val="auto"/>
        </w:rPr>
        <w:t xml:space="preser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AND GUARANTY AGREEMENT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December 4, 2023</w:t>
      </w:r>
    </w:p>
    <w:p>
      <w:pPr>
        <w:spacing w:after="0" w:line="19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19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as Parent and a Guarantor,</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SUBSIDIARIES OF PARENT FROM TIME TO TIME PARTY HERETO OTHER THAN THE BORROWER,</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as Guarantors,</w:t>
      </w:r>
    </w:p>
    <w:p>
      <w:pPr>
        <w:spacing w:after="0" w:line="19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2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CITIBANK, N.A.,</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CITIGROUP GLOBAL MARKETS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Structuring Agent,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with</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CITIGROUP GLOBAL MARKETS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BOFA SECURITIES, INC.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MORGAN STANLEY SENIOR FUNDING,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Lead Arrangers and Bookrunners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BARCLAYS BANK PLC, DEUTSCHE BANK SECURITIES INC., GOLDMAN SACHS LENDING PARTNERS LLC,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JPMORGAN CHASE BANK, N.A., SUMITOMO MITSUI BANKING CORPORATION, BNP PARIBAS SECURITIES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CORP., CREDIT AGRICOLE CORPORATE AND INVESTMENT BANK, MUFG BANK, LTD., U.S. BANK NATIONAL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ASSOCIATION, and BOK FINANCIAL SECURITIES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47000.00068</w:t>
      </w:r>
    </w:p>
    <w:p>
      <w:pPr>
        <w:sectPr>
          <w:pgSz w:w="11900" w:h="16838" w:orient="portrait"/>
          <w:cols w:equalWidth="0" w:num="1">
            <w:col w:w="11240"/>
          </w:cols>
          <w:pgMar w:left="320" w:top="118" w:right="339" w:bottom="1440" w:gutter="0" w:footer="0" w:header="0"/>
        </w:sectPr>
      </w:pPr>
    </w:p>
    <w:bookmarkStart w:id="731" w:name="page732"/>
    <w:bookmarkEnd w:id="731"/>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72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7"/>
        </w:trPr>
        <w:tc>
          <w:tcPr>
            <w:tcW w:w="17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560" w:type="dxa"/>
            <w:vAlign w:val="bottom"/>
            <w:gridSpan w:val="2"/>
          </w:tcPr>
          <w:p>
            <w:pPr>
              <w:ind w:left="112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18"/>
        </w:trPr>
        <w:tc>
          <w:tcPr>
            <w:tcW w:w="172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I</w:t>
            </w:r>
          </w:p>
        </w:tc>
        <w:tc>
          <w:tcPr>
            <w:tcW w:w="1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DEFINITIONS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Defined Terms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Terms Generally</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Accounting Terms; GAAP</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Divisions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64</w:t>
            </w:r>
          </w:p>
        </w:tc>
      </w:tr>
      <w:tr>
        <w:trPr>
          <w:trHeight w:val="486"/>
        </w:trPr>
        <w:tc>
          <w:tcPr>
            <w:tcW w:w="172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Article II</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AMOUNT AND TERMS OF CREDIT</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Commitments of the Lenders; Term Loans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Letters of Credit</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Requests for Loans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Funding of Loans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2.05.</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Interest Elections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Limitation on Term SOFR Tranches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2.07.</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Interest on Loans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Default Interest</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2.09.</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Benchmark Replacement Setting</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Amortization of Term Loans; Repayment of Loans; Evidence of Debt</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Optional Termination or Reduction of Revolving Commitments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Mandatory Prepayment of Loans; Commitment Termination</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Optional Prepayment of Loans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Increased Costs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2.15.</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Break Funding Payments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2.16.</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Taxes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2.17.</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Payments Generally; Pro Rata Treatment</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2.18.</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2.19.</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Certain Fees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2.20.</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Commitment Fee</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2.21.</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Letter of Credit Fees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2.22.</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Nature of Fees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2.23.</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Right of Set-Off</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2.24.</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Security Interest in Letter of Credit Account</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91</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2.25.</w:t>
            </w:r>
          </w:p>
        </w:tc>
        <w:tc>
          <w:tcPr>
            <w:tcW w:w="7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 of Obligations</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91</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620"/>
          </w:cols>
          <w:pgMar w:left="580" w:top="1440" w:right="699" w:bottom="1440" w:gutter="0" w:footer="0" w:header="0"/>
        </w:sectPr>
      </w:pPr>
    </w:p>
    <w:bookmarkStart w:id="732" w:name="page733"/>
    <w:bookmarkEnd w:id="732"/>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2.26.</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Defaulting Lenders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2.27.</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Increase in Commitment</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95</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2.28.</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Extension of Term Loans; Extension of the Revolving Facility</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98</w:t>
            </w:r>
          </w:p>
        </w:tc>
      </w:tr>
      <w:tr>
        <w:trPr>
          <w:trHeight w:val="486"/>
        </w:trPr>
        <w:tc>
          <w:tcPr>
            <w:tcW w:w="1720" w:type="dxa"/>
            <w:vAlign w:val="bottom"/>
          </w:tcPr>
          <w:p>
            <w:pPr>
              <w:spacing w:after="0"/>
              <w:rPr>
                <w:sz w:val="24"/>
                <w:szCs w:val="24"/>
                <w:color w:val="auto"/>
              </w:rPr>
            </w:pPr>
          </w:p>
        </w:tc>
        <w:tc>
          <w:tcPr>
            <w:tcW w:w="702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9"/>
              </w:rPr>
              <w:t>Article III</w:t>
            </w:r>
          </w:p>
        </w:tc>
        <w:tc>
          <w:tcPr>
            <w:tcW w:w="166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02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6"/>
              </w:rPr>
              <w:t>REPRESENTATIONS AND WARRANTIES</w:t>
            </w:r>
          </w:p>
        </w:tc>
        <w:tc>
          <w:tcPr>
            <w:tcW w:w="166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Organization and Authority</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102</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3.02.</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Air Carrier Status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Due Execution</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Statements Made</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Financial Statements; Material Adverse Change</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Ownership of Subsidiaries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Liens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3.08.</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Use of Proceeds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3.09.</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Litigation and Compliance with Laws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Slots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3.11.</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Routes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105</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3.12.</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Margin Regulations; Investment Company Act</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3.13.</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Holding of Collateral</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3.14.</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Perfected Security Interests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3.15.</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 of Taxes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3.16.</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No Unlawful Payments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106</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3.17.</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OFAC</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107</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3.18.</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Compliance with Anti-Money Laundering Laws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107</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3.19.</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Solvency</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107</w:t>
            </w:r>
          </w:p>
        </w:tc>
      </w:tr>
      <w:tr>
        <w:trPr>
          <w:trHeight w:val="486"/>
        </w:trPr>
        <w:tc>
          <w:tcPr>
            <w:tcW w:w="1720" w:type="dxa"/>
            <w:vAlign w:val="bottom"/>
          </w:tcPr>
          <w:p>
            <w:pPr>
              <w:spacing w:after="0"/>
              <w:rPr>
                <w:sz w:val="24"/>
                <w:szCs w:val="24"/>
                <w:color w:val="auto"/>
              </w:rPr>
            </w:pPr>
          </w:p>
        </w:tc>
        <w:tc>
          <w:tcPr>
            <w:tcW w:w="702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7"/>
              </w:rPr>
              <w:t>Article IV</w:t>
            </w:r>
          </w:p>
        </w:tc>
        <w:tc>
          <w:tcPr>
            <w:tcW w:w="166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0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CONDITIONS OF LENDING</w:t>
            </w:r>
          </w:p>
        </w:tc>
        <w:tc>
          <w:tcPr>
            <w:tcW w:w="166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Conditions Precedent to Closing</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108</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4.02.</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Conditions Precedent to Each Loan and Each Letter of Credit</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110</w:t>
            </w:r>
          </w:p>
        </w:tc>
      </w:tr>
      <w:tr>
        <w:trPr>
          <w:trHeight w:val="486"/>
        </w:trPr>
        <w:tc>
          <w:tcPr>
            <w:tcW w:w="1720" w:type="dxa"/>
            <w:vAlign w:val="bottom"/>
          </w:tcPr>
          <w:p>
            <w:pPr>
              <w:spacing w:after="0"/>
              <w:rPr>
                <w:sz w:val="24"/>
                <w:szCs w:val="24"/>
                <w:color w:val="auto"/>
              </w:rPr>
            </w:pPr>
          </w:p>
        </w:tc>
        <w:tc>
          <w:tcPr>
            <w:tcW w:w="702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6"/>
              </w:rPr>
              <w:t>Article V</w:t>
            </w:r>
          </w:p>
        </w:tc>
        <w:tc>
          <w:tcPr>
            <w:tcW w:w="1660" w:type="dxa"/>
            <w:vAlign w:val="bottom"/>
          </w:tcPr>
          <w:p>
            <w:pPr>
              <w:spacing w:after="0"/>
              <w:rPr>
                <w:sz w:val="24"/>
                <w:szCs w:val="24"/>
                <w:color w:val="auto"/>
              </w:rPr>
            </w:pPr>
          </w:p>
        </w:tc>
      </w:tr>
      <w:tr>
        <w:trPr>
          <w:trHeight w:val="486"/>
        </w:trPr>
        <w:tc>
          <w:tcPr>
            <w:tcW w:w="1720" w:type="dxa"/>
            <w:vAlign w:val="bottom"/>
          </w:tcPr>
          <w:p>
            <w:pPr>
              <w:spacing w:after="0"/>
              <w:rPr>
                <w:sz w:val="24"/>
                <w:szCs w:val="24"/>
                <w:color w:val="auto"/>
              </w:rPr>
            </w:pPr>
          </w:p>
        </w:tc>
        <w:tc>
          <w:tcPr>
            <w:tcW w:w="702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7"/>
              </w:rPr>
              <w:t>AFFIRMATIVE COVENANTS</w:t>
            </w:r>
          </w:p>
        </w:tc>
        <w:tc>
          <w:tcPr>
            <w:tcW w:w="1660" w:type="dxa"/>
            <w:vAlign w:val="bottom"/>
          </w:tcPr>
          <w:p>
            <w:pPr>
              <w:spacing w:after="0"/>
              <w:rPr>
                <w:sz w:val="24"/>
                <w:szCs w:val="24"/>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Financial Statements, Reports, etc.</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111</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5.02.</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Taxes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113</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5.03.</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Corporate Existence</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113</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5.04.</w:t>
            </w:r>
          </w:p>
        </w:tc>
        <w:tc>
          <w:tcPr>
            <w:tcW w:w="7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Compliance with Laws</w:t>
            </w:r>
          </w:p>
        </w:tc>
        <w:tc>
          <w:tcPr>
            <w:tcW w:w="166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114</w:t>
            </w:r>
          </w:p>
        </w:tc>
      </w:tr>
    </w:tbl>
    <w:p>
      <w:pPr>
        <w:spacing w:after="0" w:line="200" w:lineRule="exact"/>
        <w:rPr>
          <w:sz w:val="20"/>
          <w:szCs w:val="20"/>
          <w:color w:val="auto"/>
        </w:rPr>
      </w:pPr>
    </w:p>
    <w:p>
      <w:pPr>
        <w:sectPr>
          <w:pgSz w:w="11900" w:h="16838" w:orient="portrait"/>
          <w:cols w:equalWidth="0" w:num="1">
            <w:col w:w="10400"/>
          </w:cols>
          <w:pgMar w:left="580" w:top="1440" w:right="919" w:bottom="1440" w:gutter="0" w:footer="0" w:header="0"/>
        </w:sect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400"/>
          </w:cols>
          <w:pgMar w:left="580" w:top="1440" w:right="919" w:bottom="1440" w:gutter="0" w:footer="0" w:header="0"/>
          <w:type w:val="continuous"/>
        </w:sectPr>
      </w:pPr>
    </w:p>
    <w:bookmarkStart w:id="733" w:name="page734"/>
    <w:bookmarkEnd w:id="733"/>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5.05.</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Designation of Restricted and Unrestricted Subsidiaries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114</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5.06.</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Delivery of Appraisals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114</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5.07.</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Regulatory Matters; Utilization; Reporting</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115</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5.08.</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Maintenance of Ratings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117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5.09.</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Additional Guarantors; Additional Collateral</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117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Access to Books and Records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117</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5.11.</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Further Assurances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118</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28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7"/>
              </w:rPr>
              <w:t>Article VI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28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7"/>
              </w:rPr>
              <w:t>NEGATIVE AND FINANCIAL COVENANTS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Restricted Payments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120</w:t>
            </w:r>
          </w:p>
        </w:tc>
        <w:tc>
          <w:tcPr>
            <w:tcW w:w="0" w:type="dxa"/>
            <w:vAlign w:val="bottom"/>
          </w:tcPr>
          <w:p>
            <w:pPr>
              <w:spacing w:after="0"/>
              <w:rPr>
                <w:sz w:val="1"/>
                <w:szCs w:val="1"/>
                <w:color w:val="auto"/>
              </w:rPr>
            </w:pPr>
          </w:p>
        </w:tc>
      </w:tr>
      <w:tr>
        <w:trPr>
          <w:trHeight w:val="216"/>
        </w:trPr>
        <w:tc>
          <w:tcPr>
            <w:tcW w:w="17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SECTION 6.02.</w:t>
            </w:r>
          </w:p>
        </w:tc>
        <w:tc>
          <w:tcPr>
            <w:tcW w:w="8280" w:type="dxa"/>
            <w:vAlign w:val="bottom"/>
          </w:tcPr>
          <w:p>
            <w:pPr>
              <w:ind w:left="300"/>
              <w:spacing w:after="0" w:line="217" w:lineRule="exact"/>
              <w:rPr>
                <w:sz w:val="20"/>
                <w:szCs w:val="20"/>
                <w:color w:val="auto"/>
              </w:rPr>
            </w:pPr>
            <w:r>
              <w:rPr>
                <w:rFonts w:ascii="Times New Roman" w:cs="Times New Roman" w:eastAsia="Times New Roman" w:hAnsi="Times New Roman"/>
                <w:sz w:val="22"/>
                <w:szCs w:val="22"/>
                <w:color w:val="auto"/>
                <w:w w:val="98"/>
              </w:rPr>
              <w:t>Restrictions on Ability of Restricted Subsidiaries to Pay Dividends and Make Certain Other</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125</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Payments</w:t>
            </w:r>
          </w:p>
        </w:tc>
        <w:tc>
          <w:tcPr>
            <w:tcW w:w="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6.03.</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[Reserved]</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127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6.04.</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Disposition of Collateral</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127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6.05.</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128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6.06.</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Liens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6.07.</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Business Activities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6.08.</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Liquidity</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6.09.</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Collateral Coverage Ratio</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Merger, Consolidation, or Sale of Assets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132</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Sanctions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133</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28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8"/>
              </w:rPr>
              <w:t>Article VII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28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6"/>
              </w:rPr>
              <w:t>EVENTS OF DEFAULT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Events of Default</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134</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280" w:type="dxa"/>
            <w:vAlign w:val="bottom"/>
          </w:tcPr>
          <w:p>
            <w:pPr>
              <w:jc w:val="center"/>
              <w:ind w:right="872"/>
              <w:spacing w:after="0"/>
              <w:rPr>
                <w:sz w:val="20"/>
                <w:szCs w:val="20"/>
                <w:color w:val="auto"/>
              </w:rPr>
            </w:pPr>
            <w:r>
              <w:rPr>
                <w:rFonts w:ascii="Times New Roman" w:cs="Times New Roman" w:eastAsia="Times New Roman" w:hAnsi="Times New Roman"/>
                <w:sz w:val="22"/>
                <w:szCs w:val="22"/>
                <w:color w:val="auto"/>
                <w:w w:val="97"/>
              </w:rPr>
              <w:t>Article VIII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828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7"/>
              </w:rPr>
              <w:t>THE AGENTS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Administration by Agents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Rights of Agents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8.03.</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Liability of Agents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138</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8.04.</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Reimbursement and Indemnification</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140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8.05.</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Successor Agents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140</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8.06.</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Independent Lenders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141</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8.07.</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Advances and Payments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141</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8.08.</w:t>
            </w:r>
          </w:p>
        </w:tc>
        <w:tc>
          <w:tcPr>
            <w:tcW w:w="8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Sharing of Setoffs</w:t>
            </w:r>
          </w:p>
        </w:tc>
        <w:tc>
          <w:tcPr>
            <w:tcW w:w="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00"/>
          </w:cols>
          <w:pgMar w:left="580" w:top="1440" w:right="919" w:bottom="1440" w:gutter="0" w:footer="0" w:header="0"/>
        </w:sectPr>
      </w:pPr>
    </w:p>
    <w:p>
      <w:pPr>
        <w:spacing w:after="0" w:line="3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400"/>
          </w:cols>
          <w:pgMar w:left="580" w:top="1440" w:right="919" w:bottom="1440" w:gutter="0" w:footer="0" w:header="0"/>
          <w:type w:val="continuous"/>
        </w:sectPr>
      </w:pPr>
    </w:p>
    <w:bookmarkStart w:id="734" w:name="page735"/>
    <w:bookmarkEnd w:id="734"/>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8.09.</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Withholding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8.10.</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Appointment by Secured Parties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8.11.</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Delivery of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8.12.</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Erroneous 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w:t>
            </w:r>
          </w:p>
        </w:tc>
      </w:tr>
      <w:tr>
        <w:trPr>
          <w:trHeight w:val="486"/>
        </w:trPr>
        <w:tc>
          <w:tcPr>
            <w:tcW w:w="1760" w:type="dxa"/>
            <w:vAlign w:val="bottom"/>
          </w:tcPr>
          <w:p>
            <w:pPr>
              <w:spacing w:after="0"/>
              <w:rPr>
                <w:sz w:val="24"/>
                <w:szCs w:val="24"/>
                <w:color w:val="auto"/>
              </w:rPr>
            </w:pPr>
          </w:p>
        </w:tc>
        <w:tc>
          <w:tcPr>
            <w:tcW w:w="752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7"/>
              </w:rPr>
              <w:t>Article IX</w:t>
            </w:r>
          </w:p>
        </w:tc>
        <w:tc>
          <w:tcPr>
            <w:tcW w:w="1120" w:type="dxa"/>
            <w:vAlign w:val="bottom"/>
          </w:tcPr>
          <w:p>
            <w:pPr>
              <w:spacing w:after="0"/>
              <w:rPr>
                <w:sz w:val="24"/>
                <w:szCs w:val="24"/>
                <w:color w:val="auto"/>
              </w:rPr>
            </w:pPr>
          </w:p>
        </w:tc>
      </w:tr>
      <w:tr>
        <w:trPr>
          <w:trHeight w:val="486"/>
        </w:trPr>
        <w:tc>
          <w:tcPr>
            <w:tcW w:w="1760" w:type="dxa"/>
            <w:vAlign w:val="bottom"/>
          </w:tcPr>
          <w:p>
            <w:pPr>
              <w:spacing w:after="0"/>
              <w:rPr>
                <w:sz w:val="24"/>
                <w:szCs w:val="24"/>
                <w:color w:val="auto"/>
              </w:rPr>
            </w:pPr>
          </w:p>
        </w:tc>
        <w:tc>
          <w:tcPr>
            <w:tcW w:w="752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7"/>
              </w:rPr>
              <w:t>GUARANTY</w:t>
            </w:r>
          </w:p>
        </w:tc>
        <w:tc>
          <w:tcPr>
            <w:tcW w:w="1120" w:type="dxa"/>
            <w:vAlign w:val="bottom"/>
          </w:tcPr>
          <w:p>
            <w:pPr>
              <w:spacing w:after="0"/>
              <w:rPr>
                <w:sz w:val="24"/>
                <w:szCs w:val="24"/>
                <w:color w:val="auto"/>
              </w:rPr>
            </w:pPr>
          </w:p>
        </w:tc>
      </w:tr>
      <w:tr>
        <w:trPr>
          <w:trHeight w:val="474"/>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Guaranty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Right of Contribution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Continuation and Reinstatement, etc</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9.04.</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Subrogation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9.05.</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Guaranty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486"/>
        </w:trPr>
        <w:tc>
          <w:tcPr>
            <w:tcW w:w="1760" w:type="dxa"/>
            <w:vAlign w:val="bottom"/>
          </w:tcPr>
          <w:p>
            <w:pPr>
              <w:spacing w:after="0"/>
              <w:rPr>
                <w:sz w:val="24"/>
                <w:szCs w:val="24"/>
                <w:color w:val="auto"/>
              </w:rPr>
            </w:pPr>
          </w:p>
        </w:tc>
        <w:tc>
          <w:tcPr>
            <w:tcW w:w="752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6"/>
              </w:rPr>
              <w:t>Article X</w:t>
            </w:r>
          </w:p>
        </w:tc>
        <w:tc>
          <w:tcPr>
            <w:tcW w:w="1120" w:type="dxa"/>
            <w:vAlign w:val="bottom"/>
          </w:tcPr>
          <w:p>
            <w:pPr>
              <w:spacing w:after="0"/>
              <w:rPr>
                <w:sz w:val="24"/>
                <w:szCs w:val="24"/>
                <w:color w:val="auto"/>
              </w:rPr>
            </w:pPr>
          </w:p>
        </w:tc>
      </w:tr>
      <w:tr>
        <w:trPr>
          <w:trHeight w:val="486"/>
        </w:trPr>
        <w:tc>
          <w:tcPr>
            <w:tcW w:w="1760" w:type="dxa"/>
            <w:vAlign w:val="bottom"/>
          </w:tcPr>
          <w:p>
            <w:pPr>
              <w:spacing w:after="0"/>
              <w:rPr>
                <w:sz w:val="24"/>
                <w:szCs w:val="24"/>
                <w:color w:val="auto"/>
              </w:rPr>
            </w:pPr>
          </w:p>
        </w:tc>
        <w:tc>
          <w:tcPr>
            <w:tcW w:w="752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8"/>
              </w:rPr>
              <w:t>MISCELLANEOUS</w:t>
            </w:r>
          </w:p>
        </w:tc>
        <w:tc>
          <w:tcPr>
            <w:tcW w:w="1120" w:type="dxa"/>
            <w:vAlign w:val="bottom"/>
          </w:tcPr>
          <w:p>
            <w:pPr>
              <w:spacing w:after="0"/>
              <w:rPr>
                <w:sz w:val="24"/>
                <w:szCs w:val="24"/>
                <w:color w:val="auto"/>
              </w:rPr>
            </w:pPr>
          </w:p>
        </w:tc>
      </w:tr>
      <w:tr>
        <w:trPr>
          <w:trHeight w:val="474"/>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10.01.</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10.02.</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Successors and Assigns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10.03.</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Confidentiality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10.04.</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Expenses; Indemnity; Damage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10.05.</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10.06.</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10.07.</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Extension of Maturity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10.08.</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 etc.</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10.09.</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Severability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10.10.</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Headings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10.11.</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Survival</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10.12.</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Execution in Counterparts; Integration; Effectiveness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10.13.</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USA Patriot Act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10.14.</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New Value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10.15.</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10.16.</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Fiduciary Duty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10.17.</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Lender Action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10.18.</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Intercreditor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w:t>
            </w: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10.19.</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Acknowledgment and Consent to Bail-In of Affected Financial Institutions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SECTION 10.20.</w:t>
            </w:r>
          </w:p>
        </w:tc>
        <w:tc>
          <w:tcPr>
            <w:tcW w:w="75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Acknowledgment Regarding Any Supported QFCs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400"/>
          </w:cols>
          <w:pgMar w:left="580" w:top="1440" w:right="919" w:bottom="1440" w:gutter="0" w:footer="0" w:header="0"/>
        </w:sectPr>
      </w:pPr>
    </w:p>
    <w:bookmarkStart w:id="735" w:name="page736"/>
    <w:bookmarkEnd w:id="735"/>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INDEX OF APPENDICES</w:t>
      </w:r>
    </w:p>
    <w:p>
      <w:pPr>
        <w:sectPr>
          <w:pgSz w:w="11900" w:h="16838" w:orient="portrait"/>
          <w:cols w:equalWidth="0" w:num="1">
            <w:col w:w="10119"/>
          </w:cols>
          <w:pgMar w:left="340" w:top="1440" w:right="1440" w:bottom="1440" w:gutter="0" w:footer="0" w:header="0"/>
        </w:sectPr>
      </w:pPr>
    </w:p>
    <w:p>
      <w:pPr>
        <w:spacing w:after="0" w:line="2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ANNEX A –</w:t>
      </w:r>
    </w:p>
    <w:p>
      <w:pPr>
        <w:spacing w:after="0" w:line="2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SCHEDULE 3.06</w:t>
      </w:r>
    </w:p>
    <w:p>
      <w:pPr>
        <w:spacing w:after="0" w:line="2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A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B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C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D-1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D-2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E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F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G –</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EXHIBIT H –</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and Commitments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SGR Security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Instrument of Assumption and Joinder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Assignment and Acceptance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Loan Request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Letter of Credit Request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Account Control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Aircraft Security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Collateral Coverage Ratio Certificate</w:t>
      </w:r>
    </w:p>
    <w:p>
      <w:pPr>
        <w:spacing w:after="0" w:line="200" w:lineRule="exact"/>
        <w:rPr>
          <w:sz w:val="20"/>
          <w:szCs w:val="20"/>
          <w:color w:val="auto"/>
        </w:rPr>
      </w:pPr>
    </w:p>
    <w:p>
      <w:pPr>
        <w:sectPr>
          <w:pgSz w:w="11900" w:h="16838" w:orient="portrait"/>
          <w:cols w:equalWidth="0" w:num="2">
            <w:col w:w="2500" w:space="720"/>
            <w:col w:w="6899"/>
          </w:cols>
          <w:pgMar w:left="340" w:top="1440" w:right="1440"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119"/>
          </w:cols>
          <w:pgMar w:left="340" w:top="1440" w:right="1440" w:bottom="1440" w:gutter="0" w:footer="0" w:header="0"/>
          <w:type w:val="continuous"/>
        </w:sectPr>
      </w:pPr>
    </w:p>
    <w:bookmarkStart w:id="736" w:name="page737"/>
    <w:bookmarkEnd w:id="736"/>
    <w:p>
      <w:pPr>
        <w:spacing w:after="0" w:line="19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CREDIT AND GUARANTY AGREEMENT, dated as of December 4, 2023, by and among AMERICAN AIRLINES,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AMERICAN AIRLINES GROUP INC., a Delaware corporation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the direct and indirect Domestic Subsidiaries of Parent from time to time party hereto other than the Borrower, the Lenders (as defined below), CITIBANK, N.A., as administrative agent for the Lenders (together with its permitted successors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and CITIGROUP GLOBAL MARKETS INC., BOFA SECURITIES, INC. and MORGAN STANLEY SENIOR FUNDING, INC., as joint lead arrangers and bookrunners (collectively, the “</w:t>
      </w:r>
      <w:r>
        <w:rPr>
          <w:rFonts w:ascii="Times New Roman" w:cs="Times New Roman" w:eastAsia="Times New Roman" w:hAnsi="Times New Roman"/>
          <w:sz w:val="22"/>
          <w:szCs w:val="22"/>
          <w:i w:val="1"/>
          <w:iCs w:val="1"/>
          <w:color w:val="auto"/>
        </w:rPr>
        <w:t>Joint Lead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Arrangers and Bookrunners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INTRODUCTORY STATEMENT</w:t>
      </w:r>
    </w:p>
    <w:p>
      <w:pPr>
        <w:spacing w:after="0" w:line="23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proceeds of the Loans may be used (x) to pay fees and expenses in connection with the Transactions, (y) to fund the Refinancing of the Existing Notes and (z) for other general corporate purposes.</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w:t>
      </w:r>
    </w:p>
    <w:p>
      <w:pPr>
        <w:spacing w:after="0" w:line="193" w:lineRule="exact"/>
        <w:rPr>
          <w:sz w:val="20"/>
          <w:szCs w:val="20"/>
          <w:color w:val="auto"/>
        </w:rPr>
      </w:pPr>
    </w:p>
    <w:p>
      <w:pPr>
        <w:ind w:left="660" w:firstLine="1292"/>
        <w:spacing w:after="0" w:line="271" w:lineRule="auto"/>
        <w:tabs>
          <w:tab w:leader="none" w:pos="2426" w:val="left"/>
        </w:tabs>
        <w:numPr>
          <w:ilvl w:val="0"/>
          <w:numId w:val="8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guaranty from each Guarantor of the due and punctual payment and performance of the Obligations of the Borrower pursuant to Article IX; and</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491" w:val="left"/>
        </w:tabs>
        <w:numPr>
          <w:ilvl w:val="0"/>
          <w:numId w:val="8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interest with respect to the Collateral from the Borrower and each other Grantor (if any) pursuant to the Collateral Documents.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parties hereto hereby agree as follows: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2024 Incremental Revolving Commitments</w:t>
      </w:r>
      <w:r>
        <w:rPr>
          <w:rFonts w:ascii="Times New Roman" w:cs="Times New Roman" w:eastAsia="Times New Roman" w:hAnsi="Times New Roman"/>
          <w:sz w:val="22"/>
          <w:szCs w:val="22"/>
          <w:color w:val="auto"/>
        </w:rPr>
        <w:t xml:space="preserve">” shall mean the commitment of each applicable Revolving Lender to make Revolving Loans and participate in Letters of Credit hereunder in an aggregate principal and/or face amount not to exceed the amount set forth under the heading “2024 Incremental Revolving Commitments” opposite its name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or in the Assignment and Acceptance pursuant to which such Revolving Lender became a party hereto.</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2024  Incremental  Revolving  Lenders</w:t>
      </w:r>
      <w:r>
        <w:rPr>
          <w:rFonts w:ascii="Times New Roman" w:cs="Times New Roman" w:eastAsia="Times New Roman" w:hAnsi="Times New Roman"/>
          <w:sz w:val="22"/>
          <w:szCs w:val="22"/>
          <w:color w:val="auto"/>
        </w:rPr>
        <w:t>”  shall  mean  each  Lender  having  a  2024  Incremental  Revolving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w:t>
      </w:r>
    </w:p>
    <w:p>
      <w:pPr>
        <w:spacing w:after="0" w:line="190"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2024 Replacement Term Lender</w:t>
      </w:r>
      <w:r>
        <w:rPr>
          <w:rFonts w:ascii="Times New Roman" w:cs="Times New Roman" w:eastAsia="Times New Roman" w:hAnsi="Times New Roman"/>
          <w:sz w:val="22"/>
          <w:szCs w:val="22"/>
          <w:b w:val="1"/>
          <w:bCs w:val="1"/>
          <w:u w:val="single" w:color="auto"/>
          <w:color w:val="0000FF"/>
        </w:rPr>
        <w:t>” shall mean each Lender having a Term Loan Commitment to provide 2024 Replacement Term Loans or, as the case may be, with an outstanding 2024 Replacement Term Loan.</w:t>
      </w:r>
    </w:p>
    <w:p>
      <w:pPr>
        <w:sectPr>
          <w:pgSz w:w="11900" w:h="16838" w:orient="portrait"/>
          <w:cols w:equalWidth="0" w:num="1">
            <w:col w:w="11240"/>
          </w:cols>
          <w:pgMar w:left="320" w:top="1440" w:right="339" w:bottom="1440" w:gutter="0" w:footer="0" w:header="0"/>
        </w:sectPr>
      </w:pPr>
    </w:p>
    <w:bookmarkStart w:id="737" w:name="page738"/>
    <w:bookmarkEnd w:id="737"/>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2024 Replacement Term Loans</w:t>
      </w:r>
      <w:r>
        <w:rPr>
          <w:rFonts w:ascii="Times New Roman" w:cs="Times New Roman" w:eastAsia="Times New Roman" w:hAnsi="Times New Roman"/>
          <w:sz w:val="22"/>
          <w:szCs w:val="22"/>
          <w:b w:val="1"/>
          <w:bCs w:val="1"/>
          <w:u w:val="single" w:color="auto"/>
          <w:color w:val="0000FF"/>
        </w:rPr>
        <w:t>” shall be the Term Loans incurred pursuant to the Second Amendment.</w:t>
      </w:r>
    </w:p>
    <w:p>
      <w:pPr>
        <w:spacing w:after="0" w:line="220"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2024 Replacement Term Loan Commitment</w:t>
      </w:r>
      <w:r>
        <w:rPr>
          <w:rFonts w:ascii="Times New Roman" w:cs="Times New Roman" w:eastAsia="Times New Roman" w:hAnsi="Times New Roman"/>
          <w:sz w:val="22"/>
          <w:szCs w:val="22"/>
          <w:b w:val="1"/>
          <w:bCs w:val="1"/>
          <w:u w:val="single" w:color="auto"/>
          <w:color w:val="0000FF"/>
        </w:rPr>
        <w:t>” shall mean the Term Loan Commitment of each 2024 Replacement Term Lender to make 2024 Replacement Term Loans pursuant to the Second Amendment.</w:t>
      </w:r>
    </w:p>
    <w:p>
      <w:pPr>
        <w:spacing w:after="0" w:line="16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2024 Replacement Term Loan Commitment Schedule</w:t>
      </w:r>
      <w:r>
        <w:rPr>
          <w:rFonts w:ascii="Times New Roman" w:cs="Times New Roman" w:eastAsia="Times New Roman" w:hAnsi="Times New Roman"/>
          <w:sz w:val="22"/>
          <w:szCs w:val="22"/>
          <w:b w:val="1"/>
          <w:bCs w:val="1"/>
          <w:u w:val="single" w:color="auto"/>
          <w:color w:val="0000FF"/>
        </w:rPr>
        <w:t>” shall mean the schedule of 2024 Replacement Term Loan Commitments of each 2024 Replacement Term Lender provided to the Borrower on the Second Amendment Effective Date by the Administrative Agent pursuant to the Second Amendment.</w:t>
      </w:r>
    </w:p>
    <w:p>
      <w:pPr>
        <w:spacing w:after="0" w:line="165"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 shall mean all “accounts” as defined in the UCC, and all rights to payment for interest (other than with respect to debt and credit card receivables).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 Collateral</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 Control Agreements</w:t>
      </w:r>
      <w:r>
        <w:rPr>
          <w:rFonts w:ascii="Times New Roman" w:cs="Times New Roman" w:eastAsia="Times New Roman" w:hAnsi="Times New Roman"/>
          <w:sz w:val="22"/>
          <w:szCs w:val="22"/>
          <w:color w:val="auto"/>
        </w:rPr>
        <w:t>” shall mean (a) an account control agreement in the form of Exhibit E hereto with such changes as the Administrative Agent and the Borrower shall agree and (b) each other three-party security and control agreement entered into by any Grantor, the Collateral Trustee and a financial institution which maintains one or more deposit accounts or securities accounts that have been pledged to the Collateral Trustee as Collateral hereunder or under any other Loan Document, in each case giving the Collateral Trustee exclusive control over the applicable account and in form and substance reasonably satisfactory to the Administrative Agent.</w:t>
      </w:r>
    </w:p>
    <w:p>
      <w:pPr>
        <w:spacing w:after="0" w:line="17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Collateral</w:t>
      </w:r>
      <w:r>
        <w:rPr>
          <w:rFonts w:ascii="Times New Roman" w:cs="Times New Roman" w:eastAsia="Times New Roman" w:hAnsi="Times New Roman"/>
          <w:sz w:val="22"/>
          <w:szCs w:val="22"/>
          <w:color w:val="auto"/>
        </w:rPr>
        <w:t xml:space="preserve">” shall mean (a) cash or Cash Equivalents pledged to the Collateral Trustee pursuant to the applicable Collateral Document, (b) Additional Route Authorities, Slots and/or Foreign Gate Leaseholds pledged to the Collateral Trustee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Trustee pursuant to a security agreement that is usual and customary for a pledge of assets of such types and reasonably acceptable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(d) aircraft or spare engines pledged to a trustee as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738" w:name="page739"/>
    <w:bookmarkEnd w:id="738"/>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Section 8.01(d) pursuant to Aircraft Security Agreement(s) or supplement(s) thereto, (e) Ground Service Equipment, Flight Simulators, Spare Parts, QEC Kits or Real Property Assets located in the United States pledged to the Collateral Trustee pursuant to security agreement(s) (or mortgage(s) in the case of Real Property Assets) in a form reasonably satisfactory to the Administrative Agent and (f) any other assets acceptable to the Required Lenders that may be appraised pursuant to an appropriate Appraisal and pledged to the Collateral Trustee pursuant to security agreement(s) or mortgage(s), as applicable, in a form reasonably satisfactory to the Administrative Agent.</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Route Authority</w:t>
      </w:r>
      <w:r>
        <w:rPr>
          <w:rFonts w:ascii="Times New Roman" w:cs="Times New Roman" w:eastAsia="Times New Roman" w:hAnsi="Times New Roman"/>
          <w:sz w:val="22"/>
          <w:szCs w:val="22"/>
          <w:color w:val="auto"/>
        </w:rPr>
        <w:t>”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Term SOFR</w:t>
      </w:r>
      <w:r>
        <w:rPr>
          <w:rFonts w:ascii="Times New Roman" w:cs="Times New Roman" w:eastAsia="Times New Roman" w:hAnsi="Times New Roman"/>
          <w:sz w:val="22"/>
          <w:szCs w:val="22"/>
          <w:color w:val="auto"/>
        </w:rPr>
        <w:t xml:space="preserve">” shall mean, for purposes of any calculation, the rate per annum equal to Term SOFR for such calculation;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Adjusted Term SOFR as so determined shall ever be less than the Floor, then Adjusted Term SOFR shall be deemed to be the Floor.</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shall have the meaning set forth in the preamble to this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 Transaction</w:t>
      </w:r>
      <w:r>
        <w:rPr>
          <w:rFonts w:ascii="Times New Roman" w:cs="Times New Roman" w:eastAsia="Times New Roman" w:hAnsi="Times New Roman"/>
          <w:sz w:val="22"/>
          <w:szCs w:val="22"/>
          <w:color w:val="auto"/>
        </w:rPr>
        <w:t>” shall have the meaning set forth in Section 6.05(a).</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Agents</w:t>
      </w:r>
      <w:r>
        <w:rPr>
          <w:rFonts w:ascii="Times New Roman" w:cs="Times New Roman" w:eastAsia="Times New Roman" w:hAnsi="Times New Roman"/>
          <w:sz w:val="22"/>
          <w:szCs w:val="22"/>
          <w:color w:val="auto"/>
        </w:rPr>
        <w:t>” shall mean, collectively, the Administrative Agent and the Collateral Trustee, and “</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shall mean either one of them.</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Exposure</w:t>
      </w:r>
      <w:r>
        <w:rPr>
          <w:rFonts w:ascii="Times New Roman" w:cs="Times New Roman" w:eastAsia="Times New Roman" w:hAnsi="Times New Roman"/>
          <w:sz w:val="22"/>
          <w:szCs w:val="22"/>
          <w:color w:val="auto"/>
        </w:rPr>
        <w:t>”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Revolving Commitment then in effect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39" w:name="page740"/>
    <w:bookmarkEnd w:id="739"/>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Revolving Commitments have been terminated, the amount of such Lender’s Revolving Extensions of Credit then outstanding.</w:t>
      </w:r>
    </w:p>
    <w:p>
      <w:pPr>
        <w:spacing w:after="0" w:line="21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Exposure Percentage</w:t>
      </w:r>
      <w:r>
        <w:rPr>
          <w:rFonts w:ascii="Times New Roman" w:cs="Times New Roman" w:eastAsia="Times New Roman" w:hAnsi="Times New Roman"/>
          <w:sz w:val="22"/>
          <w:szCs w:val="22"/>
          <w:color w:val="auto"/>
        </w:rPr>
        <w:t>” shall mean, with respect to any Lender at any time, the ratio (expressed as a percentage) of such Lender’s Aggregate Exposure at such time to the Aggregate Exposure of all Lenders at such time.</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shall mean this Credit and Guaranty Agreement.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Aircraft Related Equipment</w:t>
      </w:r>
      <w:r>
        <w:rPr>
          <w:rFonts w:ascii="Times New Roman" w:cs="Times New Roman" w:eastAsia="Times New Roman" w:hAnsi="Times New Roman"/>
          <w:sz w:val="22"/>
          <w:szCs w:val="22"/>
          <w:color w:val="auto"/>
        </w:rPr>
        <w:t>” shall mean aircraft (including engines, airframes, propellers and appliances), engines, propellers, spare parts, aircraft parts, Flight Simulators and other training devices, QEC Kits, passenger loading bridges, other flight equipment or Ground Service Equipment and other operating assets.</w:t>
      </w:r>
    </w:p>
    <w:p>
      <w:pPr>
        <w:spacing w:after="0" w:line="16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Aircraft Security Agreement</w:t>
      </w:r>
      <w:r>
        <w:rPr>
          <w:rFonts w:ascii="Times New Roman" w:cs="Times New Roman" w:eastAsia="Times New Roman" w:hAnsi="Times New Roman"/>
          <w:sz w:val="22"/>
          <w:szCs w:val="22"/>
          <w:color w:val="auto"/>
        </w:rPr>
        <w:t>”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 to conform such form of aircraft security agreement to the description of terms of the SGR Security Agreement as applicable and (y) such other changes proposed by the Borrower and reasonably acceptable to the Administrative Agent.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Airline/Parent Merger</w:t>
      </w:r>
      <w:r>
        <w:rPr>
          <w:rFonts w:ascii="Times New Roman" w:cs="Times New Roman" w:eastAsia="Times New Roman" w:hAnsi="Times New Roman"/>
          <w:sz w:val="22"/>
          <w:szCs w:val="22"/>
          <w:color w:val="auto"/>
        </w:rPr>
        <w:t>” shall mean the merger or consolidation, if any, of Parent with any Subsidiary of Parent.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Airlines Merger</w:t>
      </w:r>
      <w:r>
        <w:rPr>
          <w:rFonts w:ascii="Times New Roman" w:cs="Times New Roman" w:eastAsia="Times New Roman" w:hAnsi="Times New Roman"/>
          <w:sz w:val="22"/>
          <w:szCs w:val="22"/>
          <w:color w:val="auto"/>
        </w:rPr>
        <w:t>” shall mean the merger, asset transfer, consolidation or any similar transaction involving one or more airline Subsidiaries of Parent (including, without limitation, any such transaction that results in such Subsidiaries operating under a single operating certificate).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Airport Authority</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AISI”</w:t>
      </w:r>
      <w:r>
        <w:rPr>
          <w:rFonts w:ascii="Times New Roman" w:cs="Times New Roman" w:eastAsia="Times New Roman" w:hAnsi="Times New Roman"/>
          <w:sz w:val="22"/>
          <w:szCs w:val="22"/>
          <w:color w:val="auto"/>
        </w:rPr>
        <w:t xml:space="preserve"> shall mean Aircraft Information Services, Inc.</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All-In Initial Yield</w:t>
      </w:r>
      <w:r>
        <w:rPr>
          <w:rFonts w:ascii="Times New Roman" w:cs="Times New Roman" w:eastAsia="Times New Roman" w:hAnsi="Times New Roman"/>
          <w:sz w:val="22"/>
          <w:szCs w:val="22"/>
          <w:color w:val="auto"/>
        </w:rPr>
        <w:t>” shall mean with respect to any Class, the initial yield on such Class payable or allocable to all Lenders as determined by the Administrative Agent to be equal to the sum of (x) the margin above Adjusted Term SOFR that is applicable to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with such OID being equated to interest based on an assumed four-year life to maturity) and (z) with respect to any Class of Incremental Term Loans that contains an interest rate “floor” with respect to Adjusted Term SOFR, the amount, if any, by which (1) such Adjusted Term SOFR floor exceeds (2) the Adjusted Term SOFR floor applicable to the Original Term Loans provided an increase in such floor would cause an increase in the interest rate applicable to the Original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40" w:name="page741"/>
    <w:bookmarkEnd w:id="740"/>
    <w:p>
      <w:pPr>
        <w:spacing w:after="0" w:line="19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Alternate Base Rate</w:t>
      </w:r>
      <w:r>
        <w:rPr>
          <w:rFonts w:ascii="Times New Roman" w:cs="Times New Roman" w:eastAsia="Times New Roman" w:hAnsi="Times New Roman"/>
          <w:sz w:val="22"/>
          <w:szCs w:val="22"/>
          <w:color w:val="auto"/>
        </w:rPr>
        <w:t>” shall mean, for any day, a rate per annum equal to the greatest of (a) the Prime Rate in effect on such day, (b) the sum of the Federal Funds Effective Rate in effect on such day plus 1/2 of 1% and (c) the sum of the Term SOFR Reference Rate for an Interest Period of one month in effect on such day plus 1%. Any change in the Alternate Base Rate due to a change in the Prime Rate, the Federal Funds Effective Rate or the Term SOFR Reference Rate for an Interest Period of one month shall be effective from and including the effective date of such change in the Prime Rate or the Federal Funds Effective Rate or the Term SOFR Reference Rate for an Interest Period of one month, respectively. For the avoidance of doubt, if the Alternate Base Rate as determined pursuant to the foregoing definition shall be less than 1.00%, the Alternate Base Rate shall be deemed to be 1.00% for all purposes of this Agreement.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AMR/US Airways Merger</w:t>
      </w:r>
      <w:r>
        <w:rPr>
          <w:rFonts w:ascii="Times New Roman" w:cs="Times New Roman" w:eastAsia="Times New Roman" w:hAnsi="Times New Roman"/>
          <w:sz w:val="22"/>
          <w:szCs w:val="22"/>
          <w:color w:val="auto"/>
        </w:rPr>
        <w:t>” shall mean the merger consummated by the AMR/US Airways Merger Agreement.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Merger Agreement</w:t>
      </w:r>
      <w:r>
        <w:rPr>
          <w:rFonts w:ascii="Times New Roman" w:cs="Times New Roman" w:eastAsia="Times New Roman" w:hAnsi="Times New Roman"/>
          <w:sz w:val="22"/>
          <w:szCs w:val="22"/>
          <w:color w:val="auto"/>
        </w:rPr>
        <w:t>” shall mean the Agreement and Plan of Merger, dated as of February 13, 2013, among Parent, AMR Merger Sub, Inc. and US Airways Group, Inc., as amended through December 9, 2013.</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shall have the meaning set forth in Section 3.18.</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xml:space="preserve">” shall mean (a) with respect to Revolving Loans, from time to time, the applicable rate per annum set forth in the below table based upon the public corporate rating of the Parent from Moody’s and S&amp;P and (b) with respect to </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(i) that are Term SOFR Loans, </w:t>
      </w:r>
      <w:r>
        <w:rPr>
          <w:rFonts w:ascii="Times New Roman" w:cs="Times New Roman" w:eastAsia="Times New Roman" w:hAnsi="Times New Roman"/>
          <w:sz w:val="22"/>
          <w:szCs w:val="22"/>
          <w:b w:val="1"/>
          <w:bCs w:val="1"/>
          <w:color w:val="FF0000"/>
          <w:strike w:val="1"/>
        </w:rPr>
        <w:t>3.50</w:t>
      </w:r>
      <w:r>
        <w:rPr>
          <w:rFonts w:ascii="Times New Roman" w:cs="Times New Roman" w:eastAsia="Times New Roman" w:hAnsi="Times New Roman"/>
          <w:sz w:val="22"/>
          <w:szCs w:val="22"/>
          <w:b w:val="1"/>
          <w:bCs w:val="1"/>
          <w:u w:val="single" w:color="auto"/>
          <w:color w:val="0000FF"/>
        </w:rPr>
        <w:t>2.50</w:t>
      </w:r>
      <w:r>
        <w:rPr>
          <w:rFonts w:ascii="Times New Roman" w:cs="Times New Roman" w:eastAsia="Times New Roman" w:hAnsi="Times New Roman"/>
          <w:sz w:val="22"/>
          <w:szCs w:val="22"/>
          <w:color w:val="auto"/>
        </w:rPr>
        <w:t xml:space="preserve">% per annum and (ii) that are ABR Loans, </w:t>
      </w:r>
      <w:r>
        <w:rPr>
          <w:rFonts w:ascii="Times New Roman" w:cs="Times New Roman" w:eastAsia="Times New Roman" w:hAnsi="Times New Roman"/>
          <w:sz w:val="22"/>
          <w:szCs w:val="22"/>
          <w:b w:val="1"/>
          <w:bCs w:val="1"/>
          <w:color w:val="FF0000"/>
          <w:strike w:val="1"/>
        </w:rPr>
        <w:t>2.50</w:t>
      </w:r>
      <w:r>
        <w:rPr>
          <w:rFonts w:ascii="Times New Roman" w:cs="Times New Roman" w:eastAsia="Times New Roman" w:hAnsi="Times New Roman"/>
          <w:sz w:val="22"/>
          <w:szCs w:val="22"/>
          <w:b w:val="1"/>
          <w:bCs w:val="1"/>
          <w:u w:val="single" w:color="auto"/>
          <w:color w:val="0000FF"/>
        </w:rPr>
        <w:t>1.50</w:t>
      </w:r>
      <w:r>
        <w:rPr>
          <w:rFonts w:ascii="Times New Roman" w:cs="Times New Roman" w:eastAsia="Times New Roman" w:hAnsi="Times New Roman"/>
          <w:sz w:val="22"/>
          <w:szCs w:val="22"/>
          <w:color w:val="000000"/>
        </w:rPr>
        <w:t>% per annum.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00" w:type="dxa"/>
            <w:vAlign w:val="bottom"/>
            <w:tcBorders>
              <w:top w:val="single" w:sz="8" w:color="auto"/>
              <w:left w:val="single" w:sz="8" w:color="auto"/>
              <w:right w:val="single" w:sz="8" w:color="auto"/>
            </w:tcBorders>
          </w:tcPr>
          <w:p>
            <w:pPr>
              <w:spacing w:after="0"/>
              <w:rPr>
                <w:sz w:val="24"/>
                <w:szCs w:val="24"/>
                <w:color w:val="auto"/>
              </w:rPr>
            </w:pPr>
          </w:p>
        </w:tc>
        <w:tc>
          <w:tcPr>
            <w:tcW w:w="324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Debt Ratings</w:t>
            </w:r>
          </w:p>
        </w:tc>
        <w:tc>
          <w:tcPr>
            <w:tcW w:w="5740" w:type="dxa"/>
            <w:vAlign w:val="bottom"/>
            <w:tcBorders>
              <w:top w:val="single" w:sz="8" w:color="auto"/>
              <w:bottom w:val="single" w:sz="8" w:color="auto"/>
              <w:right w:val="single" w:sz="8" w:color="auto"/>
            </w:tcBorders>
            <w:gridSpan w:val="2"/>
            <w:shd w:val="clear" w:color="auto" w:fill="A6A6A6"/>
          </w:tcPr>
          <w:p>
            <w:pPr>
              <w:ind w:left="2100"/>
              <w:spacing w:after="0"/>
              <w:rPr>
                <w:sz w:val="20"/>
                <w:szCs w:val="20"/>
                <w:color w:val="auto"/>
              </w:rPr>
            </w:pPr>
            <w:r>
              <w:rPr>
                <w:rFonts w:ascii="Times New Roman" w:cs="Times New Roman" w:eastAsia="Times New Roman" w:hAnsi="Times New Roman"/>
                <w:sz w:val="22"/>
                <w:szCs w:val="22"/>
                <w:b w:val="1"/>
                <w:bCs w:val="1"/>
                <w:color w:val="auto"/>
              </w:rPr>
              <w:t>Revolving Loans</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right w:val="single" w:sz="8" w:color="auto"/>
            </w:tcBorders>
          </w:tcPr>
          <w:p>
            <w:pPr>
              <w:spacing w:after="0"/>
              <w:rPr>
                <w:sz w:val="17"/>
                <w:szCs w:val="17"/>
                <w:color w:val="auto"/>
              </w:rPr>
            </w:pPr>
          </w:p>
        </w:tc>
        <w:tc>
          <w:tcPr>
            <w:tcW w:w="3240" w:type="dxa"/>
            <w:vAlign w:val="bottom"/>
            <w:tcBorders>
              <w:right w:val="single" w:sz="8" w:color="auto"/>
            </w:tcBorders>
            <w:vMerge w:val="continue"/>
          </w:tcPr>
          <w:p>
            <w:pPr>
              <w:spacing w:after="0"/>
              <w:rPr>
                <w:sz w:val="17"/>
                <w:szCs w:val="17"/>
                <w:color w:val="auto"/>
              </w:rPr>
            </w:pPr>
          </w:p>
        </w:tc>
        <w:tc>
          <w:tcPr>
            <w:tcW w:w="29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7"/>
              </w:rPr>
              <w:t>Applicable Rate for Term</w:t>
            </w:r>
          </w:p>
        </w:tc>
        <w:tc>
          <w:tcPr>
            <w:tcW w:w="28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8"/>
              </w:rPr>
              <w:t>Applicable Rate for Base Rate</w:t>
            </w:r>
          </w:p>
        </w:tc>
        <w:tc>
          <w:tcPr>
            <w:tcW w:w="0" w:type="dxa"/>
            <w:vAlign w:val="bottom"/>
          </w:tcPr>
          <w:p>
            <w:pPr>
              <w:spacing w:after="0"/>
              <w:rPr>
                <w:sz w:val="1"/>
                <w:szCs w:val="1"/>
                <w:color w:val="auto"/>
              </w:rPr>
            </w:pPr>
          </w:p>
        </w:tc>
      </w:tr>
      <w:tr>
        <w:trPr>
          <w:trHeight w:val="239"/>
        </w:trPr>
        <w:tc>
          <w:tcPr>
            <w:tcW w:w="1600" w:type="dxa"/>
            <w:vAlign w:val="bottom"/>
            <w:tcBorders>
              <w:left w:val="single" w:sz="8" w:color="auto"/>
              <w:right w:val="single" w:sz="8" w:color="auto"/>
            </w:tcBorders>
          </w:tcPr>
          <w:p>
            <w:pPr>
              <w:spacing w:after="0"/>
              <w:rPr>
                <w:sz w:val="20"/>
                <w:szCs w:val="20"/>
                <w:color w:val="auto"/>
              </w:rPr>
            </w:pPr>
          </w:p>
        </w:tc>
        <w:tc>
          <w:tcPr>
            <w:tcW w:w="324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(Moody’s/</w:t>
            </w:r>
          </w:p>
        </w:tc>
        <w:tc>
          <w:tcPr>
            <w:tcW w:w="290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SOFR Loans</w:t>
            </w:r>
          </w:p>
        </w:tc>
        <w:tc>
          <w:tcPr>
            <w:tcW w:w="284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7"/>
              </w:rPr>
              <w:t>Loans</w:t>
            </w:r>
          </w:p>
        </w:tc>
        <w:tc>
          <w:tcPr>
            <w:tcW w:w="0" w:type="dxa"/>
            <w:vAlign w:val="bottom"/>
          </w:tcPr>
          <w:p>
            <w:pPr>
              <w:spacing w:after="0"/>
              <w:rPr>
                <w:sz w:val="1"/>
                <w:szCs w:val="1"/>
                <w:color w:val="auto"/>
              </w:rPr>
            </w:pPr>
          </w:p>
        </w:tc>
      </w:tr>
      <w:tr>
        <w:trPr>
          <w:trHeight w:val="31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Pricing Level</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S&amp;P)</w:t>
            </w:r>
          </w:p>
        </w:tc>
        <w:tc>
          <w:tcPr>
            <w:tcW w:w="290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I</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Ba3/BB- or higher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3.00%</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2.00%</w:t>
            </w:r>
          </w:p>
        </w:tc>
        <w:tc>
          <w:tcPr>
            <w:tcW w:w="0" w:type="dxa"/>
            <w:vAlign w:val="bottom"/>
          </w:tcPr>
          <w:p>
            <w:pPr>
              <w:spacing w:after="0"/>
              <w:rPr>
                <w:sz w:val="1"/>
                <w:szCs w:val="1"/>
                <w:color w:val="auto"/>
              </w:rPr>
            </w:pPr>
          </w:p>
        </w:tc>
      </w:tr>
      <w:tr>
        <w:trPr>
          <w:trHeight w:val="264"/>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II</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B1/B+</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3.25%</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2.25%</w:t>
            </w:r>
          </w:p>
        </w:tc>
        <w:tc>
          <w:tcPr>
            <w:tcW w:w="0" w:type="dxa"/>
            <w:vAlign w:val="bottom"/>
          </w:tcPr>
          <w:p>
            <w:pPr>
              <w:spacing w:after="0"/>
              <w:rPr>
                <w:sz w:val="1"/>
                <w:szCs w:val="1"/>
                <w:color w:val="auto"/>
              </w:rPr>
            </w:pPr>
          </w:p>
        </w:tc>
      </w:tr>
      <w:tr>
        <w:trPr>
          <w:trHeight w:val="263"/>
        </w:trPr>
        <w:tc>
          <w:tcPr>
            <w:tcW w:w="1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III</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B2/B or lower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3.50%</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2.50%</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For the purposes of the foregoing, if there is only one credit rating with respect to Parent, the Applicable Margin with respect to Revolving Loans shall be determined with reference to the applicable row in the “Pricing Level” column above (each such pricing level, a “</w:t>
      </w:r>
      <w:r>
        <w:rPr>
          <w:rFonts w:ascii="Times New Roman" w:cs="Times New Roman" w:eastAsia="Times New Roman" w:hAnsi="Times New Roman"/>
          <w:sz w:val="22"/>
          <w:szCs w:val="22"/>
          <w:u w:val="single" w:color="auto"/>
          <w:color w:val="auto"/>
        </w:rPr>
        <w:t>Level</w:t>
      </w:r>
      <w:r>
        <w:rPr>
          <w:rFonts w:ascii="Times New Roman" w:cs="Times New Roman" w:eastAsia="Times New Roman" w:hAnsi="Times New Roman"/>
          <w:sz w:val="22"/>
          <w:szCs w:val="22"/>
          <w:color w:val="auto"/>
        </w:rPr>
        <w:t>”) of such credit rating. In the event the credit ratings (each a “</w:t>
      </w:r>
      <w:r>
        <w:rPr>
          <w:rFonts w:ascii="Times New Roman" w:cs="Times New Roman" w:eastAsia="Times New Roman" w:hAnsi="Times New Roman"/>
          <w:sz w:val="22"/>
          <w:szCs w:val="22"/>
          <w:u w:val="single" w:color="auto"/>
          <w:color w:val="auto"/>
        </w:rPr>
        <w:t>Relevant Rating</w:t>
      </w:r>
      <w:r>
        <w:rPr>
          <w:rFonts w:ascii="Times New Roman" w:cs="Times New Roman" w:eastAsia="Times New Roman" w:hAnsi="Times New Roman"/>
          <w:sz w:val="22"/>
          <w:szCs w:val="22"/>
          <w:color w:val="auto"/>
        </w:rPr>
        <w:t>” and, together, “</w:t>
      </w:r>
      <w:r>
        <w:rPr>
          <w:rFonts w:ascii="Times New Roman" w:cs="Times New Roman" w:eastAsia="Times New Roman" w:hAnsi="Times New Roman"/>
          <w:sz w:val="22"/>
          <w:szCs w:val="22"/>
          <w:u w:val="single" w:color="auto"/>
          <w:color w:val="auto"/>
        </w:rPr>
        <w:t>Relevant Ratings</w:t>
      </w:r>
      <w:r>
        <w:rPr>
          <w:rFonts w:ascii="Times New Roman" w:cs="Times New Roman" w:eastAsia="Times New Roman" w:hAnsi="Times New Roman"/>
          <w:sz w:val="22"/>
          <w:szCs w:val="22"/>
          <w:color w:val="auto"/>
        </w:rPr>
        <w:t>”) are different, the Applicable Margin with respect to Revolving Loans shall be determined by (a) the higher of such Relevant Ratings, provided, however, the lower of such Relevant Ratings shall be no greater than one Level below the higher of such Relevant Ratings or (b) in the event the lower of such Relevant Ratings is greater than one Level below the higher of such Relevant Ratings, the Applicable Margin with respect to Revolving Loans shall be determined based on the Relevant Rating which is one Level below the higher of such Relevant Ratings. If the ratings established by S&amp;P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41" w:name="page742"/>
    <w:bookmarkEnd w:id="741"/>
    <w:p>
      <w:pPr>
        <w:spacing w:after="0" w:line="1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Moody’s shall be changed, the Borrower shall provide prompt notice to the Administrative Agent and such change shall be effective as of the date on which it is first announced by the applicable rating agency and if none of S&amp;P or Moody’s shall have in effect a credit rating, the Applicable Margin with respect to Revolving Loans shall be based on Level III. Each change in the Applicable Margin shall apply during the period commencing on the effective date of the applicable change in ratings and ending on the date immediately preceding the effective date of the next such change in ratings. Upon the occurrence and during the continuance of an Event of Default, the Applicable Margin with respect to Revolving Loans shall be based on Level III.</w:t>
      </w:r>
    </w:p>
    <w:p>
      <w:pPr>
        <w:spacing w:after="0" w:line="16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Appraisal</w:t>
      </w:r>
      <w:r>
        <w:rPr>
          <w:rFonts w:ascii="Times New Roman" w:cs="Times New Roman" w:eastAsia="Times New Roman" w:hAnsi="Times New Roman"/>
          <w:sz w:val="22"/>
          <w:szCs w:val="22"/>
          <w:color w:val="auto"/>
        </w:rPr>
        <w:t>” shall mean (i) the Initial Appraisals and (ii) any other appraisal, dated on or about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appointed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w:t>
      </w:r>
    </w:p>
    <w:p>
      <w:pPr>
        <w:spacing w:after="0" w:line="197" w:lineRule="exact"/>
        <w:rPr>
          <w:sz w:val="20"/>
          <w:szCs w:val="20"/>
          <w:color w:val="auto"/>
        </w:rPr>
      </w:pPr>
    </w:p>
    <w:p>
      <w:pPr>
        <w:jc w:val="both"/>
        <w:ind w:left="660" w:firstLine="644"/>
        <w:spacing w:after="0" w:line="249" w:lineRule="auto"/>
        <w:tabs>
          <w:tab w:leader="none" w:pos="1830" w:val="left"/>
        </w:tabs>
        <w:numPr>
          <w:ilvl w:val="0"/>
          <w:numId w:val="8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Route Authorities, Slots and/or Foreign Gate Leaseholds pledged pursuant to the SGR Security Agreement or a security agreement substantially similar thereto shall have methodology, assumptions and form of presentation consistent in all material respects with the Initial Appraisals (including the utilization of a discount rate of 11.5% and a perpetuity growth rate of 1.5%;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Appraisals prepared from time to time are not prepared by the same firm of appraisers as the Initial Appraisals, such Appraisals may with the consent of the Administrative Agent (such consent not to be unreasonably withheld) have methodology, assumptions and form of presentation that differ from the Initial Appraisals if such differences are deemed appropriate by such appraiser and consistent with such appraiser’s customary practice as in effect on the date hereof;</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1" w:val="left"/>
        </w:tabs>
        <w:numPr>
          <w:ilvl w:val="0"/>
          <w:numId w:val="8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w:t>
      </w:r>
    </w:p>
    <w:p>
      <w:pPr>
        <w:spacing w:after="0" w:line="186"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872" w:val="left"/>
        </w:tabs>
        <w:numPr>
          <w:ilvl w:val="0"/>
          <w:numId w:val="8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Route Authorities, FAA Slots, Foreign Slots and Gate Leaseholds not described in clause (1) above, any Spare Parts and any other type of property shall be based upon a methodology and assumptions deemed appropriate by the applicable appraisal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742" w:name="page743"/>
    <w:bookmarkEnd w:id="742"/>
    <w:p>
      <w:pPr>
        <w:spacing w:after="0" w:line="19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Appraised Value</w:t>
      </w:r>
      <w:r>
        <w:rPr>
          <w:rFonts w:ascii="Times New Roman" w:cs="Times New Roman" w:eastAsia="Times New Roman" w:hAnsi="Times New Roman"/>
          <w:sz w:val="22"/>
          <w:szCs w:val="22"/>
          <w:color w:val="auto"/>
        </w:rPr>
        <w:t xml:space="preserve">”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(including for purposes of this clause (z), to the extent applicable, the Initial Appraisals) (provided that with respect to any property subject to an Appraisal described in clause (1) of the definition of “Appraisal”, the Appraised Value shall be the value of such property listed in such Appraisal that has been determined using a discount rate of 11.5% and a perpetuity growth rate of 1.5%);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any Collateral consisting of property described in clause (z), (A) if no Appraisal relating to such Collateral has been delivered to the Administrative Agent prior to such date, the Appraised Value of such Collateral shall be deemed to be zero, (B) with respect to all of the Scheduled Services between the United States and a particular country or destination, if the Appraised Value of the related Route Authorities, Slots and Foreign Gate Leaseholds is a negative number, such Appraised Value shall be deemed to be zero and (C) if an Appraisal relating to such Collateral has been delivered to the Administrative Agent prior to such date, but no Appraisal relating to such Collateral has been delivered to the Administrative Agent by the last day of the most recent period during which such Appraisal is required to be delivered pursuant to Section 5.06 (such date, the “</w:t>
      </w:r>
      <w:r>
        <w:rPr>
          <w:rFonts w:ascii="Times New Roman" w:cs="Times New Roman" w:eastAsia="Times New Roman" w:hAnsi="Times New Roman"/>
          <w:sz w:val="22"/>
          <w:szCs w:val="22"/>
          <w:i w:val="1"/>
          <w:iCs w:val="1"/>
          <w:color w:val="auto"/>
        </w:rPr>
        <w:t>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Appraisal Date</w:t>
      </w:r>
      <w:r>
        <w:rPr>
          <w:rFonts w:ascii="Times New Roman" w:cs="Times New Roman" w:eastAsia="Times New Roman" w:hAnsi="Times New Roman"/>
          <w:sz w:val="22"/>
          <w:szCs w:val="22"/>
          <w:color w:val="auto"/>
        </w:rPr>
        <w:t>”) that immediately precedes such date, then the Appraised Value of such Collateral shall be deemed to be zero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period from such Required Appraisal Date to the date an Appraisal relating to such Collateral is delivered to the Administrative Agent.</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shall have the meaning set forth in Section 10.02(b).</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ARB Indebtedness</w:t>
      </w:r>
      <w:r>
        <w:rPr>
          <w:rFonts w:ascii="Times New Roman" w:cs="Times New Roman" w:eastAsia="Times New Roman" w:hAnsi="Times New Roman"/>
          <w:sz w:val="22"/>
          <w:szCs w:val="22"/>
          <w:color w:val="auto"/>
        </w:rPr>
        <w:t>”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Ascend</w:t>
      </w:r>
      <w:r>
        <w:rPr>
          <w:rFonts w:ascii="Times New Roman" w:cs="Times New Roman" w:eastAsia="Times New Roman" w:hAnsi="Times New Roman"/>
          <w:sz w:val="22"/>
          <w:szCs w:val="22"/>
          <w:color w:val="auto"/>
        </w:rPr>
        <w:t>” shall mean Ascend Worldwide Limited.</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shall mean an assignment and acceptance entered into by a Lender and an assignee (with the consent of any party whose consent is required by Section 10.02), and accepted by the Administrative Agent, substantially in the form of Exhibit C.</w:t>
      </w:r>
    </w:p>
    <w:p>
      <w:pPr>
        <w:spacing w:after="0" w:line="16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743" w:name="page744"/>
    <w:bookmarkEnd w:id="743"/>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case, as of such date and not including, for the avoidance of doubt, any tenor for such Benchmark that is then-removed from the definition of “Interest Period” pursuant to Section 2.09(d).</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AVITAS</w:t>
      </w:r>
      <w:r>
        <w:rPr>
          <w:rFonts w:ascii="Times New Roman" w:cs="Times New Roman" w:eastAsia="Times New Roman" w:hAnsi="Times New Roman"/>
          <w:sz w:val="22"/>
          <w:szCs w:val="22"/>
          <w:color w:val="auto"/>
        </w:rPr>
        <w:t>” shall mean AVITAS, Inc.</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4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w:t>
      </w:r>
      <w:r>
        <w:rPr>
          <w:rFonts w:ascii="Times New Roman" w:cs="Times New Roman" w:eastAsia="Times New Roman" w:hAnsi="Times New Roman"/>
          <w:sz w:val="22"/>
          <w:szCs w:val="22"/>
          <w:color w:val="auto"/>
        </w:rPr>
        <w:t>n”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Banking Product Obligations</w:t>
      </w:r>
      <w:r>
        <w:rPr>
          <w:rFonts w:ascii="Times New Roman" w:cs="Times New Roman" w:eastAsia="Times New Roman" w:hAnsi="Times New Roman"/>
          <w:sz w:val="22"/>
          <w:szCs w:val="22"/>
          <w:color w:val="auto"/>
        </w:rPr>
        <w:t>” shall mean, as applied to any Person, any direct or indirect liability, contingent or otherwise, of such Person in respect of any treasury, depository and cash management services, netting services and automated clearing house transfers of funds services and any related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17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Code</w:t>
      </w:r>
      <w:r>
        <w:rPr>
          <w:rFonts w:ascii="Times New Roman" w:cs="Times New Roman" w:eastAsia="Times New Roman" w:hAnsi="Times New Roman"/>
          <w:sz w:val="22"/>
          <w:szCs w:val="22"/>
          <w:color w:val="auto"/>
        </w:rPr>
        <w:t>” shall mean The Bankruptcy Reform Act of 1978, as heretofore and hereafter amended, and codified as 11 U.S.C. Section 101 et seq.</w:t>
      </w:r>
    </w:p>
    <w:p>
      <w:pPr>
        <w:spacing w:after="0" w:line="14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Event</w:t>
      </w:r>
      <w:r>
        <w:rPr>
          <w:rFonts w:ascii="Times New Roman" w:cs="Times New Roman" w:eastAsia="Times New Roman" w:hAnsi="Times New Roman"/>
          <w:sz w:val="22"/>
          <w:szCs w:val="22"/>
          <w:color w:val="auto"/>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Law</w:t>
      </w:r>
      <w:r>
        <w:rPr>
          <w:rFonts w:ascii="Times New Roman" w:cs="Times New Roman" w:eastAsia="Times New Roman" w:hAnsi="Times New Roman"/>
          <w:sz w:val="22"/>
          <w:szCs w:val="22"/>
          <w:color w:val="auto"/>
        </w:rPr>
        <w:t>” shall mean the Bankruptcy Code or any similar federal or state law for the relief of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744" w:name="page745"/>
    <w:bookmarkEnd w:id="744"/>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2.09(a).</w:t>
      </w:r>
    </w:p>
    <w:p>
      <w:pPr>
        <w:spacing w:after="0" w:line="16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16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53" w:lineRule="exact"/>
        <w:rPr>
          <w:sz w:val="20"/>
          <w:szCs w:val="20"/>
          <w:color w:val="auto"/>
        </w:rPr>
      </w:pPr>
    </w:p>
    <w:p>
      <w:pPr>
        <w:jc w:val="both"/>
        <w:ind w:left="720" w:hanging="356"/>
        <w:spacing w:after="0" w:line="256" w:lineRule="auto"/>
        <w:tabs>
          <w:tab w:leader="none" w:pos="855" w:val="left"/>
        </w:tabs>
        <w:numPr>
          <w:ilvl w:val="0"/>
          <w:numId w:val="8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745" w:name="page746"/>
    <w:bookmarkEnd w:id="745"/>
    <w:p>
      <w:pPr>
        <w:spacing w:after="0" w:line="199" w:lineRule="exact"/>
        <w:rPr>
          <w:sz w:val="20"/>
          <w:szCs w:val="20"/>
          <w:color w:val="auto"/>
        </w:rPr>
      </w:pPr>
    </w:p>
    <w:p>
      <w:pPr>
        <w:jc w:val="both"/>
        <w:ind w:left="720" w:hanging="356"/>
        <w:spacing w:after="0" w:line="251" w:lineRule="auto"/>
        <w:tabs>
          <w:tab w:leader="none" w:pos="854" w:val="left"/>
        </w:tabs>
        <w:numPr>
          <w:ilvl w:val="0"/>
          <w:numId w:val="8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3" w:lineRule="exact"/>
        <w:rPr>
          <w:sz w:val="20"/>
          <w:szCs w:val="20"/>
          <w:color w:val="auto"/>
        </w:rPr>
      </w:pPr>
    </w:p>
    <w:p>
      <w:pPr>
        <w:jc w:val="both"/>
        <w:ind w:left="680" w:hanging="348"/>
        <w:spacing w:after="0" w:line="253" w:lineRule="auto"/>
        <w:tabs>
          <w:tab w:leader="none" w:pos="929" w:val="left"/>
        </w:tabs>
        <w:numPr>
          <w:ilvl w:val="0"/>
          <w:numId w:val="8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2"/>
          <w:szCs w:val="22"/>
          <w:color w:val="auto"/>
        </w:rPr>
      </w:pPr>
    </w:p>
    <w:p>
      <w:pPr>
        <w:jc w:val="both"/>
        <w:ind w:left="680" w:hanging="348"/>
        <w:spacing w:after="0" w:line="250" w:lineRule="auto"/>
        <w:tabs>
          <w:tab w:leader="none" w:pos="840" w:val="left"/>
        </w:tabs>
        <w:numPr>
          <w:ilvl w:val="0"/>
          <w:numId w:val="8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9" w:lineRule="exact"/>
        <w:rPr>
          <w:rFonts w:ascii="Times New Roman" w:cs="Times New Roman" w:eastAsia="Times New Roman" w:hAnsi="Times New Roman"/>
          <w:sz w:val="22"/>
          <w:szCs w:val="22"/>
          <w:color w:val="auto"/>
        </w:rPr>
      </w:pPr>
    </w:p>
    <w:p>
      <w:pPr>
        <w:jc w:val="both"/>
        <w:ind w:left="680" w:right="20" w:hanging="348"/>
        <w:spacing w:after="0" w:line="257" w:lineRule="auto"/>
        <w:tabs>
          <w:tab w:leader="none" w:pos="831" w:val="left"/>
        </w:tabs>
        <w:numPr>
          <w:ilvl w:val="0"/>
          <w:numId w:val="8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746" w:name="page747"/>
    <w:bookmarkEnd w:id="746"/>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2.09 and (b) ending at the time that a Benchmark Replacement has replaced the then-current Benchmark for all purposes hereunder and under any Loan Document in accordance with Section 2.09.</w:t>
      </w:r>
    </w:p>
    <w:p>
      <w:pPr>
        <w:spacing w:after="0" w:line="17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Beneficial Owner</w:t>
      </w:r>
      <w:r>
        <w:rPr>
          <w:rFonts w:ascii="Times New Roman" w:cs="Times New Roman" w:eastAsia="Times New Roman" w:hAnsi="Times New Roman"/>
          <w:sz w:val="21"/>
          <w:szCs w:val="21"/>
          <w:color w:val="auto"/>
        </w:rPr>
        <w:t>” shall have the meaning assigned to such term in Rule 13d-3 and Rule 13d-5 under the Exchange Act, except that in calculating the beneficial ownership of any particular “person” (as that term is used in Section 13(d)</w:t>
      </w:r>
    </w:p>
    <w:p>
      <w:pPr>
        <w:spacing w:after="0" w:line="2" w:lineRule="exact"/>
        <w:rPr>
          <w:sz w:val="20"/>
          <w:szCs w:val="20"/>
          <w:color w:val="auto"/>
        </w:rPr>
      </w:pPr>
    </w:p>
    <w:p>
      <w:pPr>
        <w:jc w:val="both"/>
        <w:ind w:right="20" w:firstLine="8"/>
        <w:spacing w:after="0" w:line="252" w:lineRule="auto"/>
        <w:tabs>
          <w:tab w:leader="none" w:pos="313" w:val="left"/>
        </w:tabs>
        <w:numPr>
          <w:ilvl w:val="0"/>
          <w:numId w:val="8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BK</w:t>
      </w:r>
      <w:r>
        <w:rPr>
          <w:rFonts w:ascii="Times New Roman" w:cs="Times New Roman" w:eastAsia="Times New Roman" w:hAnsi="Times New Roman"/>
          <w:sz w:val="22"/>
          <w:szCs w:val="22"/>
          <w:color w:val="auto"/>
        </w:rPr>
        <w:t>” shall mean BK Associates,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shall mean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 of Directors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660" w:right="20" w:firstLine="644"/>
        <w:spacing w:after="0" w:line="284" w:lineRule="auto"/>
        <w:tabs>
          <w:tab w:leader="none" w:pos="1832" w:val="left"/>
        </w:tabs>
        <w:numPr>
          <w:ilvl w:val="0"/>
          <w:numId w:val="8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corporation, the board of directors or any other governing body of the corporation or any committee thereof duly authorized to act on behalf of such board;</w:t>
      </w:r>
    </w:p>
    <w:p>
      <w:pPr>
        <w:spacing w:after="0" w:line="143"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8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partnership, the board of directors or other governing body of the general partner of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w:t>
      </w:r>
    </w:p>
    <w:p>
      <w:pPr>
        <w:spacing w:after="0" w:line="195" w:lineRule="exact"/>
        <w:rPr>
          <w:rFonts w:ascii="Times New Roman" w:cs="Times New Roman" w:eastAsia="Times New Roman" w:hAnsi="Times New Roman"/>
          <w:sz w:val="22"/>
          <w:szCs w:val="22"/>
          <w:color w:val="auto"/>
        </w:rPr>
      </w:pPr>
    </w:p>
    <w:p>
      <w:pPr>
        <w:ind w:left="660" w:firstLine="644"/>
        <w:spacing w:after="0" w:line="271" w:lineRule="auto"/>
        <w:tabs>
          <w:tab w:leader="none" w:pos="1803" w:val="left"/>
        </w:tabs>
        <w:numPr>
          <w:ilvl w:val="0"/>
          <w:numId w:val="8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limited liability company, the managing member or members, manager or managers or any controlling committee of managing members or managers thereof; and</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Person, the board or committee of such Person serving a similar function.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Release</w:t>
      </w:r>
      <w:r>
        <w:rPr>
          <w:rFonts w:ascii="Times New Roman" w:cs="Times New Roman" w:eastAsia="Times New Roman" w:hAnsi="Times New Roman"/>
          <w:sz w:val="22"/>
          <w:szCs w:val="22"/>
          <w:color w:val="auto"/>
        </w:rPr>
        <w:t>” shall mean the release of any Collateral from the Lien of the applicable Collateral Document at the direction of the Borrower pursuant to Section 6.09(c).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747" w:name="page748"/>
    <w:bookmarkEnd w:id="747"/>
    <w:p>
      <w:pPr>
        <w:spacing w:after="0" w:line="19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shall mean the incurrence, conversion or continuation of Loans of a single Type made from all the Revolving Lenders or the Term Lenders, as the case may be, on a single date and having, in the case of Term SOFR Loans, a single Interest Period.</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 Date</w:t>
      </w:r>
      <w:r>
        <w:rPr>
          <w:rFonts w:ascii="Times New Roman" w:cs="Times New Roman" w:eastAsia="Times New Roman" w:hAnsi="Times New Roman"/>
          <w:sz w:val="22"/>
          <w:szCs w:val="22"/>
          <w:color w:val="auto"/>
        </w:rPr>
        <w:t>” shall mean any U.S. Government Securities Business Day specified in a notice pursuant to Sections 2.03 and 2.04 as a date on which the Borrower requests the Lenders to make Loans hereunder or an Issuing Lender to issue Letters of Credit hereunder.</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shall mean any day other than a Saturday, Sunday or other day on which commercial banks in New York City are required or authorized to remain closed (and, for a Letter of Credit, other than a day on which the Issuing Lender issuing such Letter of Credit is closed).</w:t>
      </w:r>
    </w:p>
    <w:p>
      <w:pPr>
        <w:spacing w:after="0" w:line="16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Lease Obligation</w:t>
      </w:r>
      <w:r>
        <w:rPr>
          <w:rFonts w:ascii="Times New Roman" w:cs="Times New Roman" w:eastAsia="Times New Roman" w:hAnsi="Times New Roman"/>
          <w:sz w:val="22"/>
          <w:szCs w:val="22"/>
          <w:color w:val="auto"/>
        </w:rPr>
        <w:t>” shall mean, at the time any determination is to be made, the amount of the liability in respect of a lease that would at that time be required to be accounted for as a financing or capital lease (and, for the avoidance of doubt, not a straight-line or operating lease) on both the balance sheet and income statement for financial reporting purposes in accordance with GAAP as in effect prior to giving effect to the adoption of Accounting Standards Update (“ASU”) No. 2016-02 “Leases (Topic 842)” and ASU No. 2018-11 “Leases (Topic 842),” and the Stated Maturity thereof shall be the date of the last payment of rent or any other amount due under such lease prior to the first date upon which such lease may be prepaid by the lessee without payment of a penalty.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Markets Offering</w:t>
      </w:r>
      <w:r>
        <w:rPr>
          <w:rFonts w:ascii="Times New Roman" w:cs="Times New Roman" w:eastAsia="Times New Roman" w:hAnsi="Times New Roman"/>
          <w:sz w:val="22"/>
          <w:szCs w:val="22"/>
          <w:color w:val="auto"/>
        </w:rPr>
        <w:t>” shall mean any offering of “securities” (as defined under the Securities Act and, including, for the avoidance of doubt, any offering of pass-through certificates by any pass-through trust established by 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780" w:hanging="476"/>
        <w:spacing w:after="0"/>
        <w:tabs>
          <w:tab w:leader="none" w:pos="1780" w:val="left"/>
        </w:tabs>
        <w:numPr>
          <w:ilvl w:val="0"/>
          <w:numId w:val="8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corporation, corporate stock;</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53" w:val="left"/>
        </w:tabs>
        <w:numPr>
          <w:ilvl w:val="0"/>
          <w:numId w:val="8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association or business entity, any and all shares, interests, participations, rights or other equivalents (however designated) of corporate stock;</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7" w:val="left"/>
        </w:tabs>
        <w:numPr>
          <w:ilvl w:val="0"/>
          <w:numId w:val="8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partnership or limited liability company, partnership interests (whether general or limited) or membership interests;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78" w:val="left"/>
        </w:tabs>
        <w:numPr>
          <w:ilvl w:val="0"/>
          <w:numId w:val="8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interest or participation that confers on a Person the right to receive a share of the profits and losses of, or distributions of assets of, the issuing Person,</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22"/>
          <w:szCs w:val="22"/>
          <w:color w:val="auto"/>
        </w:rPr>
        <w:t>but excluding from all of the foregoing clauses (1) through (4) any debt securities convertible into Capital Stock, whether or not such debt securities include any right of participation with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748" w:name="page749"/>
    <w:bookmarkEnd w:id="748"/>
    <w:p>
      <w:pPr>
        <w:spacing w:after="0" w:line="195"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Cash Collateralize</w:t>
      </w:r>
      <w:r>
        <w:rPr>
          <w:rFonts w:ascii="Times New Roman" w:cs="Times New Roman" w:eastAsia="Times New Roman" w:hAnsi="Times New Roman"/>
          <w:sz w:val="22"/>
          <w:szCs w:val="22"/>
          <w:color w:val="auto"/>
        </w:rPr>
        <w:t>” shall have the meaning set forth in Section 2.02(j). The terms “</w:t>
      </w:r>
      <w:r>
        <w:rPr>
          <w:rFonts w:ascii="Times New Roman" w:cs="Times New Roman" w:eastAsia="Times New Roman" w:hAnsi="Times New Roman"/>
          <w:sz w:val="22"/>
          <w:szCs w:val="22"/>
          <w:i w:val="1"/>
          <w:iCs w:val="1"/>
          <w:color w:val="auto"/>
        </w:rPr>
        <w:t>Cash Collateralized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Cash Collateralizes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Cash Collateralizing</w:t>
      </w:r>
      <w:r>
        <w:rPr>
          <w:rFonts w:ascii="Times New Roman" w:cs="Times New Roman" w:eastAsia="Times New Roman" w:hAnsi="Times New Roman"/>
          <w:sz w:val="22"/>
          <w:szCs w:val="22"/>
          <w:color w:val="auto"/>
        </w:rPr>
        <w:t>” shall have correlative meanings.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Equivalents</w:t>
      </w:r>
      <w:r>
        <w:rPr>
          <w:rFonts w:ascii="Times New Roman" w:cs="Times New Roman" w:eastAsia="Times New Roman" w:hAnsi="Times New Roman"/>
          <w:sz w:val="22"/>
          <w:szCs w:val="22"/>
          <w:color w:val="auto"/>
        </w:rPr>
        <w:t>” shall mean, as of the date acquired, purchased or made, as applicable:</w:t>
      </w:r>
    </w:p>
    <w:p>
      <w:pPr>
        <w:spacing w:after="0" w:line="237" w:lineRule="exact"/>
        <w:rPr>
          <w:sz w:val="20"/>
          <w:szCs w:val="20"/>
          <w:color w:val="auto"/>
        </w:rPr>
      </w:pPr>
    </w:p>
    <w:p>
      <w:pPr>
        <w:jc w:val="both"/>
        <w:ind w:left="660" w:firstLine="644"/>
        <w:spacing w:after="0" w:line="252" w:lineRule="auto"/>
        <w:tabs>
          <w:tab w:leader="none" w:pos="1806" w:val="left"/>
        </w:tabs>
        <w:numPr>
          <w:ilvl w:val="0"/>
          <w:numId w:val="8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776" w:val="left"/>
        </w:tabs>
        <w:numPr>
          <w:ilvl w:val="0"/>
          <w:numId w:val="8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obligations issued by any state of the United States or any political subdivision of any such state or any instrumentality thereof, in each case maturing within three years after such date and having, at the time of the acquisition thereof, a rating of at least A- (or the equivalent thereof) from S&amp;P or A3 (or the equivalent thereof) from Moody’s;</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68" w:lineRule="auto"/>
        <w:tabs>
          <w:tab w:leader="none" w:pos="1813" w:val="left"/>
        </w:tabs>
        <w:numPr>
          <w:ilvl w:val="0"/>
          <w:numId w:val="8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the security has a maturity or weighted average life of three years or less from such date;</w:t>
      </w:r>
    </w:p>
    <w:p>
      <w:pPr>
        <w:spacing w:after="0" w:line="176" w:lineRule="exact"/>
        <w:rPr>
          <w:rFonts w:ascii="Times New Roman" w:cs="Times New Roman" w:eastAsia="Times New Roman" w:hAnsi="Times New Roman"/>
          <w:sz w:val="21"/>
          <w:szCs w:val="21"/>
          <w:color w:val="auto"/>
        </w:rPr>
      </w:pPr>
    </w:p>
    <w:p>
      <w:pPr>
        <w:ind w:left="660" w:firstLine="644"/>
        <w:spacing w:after="0" w:line="271" w:lineRule="auto"/>
        <w:tabs>
          <w:tab w:leader="none" w:pos="1788" w:val="left"/>
        </w:tabs>
        <w:numPr>
          <w:ilvl w:val="0"/>
          <w:numId w:val="8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no more than one year after such date and having, on such date, a rating of at least A-2 from S&amp;P or at least P-2 from Moody’s;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4" w:val="left"/>
        </w:tabs>
        <w:numPr>
          <w:ilvl w:val="0"/>
          <w:numId w:val="8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793" w:val="left"/>
        </w:tabs>
        <w:numPr>
          <w:ilvl w:val="0"/>
          <w:numId w:val="8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counterparties whose long term debt is rated not less than A-by S&amp;P and A3 by Moody’s and with a term of not more than six months from such date;</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13" w:val="left"/>
        </w:tabs>
        <w:numPr>
          <w:ilvl w:val="0"/>
          <w:numId w:val="8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749" w:name="page750"/>
    <w:bookmarkEnd w:id="749"/>
    <w:p>
      <w:pPr>
        <w:spacing w:after="0" w:line="199" w:lineRule="exact"/>
        <w:rPr>
          <w:sz w:val="20"/>
          <w:szCs w:val="20"/>
          <w:color w:val="auto"/>
        </w:rPr>
      </w:pPr>
    </w:p>
    <w:p>
      <w:pPr>
        <w:jc w:val="both"/>
        <w:ind w:left="660" w:firstLine="644"/>
        <w:spacing w:after="0" w:line="257" w:lineRule="auto"/>
        <w:tabs>
          <w:tab w:leader="none" w:pos="1796" w:val="left"/>
        </w:tabs>
        <w:numPr>
          <w:ilvl w:val="0"/>
          <w:numId w:val="8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any money market mutual fund that, as of such date, (a) complies with the criteria set forth in SEC Rule 2a-7 under the Investment Company Act of 1940, as amended and (b) is rated AAA (or the equivalent thereof) by S&amp;P and Aaa (or the equivalent thereof) by Moody’s;</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820" w:val="left"/>
        </w:tabs>
        <w:numPr>
          <w:ilvl w:val="0"/>
          <w:numId w:val="8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auction rate preferred securities that, as of such date, have the highest rating obtainable from either S&amp;P or Moody’s and with a maximum reset date at least every 30 days;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05" w:val="left"/>
        </w:tabs>
        <w:numPr>
          <w:ilvl w:val="0"/>
          <w:numId w:val="8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pursuant to the Parent’s or any of its Restricted Subsidiaries’ cash equivalents/short term investment guidelines;</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903" w:val="left"/>
        </w:tabs>
        <w:numPr>
          <w:ilvl w:val="0"/>
          <w:numId w:val="8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available for withdrawal on demand with commercial banks organized in the United States having capital and surplus in excess of $100,000,000;</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92" w:val="left"/>
        </w:tabs>
        <w:numPr>
          <w:ilvl w:val="0"/>
          <w:numId w:val="8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194" w:lineRule="exact"/>
        <w:rPr>
          <w:rFonts w:ascii="Times New Roman" w:cs="Times New Roman" w:eastAsia="Times New Roman" w:hAnsi="Times New Roman"/>
          <w:sz w:val="22"/>
          <w:szCs w:val="22"/>
          <w:color w:val="auto"/>
        </w:rPr>
      </w:pPr>
    </w:p>
    <w:p>
      <w:pPr>
        <w:ind w:left="660" w:firstLine="644"/>
        <w:spacing w:after="0" w:line="271" w:lineRule="auto"/>
        <w:tabs>
          <w:tab w:leader="none" w:pos="1916" w:val="left"/>
        </w:tabs>
        <w:numPr>
          <w:ilvl w:val="0"/>
          <w:numId w:val="8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securities or pools of securities that are classified under GAAP as cash equivalents or short-term investments on a balance sheet as of such date.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Certificate Delivery Date</w:t>
      </w:r>
      <w:r>
        <w:rPr>
          <w:rFonts w:ascii="Times New Roman" w:cs="Times New Roman" w:eastAsia="Times New Roman" w:hAnsi="Times New Roman"/>
          <w:sz w:val="22"/>
          <w:szCs w:val="22"/>
          <w:color w:val="auto"/>
        </w:rPr>
        <w:t>” shall have the meaning set forth in Section 6.09(a).</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Law</w:t>
      </w:r>
      <w:r>
        <w:rPr>
          <w:rFonts w:ascii="Times New Roman" w:cs="Times New Roman" w:eastAsia="Times New Roman" w:hAnsi="Times New Roman"/>
          <w:sz w:val="22"/>
          <w:szCs w:val="22"/>
          <w:color w:val="auto"/>
        </w:rPr>
        <w:t>”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Issuing Lender (or, for purposes of Section 2.14(b),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date of this Agreement.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shall mean the occurrence of any of the following:</w:t>
      </w:r>
    </w:p>
    <w:p>
      <w:pPr>
        <w:spacing w:after="0" w:line="224" w:lineRule="exact"/>
        <w:rPr>
          <w:sz w:val="20"/>
          <w:szCs w:val="20"/>
          <w:color w:val="auto"/>
        </w:rPr>
      </w:pPr>
    </w:p>
    <w:p>
      <w:pPr>
        <w:jc w:val="both"/>
        <w:ind w:left="660" w:firstLine="644"/>
        <w:spacing w:after="0" w:line="252" w:lineRule="auto"/>
        <w:tabs>
          <w:tab w:leader="none" w:pos="1788" w:val="left"/>
        </w:tabs>
        <w:numPr>
          <w:ilvl w:val="0"/>
          <w:numId w:val="8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750" w:name="page751"/>
    <w:bookmarkEnd w:id="750"/>
    <w:p>
      <w:pPr>
        <w:spacing w:after="0" w:line="199" w:lineRule="exact"/>
        <w:rPr>
          <w:sz w:val="20"/>
          <w:szCs w:val="20"/>
          <w:color w:val="auto"/>
        </w:rPr>
      </w:pPr>
    </w:p>
    <w:p>
      <w:pPr>
        <w:jc w:val="both"/>
        <w:ind w:left="660" w:firstLine="644"/>
        <w:spacing w:after="0" w:line="261" w:lineRule="auto"/>
        <w:tabs>
          <w:tab w:leader="none" w:pos="1776" w:val="left"/>
        </w:tabs>
        <w:numPr>
          <w:ilvl w:val="0"/>
          <w:numId w:val="8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Times New Roman" w:cs="Times New Roman" w:eastAsia="Times New Roman" w:hAnsi="Times New Roman"/>
          <w:sz w:val="21"/>
          <w:szCs w:val="21"/>
          <w:i w:val="1"/>
          <w:iCs w:val="1"/>
          <w:color w:val="auto"/>
        </w:rPr>
        <w:t>Permitted Person</w:t>
      </w:r>
      <w:r>
        <w:rPr>
          <w:rFonts w:ascii="Times New Roman" w:cs="Times New Roman" w:eastAsia="Times New Roman" w:hAnsi="Times New Roman"/>
          <w:sz w:val="21"/>
          <w:szCs w:val="21"/>
          <w:color w:val="auto"/>
        </w:rPr>
        <w:t>”)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7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For the avoidance of doubt, any Airline/Parent Merger and any Airlines Merger will not be a Change of Control under this Agreement.</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w:t>
      </w:r>
      <w:r>
        <w:rPr>
          <w:rFonts w:ascii="Times New Roman" w:cs="Times New Roman" w:eastAsia="Times New Roman" w:hAnsi="Times New Roman"/>
          <w:sz w:val="22"/>
          <w:szCs w:val="22"/>
          <w:color w:val="auto"/>
        </w:rPr>
        <w:t xml:space="preserve">” when used in reference to any Loan or Borrowing, shall refer to whether such Loan, or the Loans comprising such Borrowing, are Revolving Loans,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or Incremental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 Loans or Revolving Commitments having the exact same terms and conditions shall be deemed a part of the same Class.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shall mean December 4, 2023.</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 Transactions</w:t>
      </w:r>
      <w:r>
        <w:rPr>
          <w:rFonts w:ascii="Times New Roman" w:cs="Times New Roman" w:eastAsia="Times New Roman" w:hAnsi="Times New Roman"/>
          <w:sz w:val="22"/>
          <w:szCs w:val="22"/>
          <w:color w:val="auto"/>
        </w:rPr>
        <w:t>” shall mean the Transactions that occur on the Closing Date.</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Co-Branded Card Agreement(s)</w:t>
      </w:r>
      <w:r>
        <w:rPr>
          <w:rFonts w:ascii="Times New Roman" w:cs="Times New Roman" w:eastAsia="Times New Roman" w:hAnsi="Times New Roman"/>
          <w:sz w:val="22"/>
          <w:szCs w:val="22"/>
          <w:color w:val="auto"/>
        </w:rPr>
        <w:t>” shall mean (i) that certain Co-Branded Credit Card Program Agreement, dated as of July 8, 2016, between American Airlines, Inc. and Barclays Bank Delaware, as amended, restated, supplemented or otherwise modified from time to time, (ii) that certain Co-Branded Credit Card Program Agreement, dated as of June 30, 2016, between American Airlines, Inc. and Citibank, N.A., as amended, restated, supplemented or otherwise modified from time to time, and (iii) any other similar agreements or agreements related to the sale of miles entered into by the Parent or any of its Subsidiaries from time to time.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shall mean the Internal Revenue Code of 1986, as amended from time to time.</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22"/>
          <w:szCs w:val="22"/>
          <w:color w:val="auto"/>
        </w:rPr>
        <w:t>” shall mean (i) the assets and properties of the Grantors upon which Liens have been granted to the Collateral Trustee to secure the Obligations including, without limitation,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751" w:name="page752"/>
    <w:bookmarkEnd w:id="751"/>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 For the purposes of this definition, all Collateral secured by the SGR Security Agreement shall be considered Collateral under this Agreement.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Change in Law</w:t>
      </w:r>
      <w:r>
        <w:rPr>
          <w:rFonts w:ascii="Times New Roman" w:cs="Times New Roman" w:eastAsia="Times New Roman" w:hAnsi="Times New Roman"/>
          <w:sz w:val="22"/>
          <w:szCs w:val="22"/>
          <w:color w:val="auto"/>
        </w:rPr>
        <w:t>” shall have the meaning set forth in the definition of “Core Collateral”.</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 shall mean, as of any date of determination, the ratio of (i) the Appraised Value of the Collateral with respect to such date of determination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Times New Roman" w:cs="Times New Roman" w:eastAsia="Times New Roman" w:hAnsi="Times New Roman"/>
          <w:sz w:val="22"/>
          <w:szCs w:val="22"/>
          <w:i w:val="1"/>
          <w:iCs w:val="1"/>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 Certificate</w:t>
      </w:r>
      <w:r>
        <w:rPr>
          <w:rFonts w:ascii="Times New Roman" w:cs="Times New Roman" w:eastAsia="Times New Roman" w:hAnsi="Times New Roman"/>
          <w:sz w:val="22"/>
          <w:szCs w:val="22"/>
          <w:color w:val="auto"/>
        </w:rPr>
        <w:t>” shall mean an Officer’s Certificate calculating the Collateral Coverage Ratio substantially in the form of Exhibit H hereto.</w:t>
      </w:r>
    </w:p>
    <w:p>
      <w:pPr>
        <w:spacing w:after="0" w:line="13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Coverage Ratio Failure</w:t>
      </w:r>
      <w:r>
        <w:rPr>
          <w:rFonts w:ascii="Times New Roman" w:cs="Times New Roman" w:eastAsia="Times New Roman" w:hAnsi="Times New Roman"/>
          <w:sz w:val="22"/>
          <w:szCs w:val="22"/>
          <w:color w:val="auto"/>
        </w:rPr>
        <w:t>” shall mean, as of any date of determination, the failure of the Collateral Coverage Ratio as of such date to be at least equal to 1.6 to 1.0.</w:t>
      </w:r>
    </w:p>
    <w:p>
      <w:pPr>
        <w:spacing w:after="0" w:line="14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Documents</w:t>
      </w:r>
      <w:r>
        <w:rPr>
          <w:rFonts w:ascii="Times New Roman" w:cs="Times New Roman" w:eastAsia="Times New Roman" w:hAnsi="Times New Roman"/>
          <w:sz w:val="22"/>
          <w:szCs w:val="22"/>
          <w:color w:val="auto"/>
        </w:rPr>
        <w:t>” shall mean, collectively, the SGR Security Agreement, the Collateral Trust Agreement (together with any joinders or additional secured debt designations related thereto), any Account Control Agreement(s), any Intercreditor Agreement (on and after the execution thereof) and other agreements, instruments or documents that create or purport to create a Lien in favor of the Collateral Trustee for the benefit of the Secured Parties, in each case so long as such agreement, instrument or document shall not have been terminated in accordance with its terms.</w:t>
      </w:r>
    </w:p>
    <w:p>
      <w:pPr>
        <w:spacing w:after="0" w:line="17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Proceeds Account</w:t>
      </w:r>
      <w:r>
        <w:rPr>
          <w:rFonts w:ascii="Times New Roman" w:cs="Times New Roman" w:eastAsia="Times New Roman" w:hAnsi="Times New Roman"/>
          <w:sz w:val="22"/>
          <w:szCs w:val="22"/>
          <w:color w:val="auto"/>
        </w:rPr>
        <w:t>” shall mean a segregated account or accounts held by or under the control of the Collateral Trustee into which the Net Proceeds of any Recovery Event or Disposition of Collateral may be deposited in accordance with the provisions of this Agreement.</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Trust Agreement</w:t>
      </w:r>
      <w:r>
        <w:rPr>
          <w:rFonts w:ascii="Times New Roman" w:cs="Times New Roman" w:eastAsia="Times New Roman" w:hAnsi="Times New Roman"/>
          <w:sz w:val="22"/>
          <w:szCs w:val="22"/>
          <w:color w:val="auto"/>
        </w:rPr>
        <w:t>” shall mean that certain Collateral Trust Agreement, dated as of December 4, 2023, by and among the Borrower, the Collateral Trustee, Wilmington Trust, National Association, as trustee under the Indenture and the Administrative Agent.</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Trustee</w:t>
      </w:r>
      <w:r>
        <w:rPr>
          <w:rFonts w:ascii="Times New Roman" w:cs="Times New Roman" w:eastAsia="Times New Roman" w:hAnsi="Times New Roman"/>
          <w:sz w:val="22"/>
          <w:szCs w:val="22"/>
          <w:color w:val="auto"/>
        </w:rPr>
        <w:t>” shall mean Wilmington Trust, National Association, as collateral trustee for the Secured Parties, together with its permitted successors and permitted assigns.</w:t>
      </w:r>
    </w:p>
    <w:p>
      <w:pPr>
        <w:spacing w:after="0" w:line="16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shall mean, as to any Lender, the sum of the Revolving Commitment, if any, and the Term Loan Commitment, if any, of such Lender, it being understood that the “</w:t>
      </w:r>
      <w:r>
        <w:rPr>
          <w:rFonts w:ascii="Times New Roman" w:cs="Times New Roman" w:eastAsia="Times New Roman" w:hAnsi="Times New Roman"/>
          <w:sz w:val="22"/>
          <w:szCs w:val="22"/>
          <w:i w:val="1"/>
          <w:iCs w:val="1"/>
          <w:color w:val="auto"/>
        </w:rPr>
        <w:t>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752" w:name="page753"/>
    <w:bookmarkEnd w:id="752"/>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of a Lender shall remain in effect until the Term Loans have been funded in full in accordance with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shall have the meaning given to such term in Section 2.20.</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shall mean 0.75% per annum.</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shall mean the Commodity Exchange Act (7 U.S.C. §1 et seq.), as amended from time to time, and any successor statute.</w:t>
      </w:r>
    </w:p>
    <w:p>
      <w:pPr>
        <w:spacing w:after="0" w:line="14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Conforming Changes</w:t>
      </w:r>
      <w:r>
        <w:rPr>
          <w:rFonts w:ascii="Times New Roman" w:cs="Times New Roman" w:eastAsia="Times New Roman" w:hAnsi="Times New Roman"/>
          <w:sz w:val="21"/>
          <w:szCs w:val="21"/>
          <w:color w:val="auto"/>
        </w:rPr>
        <w:t>” 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2.14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each case, in consultation with the Borrower, in such other manner of administration as the Administrative Agent, in consultation with the Borrower, decides is reasonably necessary in connection with the administration of this Agreement and the other Loan Documents).</w:t>
      </w:r>
    </w:p>
    <w:p>
      <w:pPr>
        <w:spacing w:after="0" w:line="19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EBITDAR</w:t>
      </w:r>
      <w:r>
        <w:rPr>
          <w:rFonts w:ascii="Times New Roman" w:cs="Times New Roman" w:eastAsia="Times New Roman" w:hAnsi="Times New Roman"/>
          <w:sz w:val="22"/>
          <w:szCs w:val="22"/>
          <w:color w:val="auto"/>
        </w:rPr>
        <w:t>” shall mean, with respect to any specified Person for any period, the Consolidated Net Income of such Person for such period plus, without duplication:</w:t>
      </w:r>
    </w:p>
    <w:p>
      <w:pPr>
        <w:spacing w:after="0" w:line="153" w:lineRule="exact"/>
        <w:rPr>
          <w:sz w:val="20"/>
          <w:szCs w:val="20"/>
          <w:color w:val="auto"/>
        </w:rPr>
      </w:pPr>
    </w:p>
    <w:p>
      <w:pPr>
        <w:jc w:val="both"/>
        <w:ind w:left="660" w:firstLine="644"/>
        <w:spacing w:after="0" w:line="257" w:lineRule="auto"/>
        <w:tabs>
          <w:tab w:leader="none" w:pos="1816" w:val="left"/>
        </w:tabs>
        <w:numPr>
          <w:ilvl w:val="0"/>
          <w:numId w:val="8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any extraordinary loss plus any net loss realized by such Person or any of its Restricted Subsidiaries in connection with any Disposition of assets, to the extent such losses were deducted in computing such Consolidated Net Income; plus</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838" w:val="left"/>
        </w:tabs>
        <w:numPr>
          <w:ilvl w:val="0"/>
          <w:numId w:val="8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for taxes based on income or profits of such Person and its Restricted Subsidiaries, to the extent that such provision for taxes was deducted in computing such Consolidated Net Income; plus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99" w:val="left"/>
        </w:tabs>
        <w:numPr>
          <w:ilvl w:val="0"/>
          <w:numId w:val="8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Charges of such Person and its Restricted Subsidiaries, to the extent that such Fixed Charges were deducted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76" w:val="left"/>
        </w:tabs>
        <w:numPr>
          <w:ilvl w:val="0"/>
          <w:numId w:val="8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currency translation losses (including losses related to currency remeasurements of Indebtedness) of such Person and its Restricted Subsidiaries for such period, to the extent that such losses were deducted in computing such Consolidated Net Income;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753" w:name="page754"/>
    <w:bookmarkEnd w:id="753"/>
    <w:p>
      <w:pPr>
        <w:spacing w:after="0" w:line="199" w:lineRule="exact"/>
        <w:rPr>
          <w:sz w:val="20"/>
          <w:szCs w:val="20"/>
          <w:color w:val="auto"/>
        </w:rPr>
      </w:pPr>
    </w:p>
    <w:p>
      <w:pPr>
        <w:jc w:val="both"/>
        <w:ind w:left="660" w:firstLine="644"/>
        <w:spacing w:after="0" w:line="251" w:lineRule="auto"/>
        <w:tabs>
          <w:tab w:leader="none" w:pos="1808"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909"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amortization of debt discount to the extent that such amortization was deducted in computing such Consolidated Net Income; plus</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06"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deductions for grants to any employee of Parent or its Restricted Subsidiaries of any Equity Interests during such period to the extent deducted in computing such Consolidated Net Income; plus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20"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w:t>
      </w:r>
    </w:p>
    <w:p>
      <w:pPr>
        <w:spacing w:after="0" w:line="192"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865"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2061"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from business interruption insurance for such period, to the extent not already included in computing such Consolidated Net Income; plus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36"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minus</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58"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items, other than the accrual of revenue in the Ordinary Course of Business, to the extent such amount increased such Consolidated Net Income; minus</w:t>
      </w:r>
    </w:p>
    <w:p>
      <w:pPr>
        <w:spacing w:after="0" w:line="14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income tax credits and (B) interest income included in computing such Consolidated Net</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determined on a consolidated basis in accordance with GAAP.</w:t>
      </w:r>
    </w:p>
    <w:p>
      <w:pPr>
        <w:spacing w:after="0" w:line="216"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Income</w:t>
      </w:r>
      <w:r>
        <w:rPr>
          <w:rFonts w:ascii="Times New Roman" w:cs="Times New Roman" w:eastAsia="Times New Roman" w:hAnsi="Times New Roman"/>
          <w:sz w:val="22"/>
          <w:szCs w:val="22"/>
          <w:color w:val="auto"/>
        </w:rPr>
        <w:t>” shall mean, with respect to any specified Person for any period, the aggregate of the net income (or loss) of such Person and its Restricted Subsidiaries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754" w:name="page755"/>
    <w:bookmarkEnd w:id="754"/>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period, on a consolidated basis (excluding the net income (loss) of any Unrestricted Subsidiary of such Person), determined in accordance with GAAP and without any reduction in respect of preferred stock dividends;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sz w:val="20"/>
          <w:szCs w:val="20"/>
          <w:color w:val="auto"/>
        </w:rPr>
      </w:pPr>
    </w:p>
    <w:p>
      <w:pPr>
        <w:jc w:val="both"/>
        <w:ind w:left="660" w:firstLine="644"/>
        <w:spacing w:after="0" w:line="248" w:lineRule="auto"/>
        <w:tabs>
          <w:tab w:leader="none" w:pos="1875" w:val="left"/>
        </w:tabs>
        <w:numPr>
          <w:ilvl w:val="0"/>
          <w:numId w:val="8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Parent’s reorganization plan in connection with the AMR/US Airways Merger, any Airlines Merger or any Airline/Parent Merger);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(including any other Pari Passu Senior Secured Debt issued by the Borrower, AAG or their respective affiliates), Permitted Investments, acquisitions, dispositions, recapitalizations or incurrences or repayments of Indebtedness permitted hereunder, including a refinancing thereof (in each case whether or not successful) (including but not limited to any one or more of the AMR/US Airways Merger, any Airlines Merger or 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182"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801" w:val="left"/>
        </w:tabs>
        <w:numPr>
          <w:ilvl w:val="0"/>
          <w:numId w:val="8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53" w:lineRule="auto"/>
        <w:tabs>
          <w:tab w:leader="none" w:pos="1808" w:val="left"/>
        </w:tabs>
        <w:numPr>
          <w:ilvl w:val="0"/>
          <w:numId w:val="8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on such Person will be excluded;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1" w:val="left"/>
        </w:tabs>
        <w:numPr>
          <w:ilvl w:val="0"/>
          <w:numId w:val="8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of non-cash gains and losses of such Person resulting from Hedging Obligations, including attributable to movement in the mark-to-market valuation of Hedging Obligations pursuant to Financial Accounting Standards Board 133 Accounting Standards Codification 815—Derivatives and Hedging will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755" w:name="page756"/>
    <w:bookmarkEnd w:id="755"/>
    <w:p>
      <w:pPr>
        <w:spacing w:after="0" w:line="199" w:lineRule="exact"/>
        <w:rPr>
          <w:sz w:val="20"/>
          <w:szCs w:val="20"/>
          <w:color w:val="auto"/>
        </w:rPr>
      </w:pPr>
    </w:p>
    <w:p>
      <w:pPr>
        <w:ind w:left="660" w:firstLine="644"/>
        <w:spacing w:after="0" w:line="271" w:lineRule="auto"/>
        <w:tabs>
          <w:tab w:leader="none" w:pos="1851" w:val="left"/>
        </w:tabs>
        <w:numPr>
          <w:ilvl w:val="0"/>
          <w:numId w:val="8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expense recorded from grants by such Person of stock appreciation or similar rights, stock options or other rights to officers, directors or employees, will be excluded;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78" w:val="left"/>
        </w:tabs>
        <w:numPr>
          <w:ilvl w:val="0"/>
          <w:numId w:val="8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 Property, Plant and Equipment and 805—Business Combinations (excluding any such non-cash item to the extent that it represents an accrual of or reserve for cash expenditures in any future period except to the extent such item is subsequently reversed), will be excluded;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1" w:val="left"/>
        </w:tabs>
        <w:numPr>
          <w:ilvl w:val="0"/>
          <w:numId w:val="8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2" w:val="left"/>
        </w:tabs>
        <w:numPr>
          <w:ilvl w:val="0"/>
          <w:numId w:val="8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16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Tangible Assets</w:t>
      </w:r>
      <w:r>
        <w:rPr>
          <w:rFonts w:ascii="Times New Roman" w:cs="Times New Roman" w:eastAsia="Times New Roman" w:hAnsi="Times New Roman"/>
          <w:sz w:val="22"/>
          <w:szCs w:val="22"/>
          <w:color w:val="auto"/>
        </w:rPr>
        <w:t>”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Assets</w:t>
      </w:r>
      <w:r>
        <w:rPr>
          <w:rFonts w:ascii="Times New Roman" w:cs="Times New Roman" w:eastAsia="Times New Roman" w:hAnsi="Times New Roman"/>
          <w:sz w:val="22"/>
          <w:szCs w:val="22"/>
          <w:color w:val="auto"/>
        </w:rPr>
        <w:t>” shall mean, as of any date of determination, the sum of the amounts that would appear on a consolidated balance sheet of Parent and its consolidated Restricted Subsidiaries as the total assets of Parent and its Restricted Subsidiaries in accordance with GAAP.</w:t>
      </w:r>
    </w:p>
    <w:p>
      <w:pPr>
        <w:spacing w:after="0" w:line="16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Convertible Indebtedness</w:t>
      </w:r>
      <w:r>
        <w:rPr>
          <w:rFonts w:ascii="Times New Roman" w:cs="Times New Roman" w:eastAsia="Times New Roman" w:hAnsi="Times New Roman"/>
          <w:sz w:val="22"/>
          <w:szCs w:val="22"/>
          <w:color w:val="auto"/>
        </w:rPr>
        <w:t>” shall mean Indebtedness of Parent or a Restricted Subsidiary of Parent (which may be Guaranteed by the Parent) permitted to be incurred under the terms of this Agreement that is either (a) convertible or exchangeable into common stock of Parent or a parent company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Core Collateral</w:t>
      </w:r>
      <w:r>
        <w:rPr>
          <w:rFonts w:ascii="Times New Roman" w:cs="Times New Roman" w:eastAsia="Times New Roman" w:hAnsi="Times New Roman"/>
          <w:sz w:val="22"/>
          <w:szCs w:val="22"/>
          <w:color w:val="auto"/>
        </w:rPr>
        <w:t>” shall mean (1) a number of Foreign Slots (other than any Temporary Slots) of the Parent and its Subsidiaries (the “</w:t>
      </w:r>
      <w:r>
        <w:rPr>
          <w:rFonts w:ascii="Times New Roman" w:cs="Times New Roman" w:eastAsia="Times New Roman" w:hAnsi="Times New Roman"/>
          <w:sz w:val="22"/>
          <w:szCs w:val="22"/>
          <w:i w:val="1"/>
          <w:iCs w:val="1"/>
          <w:color w:val="auto"/>
        </w:rPr>
        <w:t>AAG Group</w:t>
      </w:r>
      <w:r>
        <w:rPr>
          <w:rFonts w:ascii="Times New Roman" w:cs="Times New Roman" w:eastAsia="Times New Roman" w:hAnsi="Times New Roman"/>
          <w:sz w:val="22"/>
          <w:szCs w:val="22"/>
          <w:color w:val="auto"/>
        </w:rPr>
        <w:t>”) at airports in Central America, the Specified Caribbean Jurisdictions and Mexico that is not less than the product of (I) 90%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756" w:name="page757"/>
    <w:bookmarkEnd w:id="756"/>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total number of Foreign Slots (other than any Temporary Slots) of the AAG Group used in any non-stop scheduled service of the AAG Group between airports in the United States (other than DCA and LGA) and airports in Central America, the Specified Caribbean Jurisdictions and Mexico and (2) all of the Route Authorities, Slots (other than Slots subject to certain Transfer Restrictions set forth in the SGR Security Agreement) and Foreign Gate Leaseholds (other than Foreign Gate Leaseholds subject to certain Transfer Restrictions set forth in the SGR Security Agreement) of the AAG Group used in any non-stop scheduled service of the AAG Group between airports in the United States (other than DCA and LGA) and airports in Central America, the Specified Caribbean Jurisdictions and Mexico, that represent not less than 90% of all of the non-stop scheduled services of the Company between airports in the United States (other than DCA and LGA) and airports in Central America, the Specified Caribbean Jurisdictions and Mexico, determined on the basis of Appraised Value. For avoidance of doubt, for all purposes under the Loan Documents, any Foreign Slots in excess of the number constituting Core Collateral specified in clause (1) above, and any Route Authorities, Slots and Foreign Gate Leaseholds representing the excess above the 90% threshold specified in clause (2) above, as selected by the Borrower in its discretion, shall not constitute Core Collateral.</w:t>
      </w:r>
    </w:p>
    <w:p>
      <w:pPr>
        <w:spacing w:after="0" w:line="18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Notwithstanding the foregoing, with respect to any Foreign Slots, Foreign Gate Leaseholds or Route Authorities constituting all or any portion of Core Collateral, if any change in applicable law, rule, regulation or treaty or any change in interpretation thereof, in each case, arising following the Closing Date (a “</w:t>
      </w:r>
      <w:r>
        <w:rPr>
          <w:rFonts w:ascii="Times New Roman" w:cs="Times New Roman" w:eastAsia="Times New Roman" w:hAnsi="Times New Roman"/>
          <w:sz w:val="21"/>
          <w:szCs w:val="21"/>
          <w:i w:val="1"/>
          <w:iCs w:val="1"/>
          <w:color w:val="auto"/>
        </w:rPr>
        <w:t>Collateral Change in Law</w:t>
      </w:r>
      <w:r>
        <w:rPr>
          <w:rFonts w:ascii="Times New Roman" w:cs="Times New Roman" w:eastAsia="Times New Roman" w:hAnsi="Times New Roman"/>
          <w:sz w:val="21"/>
          <w:szCs w:val="21"/>
          <w:color w:val="auto"/>
        </w:rPr>
        <w:t>”), would result, directly or indirectly, in the pledge of such Collateral to the Collateral Trustee (i) constituting a violation of the terms under which such Grantor was granted such right, title or interest or give rise to a default, breach, right of recoupment, claim, defense, termination, right of termination or remedy with respect thereto, (ii) constituting a violation, default or breach of any term of any agreement for Indebtedness or any security agreement to which such Grantor was party prior to the Closing Date and prior to such Collateral Change in Law or (iii) entitling any Governmental Authority or other Person to terminate or suspend any such right, title or interest (or such Grantor’s interest in any agreement or license related thereto) (each such result described in clauses (i), (ii) and</w:t>
      </w:r>
    </w:p>
    <w:p>
      <w:pPr>
        <w:spacing w:after="0" w:line="5" w:lineRule="exact"/>
        <w:rPr>
          <w:sz w:val="20"/>
          <w:szCs w:val="20"/>
          <w:color w:val="auto"/>
        </w:rPr>
      </w:pPr>
    </w:p>
    <w:p>
      <w:pPr>
        <w:jc w:val="both"/>
        <w:ind w:firstLine="8"/>
        <w:spacing w:after="0" w:line="249" w:lineRule="auto"/>
        <w:tabs>
          <w:tab w:leader="none" w:pos="409" w:val="left"/>
        </w:tabs>
        <w:numPr>
          <w:ilvl w:val="0"/>
          <w:numId w:val="8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collectively, a “</w:t>
      </w:r>
      <w:r>
        <w:rPr>
          <w:rFonts w:ascii="Times New Roman" w:cs="Times New Roman" w:eastAsia="Times New Roman" w:hAnsi="Times New Roman"/>
          <w:sz w:val="22"/>
          <w:szCs w:val="22"/>
          <w:i w:val="1"/>
          <w:iCs w:val="1"/>
          <w:color w:val="auto"/>
        </w:rPr>
        <w:t>Collateral Conflict</w:t>
      </w:r>
      <w:r>
        <w:rPr>
          <w:rFonts w:ascii="Times New Roman" w:cs="Times New Roman" w:eastAsia="Times New Roman" w:hAnsi="Times New Roman"/>
          <w:sz w:val="22"/>
          <w:szCs w:val="22"/>
          <w:color w:val="auto"/>
        </w:rPr>
        <w:t>”), then Core Collateral shall be deemed to exclude such Foreign Slots, Foreign Gate Leaseholds or Route Authorities so long as after giving pro forma effect to such exclusion (and giving effect to the inclusion of any Additional Collateral and the prepayment or redemption of any Pari Passu Senior Secured Debt), no Collateral Coverage Ratio Failure shall have occurred.</w:t>
      </w:r>
    </w:p>
    <w:p>
      <w:pPr>
        <w:spacing w:after="0" w:line="17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Core Collateral Failure</w:t>
      </w:r>
      <w:r>
        <w:rPr>
          <w:rFonts w:ascii="Times New Roman" w:cs="Times New Roman" w:eastAsia="Times New Roman" w:hAnsi="Times New Roman"/>
          <w:sz w:val="22"/>
          <w:szCs w:val="22"/>
          <w:color w:val="auto"/>
        </w:rPr>
        <w:t>” shall mean, as of any date of determination, the failure of the Collateral to include the Core Collateral as of such date.</w:t>
      </w:r>
    </w:p>
    <w:p>
      <w:pPr>
        <w:spacing w:after="0" w:line="14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Credit Facilities</w:t>
      </w:r>
      <w:r>
        <w:rPr>
          <w:rFonts w:ascii="Times New Roman" w:cs="Times New Roman" w:eastAsia="Times New Roman" w:hAnsi="Times New Roman"/>
          <w:sz w:val="22"/>
          <w:szCs w:val="22"/>
          <w:color w:val="auto"/>
        </w:rPr>
        <w:t>”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757" w:name="page758"/>
    <w:bookmarkEnd w:id="757"/>
    <w:p>
      <w:pPr>
        <w:spacing w:after="0" w:line="19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renewed, extended, refunded, replaced in any manner (whether upon or after termination or otherwise) or refinanced (including by means of sales of debt securities) in whole or in part from time to time.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DCA</w:t>
      </w:r>
      <w:r>
        <w:rPr>
          <w:rFonts w:ascii="Times New Roman" w:cs="Times New Roman" w:eastAsia="Times New Roman" w:hAnsi="Times New Roman"/>
          <w:sz w:val="22"/>
          <w:szCs w:val="22"/>
          <w:color w:val="auto"/>
        </w:rPr>
        <w:t>” shall mean Ronald Reagan Washington National Airport, Washington D.C.</w:t>
      </w: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shall mean any event that, unless cured or waived, is, or with the passage of time or the giving of notice or both would be, an Event of Default.</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Defaulting Lender</w:t>
      </w:r>
      <w:r>
        <w:rPr>
          <w:rFonts w:ascii="Times New Roman" w:cs="Times New Roman" w:eastAsia="Times New Roman" w:hAnsi="Times New Roman"/>
          <w:sz w:val="21"/>
          <w:szCs w:val="21"/>
          <w:color w:val="auto"/>
        </w:rPr>
        <w:t xml:space="preserve">” shall mean, at any time, subject to Section 2.26(i) (a) any Lender (including any Agent in its capacity as Lender) that has failed, within two (2) Business Days from the date required to be funded or paid by it hereunder, to fund or pay (x) any portion of the Revolving 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 (i) under this Agreement (unless such notification or public statement relates to such Lender’s obligation to fund a Borrowing hereunder and states that such position is based on such Lender’s determination that a condition precedent to funding (which condition precedent,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Borrower or (d) any Agent or any Lender that has become, or has had its Parent Company become, the subject of a Bankruptcy Event or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2.26(i)) upon notification of such determination by the Administrative Agent to the Borrower and the Lenders.</w:t>
      </w:r>
    </w:p>
    <w:p>
      <w:pPr>
        <w:spacing w:after="0" w:line="200" w:lineRule="exact"/>
        <w:rPr>
          <w:sz w:val="20"/>
          <w:szCs w:val="20"/>
          <w:color w:val="auto"/>
        </w:rPr>
      </w:pPr>
    </w:p>
    <w:p>
      <w:pPr>
        <w:spacing w:after="0" w:line="23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Banking Product Agreement</w:t>
      </w:r>
      <w:r>
        <w:rPr>
          <w:rFonts w:ascii="Times New Roman" w:cs="Times New Roman" w:eastAsia="Times New Roman" w:hAnsi="Times New Roman"/>
          <w:sz w:val="22"/>
          <w:szCs w:val="22"/>
          <w:color w:val="auto"/>
        </w:rPr>
        <w:t>” shall mean any agreement evidencing Designated Banking Product Obligations entered into by Parent or the Borrower and any Person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758" w:name="page759"/>
    <w:bookmarkEnd w:id="758"/>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such agreement was in effect on the Closing Date, as of the Closing Date, and if otherwise, at the time such Person entered into such agreement, was a Joint Lead Arranger and Bookrunner, a Lender or a banking Affiliate of a Joint Lead Arranger and Bookrunner or a Lender, in each case designated by the relevant Joint Lead Arranger and Bookrunner or Lender and Parent or the Borrower, by written notice to the Administrative Agent, as a “Designated Banking Product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any Lender is a Defaulting Lender, such Lender shall not have any rights hereunder with respect to any Designated Banking Product Agreement entered into while such Lender was a Defaulting Lender.</w:t>
      </w:r>
    </w:p>
    <w:p>
      <w:pPr>
        <w:spacing w:after="0" w:line="17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Banking Product Obligations</w:t>
      </w:r>
      <w:r>
        <w:rPr>
          <w:rFonts w:ascii="Times New Roman" w:cs="Times New Roman" w:eastAsia="Times New Roman" w:hAnsi="Times New Roman"/>
          <w:sz w:val="22"/>
          <w:szCs w:val="22"/>
          <w:color w:val="auto"/>
        </w:rPr>
        <w:t xml:space="preserve">” shall mean any Banking Product Obligations, in each case as designated by any Joint Lead Arranger and Bookrunner or Lender (or a banking affiliate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Joint Lead Arranger and Bookrunner or Lender (or such banking Affiliate) that its security interest in the Collateral securing such Designated Banking Product Obligations shall be subject to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Hedging Agreement</w:t>
      </w:r>
      <w:r>
        <w:rPr>
          <w:rFonts w:ascii="Times New Roman" w:cs="Times New Roman" w:eastAsia="Times New Roman" w:hAnsi="Times New Roman"/>
          <w:sz w:val="21"/>
          <w:szCs w:val="21"/>
          <w:color w:val="auto"/>
        </w:rPr>
        <w:t>” shall mean any Hedging Agreement entered into by Parent or the Borrower and any Person that, if such Hedging Agreement was in effect on the Closing Date, as of the Closing Date, and if otherwise, at the time such Person entered into such Hedging Agreement, was a Joint Lead Arranger and Bookrunner or a Lender or an Affiliate of a Joint Lead Arranger and Bookrunner or Lender, as designated by the relevant Joint Lead Arranger and Bookrunner or Lender (or Affiliate of a Joint Lead Arranger and Bookrunner or Lender) and Parent or the Borrower, by written notice to the Administrative Agent, as a “Designated Hedging Agreement,” which notice shall include a copy of an agreement providing for</w:t>
      </w:r>
    </w:p>
    <w:p>
      <w:pPr>
        <w:spacing w:after="0" w:line="5" w:lineRule="exact"/>
        <w:rPr>
          <w:sz w:val="20"/>
          <w:szCs w:val="20"/>
          <w:color w:val="auto"/>
        </w:rPr>
      </w:pPr>
    </w:p>
    <w:p>
      <w:pPr>
        <w:jc w:val="both"/>
        <w:ind w:firstLine="8"/>
        <w:spacing w:after="0" w:line="246" w:lineRule="auto"/>
        <w:tabs>
          <w:tab w:leader="none" w:pos="258" w:val="left"/>
        </w:tabs>
        <w:numPr>
          <w:ilvl w:val="0"/>
          <w:numId w:val="8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methodology agreed to by Parent or the Borrower, such Joint Lead Arranger and Bookrunner or Lender or Affiliate of a Joint Lead Arranger and Bookrunner or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Joint Lead Arranger and Bookrunner or Lender or Affiliate of a Joint Lead Arranger and Bookrunner or a Lender that its security interest in the Collateral securing such Designated Hedging Obligations shall be subject to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designation, the aggregate agreed-upon maximum amount of all “Designated Hedging Obligations” included as Obligations, together with the aggregate agreed-upon maximum amount of all “Designated Banking Product Obligations” included as Obligations, shall not exceed $100,000,000 in the aggregate;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so long as any Lender is a Defaulting Lender, such Lender shall not have any rights hereunder with respect to any Designated Hedging Agreement entered into while such Lender was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759" w:name="page760"/>
    <w:bookmarkEnd w:id="759"/>
    <w:p>
      <w:pPr>
        <w:spacing w:after="0" w:line="195"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Hedging Obligations</w:t>
      </w:r>
      <w:r>
        <w:rPr>
          <w:rFonts w:ascii="Times New Roman" w:cs="Times New Roman" w:eastAsia="Times New Roman" w:hAnsi="Times New Roman"/>
          <w:sz w:val="21"/>
          <w:szCs w:val="21"/>
          <w:color w:val="auto"/>
        </w:rPr>
        <w:t>”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Disposition</w:t>
      </w:r>
      <w:r>
        <w:rPr>
          <w:rFonts w:ascii="Times New Roman" w:cs="Times New Roman" w:eastAsia="Times New Roman" w:hAnsi="Times New Roman"/>
          <w:sz w:val="22"/>
          <w:szCs w:val="22"/>
          <w:color w:val="auto"/>
        </w:rPr>
        <w:t xml:space="preserve">” shall mean, with respect to any property, any sale, lease, sale and leaseback, conveyance, transfer or other disposition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none of the circumstances described in the last sentence of Section 6.04 shall constitute a “Disposition”. The terms “</w:t>
      </w:r>
      <w:r>
        <w:rPr>
          <w:rFonts w:ascii="Times New Roman" w:cs="Times New Roman" w:eastAsia="Times New Roman" w:hAnsi="Times New Roman"/>
          <w:sz w:val="22"/>
          <w:szCs w:val="22"/>
          <w:i w:val="1"/>
          <w:iCs w:val="1"/>
          <w:color w:val="auto"/>
        </w:rPr>
        <w:t>Dispose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Disposed of</w:t>
      </w:r>
      <w:r>
        <w:rPr>
          <w:rFonts w:ascii="Times New Roman" w:cs="Times New Roman" w:eastAsia="Times New Roman" w:hAnsi="Times New Roman"/>
          <w:sz w:val="22"/>
          <w:szCs w:val="22"/>
          <w:color w:val="auto"/>
        </w:rPr>
        <w:t>” shall have correlative meanings.</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Institution</w:t>
      </w:r>
      <w:r>
        <w:rPr>
          <w:rFonts w:ascii="Times New Roman" w:cs="Times New Roman" w:eastAsia="Times New Roman" w:hAnsi="Times New Roman"/>
          <w:sz w:val="22"/>
          <w:szCs w:val="22"/>
          <w:color w:val="auto"/>
        </w:rPr>
        <w:t>” shall mean (a) any Person identified in writing to the Administrative Agent on November 9, 2023 and (b) any Person that is or becomes a competitor of the Borrower and is designated by the Borrower as such in a writing provided to the Administrative Agent after the Closing Date from time to time.</w:t>
      </w:r>
    </w:p>
    <w:p>
      <w:pPr>
        <w:spacing w:after="0" w:line="16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Disqualified Stock</w:t>
      </w:r>
      <w:r>
        <w:rPr>
          <w:rFonts w:ascii="Times New Roman" w:cs="Times New Roman" w:eastAsia="Times New Roman" w:hAnsi="Times New Roman"/>
          <w:sz w:val="22"/>
          <w:szCs w:val="22"/>
          <w:color w:val="auto"/>
        </w:rPr>
        <w:t>”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shall mean lawful money of the United States.</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Subsidiary</w:t>
      </w:r>
      <w:r>
        <w:rPr>
          <w:rFonts w:ascii="Times New Roman" w:cs="Times New Roman" w:eastAsia="Times New Roman" w:hAnsi="Times New Roman"/>
          <w:sz w:val="22"/>
          <w:szCs w:val="22"/>
          <w:color w:val="auto"/>
        </w:rPr>
        <w:t>”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760" w:name="page761"/>
    <w:bookmarkEnd w:id="760"/>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(including cash and Cash Equivalents) relating to an ownership interest in such Foreign Subsidiaries and (ii) any Subsidiary of a Foreign Subsidiary.</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DOT</w:t>
      </w:r>
      <w:r>
        <w:rPr>
          <w:rFonts w:ascii="Times New Roman" w:cs="Times New Roman" w:eastAsia="Times New Roman" w:hAnsi="Times New Roman"/>
          <w:sz w:val="22"/>
          <w:szCs w:val="22"/>
          <w:color w:val="auto"/>
        </w:rPr>
        <w:t>” shall mean the United States Department of Transportation and any successor thereto.</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Dutch Auction</w:t>
      </w:r>
      <w:r>
        <w:rPr>
          <w:rFonts w:ascii="Times New Roman" w:cs="Times New Roman" w:eastAsia="Times New Roman" w:hAnsi="Times New Roman"/>
          <w:sz w:val="22"/>
          <w:szCs w:val="22"/>
          <w:color w:val="auto"/>
        </w:rPr>
        <w:t>” shall mean an auction of Term Loans conducted pursuant to Section 10.02(g) to allow the Borrower to purchase Term Loans at a discount to par value and on a non-pro rata basis, in each case in accordance with the applicable Dutch Auction Procedures.</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Dutch Auction Procedures</w:t>
      </w:r>
      <w:r>
        <w:rPr>
          <w:rFonts w:ascii="Times New Roman" w:cs="Times New Roman" w:eastAsia="Times New Roman" w:hAnsi="Times New Roman"/>
          <w:sz w:val="22"/>
          <w:szCs w:val="22"/>
          <w:color w:val="auto"/>
        </w:rPr>
        <w:t>” shall mean, with respect to a purchase of Term Loans by the Borrower pursuant to Section 10.02(g), Dutch auction procedures to be reasonably agreed upon by the Borrower and the Administrative Agent in connection with any such purchase.</w:t>
      </w:r>
    </w:p>
    <w:p>
      <w:pPr>
        <w:spacing w:after="0" w:line="16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9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Eligible Assignee</w:t>
      </w:r>
      <w:r>
        <w:rPr>
          <w:rFonts w:ascii="Times New Roman" w:cs="Times New Roman" w:eastAsia="Times New Roman" w:hAnsi="Times New Roman"/>
          <w:sz w:val="21"/>
          <w:szCs w:val="21"/>
          <w:color w:val="auto"/>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assignment of Revolving Commitments, such Affiliate has total assets in excess of $200,000,000, (d) an Approved Fund of any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financial institution has total assets in excess of $200,000,000, and</w:t>
      </w:r>
    </w:p>
    <w:p>
      <w:pPr>
        <w:spacing w:after="0" w:line="5" w:lineRule="exact"/>
        <w:rPr>
          <w:sz w:val="20"/>
          <w:szCs w:val="20"/>
          <w:color w:val="auto"/>
        </w:rPr>
      </w:pPr>
    </w:p>
    <w:p>
      <w:pPr>
        <w:jc w:val="both"/>
        <w:ind w:firstLine="8"/>
        <w:spacing w:after="0" w:line="246" w:lineRule="auto"/>
        <w:tabs>
          <w:tab w:leader="none" w:pos="353" w:val="left"/>
        </w:tabs>
        <w:numPr>
          <w:ilvl w:val="0"/>
          <w:numId w:val="8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has occurred and is continuing, no Disqualified Institution shall constitute an Eligible Assignee unless otherwise consented to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as provided in clause (f) above, neither Parent nor any Subsidiary of Parent shall constitute an Eligible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761" w:name="page762"/>
    <w:bookmarkEnd w:id="761"/>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Laws</w:t>
      </w:r>
      <w:r>
        <w:rPr>
          <w:rFonts w:ascii="Times New Roman" w:cs="Times New Roman" w:eastAsia="Times New Roman" w:hAnsi="Times New Roman"/>
          <w:sz w:val="22"/>
          <w:szCs w:val="22"/>
          <w:color w:val="auto"/>
        </w:rPr>
        <w:t>”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shall mean any liability (including any liability for damages, natural resource damage, costs of environmental investigation, remediation or monitoring or costs, fines or penalties) resulting from or based upon</w:t>
      </w:r>
    </w:p>
    <w:p>
      <w:pPr>
        <w:spacing w:after="0" w:line="1" w:lineRule="exact"/>
        <w:rPr>
          <w:sz w:val="20"/>
          <w:szCs w:val="20"/>
          <w:color w:val="auto"/>
        </w:rPr>
      </w:pPr>
    </w:p>
    <w:p>
      <w:pPr>
        <w:jc w:val="both"/>
        <w:ind w:firstLine="8"/>
        <w:spacing w:after="0" w:line="249" w:lineRule="auto"/>
        <w:tabs>
          <w:tab w:leader="none" w:pos="329" w:val="left"/>
        </w:tabs>
        <w:numPr>
          <w:ilvl w:val="0"/>
          <w:numId w:val="8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w:t>
      </w:r>
    </w:p>
    <w:p>
      <w:pPr>
        <w:spacing w:after="0" w:line="17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shall mean Capital Stock and all warrants, options or other rights to acquire Capital Stock (but excluding any debt security that is convertible into, or exchangeable for, Capital Stock).</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shall mean the Employee Retirement Income Security Act of 1974, as amended from time to time, and the regulations promulgated thereunder.</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Affiliate</w:t>
      </w:r>
      <w:r>
        <w:rPr>
          <w:rFonts w:ascii="Times New Roman" w:cs="Times New Roman" w:eastAsia="Times New Roman" w:hAnsi="Times New Roman"/>
          <w:sz w:val="22"/>
          <w:szCs w:val="22"/>
          <w:color w:val="auto"/>
        </w:rPr>
        <w:t>”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w:t>
      </w:r>
      <w:r>
        <w:rPr>
          <w:rFonts w:ascii="Times New Roman" w:cs="Times New Roman" w:eastAsia="Times New Roman" w:hAnsi="Times New Roman"/>
          <w:sz w:val="22"/>
          <w:szCs w:val="22"/>
          <w:color w:val="auto"/>
        </w:rPr>
        <w:t>” has the meaning assigned to it in Section 8.12(a).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Subrogation Rights</w:t>
      </w:r>
      <w:r>
        <w:rPr>
          <w:rFonts w:ascii="Times New Roman" w:cs="Times New Roman" w:eastAsia="Times New Roman" w:hAnsi="Times New Roman"/>
          <w:sz w:val="22"/>
          <w:szCs w:val="22"/>
          <w:color w:val="auto"/>
        </w:rPr>
        <w:t>” has the meaning assigned to it in Section 8.12(d).</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Escrow Accounts</w:t>
      </w:r>
      <w:r>
        <w:rPr>
          <w:rFonts w:ascii="Times New Roman" w:cs="Times New Roman" w:eastAsia="Times New Roman" w:hAnsi="Times New Roman"/>
          <w:sz w:val="21"/>
          <w:szCs w:val="21"/>
          <w:color w:val="auto"/>
        </w:rPr>
        <w:t>”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other funds held in trust for, or otherwise pledged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762" w:name="page763"/>
    <w:bookmarkEnd w:id="762"/>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or segregated for the benefit of, an identified beneficiary; or (2) accounts, capitalized interest accounts, debt service reserve accounts, escrow accounts and other similar accounts of Parent or any Subsidiary or funds established in connection with the ARB Indebtedness.</w:t>
      </w:r>
    </w:p>
    <w:p>
      <w:pPr>
        <w:spacing w:after="0" w:line="182"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shall have the meaning set forth in Section 7.01.</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Cash Flow</w:t>
      </w:r>
      <w:r>
        <w:rPr>
          <w:rFonts w:ascii="Times New Roman" w:cs="Times New Roman" w:eastAsia="Times New Roman" w:hAnsi="Times New Roman"/>
          <w:sz w:val="22"/>
          <w:szCs w:val="22"/>
          <w:color w:val="auto"/>
        </w:rPr>
        <w:t>”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Contributions</w:t>
      </w:r>
      <w:r>
        <w:rPr>
          <w:rFonts w:ascii="Times New Roman" w:cs="Times New Roman" w:eastAsia="Times New Roman" w:hAnsi="Times New Roman"/>
          <w:sz w:val="22"/>
          <w:szCs w:val="22"/>
          <w:color w:val="auto"/>
        </w:rPr>
        <w:t>” shall mean net cash proceeds received by Parent after the Closing Date from:</w:t>
      </w:r>
    </w:p>
    <w:p>
      <w:pPr>
        <w:spacing w:after="0" w:line="224" w:lineRule="exact"/>
        <w:rPr>
          <w:sz w:val="20"/>
          <w:szCs w:val="20"/>
          <w:color w:val="auto"/>
        </w:rPr>
      </w:pPr>
    </w:p>
    <w:p>
      <w:pPr>
        <w:ind w:left="1780" w:hanging="476"/>
        <w:spacing w:after="0"/>
        <w:tabs>
          <w:tab w:leader="none" w:pos="1780" w:val="left"/>
        </w:tabs>
        <w:numPr>
          <w:ilvl w:val="0"/>
          <w:numId w:val="8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to its common equity capital (other than from any Subsidiary); or</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79" w:val="left"/>
        </w:tabs>
        <w:numPr>
          <w:ilvl w:val="0"/>
          <w:numId w:val="8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(other than to a Subsidiary or to any management equity plan or stock option plan or any other management or employee benefit plan or agreement of Parent or any Subsidiary) of Qualifying Equity Interests,</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Information</w:t>
      </w:r>
      <w:r>
        <w:rPr>
          <w:rFonts w:ascii="Times New Roman" w:cs="Times New Roman" w:eastAsia="Times New Roman" w:hAnsi="Times New Roman"/>
          <w:sz w:val="22"/>
          <w:szCs w:val="22"/>
          <w:color w:val="auto"/>
        </w:rPr>
        <w:t>” shall have the meaning set forth in Section 10.02(g).</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Subsidiary</w:t>
      </w:r>
      <w:r>
        <w:rPr>
          <w:rFonts w:ascii="Times New Roman" w:cs="Times New Roman" w:eastAsia="Times New Roman" w:hAnsi="Times New Roman"/>
          <w:sz w:val="22"/>
          <w:szCs w:val="22"/>
          <w:color w:val="auto"/>
        </w:rPr>
        <w:t>”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763" w:name="page764"/>
    <w:bookmarkEnd w:id="763"/>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(9) AWHQ LLC or (10) US Airways Company Store LLC.</w:t>
      </w:r>
    </w:p>
    <w:p>
      <w:pPr>
        <w:spacing w:after="0" w:line="19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Swap Obligation</w:t>
      </w:r>
      <w:r>
        <w:rPr>
          <w:rFonts w:ascii="Times New Roman" w:cs="Times New Roman" w:eastAsia="Times New Roman" w:hAnsi="Times New Roman"/>
          <w:sz w:val="21"/>
          <w:szCs w:val="21"/>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Taxes</w:t>
      </w:r>
      <w:r>
        <w:rPr>
          <w:rFonts w:ascii="Times New Roman" w:cs="Times New Roman" w:eastAsia="Times New Roman" w:hAnsi="Times New Roman"/>
          <w:sz w:val="21"/>
          <w:szCs w:val="21"/>
          <w:color w:val="auto"/>
        </w:rPr>
        <w:t>”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 (i) imposed by the United States or any political subdivision thereof or by the jurisdiction under the laws of which such recipient is organized or in which its principal office is located or, in the case of any Lender, in which its applicable lending office is located or (ii) 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764" w:name="page765"/>
    <w:bookmarkEnd w:id="764"/>
    <w:p>
      <w:pPr>
        <w:spacing w:after="0" w:line="19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beneficiary, partner or member immediately before such beneficiary, partner or member acquired its interest in such recipient from such assignor (or predecessor in interest).</w:t>
      </w:r>
    </w:p>
    <w:p>
      <w:pPr>
        <w:spacing w:after="0" w:line="154"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Indebtedness</w:t>
      </w:r>
      <w:r>
        <w:rPr>
          <w:rFonts w:ascii="Times New Roman" w:cs="Times New Roman" w:eastAsia="Times New Roman" w:hAnsi="Times New Roman"/>
          <w:sz w:val="22"/>
          <w:szCs w:val="22"/>
          <w:color w:val="auto"/>
        </w:rPr>
        <w:t>” shall mean all Indebtedness of Parent and its Subsidiaries in existence on the Closing Date, until such amounts are repaid.</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Notes</w:t>
      </w:r>
      <w:r>
        <w:rPr>
          <w:rFonts w:ascii="Times New Roman" w:cs="Times New Roman" w:eastAsia="Times New Roman" w:hAnsi="Times New Roman"/>
          <w:sz w:val="22"/>
          <w:szCs w:val="22"/>
          <w:color w:val="auto"/>
        </w:rPr>
        <w:t>” shall mean the Borrower’s 11.75% senior secured notes due 2025.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Revolving Commitment</w:t>
      </w:r>
      <w:r>
        <w:rPr>
          <w:rFonts w:ascii="Times New Roman" w:cs="Times New Roman" w:eastAsia="Times New Roman" w:hAnsi="Times New Roman"/>
          <w:sz w:val="22"/>
          <w:szCs w:val="22"/>
          <w:color w:val="auto"/>
        </w:rPr>
        <w:t>” shall have the meaning set forth in Section 2.28(b)(ii).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Extended Term Loan</w:t>
      </w:r>
      <w:r>
        <w:rPr>
          <w:rFonts w:ascii="Times New Roman" w:cs="Times New Roman" w:eastAsia="Times New Roman" w:hAnsi="Times New Roman"/>
          <w:sz w:val="22"/>
          <w:szCs w:val="22"/>
          <w:color w:val="auto"/>
        </w:rPr>
        <w:t>” shall have the meaning set forth in Section 2.28(a)(ii).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w:t>
      </w:r>
      <w:r>
        <w:rPr>
          <w:rFonts w:ascii="Times New Roman" w:cs="Times New Roman" w:eastAsia="Times New Roman" w:hAnsi="Times New Roman"/>
          <w:sz w:val="22"/>
          <w:szCs w:val="22"/>
          <w:color w:val="auto"/>
        </w:rPr>
        <w:t>” shall mean a Term Loan Extension or a Revolver Extension, as the case may be.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Amendment</w:t>
      </w:r>
      <w:r>
        <w:rPr>
          <w:rFonts w:ascii="Times New Roman" w:cs="Times New Roman" w:eastAsia="Times New Roman" w:hAnsi="Times New Roman"/>
          <w:sz w:val="22"/>
          <w:szCs w:val="22"/>
          <w:color w:val="auto"/>
        </w:rPr>
        <w:t>” shall have the meaning set forth in Section 2.28(d).</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 Credit</w:t>
      </w:r>
      <w:r>
        <w:rPr>
          <w:rFonts w:ascii="Times New Roman" w:cs="Times New Roman" w:eastAsia="Times New Roman" w:hAnsi="Times New Roman"/>
          <w:sz w:val="22"/>
          <w:szCs w:val="22"/>
          <w:color w:val="auto"/>
        </w:rPr>
        <w:t>” shall mean, as to any Lender, the making of a Loan, or the issuance of, or participation in, a Letter of Credit by such Lender.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Extension Offer</w:t>
      </w:r>
      <w:r>
        <w:rPr>
          <w:rFonts w:ascii="Times New Roman" w:cs="Times New Roman" w:eastAsia="Times New Roman" w:hAnsi="Times New Roman"/>
          <w:sz w:val="22"/>
          <w:szCs w:val="22"/>
          <w:color w:val="auto"/>
        </w:rPr>
        <w:t>” shall mean a Term Loan Extension Offer or a Revolver Extension Offer, as the case may be.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w:t>
      </w:r>
      <w:r>
        <w:rPr>
          <w:rFonts w:ascii="Times New Roman" w:cs="Times New Roman" w:eastAsia="Times New Roman" w:hAnsi="Times New Roman"/>
          <w:sz w:val="22"/>
          <w:szCs w:val="22"/>
          <w:color w:val="auto"/>
        </w:rPr>
        <w:t>” shall mean the Federal Aviation Administration of the United States and any successor thereto.</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 Route Slot</w:t>
      </w:r>
      <w:r>
        <w:rPr>
          <w:rFonts w:ascii="Times New Roman" w:cs="Times New Roman" w:eastAsia="Times New Roman" w:hAnsi="Times New Roman"/>
          <w:sz w:val="22"/>
          <w:szCs w:val="22"/>
          <w:color w:val="auto"/>
        </w:rPr>
        <w:t>”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FAA Slot</w:t>
      </w:r>
      <w:r>
        <w:rPr>
          <w:rFonts w:ascii="Times New Roman" w:cs="Times New Roman" w:eastAsia="Times New Roman" w:hAnsi="Times New Roman"/>
          <w:sz w:val="22"/>
          <w:szCs w:val="22"/>
          <w:color w:val="auto"/>
        </w:rPr>
        <w:t>”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 shall mean each of the Revolving Facility and the Term Loan Facility.</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Fair Market Value</w:t>
      </w:r>
      <w:r>
        <w:rPr>
          <w:rFonts w:ascii="Times New Roman" w:cs="Times New Roman" w:eastAsia="Times New Roman" w:hAnsi="Times New Roman"/>
          <w:sz w:val="22"/>
          <w:szCs w:val="22"/>
          <w:color w:val="auto"/>
        </w:rPr>
        <w:t>” shall mean the value that would be paid by a willing buyer to an unaffiliated willing seller in a transaction not involving distress or necessity of either party, determined in good faith by a Responsible Officer of the Borrower or Parent (unless otherwise provided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765" w:name="page766"/>
    <w:bookmarkEnd w:id="765"/>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FASB</w:t>
      </w:r>
      <w:r>
        <w:rPr>
          <w:rFonts w:ascii="Times New Roman" w:cs="Times New Roman" w:eastAsia="Times New Roman" w:hAnsi="Times New Roman"/>
          <w:sz w:val="22"/>
          <w:szCs w:val="22"/>
          <w:color w:val="auto"/>
        </w:rPr>
        <w:t>” shall mean the Financial Accounting Standards Board.</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w:t>
      </w:r>
    </w:p>
    <w:p>
      <w:pPr>
        <w:spacing w:after="0" w:line="173"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Federal Funds Effective Rate</w:t>
      </w:r>
      <w:r>
        <w:rPr>
          <w:rFonts w:ascii="Times New Roman" w:cs="Times New Roman" w:eastAsia="Times New Roman" w:hAnsi="Times New Roman"/>
          <w:sz w:val="21"/>
          <w:szCs w:val="21"/>
          <w:color w:val="auto"/>
        </w:rPr>
        <w:t xml:space="preserve">” shall mean, for any day, the weighted average (rounded upwards, if necessary, to the next 1/100 of 1%) of the rates on overnight Federal funds transactions with members of the Federal Reserve System arranged by Federal funds brokers, as published on the next succeeding U.S. Government Securities Business Day by the Federal Reserve Bank of New York, or, if such rate is not so published for any day that is a U.S. Government Securities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the Federal Funds Effective Rate shall be less than zero, such rate shall be deemed to be zero for purposes of this Agreement.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 Letter</w:t>
      </w:r>
      <w:r>
        <w:rPr>
          <w:rFonts w:ascii="Times New Roman" w:cs="Times New Roman" w:eastAsia="Times New Roman" w:hAnsi="Times New Roman"/>
          <w:sz w:val="22"/>
          <w:szCs w:val="22"/>
          <w:color w:val="auto"/>
        </w:rPr>
        <w:t>” shall have the meaning set forth in Section 2.19.</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Fees</w:t>
      </w:r>
      <w:r>
        <w:rPr>
          <w:rFonts w:ascii="Times New Roman" w:cs="Times New Roman" w:eastAsia="Times New Roman" w:hAnsi="Times New Roman"/>
          <w:sz w:val="22"/>
          <w:szCs w:val="22"/>
          <w:color w:val="auto"/>
        </w:rPr>
        <w:t>” shall collectively mean the Commitment Fees, the Letter of Credit Fees and other fees referred to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Fee Letter.</w:t>
      </w:r>
    </w:p>
    <w:p>
      <w:pPr>
        <w:spacing w:after="0" w:line="19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First Amendment</w:t>
      </w:r>
      <w:r>
        <w:rPr>
          <w:rFonts w:ascii="Times New Roman" w:cs="Times New Roman" w:eastAsia="Times New Roman" w:hAnsi="Times New Roman"/>
          <w:sz w:val="22"/>
          <w:szCs w:val="22"/>
          <w:color w:val="auto"/>
        </w:rPr>
        <w:t>” means the First Amendment to Credit and Guaranty Agreement, dated as of June 4, 2024, among the Parent, the Borrower, Citibank, N.A., as administrative agent, and the Lenders and Issuing Banks party thereto.</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First Amendment Effective Date</w:t>
      </w:r>
      <w:r>
        <w:rPr>
          <w:rFonts w:ascii="Times New Roman" w:cs="Times New Roman" w:eastAsia="Times New Roman" w:hAnsi="Times New Roman"/>
          <w:sz w:val="22"/>
          <w:szCs w:val="22"/>
          <w:color w:val="auto"/>
        </w:rPr>
        <w:t>” shall have the meaning provided in the First Amendment.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Fixed Charges</w:t>
      </w:r>
      <w:r>
        <w:rPr>
          <w:rFonts w:ascii="Times New Roman" w:cs="Times New Roman" w:eastAsia="Times New Roman" w:hAnsi="Times New Roman"/>
          <w:sz w:val="21"/>
          <w:szCs w:val="21"/>
          <w:color w:val="auto"/>
        </w:rPr>
        <w:t>” shall mean, with respect to any specified Person for any period, the sum, without duplication, of:</w:t>
      </w:r>
    </w:p>
    <w:p>
      <w:pPr>
        <w:spacing w:after="0" w:line="235" w:lineRule="exact"/>
        <w:rPr>
          <w:sz w:val="20"/>
          <w:szCs w:val="20"/>
          <w:color w:val="auto"/>
        </w:rPr>
      </w:pPr>
    </w:p>
    <w:p>
      <w:pPr>
        <w:jc w:val="both"/>
        <w:ind w:left="660" w:firstLine="644"/>
        <w:spacing w:after="0" w:line="257" w:lineRule="auto"/>
        <w:tabs>
          <w:tab w:leader="none" w:pos="1827" w:val="left"/>
        </w:tabs>
        <w:numPr>
          <w:ilvl w:val="0"/>
          <w:numId w:val="8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766" w:name="page767"/>
    <w:bookmarkEnd w:id="766"/>
    <w:p>
      <w:pPr>
        <w:spacing w:after="0" w:line="199" w:lineRule="exact"/>
        <w:rPr>
          <w:sz w:val="20"/>
          <w:szCs w:val="20"/>
          <w:color w:val="auto"/>
        </w:rPr>
      </w:pPr>
    </w:p>
    <w:p>
      <w:pPr>
        <w:jc w:val="both"/>
        <w:ind w:left="660" w:firstLine="644"/>
        <w:spacing w:after="0" w:line="257" w:lineRule="auto"/>
        <w:tabs>
          <w:tab w:leader="none" w:pos="1922" w:val="left"/>
        </w:tabs>
        <w:numPr>
          <w:ilvl w:val="0"/>
          <w:numId w:val="8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component of leases that are capitalized in accordance with GAAP of such Person and its Restricted Subsidiaries for such period to the extent that such interest component is related to lease payments payable in cash; plus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05" w:val="left"/>
        </w:tabs>
        <w:numPr>
          <w:ilvl w:val="0"/>
          <w:numId w:val="8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39" w:val="left"/>
        </w:tabs>
        <w:numPr>
          <w:ilvl w:val="0"/>
          <w:numId w:val="8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791" w:val="left"/>
        </w:tabs>
        <w:numPr>
          <w:ilvl w:val="0"/>
          <w:numId w:val="8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aircraft rent expense of such Person and its Restricted Subsidiaries for such period to the extent that such aircraft rent expense is payable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as determined on a consolidated basis in accordance with GAAP.</w:t>
      </w:r>
    </w:p>
    <w:p>
      <w:pPr>
        <w:spacing w:after="0" w:line="22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Flight Simulators</w:t>
      </w:r>
      <w:r>
        <w:rPr>
          <w:rFonts w:ascii="Times New Roman" w:cs="Times New Roman" w:eastAsia="Times New Roman" w:hAnsi="Times New Roman"/>
          <w:sz w:val="22"/>
          <w:szCs w:val="22"/>
          <w:color w:val="auto"/>
        </w:rPr>
        <w:t>” shall mean the flight simulators and flight training devices owned by Parent or any of its Restricted Subsidiaries.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Floor</w:t>
      </w:r>
      <w:r>
        <w:rPr>
          <w:rFonts w:ascii="Times New Roman" w:cs="Times New Roman" w:eastAsia="Times New Roman" w:hAnsi="Times New Roman"/>
          <w:sz w:val="22"/>
          <w:szCs w:val="22"/>
          <w:color w:val="auto"/>
        </w:rPr>
        <w:t>” means, with respect to Term SOFR Loans, a rate of interest equal to 0.00% per annum.</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Flyer Miles Obligations</w:t>
      </w:r>
      <w:r>
        <w:rPr>
          <w:rFonts w:ascii="Times New Roman" w:cs="Times New Roman" w:eastAsia="Times New Roman" w:hAnsi="Times New Roman"/>
          <w:sz w:val="22"/>
          <w:szCs w:val="22"/>
          <w:color w:val="auto"/>
        </w:rPr>
        <w:t>” shall mean, at any date of determination, all payment and performance obligations of the Parent or any of its Subsidiaries under any card marketing agreement with respect to credit cards co-branded by the Parent or any of its Subsidiaries and a financial institution which may include obligations in respect of the pre-purchase by third parties of frequent flyer miles and any other similar agreements entered into by Parent or any of its Subsidiaries with any bank, as amended, restated, modified, supplemented, replaced or extended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Aviation Authority</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Gate Leasehold</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Lender</w:t>
      </w:r>
      <w:r>
        <w:rPr>
          <w:rFonts w:ascii="Times New Roman" w:cs="Times New Roman" w:eastAsia="Times New Roman" w:hAnsi="Times New Roman"/>
          <w:sz w:val="22"/>
          <w:szCs w:val="22"/>
          <w:color w:val="auto"/>
        </w:rPr>
        <w:t>” shall mean any Lender that is not a “United States person” as defined in Section 7701(a)(3)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Code.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Route Slot</w:t>
      </w:r>
      <w:r>
        <w:rPr>
          <w:rFonts w:ascii="Times New Roman" w:cs="Times New Roman" w:eastAsia="Times New Roman" w:hAnsi="Times New Roman"/>
          <w:sz w:val="22"/>
          <w:szCs w:val="22"/>
          <w:color w:val="auto"/>
        </w:rPr>
        <w:t>”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767" w:name="page768"/>
    <w:bookmarkEnd w:id="767"/>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that was obtained by a Person from another air carrier pursuant to an agreement (including but not limited to a loan agreement, lease agreement, slot exchange agreement or a slot release agreement) and is held by such Person on a temporary basis.</w:t>
      </w:r>
    </w:p>
    <w:p>
      <w:pPr>
        <w:spacing w:after="0" w:line="154"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Slot</w:t>
      </w:r>
      <w:r>
        <w:rPr>
          <w:rFonts w:ascii="Times New Roman" w:cs="Times New Roman" w:eastAsia="Times New Roman" w:hAnsi="Times New Roman"/>
          <w:sz w:val="22"/>
          <w:szCs w:val="22"/>
          <w:color w:val="auto"/>
        </w:rPr>
        <w:t>” shall mean, at any time of determination, in the case of airports outside the United States, the right and operational authority to conduct one landing or take-off operation at a specific time or during a specific time period at such airport.</w:t>
      </w:r>
    </w:p>
    <w:p>
      <w:pPr>
        <w:spacing w:after="0" w:line="16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w:t>
      </w:r>
      <w:r>
        <w:rPr>
          <w:rFonts w:ascii="Times New Roman" w:cs="Times New Roman" w:eastAsia="Times New Roman" w:hAnsi="Times New Roman"/>
          <w:sz w:val="22"/>
          <w:szCs w:val="22"/>
          <w:color w:val="auto"/>
        </w:rPr>
        <w:t>” shall mean any direct or indirect Subsidiary of Parent that was not formed under the laws of the United States or any state of the United States or the District of Columbia.</w:t>
      </w:r>
    </w:p>
    <w:p>
      <w:pPr>
        <w:spacing w:after="0" w:line="14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w:t>
      </w:r>
    </w:p>
    <w:p>
      <w:pPr>
        <w:spacing w:after="0" w:line="198"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Gate Leasehold</w:t>
      </w:r>
      <w:r>
        <w:rPr>
          <w:rFonts w:ascii="Times New Roman" w:cs="Times New Roman" w:eastAsia="Times New Roman" w:hAnsi="Times New Roman"/>
          <w:sz w:val="22"/>
          <w:szCs w:val="22"/>
          <w:color w:val="auto"/>
        </w:rPr>
        <w:t>” shall mean all of the right, title, interest, privilege and authority of any Person to use or occupy space in an airport terminal in connection with the provision of air carrier service.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Governmental Authority</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Grantor</w:t>
      </w:r>
      <w:r>
        <w:rPr>
          <w:rFonts w:ascii="Times New Roman" w:cs="Times New Roman" w:eastAsia="Times New Roman" w:hAnsi="Times New Roman"/>
          <w:sz w:val="22"/>
          <w:szCs w:val="22"/>
          <w:color w:val="auto"/>
        </w:rPr>
        <w:t>” shall mean the Borrower and any Guarantor that shall at any time pledge Collateral under a Collateral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w:t>
      </w:r>
    </w:p>
    <w:p>
      <w:pPr>
        <w:spacing w:after="0" w:line="20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Ground Service Equipment</w:t>
      </w:r>
      <w:r>
        <w:rPr>
          <w:rFonts w:ascii="Times New Roman" w:cs="Times New Roman" w:eastAsia="Times New Roman" w:hAnsi="Times New Roman"/>
          <w:sz w:val="22"/>
          <w:szCs w:val="22"/>
          <w:color w:val="auto"/>
        </w:rPr>
        <w:t>” shall mean the ground service equipment, de-icers, ground support equipment, aircraft cleaning devices, materials handling equipment, passenger walkways and other similar equipment owned by Parent or any of its Restricted Subsidiaries.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shall mean a guarantee (other than (a) by endorsement of negotiable instruments for collection or</w:t>
      </w:r>
    </w:p>
    <w:p>
      <w:pPr>
        <w:spacing w:after="0" w:line="32" w:lineRule="exact"/>
        <w:rPr>
          <w:sz w:val="20"/>
          <w:szCs w:val="20"/>
          <w:color w:val="auto"/>
        </w:rPr>
      </w:pPr>
    </w:p>
    <w:p>
      <w:pPr>
        <w:jc w:val="both"/>
        <w:ind w:firstLine="8"/>
        <w:spacing w:after="0" w:line="270" w:lineRule="auto"/>
        <w:tabs>
          <w:tab w:leader="none" w:pos="346" w:val="left"/>
        </w:tabs>
        <w:numPr>
          <w:ilvl w:val="0"/>
          <w:numId w:val="8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768" w:name="page769"/>
    <w:bookmarkEnd w:id="768"/>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 to purchase assets, goods, securities or services, to take or pay or to maintain financial statement conditions).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Guaranteed Obligations</w:t>
      </w:r>
      <w:r>
        <w:rPr>
          <w:rFonts w:ascii="Times New Roman" w:cs="Times New Roman" w:eastAsia="Times New Roman" w:hAnsi="Times New Roman"/>
          <w:sz w:val="22"/>
          <w:szCs w:val="22"/>
          <w:color w:val="auto"/>
        </w:rPr>
        <w:t>” shall have the meaning set forth in Section 9.01(a).</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 shall mean, collectively, Parent and each Domestic Subsidiary of Parent that becomes a party to the Guaranty pursuant to Section 5.09. As of the Closing Date, Parent is the only Guarantor.</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w:t>
      </w:r>
      <w:r>
        <w:rPr>
          <w:rFonts w:ascii="Times New Roman" w:cs="Times New Roman" w:eastAsia="Times New Roman" w:hAnsi="Times New Roman"/>
          <w:sz w:val="22"/>
          <w:szCs w:val="22"/>
          <w:color w:val="auto"/>
        </w:rPr>
        <w:t>” shall mean the guaranty set forth in Article IX.</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Guaranty Obligations</w:t>
      </w:r>
      <w:r>
        <w:rPr>
          <w:rFonts w:ascii="Times New Roman" w:cs="Times New Roman" w:eastAsia="Times New Roman" w:hAnsi="Times New Roman"/>
          <w:sz w:val="22"/>
          <w:szCs w:val="22"/>
          <w:color w:val="auto"/>
        </w:rPr>
        <w:t>” shall have the meaning set forth in Section 9.01(a).</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Agreement</w:t>
      </w:r>
      <w:r>
        <w:rPr>
          <w:rFonts w:ascii="Times New Roman" w:cs="Times New Roman" w:eastAsia="Times New Roman" w:hAnsi="Times New Roman"/>
          <w:sz w:val="22"/>
          <w:szCs w:val="22"/>
          <w:color w:val="auto"/>
        </w:rPr>
        <w:t>” shall mean any agreement evidencing Hedging Obligations.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Hedging Obligations</w:t>
      </w:r>
      <w:r>
        <w:rPr>
          <w:rFonts w:ascii="Times New Roman" w:cs="Times New Roman" w:eastAsia="Times New Roman" w:hAnsi="Times New Roman"/>
          <w:sz w:val="21"/>
          <w:szCs w:val="21"/>
          <w:color w:val="auto"/>
        </w:rPr>
        <w:t>” shall mean, with respect to any Person, all obligations and liabilities of such Person under:</w:t>
      </w:r>
    </w:p>
    <w:p>
      <w:pPr>
        <w:spacing w:after="0" w:line="235" w:lineRule="exact"/>
        <w:rPr>
          <w:sz w:val="20"/>
          <w:szCs w:val="20"/>
          <w:color w:val="auto"/>
        </w:rPr>
      </w:pPr>
    </w:p>
    <w:p>
      <w:pPr>
        <w:ind w:left="660" w:firstLine="644"/>
        <w:spacing w:after="0" w:line="271" w:lineRule="auto"/>
        <w:tabs>
          <w:tab w:leader="none" w:pos="1870" w:val="left"/>
        </w:tabs>
        <w:numPr>
          <w:ilvl w:val="0"/>
          <w:numId w:val="8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and interest rate collar agreements;</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8" w:val="left"/>
        </w:tabs>
        <w:numPr>
          <w:ilvl w:val="0"/>
          <w:numId w:val="8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For the avoidance of doubt, any Permitted Convertible Indebtedness Call Transaction will not constitute Hedging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IATA</w:t>
      </w:r>
      <w:r>
        <w:rPr>
          <w:rFonts w:ascii="Times New Roman" w:cs="Times New Roman" w:eastAsia="Times New Roman" w:hAnsi="Times New Roman"/>
          <w:sz w:val="22"/>
          <w:szCs w:val="22"/>
          <w:color w:val="auto"/>
        </w:rPr>
        <w:t>” shall mean the International Air Transport Association and any successor thereto.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ICF</w:t>
      </w:r>
      <w:r>
        <w:rPr>
          <w:rFonts w:ascii="Times New Roman" w:cs="Times New Roman" w:eastAsia="Times New Roman" w:hAnsi="Times New Roman"/>
          <w:sz w:val="22"/>
          <w:szCs w:val="22"/>
          <w:color w:val="auto"/>
        </w:rPr>
        <w:t>” shall mean ICF International, formerly known as ICF SH&amp;E, Inc.</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Immaterial Subsidiaries</w:t>
      </w:r>
      <w:r>
        <w:rPr>
          <w:rFonts w:ascii="Times New Roman" w:cs="Times New Roman" w:eastAsia="Times New Roman" w:hAnsi="Times New Roman"/>
          <w:sz w:val="22"/>
          <w:szCs w:val="22"/>
          <w:color w:val="auto"/>
        </w:rPr>
        <w:t>” shall mean one or more Subsidiaries of Parent (other than any Subsidiary that is a Guarantor, any Excluded Subsidiary, any Subsidiary that is not a Domestic Subsidiary, any Receivables Subsidiary and any Regional Airline), for which (a) the assets of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769" w:name="page770"/>
    <w:bookmarkEnd w:id="769"/>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 Effective Date</w:t>
      </w:r>
      <w:r>
        <w:rPr>
          <w:rFonts w:ascii="Times New Roman" w:cs="Times New Roman" w:eastAsia="Times New Roman" w:hAnsi="Times New Roman"/>
          <w:sz w:val="22"/>
          <w:szCs w:val="22"/>
          <w:color w:val="auto"/>
        </w:rPr>
        <w:t>” shall have the meaning set forth in Section 2.27(a).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 Joinder</w:t>
      </w:r>
      <w:r>
        <w:rPr>
          <w:rFonts w:ascii="Times New Roman" w:cs="Times New Roman" w:eastAsia="Times New Roman" w:hAnsi="Times New Roman"/>
          <w:sz w:val="22"/>
          <w:szCs w:val="22"/>
          <w:color w:val="auto"/>
        </w:rPr>
        <w:t>” shall have the meaning set forth in Section 2.27(c).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Commitments</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 Commitment</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shall have the meaning set forth in Section 2.27(c)(i).</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shall mean, with respect to any specified Person, any indebtedness of such Person (excluding accrued expenses and trade payables), whether or not contingent:</w:t>
      </w:r>
    </w:p>
    <w:p>
      <w:pPr>
        <w:spacing w:after="0" w:line="141" w:lineRule="exact"/>
        <w:rPr>
          <w:sz w:val="20"/>
          <w:szCs w:val="20"/>
          <w:color w:val="auto"/>
        </w:rPr>
      </w:pPr>
    </w:p>
    <w:p>
      <w:pPr>
        <w:ind w:left="1780" w:hanging="476"/>
        <w:spacing w:after="0"/>
        <w:tabs>
          <w:tab w:leader="none" w:pos="1780" w:val="left"/>
        </w:tabs>
        <w:numPr>
          <w:ilvl w:val="0"/>
          <w:numId w:val="8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borrowed money;</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95" w:val="left"/>
        </w:tabs>
        <w:numPr>
          <w:ilvl w:val="0"/>
          <w:numId w:val="8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evidenced by bonds, notes, debentures or similar instruments or letters of credit (or reimbursement agreements in respect thereof);</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banker’s acceptances;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Capital Lease Obligations;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9" w:val="left"/>
        </w:tabs>
        <w:numPr>
          <w:ilvl w:val="0"/>
          <w:numId w:val="8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the balance deferred and unpaid of the purchase price of any property or services due more than six months after such property is acquired or such services are completed, but excluding in any event trade payables arising in the Ordinary Course of Business; or</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any Hedging Obligations,</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770" w:name="page771"/>
    <w:bookmarkEnd w:id="770"/>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and, to the extent not otherwise included, the Guarantee by the specified Person of any Indebtedness of any other Person. Indebtedness shall be calculated without giving effect to the effects of Financial Accounting Standards Board Accounting Standards Codification 815 – Derivatives and Hedging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Notwithstanding the foregoing, none of the following will constitute Indebtedness:, (a) Banking Product Obligations, (b) obligations under leases (other than leases determined to be Capital Lease Obligations under GAAP),</w:t>
      </w:r>
    </w:p>
    <w:p>
      <w:pPr>
        <w:spacing w:after="0" w:line="2" w:lineRule="exact"/>
        <w:rPr>
          <w:sz w:val="20"/>
          <w:szCs w:val="20"/>
          <w:color w:val="auto"/>
        </w:rPr>
      </w:pPr>
    </w:p>
    <w:p>
      <w:pPr>
        <w:jc w:val="both"/>
        <w:ind w:firstLine="8"/>
        <w:spacing w:after="0" w:line="247" w:lineRule="auto"/>
        <w:tabs>
          <w:tab w:leader="none" w:pos="294" w:val="left"/>
        </w:tabs>
        <w:numPr>
          <w:ilvl w:val="0"/>
          <w:numId w:val="8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(j) obligations under any of the flyer miles participation agreements, (k) air traffic liability, (l) payment obligations in connection with health or other types of social security benefits, (m) lease maintenance return conditions on leased aircraft, (n) reserves for capital tax obligations and (o) reserves for obligations under land leases.</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shall mean Taxes, other than Excluded Taxes, imposed on or with respect to any payments made by the Borrower or any Guarantor under this Agreement or any other Loan Document.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shall have the meaning set forth in Section 10.04(b).</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xml:space="preserve">” shall mean that certain Indenture dated as of </w:t>
      </w:r>
      <w:r>
        <w:rPr>
          <w:rFonts w:ascii="Times New Roman" w:cs="Times New Roman" w:eastAsia="Times New Roman" w:hAnsi="Times New Roman"/>
          <w:sz w:val="19"/>
          <w:szCs w:val="19"/>
          <w:color w:val="auto"/>
        </w:rPr>
        <w:t>December 4, 2023</w:t>
      </w:r>
      <w:r>
        <w:rPr>
          <w:rFonts w:ascii="Times New Roman" w:cs="Times New Roman" w:eastAsia="Times New Roman" w:hAnsi="Times New Roman"/>
          <w:sz w:val="22"/>
          <w:szCs w:val="22"/>
          <w:color w:val="auto"/>
        </w:rPr>
        <w:t xml:space="preserve"> by and among the Borrower, the guarantors from time to time party thereto, and Wilmington Trust National Association as trustee in respect of the 8.500% senior secured notes due 2029 (such notes, the “</w:t>
      </w:r>
      <w:r>
        <w:rPr>
          <w:rFonts w:ascii="Times New Roman" w:cs="Times New Roman" w:eastAsia="Times New Roman" w:hAnsi="Times New Roman"/>
          <w:sz w:val="22"/>
          <w:szCs w:val="22"/>
          <w:i w:val="1"/>
          <w:iCs w:val="1"/>
          <w:color w:val="auto"/>
        </w:rPr>
        <w:t>Secured Notes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Appraisals</w:t>
      </w:r>
      <w:r>
        <w:rPr>
          <w:rFonts w:ascii="Times New Roman" w:cs="Times New Roman" w:eastAsia="Times New Roman" w:hAnsi="Times New Roman"/>
          <w:sz w:val="22"/>
          <w:szCs w:val="22"/>
          <w:color w:val="auto"/>
        </w:rPr>
        <w:t>” shall mean the reports of MBA dated November 1, 2023 as delivered to the Administrative Agent by the Borrower pursuant to Section 4.01(d).</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b w:val="1"/>
          <w:bCs w:val="1"/>
          <w:i w:val="1"/>
          <w:iCs w:val="1"/>
          <w:color w:val="FF0000"/>
          <w:strike w:val="1"/>
        </w:rPr>
        <w:t>Initial Term Loans</w:t>
      </w:r>
      <w:r>
        <w:rPr>
          <w:rFonts w:ascii="Times New Roman" w:cs="Times New Roman" w:eastAsia="Times New Roman" w:hAnsi="Times New Roman"/>
          <w:sz w:val="22"/>
          <w:szCs w:val="22"/>
          <w:b w:val="1"/>
          <w:bCs w:val="1"/>
          <w:color w:val="FF0000"/>
          <w:strike w:val="1"/>
        </w:rPr>
        <w:t>” shall mean the term loans incurred on the Closing Date pursuant to Section 2.01(b).</w:t>
      </w:r>
    </w:p>
    <w:p>
      <w:pPr>
        <w:spacing w:after="0" w:line="2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Installment</w:t>
      </w:r>
      <w:r>
        <w:rPr>
          <w:rFonts w:ascii="Times New Roman" w:cs="Times New Roman" w:eastAsia="Times New Roman" w:hAnsi="Times New Roman"/>
          <w:sz w:val="22"/>
          <w:szCs w:val="22"/>
          <w:color w:val="auto"/>
        </w:rPr>
        <w:t>” shall have the meaning set forth in Section 2.10(b).</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Intercreditor Agreement</w:t>
      </w:r>
      <w:r>
        <w:rPr>
          <w:rFonts w:ascii="Times New Roman" w:cs="Times New Roman" w:eastAsia="Times New Roman" w:hAnsi="Times New Roman"/>
          <w:sz w:val="22"/>
          <w:szCs w:val="22"/>
          <w:color w:val="auto"/>
        </w:rPr>
        <w:t>” shall mean an intercreditor agreement in form and substance reasonably satisfactory to the Borrower and the Administrative Agent.</w:t>
      </w:r>
    </w:p>
    <w:p>
      <w:pPr>
        <w:spacing w:after="0" w:line="16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Election Request</w:t>
      </w:r>
      <w:r>
        <w:rPr>
          <w:rFonts w:ascii="Times New Roman" w:cs="Times New Roman" w:eastAsia="Times New Roman" w:hAnsi="Times New Roman"/>
          <w:sz w:val="22"/>
          <w:szCs w:val="22"/>
          <w:color w:val="auto"/>
        </w:rPr>
        <w:t>” shall mean a request by the Borrower to convert or continue a Borrowing in accordance with Section 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771" w:name="page772"/>
    <w:bookmarkEnd w:id="771"/>
    <w:p>
      <w:pPr>
        <w:spacing w:after="0" w:line="19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Interest Payment Date</w:t>
      </w:r>
      <w:r>
        <w:rPr>
          <w:rFonts w:ascii="Times New Roman" w:cs="Times New Roman" w:eastAsia="Times New Roman" w:hAnsi="Times New Roman"/>
          <w:sz w:val="21"/>
          <w:szCs w:val="21"/>
          <w:color w:val="auto"/>
        </w:rPr>
        <w:t>” shall mean (a) as to any Term SOFR Loan having an Interest Period of one or three months, the last day of such Interest Period, (b) as to any Term SOFR Loan having an Interest Period of more than three months,</w:t>
      </w:r>
    </w:p>
    <w:p>
      <w:pPr>
        <w:spacing w:after="0" w:line="2" w:lineRule="exact"/>
        <w:rPr>
          <w:sz w:val="20"/>
          <w:szCs w:val="20"/>
          <w:color w:val="auto"/>
        </w:rPr>
      </w:pPr>
    </w:p>
    <w:p>
      <w:pPr>
        <w:ind w:right="20" w:firstLine="8"/>
        <w:spacing w:after="0" w:line="261" w:lineRule="auto"/>
        <w:tabs>
          <w:tab w:leader="none" w:pos="322" w:val="left"/>
        </w:tabs>
        <w:numPr>
          <w:ilvl w:val="0"/>
          <w:numId w:val="8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day that is three months, or a whole multiple thereof, after the first day of such Interest Period and (y) the last day of such Interest Period and (c) with respect to ABR Loans, the last Business Day of each March, June, September and December.</w:t>
      </w:r>
    </w:p>
    <w:p>
      <w:pPr>
        <w:spacing w:after="0" w:line="16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Period</w:t>
      </w:r>
      <w:r>
        <w:rPr>
          <w:rFonts w:ascii="Times New Roman" w:cs="Times New Roman" w:eastAsia="Times New Roman" w:hAnsi="Times New Roman"/>
          <w:sz w:val="22"/>
          <w:szCs w:val="22"/>
          <w:color w:val="auto"/>
        </w:rPr>
        <w:t xml:space="preserve">” shall mean, as to any Borrowing of Term SOFR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(or, if available to all affected Lenders, 12 months or any other period as agreed by the Administrative Agent and the affected Lenders), as the Borrower may elect in the related Loan Request or Interest Election Request delivered pursuant to Section 2.03 or 2.05;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(ii) no Interest Period shall end later than the applicable Termination Date and (iii) no tenor that has been removed from this definition pursuant to Section 2.09(d) shall be available for specification in such Loan Request or Interest Election Request.</w:t>
      </w:r>
    </w:p>
    <w:p>
      <w:pPr>
        <w:spacing w:after="0" w:line="17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Investments</w:t>
      </w:r>
      <w:r>
        <w:rPr>
          <w:rFonts w:ascii="Times New Roman" w:cs="Times New Roman" w:eastAsia="Times New Roman" w:hAnsi="Times New Roman"/>
          <w:sz w:val="22"/>
          <w:szCs w:val="22"/>
          <w:color w:val="auto"/>
        </w:rPr>
        <w:t>”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772" w:name="page773"/>
    <w:bookmarkEnd w:id="772"/>
    <w:p>
      <w:pPr>
        <w:spacing w:after="0" w:line="19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shall mean (i) the Administrative Agent (or any of its Affiliates reasonably acceptable to the Borrower), in its capacity as an issuer of Letters of Credit hereunder, and its successors in such capacity as provided in Section 2.02(i)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 Lender, in which case the term “Issuing Lender” shall include any such Affiliate with respect to Letters of Credit issued by such Affiliate.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Joint Lead Arrangers and Bookrunners</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Junior Secured Debt</w:t>
      </w:r>
      <w:r>
        <w:rPr>
          <w:rFonts w:ascii="Times New Roman" w:cs="Times New Roman" w:eastAsia="Times New Roman" w:hAnsi="Times New Roman"/>
          <w:sz w:val="22"/>
          <w:szCs w:val="22"/>
          <w:color w:val="auto"/>
        </w:rPr>
        <w:t>” shall mean Indebtedness permitted to be secured by a Lien on Collateral on a junior basis to the Obligations under Section 6.06.</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Latest Maturity Date</w:t>
      </w:r>
      <w:r>
        <w:rPr>
          <w:rFonts w:ascii="Times New Roman" w:cs="Times New Roman" w:eastAsia="Times New Roman" w:hAnsi="Times New Roman"/>
          <w:sz w:val="22"/>
          <w:szCs w:val="22"/>
          <w:color w:val="auto"/>
        </w:rPr>
        <w:t>” shall mean, at any date of determination, the latest maturity or expiration date applicable to any Loan or Commitment hereunder at such time, including the latest maturity date of any Term Loan.</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xml:space="preserve">” shall mean the commitment of each Issuing Lender to issue Letters of Credit in face amount not to exceed the amount set forth under the heading “LC Commitment” opposite its name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aggregate amount of the LC Commitments as of the Closing Date is $0.</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Disbursement</w:t>
      </w:r>
      <w:r>
        <w:rPr>
          <w:rFonts w:ascii="Times New Roman" w:cs="Times New Roman" w:eastAsia="Times New Roman" w:hAnsi="Times New Roman"/>
          <w:sz w:val="22"/>
          <w:szCs w:val="22"/>
          <w:color w:val="auto"/>
        </w:rPr>
        <w:t>” shall mean a payment made by an Issuing Lender pursuant to a Letter of Credit issued by it.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Exposure</w:t>
      </w:r>
      <w:r>
        <w:rPr>
          <w:rFonts w:ascii="Times New Roman" w:cs="Times New Roman" w:eastAsia="Times New Roman" w:hAnsi="Times New Roman"/>
          <w:sz w:val="22"/>
          <w:szCs w:val="22"/>
          <w:color w:val="auto"/>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Leased Collateral</w:t>
      </w:r>
      <w:r>
        <w:rPr>
          <w:rFonts w:ascii="Times New Roman" w:cs="Times New Roman" w:eastAsia="Times New Roman" w:hAnsi="Times New Roman"/>
          <w:sz w:val="22"/>
          <w:szCs w:val="22"/>
          <w:color w:val="auto"/>
        </w:rPr>
        <w:t>” shall have the meaning set forth in the definition of “Permitted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773" w:name="page774"/>
    <w:bookmarkEnd w:id="773"/>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Leased Slots</w:t>
      </w:r>
      <w:r>
        <w:rPr>
          <w:rFonts w:ascii="Times New Roman" w:cs="Times New Roman" w:eastAsia="Times New Roman" w:hAnsi="Times New Roman"/>
          <w:sz w:val="22"/>
          <w:szCs w:val="22"/>
          <w:color w:val="auto"/>
        </w:rPr>
        <w:t>” shall have the meaning set forth in the definition of “Permitted Disposition.”</w:t>
      </w:r>
    </w:p>
    <w:p>
      <w:pPr>
        <w:spacing w:after="0" w:line="220" w:lineRule="exact"/>
        <w:rPr>
          <w:sz w:val="20"/>
          <w:szCs w:val="20"/>
          <w:color w:val="auto"/>
        </w:rPr>
      </w:pPr>
    </w:p>
    <w:p>
      <w:pPr>
        <w:ind w:right="16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shall mean each of the several banks and other financial institutions or entities from time to time party hereto as a lender.</w:t>
      </w:r>
    </w:p>
    <w:p>
      <w:pPr>
        <w:spacing w:after="0" w:line="16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 of Credit</w:t>
      </w:r>
      <w:r>
        <w:rPr>
          <w:rFonts w:ascii="Times New Roman" w:cs="Times New Roman" w:eastAsia="Times New Roman" w:hAnsi="Times New Roman"/>
          <w:sz w:val="21"/>
          <w:szCs w:val="21"/>
          <w:color w:val="auto"/>
        </w:rPr>
        <w:t xml:space="preserve">” shall mean any irrevocable letter of credit issued pursuant to Section 2.02, which letter of credit shall be (i) a standby letter of credit, (ii) issued for general corporate purposes of Parent or any Subsidiary of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any case the account party of a Letter of Credit must be the Borrower, (iii) denominated in Dollars and (iv) otherwise in such form as may be reasonably approved from time to time by the Administrative Agent and the applicable Issuing Lender.</w:t>
      </w:r>
    </w:p>
    <w:p>
      <w:pPr>
        <w:spacing w:after="0" w:line="15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Account</w:t>
      </w:r>
      <w:r>
        <w:rPr>
          <w:rFonts w:ascii="Times New Roman" w:cs="Times New Roman" w:eastAsia="Times New Roman" w:hAnsi="Times New Roman"/>
          <w:sz w:val="22"/>
          <w:szCs w:val="22"/>
          <w:color w:val="auto"/>
        </w:rPr>
        <w:t>” shall mean the account, if any, established by the Borrower after the Closing Date under the sole and exclusive control of the Administrative Agent for Cash Collateralization of Letters of Credit in accordance with Sections 2.02(j) and 7.01.</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Fees</w:t>
      </w:r>
      <w:r>
        <w:rPr>
          <w:rFonts w:ascii="Times New Roman" w:cs="Times New Roman" w:eastAsia="Times New Roman" w:hAnsi="Times New Roman"/>
          <w:sz w:val="22"/>
          <w:szCs w:val="22"/>
          <w:color w:val="auto"/>
        </w:rPr>
        <w:t>” shall mean the fees payable in respect of Letters of Credit pursuant to Section 2.21.</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Request</w:t>
      </w:r>
      <w:r>
        <w:rPr>
          <w:rFonts w:ascii="Times New Roman" w:cs="Times New Roman" w:eastAsia="Times New Roman" w:hAnsi="Times New Roman"/>
          <w:sz w:val="22"/>
          <w:szCs w:val="22"/>
          <w:color w:val="auto"/>
        </w:rPr>
        <w:t>” shall mean a request by the Borrower, executed by a Responsible Officer of the Borrower, for the issuance of a Letter of Credit (or the amendment, renewal or extension of an outstanding Letter of Credit) in accordance with Section 2.02 in substantially the form of Exhibit D-2 or such other form as reasonably acceptable to the applicable Issuing Lender.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LGA</w:t>
      </w:r>
      <w:r>
        <w:rPr>
          <w:rFonts w:ascii="Times New Roman" w:cs="Times New Roman" w:eastAsia="Times New Roman" w:hAnsi="Times New Roman"/>
          <w:sz w:val="22"/>
          <w:szCs w:val="22"/>
          <w:color w:val="auto"/>
        </w:rPr>
        <w:t>” shall mean LaGuardia Airport, New York.</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17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Liquidity</w:t>
      </w:r>
      <w:r>
        <w:rPr>
          <w:rFonts w:ascii="Times New Roman" w:cs="Times New Roman" w:eastAsia="Times New Roman" w:hAnsi="Times New Roman"/>
          <w:sz w:val="22"/>
          <w:szCs w:val="22"/>
          <w:color w:val="auto"/>
        </w:rPr>
        <w:t>”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774" w:name="page775"/>
    <w:bookmarkEnd w:id="774"/>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shall mean this Agreement, the Collateral Documents, any Intercreditor Agreement, the Fee Letter and any other instrument or agreement (which is designated as a Loan Document therein) executed and delivered by the Borrower or a Guarantor to the Administrative Agent, the Collateral Trustee, any Issuing Lender or any Lender, in each case, as the same may be amended, restated, modified, supplemented, extended or amended and restated from time to time in accordance with the terms hereof.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shall mean the Borrower and the Guarantors.</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Request</w:t>
      </w:r>
      <w:r>
        <w:rPr>
          <w:rFonts w:ascii="Times New Roman" w:cs="Times New Roman" w:eastAsia="Times New Roman" w:hAnsi="Times New Roman"/>
          <w:sz w:val="22"/>
          <w:szCs w:val="22"/>
          <w:color w:val="auto"/>
        </w:rPr>
        <w:t>” shall mean a request by the Borrower, executed by a Responsible Officer of the Borrower, for a Loan in accordance with Section 2.03 in substantially the form of Exhibit D-1.</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shall mean, collectively, the Revolving Loans and the Term Loans.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shall have the meaning set forth in Section 3.12(a).</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Marketing and Service Agreements</w:t>
      </w:r>
      <w:r>
        <w:rPr>
          <w:rFonts w:ascii="Times New Roman" w:cs="Times New Roman" w:eastAsia="Times New Roman" w:hAnsi="Times New Roman"/>
          <w:sz w:val="22"/>
          <w:szCs w:val="22"/>
          <w:color w:val="auto"/>
        </w:rPr>
        <w:t>” shall mean those certain business, marketing and service agreements among a Loan Party and/or any of its Subsidiaries and regional airline carriers and such other parties or agreements from time to time that include, but are not limited to, code-sharing, pro-rate, capacity purchase, service, frequent flyer, ground handling, marketing alliance, and joint business agreements that are entered into in the Ordinary Course of Business.</w:t>
      </w:r>
    </w:p>
    <w:p>
      <w:pPr>
        <w:spacing w:after="0" w:line="18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Change</w:t>
      </w:r>
      <w:r>
        <w:rPr>
          <w:rFonts w:ascii="Times New Roman" w:cs="Times New Roman" w:eastAsia="Times New Roman" w:hAnsi="Times New Roman"/>
          <w:sz w:val="22"/>
          <w:szCs w:val="22"/>
          <w:color w:val="auto"/>
        </w:rPr>
        <w:t>” shall mean any event, change, condition, occurrence, development or circumstance that, either individually or in the aggregate, has had or could reasonably be expected to have a Material Adverse Effect.</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Effect</w:t>
      </w:r>
      <w:r>
        <w:rPr>
          <w:rFonts w:ascii="Times New Roman" w:cs="Times New Roman" w:eastAsia="Times New Roman" w:hAnsi="Times New Roman"/>
          <w:sz w:val="22"/>
          <w:szCs w:val="22"/>
          <w:color w:val="auto"/>
        </w:rPr>
        <w:t xml:space="preserve">”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any action taken or not taken within two years from the Closing Date in connection with or in furtherance of the AMR/US Airways Merger and/or any related Airlines Merger shall be deemed not to constitute a Material Adverse Effect.</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Indebtedness</w:t>
      </w:r>
      <w:r>
        <w:rPr>
          <w:rFonts w:ascii="Times New Roman" w:cs="Times New Roman" w:eastAsia="Times New Roman" w:hAnsi="Times New Roman"/>
          <w:sz w:val="22"/>
          <w:szCs w:val="22"/>
          <w:color w:val="auto"/>
        </w:rPr>
        <w:t>” shall mean Indebtedness of the Borrower and/or Guarantors (other than the Loans and obligations relating to Letters of Credit) outstanding under the same agreement in a principal amount exceeding $150,000,000.</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MBA</w:t>
      </w:r>
      <w:r>
        <w:rPr>
          <w:rFonts w:ascii="Times New Roman" w:cs="Times New Roman" w:eastAsia="Times New Roman" w:hAnsi="Times New Roman"/>
          <w:sz w:val="22"/>
          <w:szCs w:val="22"/>
          <w:color w:val="auto"/>
        </w:rPr>
        <w:t>” shall mean Morten Beyer &amp; Agnew.</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shall have the meaning set forth in Section 2.28(c).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shall mean Moody’s Investors Service,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775" w:name="page776"/>
    <w:bookmarkEnd w:id="775"/>
    <w:p>
      <w:pPr>
        <w:spacing w:after="0" w:line="19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Proceeds</w:t>
      </w:r>
      <w:r>
        <w:rPr>
          <w:rFonts w:ascii="Times New Roman" w:cs="Times New Roman" w:eastAsia="Times New Roman" w:hAnsi="Times New Roman"/>
          <w:sz w:val="22"/>
          <w:szCs w:val="22"/>
          <w:color w:val="auto"/>
        </w:rPr>
        <w:t>”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Net Proceeds Amount</w:t>
      </w:r>
      <w:r>
        <w:rPr>
          <w:rFonts w:ascii="Times New Roman" w:cs="Times New Roman" w:eastAsia="Times New Roman" w:hAnsi="Times New Roman"/>
          <w:sz w:val="22"/>
          <w:szCs w:val="22"/>
          <w:color w:val="auto"/>
        </w:rPr>
        <w:t>” shall have the meaning set forth in Section 2.12(a).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shall have the meaning set forth in Section 2.27(a).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shall mean, at any time, a Lender that is not a Defaulting Lender.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Non-Extending Lender</w:t>
      </w:r>
      <w:r>
        <w:rPr>
          <w:rFonts w:ascii="Times New Roman" w:cs="Times New Roman" w:eastAsia="Times New Roman" w:hAnsi="Times New Roman"/>
          <w:sz w:val="22"/>
          <w:szCs w:val="22"/>
          <w:color w:val="auto"/>
        </w:rPr>
        <w:t>” shall have the meaning set forth in Section 10.08(g).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Debt</w:t>
      </w:r>
      <w:r>
        <w:rPr>
          <w:rFonts w:ascii="Times New Roman" w:cs="Times New Roman" w:eastAsia="Times New Roman" w:hAnsi="Times New Roman"/>
          <w:sz w:val="22"/>
          <w:szCs w:val="22"/>
          <w:color w:val="auto"/>
        </w:rPr>
        <w:t>” shall mean Indebtedness:</w:t>
      </w:r>
    </w:p>
    <w:p>
      <w:pPr>
        <w:spacing w:after="0" w:line="224" w:lineRule="exact"/>
        <w:rPr>
          <w:sz w:val="20"/>
          <w:szCs w:val="20"/>
          <w:color w:val="auto"/>
        </w:rPr>
      </w:pPr>
    </w:p>
    <w:p>
      <w:pPr>
        <w:jc w:val="both"/>
        <w:ind w:left="660" w:firstLine="644"/>
        <w:spacing w:after="0" w:line="263" w:lineRule="auto"/>
        <w:tabs>
          <w:tab w:leader="none" w:pos="1879" w:val="left"/>
        </w:tabs>
        <w:numPr>
          <w:ilvl w:val="0"/>
          <w:numId w:val="8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neither Parent nor any of its Restricted Subsidiaries (A) provides credit support of any kind (including any undertaking, agreement or instrument that would constitute Indebtedness) or (B) is directly or indirectly liable as a guarantor or otherwise; and</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06" w:val="left"/>
        </w:tabs>
        <w:numPr>
          <w:ilvl w:val="0"/>
          <w:numId w:val="8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holders of such Indebtedness do not otherwise have recourse to the stock or assets of Parent or any of its Restricted Subsidiaries (other than the Equity Interests of an Unrestricted Subsidiary).</w:t>
      </w:r>
    </w:p>
    <w:p>
      <w:pPr>
        <w:spacing w:after="0" w:line="15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Non-Recourse Financing Subsidiary</w:t>
      </w:r>
      <w:r>
        <w:rPr>
          <w:rFonts w:ascii="Times New Roman" w:cs="Times New Roman" w:eastAsia="Times New Roman" w:hAnsi="Times New Roman"/>
          <w:sz w:val="22"/>
          <w:szCs w:val="22"/>
          <w:color w:val="auto"/>
        </w:rPr>
        <w:t>” shall mean any Unrestricted Subsidiary that (a) has no Indebtedness other than Non-Recourse Debt and (b) engages in no activities other than those relating to the financing of specified assets and other activities incidental thereto.</w:t>
      </w:r>
    </w:p>
    <w:p>
      <w:pPr>
        <w:spacing w:after="0" w:line="16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40" w:right="339" w:bottom="1440" w:gutter="0" w:footer="0" w:header="0"/>
        </w:sectPr>
      </w:pPr>
    </w:p>
    <w:bookmarkStart w:id="776" w:name="page777"/>
    <w:bookmarkEnd w:id="776"/>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appointed pursuant to Section 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w:t>
      </w:r>
    </w:p>
    <w:p>
      <w:pPr>
        <w:spacing w:after="0" w:line="2" w:lineRule="exact"/>
        <w:rPr>
          <w:sz w:val="20"/>
          <w:szCs w:val="20"/>
          <w:color w:val="auto"/>
        </w:rPr>
      </w:pPr>
    </w:p>
    <w:p>
      <w:pPr>
        <w:jc w:val="both"/>
        <w:ind w:firstLine="8"/>
        <w:spacing w:after="0" w:line="246" w:lineRule="auto"/>
        <w:tabs>
          <w:tab w:leader="none" w:pos="362" w:val="left"/>
        </w:tabs>
        <w:numPr>
          <w:ilvl w:val="0"/>
          <w:numId w:val="8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Designated Banking Product Obligations, any obligee with respect to such Designated Banking Product Obligations who was a Revolving Lender or a banking Affiliate of any Revolving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no event shall the Obligations include Excluded Swap Obligations. In addition, pursuant to Section 8.12(e), “Obligations” shall include any payment required to discharge and satisfy the Erroneous Payment Subrogation Rights.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shall have the meaning set forth in Section 3.17.</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OID</w:t>
      </w:r>
      <w:r>
        <w:rPr>
          <w:rFonts w:ascii="Times New Roman" w:cs="Times New Roman" w:eastAsia="Times New Roman" w:hAnsi="Times New Roman"/>
          <w:sz w:val="22"/>
          <w:szCs w:val="22"/>
          <w:color w:val="auto"/>
        </w:rPr>
        <w:t>” shall have the meaning set forth in the definition of “All-In Initial Yield.”</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Operating Lease</w:t>
      </w:r>
      <w:r>
        <w:rPr>
          <w:rFonts w:ascii="Times New Roman" w:cs="Times New Roman" w:eastAsia="Times New Roman" w:hAnsi="Times New Roman"/>
          <w:sz w:val="22"/>
          <w:szCs w:val="22"/>
          <w:color w:val="auto"/>
        </w:rPr>
        <w:t>” shall mean, as applied to any Person, any lease (including, without limitation, leases that may be terminated by the lessee at any time) of any property (whether real, personal or mixed) under which such Person is lessee, that is not a lease representing Capital Lease Obligations.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Ordinary Course of Business</w:t>
      </w:r>
      <w:r>
        <w:rPr>
          <w:rFonts w:ascii="Times New Roman" w:cs="Times New Roman" w:eastAsia="Times New Roman" w:hAnsi="Times New Roman"/>
          <w:sz w:val="22"/>
          <w:szCs w:val="22"/>
          <w:color w:val="auto"/>
        </w:rPr>
        <w:t>” shall mean with respect to Parent or any of its Subsidiaries, (a) in the ordinary course of business of, or in furtherance of an objective that is in the ordinary course of business of, Parent and its Subsidiaries,</w:t>
      </w:r>
    </w:p>
    <w:p>
      <w:pPr>
        <w:spacing w:after="0" w:line="1" w:lineRule="exact"/>
        <w:rPr>
          <w:sz w:val="20"/>
          <w:szCs w:val="20"/>
          <w:color w:val="auto"/>
        </w:rPr>
      </w:pPr>
    </w:p>
    <w:p>
      <w:pPr>
        <w:ind w:firstLine="8"/>
        <w:spacing w:after="0" w:line="248" w:lineRule="auto"/>
        <w:tabs>
          <w:tab w:leader="none" w:pos="314" w:val="left"/>
        </w:tabs>
        <w:numPr>
          <w:ilvl w:val="0"/>
          <w:numId w:val="8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and usual in the commercial airline industry in the United States or (c) consistent with the past or current practice of one or more commercial air carriers in the United States.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Term Loans</w:t>
      </w:r>
      <w:r>
        <w:rPr>
          <w:rFonts w:ascii="Times New Roman" w:cs="Times New Roman" w:eastAsia="Times New Roman" w:hAnsi="Times New Roman"/>
          <w:sz w:val="22"/>
          <w:szCs w:val="22"/>
          <w:color w:val="auto"/>
        </w:rPr>
        <w:t>” shall have the meaning set forth in Section 2.27(c)(iv).</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Connection Taxes</w:t>
      </w:r>
      <w:r>
        <w:rPr>
          <w:rFonts w:ascii="Times New Roman" w:cs="Times New Roman" w:eastAsia="Times New Roman" w:hAnsi="Times New Roman"/>
          <w:sz w:val="22"/>
          <w:szCs w:val="22"/>
          <w:color w:val="auto"/>
        </w:rPr>
        <w:t>” shall mean, with respect to any Administrative Agent, any Lender or any Issuing Lender, Taxes imposed as a result of a present or former connection between such Administrative Agent, such Lender or such Issuing Lender and the jurisdiction imposing such Tax (other than connections arising from such Administrative Agent, such Lender or such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777" w:name="page778"/>
    <w:bookmarkEnd w:id="777"/>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Other Taxes</w:t>
      </w:r>
      <w:r>
        <w:rPr>
          <w:rFonts w:ascii="Times New Roman" w:cs="Times New Roman" w:eastAsia="Times New Roman" w:hAnsi="Times New Roman"/>
          <w:sz w:val="21"/>
          <w:szCs w:val="21"/>
          <w:color w:val="auto"/>
        </w:rPr>
        <w:t>”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 except any such Taxes that are Other Connection Taxes imposed with respect to an assignment (other than an assignment made pursuant to Section 2.18(b)).</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Outstanding Letters of Credit</w:t>
      </w:r>
      <w:r>
        <w:rPr>
          <w:rFonts w:ascii="Times New Roman" w:cs="Times New Roman" w:eastAsia="Times New Roman" w:hAnsi="Times New Roman"/>
          <w:sz w:val="22"/>
          <w:szCs w:val="22"/>
          <w:color w:val="auto"/>
        </w:rPr>
        <w:t>” shall have the meaning set forth in Section 2.02(j).</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PAC</w:t>
      </w:r>
      <w:r>
        <w:rPr>
          <w:rFonts w:ascii="Times New Roman" w:cs="Times New Roman" w:eastAsia="Times New Roman" w:hAnsi="Times New Roman"/>
          <w:sz w:val="22"/>
          <w:szCs w:val="22"/>
          <w:color w:val="auto"/>
        </w:rPr>
        <w:t>” shall mean Panum Aviation Consulting.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shall have the meaning set forth in the preamble to this Agreement.</w:t>
      </w:r>
    </w:p>
    <w:p>
      <w:pPr>
        <w:spacing w:after="0" w:line="220"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Company</w:t>
      </w:r>
      <w:r>
        <w:rPr>
          <w:rFonts w:ascii="Times New Roman" w:cs="Times New Roman" w:eastAsia="Times New Roman" w:hAnsi="Times New Roman"/>
          <w:sz w:val="22"/>
          <w:szCs w:val="22"/>
          <w:color w:val="auto"/>
        </w:rPr>
        <w:t>” shall mean, with respect to a Revolving Lender, the bank holding company (as defined in Regulation Y issued by the Board), if any, of such Revolving Lender, and/or any Person owning, beneficially or of record, directly or indirectly, a majority of the shares of such Revolving Lender.</w:t>
      </w:r>
    </w:p>
    <w:p>
      <w:pPr>
        <w:spacing w:after="0" w:line="16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Loan Obligations</w:t>
      </w:r>
      <w:r>
        <w:rPr>
          <w:rFonts w:ascii="Times New Roman" w:cs="Times New Roman" w:eastAsia="Times New Roman" w:hAnsi="Times New Roman"/>
          <w:sz w:val="22"/>
          <w:szCs w:val="22"/>
          <w:color w:val="auto"/>
        </w:rPr>
        <w:t xml:space="preserve">” shall mean Indebtedness of the Borrower or any Guarantor in the form of loans or otherwise not constituting Pari Passu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secured only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Term Loan Facility and Revolving Facility pursuant to the Collateral Documents;</w:t>
      </w:r>
    </w:p>
    <w:p>
      <w:pPr>
        <w:spacing w:after="0" w:line="1" w:lineRule="exact"/>
        <w:rPr>
          <w:sz w:val="20"/>
          <w:szCs w:val="20"/>
          <w:color w:val="auto"/>
        </w:rPr>
      </w:pPr>
    </w:p>
    <w:p>
      <w:pPr>
        <w:jc w:val="both"/>
        <w:ind w:firstLine="8"/>
        <w:spacing w:after="0" w:line="247" w:lineRule="auto"/>
        <w:tabs>
          <w:tab w:leader="none" w:pos="402" w:val="left"/>
        </w:tabs>
        <w:numPr>
          <w:ilvl w:val="0"/>
          <w:numId w:val="8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Indebtedness shall benefit only from substantially the same guarantees (or less) as the guarantees of the Term Loan Facility and Revolving Facility provided hereunder; (iv) such Indebtedness matures no earlier than the Term Loan Maturity Date for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(v) such Indebtedness shall have a Weighted Average Life to Maturity that is not shorter than the Weighted Average Life to Maturity of the Term Loans and (vi) such Indebtedness constitutes “Priority Lien Debt” as defined under, and in accordance with the terms of, the Collateral Documents.</w:t>
      </w:r>
    </w:p>
    <w:p>
      <w:pPr>
        <w:spacing w:after="0" w:line="194"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Pari Passu Notes</w:t>
      </w:r>
      <w:r>
        <w:rPr>
          <w:rFonts w:ascii="Times New Roman" w:cs="Times New Roman" w:eastAsia="Times New Roman" w:hAnsi="Times New Roman"/>
          <w:sz w:val="21"/>
          <w:szCs w:val="21"/>
          <w:color w:val="auto"/>
        </w:rPr>
        <w:t xml:space="preserve">” shall mean (x) the Secured Notes and (y) Indebtedness of the Borrower or any Guarantor in the form of senior secured notes;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each of clause (x) and clause (y), (i) with respect to Pari Passu Notes of the type described in clause (y),immediately after giving pro forma effect thereto, the use of proceeds therefrom and the pledge of additional assets as Additional Collateral (if any) (A) no Default or Event of Default shall have occurred and be continuing or would result therefrom, (B) the Collateral Coverage Ratio shall be no less than 1.60 to 1.00 and (C) the aggregate amount of Liquidity shall be no less than $2,000,000,000; (ii) such Indebtedness is secured only by the Collateral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the Term Loan Facility and Revolving Facility pursuant to the Collateral Documents, (iii) such Indebtedness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778" w:name="page779"/>
    <w:bookmarkEnd w:id="778"/>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benefit only from substantially the same guarantees (or less) as the guarantees of the Term Loan Facility and Revolving Facility provided hereunder, (iv) such Indebtedness matures no earlier than the Term Loan Maturity Date for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Replacement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Term Loans, (v) such Indebtedness shall have a Weighted Average Life to Maturity that is not shorter than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Weighted Average Life to Maturity of the Term Loans and (vi) such Indebtedness constitutes “Priority Lien Debt” as defined under, and in accordance with the terms of, the Collateral Documents.</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Pari Passu Senior Secured Debt</w:t>
      </w:r>
      <w:r>
        <w:rPr>
          <w:rFonts w:ascii="Times New Roman" w:cs="Times New Roman" w:eastAsia="Times New Roman" w:hAnsi="Times New Roman"/>
          <w:sz w:val="22"/>
          <w:szCs w:val="22"/>
          <w:color w:val="auto"/>
        </w:rPr>
        <w:t>” shall mean (i) any Pari Passu Notes (and any Guarantee thereof by the Borrower or Parent), (ii) Pari Passu Loan Obligations and (iii) any Permitted Refinancing Indebtedness in exchange for, or the net proceeds of which are used to renew, refund, refinance, replace, extend, defease or discharge any such Indebtedness specified in clause (i) or (ii).</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shall have the meaning set forth in Section 10.02(d)(i).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shall have the meaning set forth in Section 10.02(d)(i).</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shall mean the USA Patriot Act, Title III of Pub. L. 107-56, signed into law on October 26, 2001 and any subsequent legislation that amends or supplements such Act or any subsequent legislation that supersedes such Act.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w:t>
      </w:r>
      <w:r>
        <w:rPr>
          <w:rFonts w:ascii="Times New Roman" w:cs="Times New Roman" w:eastAsia="Times New Roman" w:hAnsi="Times New Roman"/>
          <w:sz w:val="22"/>
          <w:szCs w:val="22"/>
          <w:color w:val="auto"/>
        </w:rPr>
        <w:t>” shall have the meaning set forth in Section 8.12(a).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Notice</w:t>
      </w:r>
      <w:r>
        <w:rPr>
          <w:rFonts w:ascii="Times New Roman" w:cs="Times New Roman" w:eastAsia="Times New Roman" w:hAnsi="Times New Roman"/>
          <w:sz w:val="22"/>
          <w:szCs w:val="22"/>
          <w:color w:val="auto"/>
        </w:rPr>
        <w:t>” shall have the meaning set forth in Section 8.12(b).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shall have the meaning set forth in Section 8.12(a).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Payroll Accounts</w:t>
      </w:r>
      <w:r>
        <w:rPr>
          <w:rFonts w:ascii="Times New Roman" w:cs="Times New Roman" w:eastAsia="Times New Roman" w:hAnsi="Times New Roman"/>
          <w:sz w:val="22"/>
          <w:szCs w:val="22"/>
          <w:color w:val="auto"/>
        </w:rPr>
        <w:t>” shall mean depository accounts used only for payroll.</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shall have the meaning specified in the definition of “Term SOFR.”</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Bond Hedge Transaction</w:t>
      </w:r>
      <w:r>
        <w:rPr>
          <w:rFonts w:ascii="Times New Roman" w:cs="Times New Roman" w:eastAsia="Times New Roman" w:hAnsi="Times New Roman"/>
          <w:sz w:val="22"/>
          <w:szCs w:val="22"/>
          <w:color w:val="auto"/>
        </w:rPr>
        <w:t xml:space="preserve">” shall mean any call or capped call option (or substantively equivalent derivative transaction) on Parent’s (or a parent company of the Parent’s) common stock purchased by the issuer of any Convertible Indebtedness in connection with the issuance of any such Convertible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Business</w:t>
      </w:r>
      <w:r>
        <w:rPr>
          <w:rFonts w:ascii="Times New Roman" w:cs="Times New Roman" w:eastAsia="Times New Roman" w:hAnsi="Times New Roman"/>
          <w:sz w:val="22"/>
          <w:szCs w:val="22"/>
          <w:color w:val="auto"/>
        </w:rPr>
        <w:t>” shall mean any business that is similar, or reasonably related, ancillary, supportive or complementary to, or any reasonable extension of the businesses in which Parent and its Restricted Subsidiaries are engaged on the date of this Agreement.</w:t>
      </w:r>
    </w:p>
    <w:p>
      <w:pPr>
        <w:spacing w:after="0" w:line="16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Convertible Indebtedness Call Transaction</w:t>
      </w:r>
      <w:r>
        <w:rPr>
          <w:rFonts w:ascii="Times New Roman" w:cs="Times New Roman" w:eastAsia="Times New Roman" w:hAnsi="Times New Roman"/>
          <w:sz w:val="22"/>
          <w:szCs w:val="22"/>
          <w:color w:val="auto"/>
        </w:rPr>
        <w:t>” shall mean any Permitted Bond Hedge Transaction and any Permitted Warrant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779" w:name="page780"/>
    <w:bookmarkEnd w:id="779"/>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Disposition</w:t>
      </w:r>
      <w:r>
        <w:rPr>
          <w:rFonts w:ascii="Times New Roman" w:cs="Times New Roman" w:eastAsia="Times New Roman" w:hAnsi="Times New Roman"/>
          <w:sz w:val="22"/>
          <w:szCs w:val="22"/>
          <w:color w:val="auto"/>
        </w:rPr>
        <w:t>” shall mean, with respect to Dispositions of Collateral, any of the following:</w:t>
      </w:r>
    </w:p>
    <w:p>
      <w:pPr>
        <w:spacing w:after="0" w:line="224" w:lineRule="exact"/>
        <w:rPr>
          <w:sz w:val="20"/>
          <w:szCs w:val="20"/>
          <w:color w:val="auto"/>
        </w:rPr>
      </w:pPr>
    </w:p>
    <w:p>
      <w:pPr>
        <w:ind w:left="-460" w:firstLine="644"/>
        <w:spacing w:after="0" w:line="271" w:lineRule="auto"/>
        <w:tabs>
          <w:tab w:leader="none" w:pos="687" w:val="left"/>
        </w:tabs>
        <w:numPr>
          <w:ilvl w:val="0"/>
          <w:numId w:val="8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transactions that involves the Disposition of assets having a Fair Market Value in the aggregate of less than $50,000,000 during any six-month period;</w:t>
      </w:r>
    </w:p>
    <w:p>
      <w:pPr>
        <w:spacing w:after="0" w:line="171" w:lineRule="exact"/>
        <w:rPr>
          <w:rFonts w:ascii="Times New Roman" w:cs="Times New Roman" w:eastAsia="Times New Roman" w:hAnsi="Times New Roman"/>
          <w:sz w:val="22"/>
          <w:szCs w:val="22"/>
          <w:color w:val="auto"/>
        </w:rPr>
      </w:pPr>
    </w:p>
    <w:p>
      <w:pPr>
        <w:jc w:val="both"/>
        <w:ind w:left="-460" w:firstLine="644"/>
        <w:spacing w:after="0" w:line="247" w:lineRule="auto"/>
        <w:tabs>
          <w:tab w:leader="none" w:pos="815" w:val="left"/>
        </w:tabs>
        <w:numPr>
          <w:ilvl w:val="0"/>
          <w:numId w:val="8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between or among any of Parent and any of its Restricted Subsidiaries that are Grantors (including any Person that shall become a Grantor simultaneous with such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concurrently with any Disposition of Collateral to any such Grantor or any Person that shall become a Grantor simultaneous with such Disposition, such Grantor or Person shall have granted a security interest in such Collateral to the Collateral Trustee pursuant to a security agreement or mortgage, as applicable, in substantially the same form as the security agreement or mortgage covering such Collateral prior to such Disposition; and (ii) if reasonably requested by the Administrative Agent, concurrently with, or promptly after, such Disposition, the Collateral Trustee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4.01(e)), and (y) in the case of any other Collateral, as to the creation and perfection of the Lien of such security agreement or mortgage, as applicable, in form and substance reasonably satisfactory to the Collateral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this clause (2) shall not permit any Disposition of the Letter of Credit Account or any amounts on deposit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following such Disposition, such Collateral is subject to a Lien with the priority and perfection required by the applicable Collateral Document immediately prior to such Disposition (and otherwise subject only to Permitted Liens) in favor of the Collateral Trustee or trustee (as applicable) for the benefit of the Secured Parties;</w:t>
      </w:r>
    </w:p>
    <w:p>
      <w:pPr>
        <w:spacing w:after="0" w:line="190"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8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not prohibited by Section 6.06;</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33" w:val="left"/>
        </w:tabs>
        <w:numPr>
          <w:ilvl w:val="0"/>
          <w:numId w:val="8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 of cash or Cash Equivalents in exchange for other cash or Cash Equivalents constituting Collateral and having reasonably equivalent value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(4) shall not permit any Disposition of the Letter of Credit Account or any amounts on deposit therein;</w:t>
      </w:r>
    </w:p>
    <w:p>
      <w:pPr>
        <w:spacing w:after="0" w:line="186"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00" w:val="left"/>
        </w:tabs>
        <w:numPr>
          <w:ilvl w:val="0"/>
          <w:numId w:val="8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abandonment or Disposition of assets no longer useful or used in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abandonment or Disposition is (A) in the Ordinary Course of Business and (B) with respect to assets that are not material to the business of Parent and its Restricted Subsidiaries taken as a whole;</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06" w:val="left"/>
        </w:tabs>
        <w:numPr>
          <w:ilvl w:val="0"/>
          <w:numId w:val="8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w:t>
      </w:r>
      <w:r>
        <w:rPr>
          <w:rFonts w:ascii="Times New Roman" w:cs="Times New Roman" w:eastAsia="Times New Roman" w:hAnsi="Times New Roman"/>
          <w:sz w:val="22"/>
          <w:szCs w:val="22"/>
          <w:i w:val="1"/>
          <w:iCs w:val="1"/>
          <w:color w:val="auto"/>
        </w:rPr>
        <w:t>Leased Collateral</w:t>
      </w:r>
      <w:r>
        <w:rPr>
          <w:rFonts w:ascii="Times New Roman" w:cs="Times New Roman" w:eastAsia="Times New Roman" w:hAnsi="Times New Roman"/>
          <w:sz w:val="22"/>
          <w:szCs w:val="22"/>
          <w:color w:val="auto"/>
        </w:rPr>
        <w:t>”), (A) such transaction has a term of one year or less, or in the case of Leased Collateral comprised of Pledged Slots (“</w:t>
      </w:r>
      <w:r>
        <w:rPr>
          <w:rFonts w:ascii="Times New Roman" w:cs="Times New Roman" w:eastAsia="Times New Roman" w:hAnsi="Times New Roman"/>
          <w:sz w:val="22"/>
          <w:szCs w:val="22"/>
          <w:i w:val="1"/>
          <w:iCs w:val="1"/>
          <w:color w:val="auto"/>
        </w:rPr>
        <w:t>Leased Slots</w:t>
      </w:r>
      <w:r>
        <w:rPr>
          <w:rFonts w:ascii="Times New Roman" w:cs="Times New Roman" w:eastAsia="Times New Roman" w:hAnsi="Times New Roman"/>
          <w:sz w:val="22"/>
          <w:szCs w:val="22"/>
          <w:color w:val="auto"/>
        </w:rPr>
        <w:t>”), does not extend beyond three comparable IATA traffic seasons; or (B) if the term of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120"/>
          </w:cols>
          <w:pgMar w:left="1440" w:top="1440" w:right="339" w:bottom="1440" w:gutter="0" w:footer="0" w:header="0"/>
        </w:sectPr>
      </w:pPr>
    </w:p>
    <w:bookmarkStart w:id="780" w:name="page781"/>
    <w:bookmarkEnd w:id="780"/>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Trustee’s Liens on such Collateral are not materially adversely affected by such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certification in this clause (ii) shall not be required with respect to any Leased Collateral comprised of Slots or Foreign Gate Leaseholds and (iii) no Event of Default exists at the time of such transaction;</w:t>
      </w:r>
    </w:p>
    <w:p>
      <w:pPr>
        <w:spacing w:after="0" w:line="203" w:lineRule="exact"/>
        <w:rPr>
          <w:sz w:val="20"/>
          <w:szCs w:val="20"/>
          <w:color w:val="auto"/>
        </w:rPr>
      </w:pPr>
    </w:p>
    <w:p>
      <w:pPr>
        <w:jc w:val="both"/>
        <w:ind w:firstLine="644"/>
        <w:spacing w:after="0" w:line="250" w:lineRule="auto"/>
        <w:tabs>
          <w:tab w:leader="none" w:pos="1192" w:val="left"/>
        </w:tabs>
        <w:numPr>
          <w:ilvl w:val="0"/>
          <w:numId w:val="9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w:t>
      </w:r>
    </w:p>
    <w:p>
      <w:pPr>
        <w:spacing w:after="0" w:line="180" w:lineRule="exact"/>
        <w:rPr>
          <w:rFonts w:ascii="Times New Roman" w:cs="Times New Roman" w:eastAsia="Times New Roman" w:hAnsi="Times New Roman"/>
          <w:sz w:val="22"/>
          <w:szCs w:val="22"/>
          <w:color w:val="auto"/>
        </w:rPr>
      </w:pPr>
    </w:p>
    <w:p>
      <w:pPr>
        <w:jc w:val="both"/>
        <w:ind w:firstLine="644"/>
        <w:spacing w:after="0" w:line="248" w:lineRule="auto"/>
        <w:tabs>
          <w:tab w:leader="none" w:pos="1215" w:val="left"/>
        </w:tabs>
        <w:numPr>
          <w:ilvl w:val="0"/>
          <w:numId w:val="9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w:t>
      </w:r>
    </w:p>
    <w:p>
      <w:pPr>
        <w:spacing w:after="0" w:line="188" w:lineRule="exact"/>
        <w:rPr>
          <w:rFonts w:ascii="Times New Roman" w:cs="Times New Roman" w:eastAsia="Times New Roman" w:hAnsi="Times New Roman"/>
          <w:sz w:val="22"/>
          <w:szCs w:val="22"/>
          <w:color w:val="auto"/>
        </w:rPr>
      </w:pPr>
    </w:p>
    <w:p>
      <w:pPr>
        <w:ind w:firstLine="644"/>
        <w:spacing w:after="0" w:line="271" w:lineRule="auto"/>
        <w:tabs>
          <w:tab w:leader="none" w:pos="1167" w:val="left"/>
        </w:tabs>
        <w:numPr>
          <w:ilvl w:val="0"/>
          <w:numId w:val="9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property resulting from an event of loss with respect to any aircraft, airframe, engine or spare engine if the Grantor is replacing such aircraft, airframe,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0580"/>
          </w:cols>
          <w:pgMar w:left="980" w:top="1440" w:right="339" w:bottom="1440" w:gutter="0" w:footer="0" w:header="0"/>
        </w:sectPr>
      </w:pPr>
    </w:p>
    <w:bookmarkStart w:id="781" w:name="page782"/>
    <w:bookmarkEnd w:id="78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engine or spare engine in accordance with the terms of the applicable Aircraft Security Agreement; and</w:t>
      </w:r>
    </w:p>
    <w:p>
      <w:pPr>
        <w:spacing w:after="0" w:line="220" w:lineRule="exact"/>
        <w:rPr>
          <w:sz w:val="20"/>
          <w:szCs w:val="20"/>
          <w:color w:val="auto"/>
        </w:rPr>
      </w:pPr>
    </w:p>
    <w:p>
      <w:pPr>
        <w:jc w:val="both"/>
        <w:ind w:firstLine="644"/>
        <w:spacing w:after="0" w:line="263" w:lineRule="auto"/>
        <w:tabs>
          <w:tab w:leader="none" w:pos="1224" w:val="left"/>
        </w:tabs>
        <w:numPr>
          <w:ilvl w:val="0"/>
          <w:numId w:val="9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Collateral permitted by any of the Collateral Documents (to the extent such permission is not made by cross-reference to, or incorporation by reference of, a Disposition of Collateral permitted under Section 6.04(ii)).</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Investments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120" w:hanging="476"/>
        <w:spacing w:after="0"/>
        <w:tabs>
          <w:tab w:leader="none" w:pos="1120"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Parent or in a Restricted Subsidiary of Parent;</w:t>
      </w:r>
    </w:p>
    <w:p>
      <w:pPr>
        <w:spacing w:after="0" w:line="219"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 cash, Cash Equivalents and any foreign equivalents;</w:t>
      </w:r>
    </w:p>
    <w:p>
      <w:pPr>
        <w:spacing w:after="0" w:line="219"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by Parent or any Restricted Subsidiary of Parent in a Person, if as a result of such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w:t>
      </w:r>
    </w:p>
    <w:p>
      <w:pPr>
        <w:spacing w:after="0" w:line="207" w:lineRule="exact"/>
        <w:rPr>
          <w:rFonts w:ascii="Times New Roman" w:cs="Times New Roman" w:eastAsia="Times New Roman" w:hAnsi="Times New Roman"/>
          <w:sz w:val="22"/>
          <w:szCs w:val="22"/>
          <w:color w:val="auto"/>
        </w:rPr>
      </w:pPr>
    </w:p>
    <w:p>
      <w:pPr>
        <w:ind w:left="1800" w:hanging="508"/>
        <w:spacing w:after="0"/>
        <w:tabs>
          <w:tab w:leader="none" w:pos="1800" w:val="left"/>
        </w:tabs>
        <w:numPr>
          <w:ilvl w:val="1"/>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becomes a Restricted Subsidiary of Parent; or</w:t>
      </w:r>
    </w:p>
    <w:p>
      <w:pPr>
        <w:spacing w:after="0" w:line="219" w:lineRule="exact"/>
        <w:rPr>
          <w:rFonts w:ascii="Times New Roman" w:cs="Times New Roman" w:eastAsia="Times New Roman" w:hAnsi="Times New Roman"/>
          <w:sz w:val="22"/>
          <w:szCs w:val="22"/>
          <w:color w:val="auto"/>
        </w:rPr>
      </w:pPr>
    </w:p>
    <w:p>
      <w:pPr>
        <w:jc w:val="both"/>
        <w:ind w:left="1940" w:hanging="648"/>
        <w:spacing w:after="0" w:line="257" w:lineRule="auto"/>
        <w:tabs>
          <w:tab w:leader="none" w:pos="1898" w:val="left"/>
        </w:tabs>
        <w:numPr>
          <w:ilvl w:val="1"/>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172"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made as a result of the receipt of non-cash consideration from a Disposition of assets;</w:t>
      </w:r>
    </w:p>
    <w:p>
      <w:pPr>
        <w:spacing w:after="0" w:line="233"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of assets or Capital Stock in exchange for the issuance of Qualifying Equity Interests;</w:t>
      </w:r>
    </w:p>
    <w:p>
      <w:pPr>
        <w:spacing w:after="0" w:line="219" w:lineRule="exact"/>
        <w:rPr>
          <w:rFonts w:ascii="Times New Roman" w:cs="Times New Roman" w:eastAsia="Times New Roman" w:hAnsi="Times New Roman"/>
          <w:sz w:val="22"/>
          <w:szCs w:val="22"/>
          <w:color w:val="auto"/>
        </w:rPr>
      </w:pPr>
    </w:p>
    <w:p>
      <w:pPr>
        <w:jc w:val="both"/>
        <w:ind w:firstLine="644"/>
        <w:spacing w:after="0" w:line="252" w:lineRule="auto"/>
        <w:tabs>
          <w:tab w:leader="none" w:pos="1136"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192" w:lineRule="exact"/>
        <w:rPr>
          <w:rFonts w:ascii="Times New Roman" w:cs="Times New Roman" w:eastAsia="Times New Roman" w:hAnsi="Times New Roman"/>
          <w:sz w:val="22"/>
          <w:szCs w:val="22"/>
          <w:color w:val="auto"/>
        </w:rPr>
      </w:pPr>
    </w:p>
    <w:p>
      <w:pPr>
        <w:jc w:val="both"/>
        <w:ind w:firstLine="644"/>
        <w:spacing w:after="0" w:line="257" w:lineRule="auto"/>
        <w:tabs>
          <w:tab w:leader="none" w:pos="1278"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represented by Hedging Obligations or made in connection therewith (including any cash collateral or other collateral that does not constitute Collateral provided to or by Parent or any of its Restricted Subsidiaries in connection with any Hedging Obligation);</w:t>
      </w:r>
    </w:p>
    <w:p>
      <w:pPr>
        <w:spacing w:after="0" w:line="172" w:lineRule="exact"/>
        <w:rPr>
          <w:rFonts w:ascii="Times New Roman" w:cs="Times New Roman" w:eastAsia="Times New Roman" w:hAnsi="Times New Roman"/>
          <w:sz w:val="22"/>
          <w:szCs w:val="22"/>
          <w:color w:val="auto"/>
        </w:rPr>
      </w:pPr>
    </w:p>
    <w:p>
      <w:pPr>
        <w:jc w:val="both"/>
        <w:ind w:firstLine="644"/>
        <w:spacing w:after="0" w:line="263" w:lineRule="auto"/>
        <w:tabs>
          <w:tab w:leader="none" w:pos="1160"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officers, directors or employees made in the Ordinary Course of Business of Parent or any Restricted Subsidiary of Parent in an aggregate principal amount not to exceed $30,000,000 at any one time outstanding;</w:t>
      </w:r>
    </w:p>
    <w:p>
      <w:pPr>
        <w:spacing w:after="0" w:line="167"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9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prepayment or purchase of any Loans in accordance with the terms and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580"/>
          </w:cols>
          <w:pgMar w:left="980" w:top="1440" w:right="339" w:bottom="1440" w:gutter="0" w:footer="0" w:header="0"/>
        </w:sectPr>
      </w:pPr>
    </w:p>
    <w:bookmarkStart w:id="782" w:name="page783"/>
    <w:bookmarkEnd w:id="782"/>
    <w:p>
      <w:pPr>
        <w:spacing w:after="0" w:line="199" w:lineRule="exact"/>
        <w:rPr>
          <w:sz w:val="20"/>
          <w:szCs w:val="20"/>
          <w:color w:val="auto"/>
        </w:rPr>
      </w:pPr>
    </w:p>
    <w:p>
      <w:pPr>
        <w:ind w:left="1224" w:hanging="576"/>
        <w:spacing w:after="0"/>
        <w:tabs>
          <w:tab w:leader="none" w:pos="1224" w:val="left"/>
        </w:tabs>
        <w:numPr>
          <w:ilvl w:val="1"/>
          <w:numId w:val="9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Indebtedness;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7" w:lineRule="auto"/>
        <w:tabs>
          <w:tab w:leader="none" w:pos="1288" w:val="left"/>
        </w:tabs>
        <w:numPr>
          <w:ilvl w:val="1"/>
          <w:numId w:val="9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Investment may be increased</w:t>
      </w:r>
    </w:p>
    <w:p>
      <w:pPr>
        <w:spacing w:after="0" w:line="1" w:lineRule="exact"/>
        <w:rPr>
          <w:rFonts w:ascii="Times New Roman" w:cs="Times New Roman" w:eastAsia="Times New Roman" w:hAnsi="Times New Roman"/>
          <w:sz w:val="21"/>
          <w:szCs w:val="21"/>
          <w:color w:val="auto"/>
        </w:rPr>
      </w:pPr>
    </w:p>
    <w:p>
      <w:pPr>
        <w:ind w:left="4" w:hanging="4"/>
        <w:spacing w:after="0" w:line="248" w:lineRule="auto"/>
        <w:tabs>
          <w:tab w:leader="none" w:pos="369" w:val="left"/>
        </w:tabs>
        <w:numPr>
          <w:ilvl w:val="0"/>
          <w:numId w:val="9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the terms of such Investment as in existence on the Closing Date or (B) as otherwise permitted under this Agreement;</w:t>
      </w:r>
    </w:p>
    <w:p>
      <w:pPr>
        <w:spacing w:after="0" w:line="182"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348" w:val="left"/>
        </w:tabs>
        <w:numPr>
          <w:ilvl w:val="1"/>
          <w:numId w:val="9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Investments or commitments to make Investments existing on the date hereof and any Investments consisting of extensions, modifications or renewals of such Investments and (b) any other Investments or commitments to make Investments acquired after the Closing Date and any other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w:t>
      </w:r>
    </w:p>
    <w:p>
      <w:pPr>
        <w:spacing w:after="0" w:line="195" w:lineRule="exact"/>
        <w:rPr>
          <w:rFonts w:ascii="Times New Roman" w:cs="Times New Roman" w:eastAsia="Times New Roman" w:hAnsi="Times New Roman"/>
          <w:sz w:val="22"/>
          <w:szCs w:val="22"/>
          <w:color w:val="auto"/>
        </w:rPr>
      </w:pPr>
    </w:p>
    <w:p>
      <w:pPr>
        <w:jc w:val="both"/>
        <w:ind w:left="4" w:firstLine="644"/>
        <w:spacing w:after="0" w:line="268" w:lineRule="auto"/>
        <w:tabs>
          <w:tab w:leader="none" w:pos="1349" w:val="left"/>
        </w:tabs>
        <w:numPr>
          <w:ilvl w:val="1"/>
          <w:numId w:val="9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w:t>
      </w:r>
    </w:p>
    <w:p>
      <w:pPr>
        <w:spacing w:after="0" w:line="163" w:lineRule="exact"/>
        <w:rPr>
          <w:rFonts w:ascii="Times New Roman" w:cs="Times New Roman" w:eastAsia="Times New Roman" w:hAnsi="Times New Roman"/>
          <w:sz w:val="21"/>
          <w:szCs w:val="21"/>
          <w:color w:val="auto"/>
        </w:rPr>
      </w:pPr>
    </w:p>
    <w:p>
      <w:pPr>
        <w:ind w:left="4" w:firstLine="644"/>
        <w:spacing w:after="0" w:line="284" w:lineRule="auto"/>
        <w:tabs>
          <w:tab w:leader="none" w:pos="1285" w:val="left"/>
        </w:tabs>
        <w:numPr>
          <w:ilvl w:val="1"/>
          <w:numId w:val="9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Receivables arising in the Ordinary Course of Business, and Investment in Receivables and related assets including pursuant to a Receivables Repurchase Obligation;</w:t>
      </w:r>
    </w:p>
    <w:p>
      <w:pPr>
        <w:spacing w:after="0" w:line="143" w:lineRule="exact"/>
        <w:rPr>
          <w:rFonts w:ascii="Times New Roman" w:cs="Times New Roman" w:eastAsia="Times New Roman" w:hAnsi="Times New Roman"/>
          <w:sz w:val="22"/>
          <w:szCs w:val="22"/>
          <w:color w:val="auto"/>
        </w:rPr>
      </w:pPr>
    </w:p>
    <w:p>
      <w:pPr>
        <w:ind w:left="1224" w:hanging="576"/>
        <w:spacing w:after="0"/>
        <w:tabs>
          <w:tab w:leader="none" w:pos="1224" w:val="left"/>
        </w:tabs>
        <w:numPr>
          <w:ilvl w:val="1"/>
          <w:numId w:val="9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outsourcing initiatives in the Ordinary Course of Business;</w:t>
      </w:r>
    </w:p>
    <w:p>
      <w:pPr>
        <w:spacing w:after="0" w:line="219" w:lineRule="exact"/>
        <w:rPr>
          <w:rFonts w:ascii="Times New Roman" w:cs="Times New Roman" w:eastAsia="Times New Roman" w:hAnsi="Times New Roman"/>
          <w:sz w:val="22"/>
          <w:szCs w:val="22"/>
          <w:color w:val="auto"/>
        </w:rPr>
      </w:pPr>
    </w:p>
    <w:p>
      <w:pPr>
        <w:ind w:left="1224" w:hanging="576"/>
        <w:spacing w:after="0"/>
        <w:tabs>
          <w:tab w:leader="none" w:pos="1224" w:val="left"/>
        </w:tabs>
        <w:numPr>
          <w:ilvl w:val="1"/>
          <w:numId w:val="9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Bond Hedge Transactions which constitute Investments;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251" w:val="left"/>
        </w:tabs>
        <w:numPr>
          <w:ilvl w:val="1"/>
          <w:numId w:val="9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w:t>
      </w:r>
    </w:p>
    <w:p>
      <w:pPr>
        <w:spacing w:after="0" w:line="178" w:lineRule="exact"/>
        <w:rPr>
          <w:rFonts w:ascii="Times New Roman" w:cs="Times New Roman" w:eastAsia="Times New Roman" w:hAnsi="Times New Roman"/>
          <w:sz w:val="22"/>
          <w:szCs w:val="22"/>
          <w:color w:val="auto"/>
        </w:rPr>
      </w:pPr>
    </w:p>
    <w:p>
      <w:pPr>
        <w:ind w:left="4" w:firstLine="644"/>
        <w:spacing w:after="0" w:line="271" w:lineRule="auto"/>
        <w:tabs>
          <w:tab w:leader="none" w:pos="1380" w:val="left"/>
        </w:tabs>
        <w:numPr>
          <w:ilvl w:val="1"/>
          <w:numId w:val="9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reimbursable extensions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Investment made pursuant to this clause (18) shall not be permitted if unreimbursed within 90 days of any such extension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584"/>
          </w:cols>
          <w:pgMar w:left="976" w:top="1440" w:right="339" w:bottom="1440" w:gutter="0" w:footer="0" w:header="0"/>
        </w:sectPr>
      </w:pPr>
    </w:p>
    <w:bookmarkStart w:id="783" w:name="page784"/>
    <w:bookmarkEnd w:id="783"/>
    <w:p>
      <w:pPr>
        <w:spacing w:after="0" w:line="198" w:lineRule="exact"/>
        <w:rPr>
          <w:sz w:val="20"/>
          <w:szCs w:val="20"/>
          <w:color w:val="auto"/>
        </w:rPr>
      </w:pPr>
    </w:p>
    <w:p>
      <w:pPr>
        <w:ind w:right="20" w:firstLine="644"/>
        <w:spacing w:after="0" w:line="271" w:lineRule="auto"/>
        <w:tabs>
          <w:tab w:leader="none" w:pos="1287"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financing any pre-delivery, progress or other similar payments relating to the acquisition of Aircraft Related Equipment;</w:t>
      </w:r>
    </w:p>
    <w:p>
      <w:pPr>
        <w:spacing w:after="0" w:line="157" w:lineRule="exact"/>
        <w:rPr>
          <w:rFonts w:ascii="Times New Roman" w:cs="Times New Roman" w:eastAsia="Times New Roman" w:hAnsi="Times New Roman"/>
          <w:sz w:val="22"/>
          <w:szCs w:val="22"/>
          <w:color w:val="auto"/>
        </w:rPr>
      </w:pPr>
    </w:p>
    <w:p>
      <w:pPr>
        <w:ind w:firstLine="644"/>
        <w:spacing w:after="0" w:line="284" w:lineRule="auto"/>
        <w:tabs>
          <w:tab w:leader="none" w:pos="1320"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Non-Recourse Financing Subsidiaries (other than Receivables Subsidiaries in connection with Qualified Receivables Transactions), in an aggregate amount outstanding at any time not to exceed $300,000,000;</w:t>
      </w:r>
    </w:p>
    <w:p>
      <w:pPr>
        <w:spacing w:after="0" w:line="143" w:lineRule="exact"/>
        <w:rPr>
          <w:rFonts w:ascii="Times New Roman" w:cs="Times New Roman" w:eastAsia="Times New Roman" w:hAnsi="Times New Roman"/>
          <w:sz w:val="22"/>
          <w:szCs w:val="22"/>
          <w:color w:val="auto"/>
        </w:rPr>
      </w:pPr>
    </w:p>
    <w:p>
      <w:pPr>
        <w:jc w:val="both"/>
        <w:ind w:firstLine="644"/>
        <w:spacing w:after="0" w:line="252" w:lineRule="auto"/>
        <w:tabs>
          <w:tab w:leader="none" w:pos="1278"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w:t>
      </w:r>
    </w:p>
    <w:p>
      <w:pPr>
        <w:spacing w:after="0" w:line="192" w:lineRule="exact"/>
        <w:rPr>
          <w:rFonts w:ascii="Times New Roman" w:cs="Times New Roman" w:eastAsia="Times New Roman" w:hAnsi="Times New Roman"/>
          <w:sz w:val="22"/>
          <w:szCs w:val="22"/>
          <w:color w:val="auto"/>
        </w:rPr>
      </w:pPr>
    </w:p>
    <w:p>
      <w:pPr>
        <w:jc w:val="both"/>
        <w:ind w:firstLine="644"/>
        <w:spacing w:after="0" w:line="250" w:lineRule="auto"/>
        <w:tabs>
          <w:tab w:leader="none" w:pos="1434"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w:t>
      </w:r>
    </w:p>
    <w:p>
      <w:pPr>
        <w:spacing w:after="0" w:line="180" w:lineRule="exact"/>
        <w:rPr>
          <w:rFonts w:ascii="Times New Roman" w:cs="Times New Roman" w:eastAsia="Times New Roman" w:hAnsi="Times New Roman"/>
          <w:sz w:val="22"/>
          <w:szCs w:val="22"/>
          <w:color w:val="auto"/>
        </w:rPr>
      </w:pPr>
    </w:p>
    <w:p>
      <w:pPr>
        <w:ind w:firstLine="644"/>
        <w:spacing w:after="0" w:line="284" w:lineRule="auto"/>
        <w:tabs>
          <w:tab w:leader="none" w:pos="1272"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payroll advances and advances for business and travel expenses in the Ordinary Course of Business;</w:t>
      </w:r>
    </w:p>
    <w:p>
      <w:pPr>
        <w:spacing w:after="0" w:line="143" w:lineRule="exact"/>
        <w:rPr>
          <w:rFonts w:ascii="Times New Roman" w:cs="Times New Roman" w:eastAsia="Times New Roman" w:hAnsi="Times New Roman"/>
          <w:sz w:val="22"/>
          <w:szCs w:val="22"/>
          <w:color w:val="auto"/>
        </w:rPr>
      </w:pPr>
    </w:p>
    <w:p>
      <w:pPr>
        <w:ind w:firstLine="644"/>
        <w:spacing w:after="0" w:line="271" w:lineRule="auto"/>
        <w:tabs>
          <w:tab w:leader="none" w:pos="1232"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by way of any endorsement of negotiable instruments received in the Ordinary Course of Business and presented to any bank for collection or deposit;</w:t>
      </w:r>
    </w:p>
    <w:p>
      <w:pPr>
        <w:spacing w:after="0" w:line="157" w:lineRule="exact"/>
        <w:rPr>
          <w:rFonts w:ascii="Times New Roman" w:cs="Times New Roman" w:eastAsia="Times New Roman" w:hAnsi="Times New Roman"/>
          <w:sz w:val="22"/>
          <w:szCs w:val="22"/>
          <w:color w:val="auto"/>
        </w:rPr>
      </w:pPr>
    </w:p>
    <w:p>
      <w:pPr>
        <w:jc w:val="both"/>
        <w:ind w:right="20" w:firstLine="644"/>
        <w:spacing w:after="0" w:line="263" w:lineRule="auto"/>
        <w:tabs>
          <w:tab w:leader="none" w:pos="1239"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stock, obligations or securities received in settlement of amounts owing to Parent or any Restricted Subsidiary in the Ordinary Course of Business or in a distribution received in respect of an Investment permitted hereunder;</w:t>
      </w:r>
    </w:p>
    <w:p>
      <w:pPr>
        <w:spacing w:after="0" w:line="167" w:lineRule="exact"/>
        <w:rPr>
          <w:rFonts w:ascii="Times New Roman" w:cs="Times New Roman" w:eastAsia="Times New Roman" w:hAnsi="Times New Roman"/>
          <w:sz w:val="22"/>
          <w:szCs w:val="22"/>
          <w:color w:val="auto"/>
        </w:rPr>
      </w:pPr>
    </w:p>
    <w:p>
      <w:pPr>
        <w:ind w:left="1420" w:hanging="776"/>
        <w:spacing w:after="0"/>
        <w:tabs>
          <w:tab w:leader="none" w:pos="1420"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Unrestricted Subsidiaries not to exceed $30,000,000 in any fiscal year in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w:t>
      </w:r>
    </w:p>
    <w:p>
      <w:pPr>
        <w:spacing w:after="0" w:line="195" w:lineRule="exact"/>
        <w:rPr>
          <w:rFonts w:ascii="Times New Roman" w:cs="Times New Roman" w:eastAsia="Times New Roman" w:hAnsi="Times New Roman"/>
          <w:sz w:val="22"/>
          <w:szCs w:val="22"/>
          <w:color w:val="auto"/>
        </w:rPr>
      </w:pPr>
    </w:p>
    <w:p>
      <w:pPr>
        <w:jc w:val="both"/>
        <w:ind w:firstLine="644"/>
        <w:spacing w:after="0" w:line="263" w:lineRule="auto"/>
        <w:tabs>
          <w:tab w:leader="none" w:pos="1249"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167" w:lineRule="exact"/>
        <w:rPr>
          <w:rFonts w:ascii="Times New Roman" w:cs="Times New Roman" w:eastAsia="Times New Roman" w:hAnsi="Times New Roman"/>
          <w:sz w:val="22"/>
          <w:szCs w:val="22"/>
          <w:color w:val="auto"/>
        </w:rPr>
      </w:pPr>
    </w:p>
    <w:p>
      <w:pPr>
        <w:ind w:firstLine="644"/>
        <w:spacing w:after="0" w:line="271" w:lineRule="auto"/>
        <w:tabs>
          <w:tab w:leader="none" w:pos="1243"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advances and loans to Affiliates of Parent or any of its Restricted Subsidiaries, in an aggregate amount outstanding at any time not to exceed $300,000,000;</w:t>
      </w:r>
    </w:p>
    <w:p>
      <w:pPr>
        <w:spacing w:after="0" w:line="157" w:lineRule="exact"/>
        <w:rPr>
          <w:rFonts w:ascii="Times New Roman" w:cs="Times New Roman" w:eastAsia="Times New Roman" w:hAnsi="Times New Roman"/>
          <w:sz w:val="22"/>
          <w:szCs w:val="22"/>
          <w:color w:val="auto"/>
        </w:rPr>
      </w:pPr>
    </w:p>
    <w:p>
      <w:pPr>
        <w:ind w:firstLine="644"/>
        <w:spacing w:after="0" w:line="271" w:lineRule="auto"/>
        <w:tabs>
          <w:tab w:leader="none" w:pos="1236"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in Excluded Subsidiaries consistent with past practice and not to exceed $30,000,000 per fiscal year in the aggregate;</w:t>
      </w:r>
    </w:p>
    <w:p>
      <w:pPr>
        <w:spacing w:after="0" w:line="157" w:lineRule="exact"/>
        <w:rPr>
          <w:rFonts w:ascii="Times New Roman" w:cs="Times New Roman" w:eastAsia="Times New Roman" w:hAnsi="Times New Roman"/>
          <w:sz w:val="22"/>
          <w:szCs w:val="22"/>
          <w:color w:val="auto"/>
        </w:rPr>
      </w:pPr>
    </w:p>
    <w:p>
      <w:pPr>
        <w:ind w:firstLine="644"/>
        <w:spacing w:after="0" w:line="284" w:lineRule="auto"/>
        <w:tabs>
          <w:tab w:leader="none" w:pos="1272" w:val="left"/>
        </w:tabs>
        <w:numPr>
          <w:ilvl w:val="0"/>
          <w:numId w:val="9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incurred in the Ordinary Course of Business of obligations that do not constitute Indebtedness of any regional air carrier doing business with any of Parent’s</w:t>
      </w:r>
    </w:p>
    <w:p>
      <w:pPr>
        <w:sectPr>
          <w:pgSz w:w="11900" w:h="16838" w:orient="portrait"/>
          <w:cols w:equalWidth="0" w:num="1">
            <w:col w:w="10580"/>
          </w:cols>
          <w:pgMar w:left="9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580"/>
          </w:cols>
          <w:pgMar w:left="980" w:top="1440" w:right="339" w:bottom="1440" w:gutter="0" w:footer="0" w:header="0"/>
          <w:type w:val="continuous"/>
        </w:sectPr>
      </w:pPr>
    </w:p>
    <w:bookmarkStart w:id="784" w:name="page785"/>
    <w:bookmarkEnd w:id="784"/>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spacing w:after="0" w:line="186" w:lineRule="exact"/>
        <w:rPr>
          <w:sz w:val="20"/>
          <w:szCs w:val="20"/>
          <w:color w:val="auto"/>
        </w:rPr>
      </w:pPr>
    </w:p>
    <w:p>
      <w:pPr>
        <w:ind w:right="20" w:firstLine="644"/>
        <w:spacing w:after="0" w:line="271" w:lineRule="auto"/>
        <w:tabs>
          <w:tab w:leader="none" w:pos="1345" w:val="left"/>
        </w:tabs>
        <w:numPr>
          <w:ilvl w:val="0"/>
          <w:numId w:val="9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has occurred and is continuing, any Investment by Parent and/or any Restricted Subsidiary of Parent; and</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261" w:val="left"/>
        </w:tabs>
        <w:numPr>
          <w:ilvl w:val="0"/>
          <w:numId w:val="9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left="1120" w:hanging="476"/>
        <w:spacing w:after="0"/>
        <w:tabs>
          <w:tab w:leader="none" w:pos="1120" w:val="left"/>
        </w:tabs>
        <w:numPr>
          <w:ilvl w:val="0"/>
          <w:numId w:val="9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held by the Collateral Trustee securing the Obligations;</w:t>
      </w:r>
    </w:p>
    <w:p>
      <w:pPr>
        <w:spacing w:after="0" w:line="219" w:lineRule="exact"/>
        <w:rPr>
          <w:rFonts w:ascii="Times New Roman" w:cs="Times New Roman" w:eastAsia="Times New Roman" w:hAnsi="Times New Roman"/>
          <w:sz w:val="22"/>
          <w:szCs w:val="22"/>
          <w:color w:val="auto"/>
        </w:rPr>
      </w:pPr>
    </w:p>
    <w:p>
      <w:pPr>
        <w:jc w:val="both"/>
        <w:ind w:firstLine="644"/>
        <w:spacing w:after="0" w:line="257" w:lineRule="auto"/>
        <w:tabs>
          <w:tab w:leader="none" w:pos="1116" w:val="left"/>
        </w:tabs>
        <w:numPr>
          <w:ilvl w:val="0"/>
          <w:numId w:val="9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Junior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(x) rank junior to the Liens in favor of the Collateral Trustee securing the Obligations and (y) be subject to the Collateral Trust Agreement or an Intercreditor Agreement;</w:t>
      </w:r>
    </w:p>
    <w:p>
      <w:pPr>
        <w:spacing w:after="0" w:line="186" w:lineRule="exact"/>
        <w:rPr>
          <w:rFonts w:ascii="Times New Roman" w:cs="Times New Roman" w:eastAsia="Times New Roman" w:hAnsi="Times New Roman"/>
          <w:sz w:val="22"/>
          <w:szCs w:val="22"/>
          <w:color w:val="auto"/>
        </w:rPr>
      </w:pPr>
    </w:p>
    <w:p>
      <w:pPr>
        <w:jc w:val="both"/>
        <w:ind w:firstLine="644"/>
        <w:spacing w:after="0" w:line="257" w:lineRule="auto"/>
        <w:tabs>
          <w:tab w:leader="none" w:pos="1157" w:val="left"/>
        </w:tabs>
        <w:numPr>
          <w:ilvl w:val="0"/>
          <w:numId w:val="9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assessments or governmental charges or claims that are not yet delinquent or that are being contested in good faith by appropriate proceedings promptly instituted and diligently pursued;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reserve or other appropriate provision as is required in conformity with GAAP has been made therefor;</w:t>
      </w:r>
    </w:p>
    <w:p>
      <w:pPr>
        <w:spacing w:after="0" w:line="172" w:lineRule="exact"/>
        <w:rPr>
          <w:rFonts w:ascii="Times New Roman" w:cs="Times New Roman" w:eastAsia="Times New Roman" w:hAnsi="Times New Roman"/>
          <w:sz w:val="22"/>
          <w:szCs w:val="22"/>
          <w:color w:val="auto"/>
        </w:rPr>
      </w:pPr>
    </w:p>
    <w:p>
      <w:pPr>
        <w:ind w:firstLine="644"/>
        <w:spacing w:after="0" w:line="271" w:lineRule="auto"/>
        <w:tabs>
          <w:tab w:leader="none" w:pos="1120" w:val="left"/>
        </w:tabs>
        <w:numPr>
          <w:ilvl w:val="0"/>
          <w:numId w:val="9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including carriers’, vendors’, materialmen’s, warehousemen’s, landlord’s, mechanics’, repairmen’s, employees’ or other like Liens, in each case, incurred in the Ordinary Course of Business;</w:t>
      </w:r>
    </w:p>
    <w:p>
      <w:pPr>
        <w:spacing w:after="0" w:line="171" w:lineRule="exact"/>
        <w:rPr>
          <w:rFonts w:ascii="Times New Roman" w:cs="Times New Roman" w:eastAsia="Times New Roman" w:hAnsi="Times New Roman"/>
          <w:sz w:val="22"/>
          <w:szCs w:val="22"/>
          <w:color w:val="auto"/>
        </w:rPr>
      </w:pPr>
    </w:p>
    <w:p>
      <w:pPr>
        <w:ind w:firstLine="644"/>
        <w:spacing w:after="0" w:line="271" w:lineRule="auto"/>
        <w:tabs>
          <w:tab w:leader="none" w:pos="1278" w:val="left"/>
        </w:tabs>
        <w:numPr>
          <w:ilvl w:val="0"/>
          <w:numId w:val="9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connection with judgments, attachments or awards which do not constitute an Event of Default hereunder;</w:t>
      </w:r>
    </w:p>
    <w:p>
      <w:pPr>
        <w:spacing w:after="0" w:line="157"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9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for the benefit of (or to secure) the Obligations or any Guaranty Obligations;</w:t>
      </w:r>
    </w:p>
    <w:p>
      <w:pPr>
        <w:spacing w:after="0" w:line="219" w:lineRule="exact"/>
        <w:rPr>
          <w:rFonts w:ascii="Times New Roman" w:cs="Times New Roman" w:eastAsia="Times New Roman" w:hAnsi="Times New Roman"/>
          <w:sz w:val="22"/>
          <w:szCs w:val="22"/>
          <w:color w:val="auto"/>
        </w:rPr>
      </w:pPr>
    </w:p>
    <w:p>
      <w:pPr>
        <w:ind w:firstLine="644"/>
        <w:spacing w:after="0" w:line="271" w:lineRule="auto"/>
        <w:tabs>
          <w:tab w:leader="none" w:pos="1224" w:val="left"/>
        </w:tabs>
        <w:numPr>
          <w:ilvl w:val="0"/>
          <w:numId w:val="9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Receivables and related assets of the type specified in the definition of “Qualified Receivables Transaction,” incurred in connection with a Qualified Receivables Transaction;</w:t>
      </w:r>
    </w:p>
    <w:p>
      <w:pPr>
        <w:spacing w:after="0" w:line="171" w:lineRule="exact"/>
        <w:rPr>
          <w:rFonts w:ascii="Times New Roman" w:cs="Times New Roman" w:eastAsia="Times New Roman" w:hAnsi="Times New Roman"/>
          <w:sz w:val="22"/>
          <w:szCs w:val="22"/>
          <w:color w:val="auto"/>
        </w:rPr>
      </w:pPr>
    </w:p>
    <w:p>
      <w:pPr>
        <w:jc w:val="both"/>
        <w:ind w:firstLine="644"/>
        <w:spacing w:after="0" w:line="250" w:lineRule="auto"/>
        <w:tabs>
          <w:tab w:leader="none" w:pos="1224" w:val="left"/>
        </w:tabs>
        <w:numPr>
          <w:ilvl w:val="0"/>
          <w:numId w:val="9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overdrafts and related liabilities arising from treasury, netting, depository and cash management services or in connection with any automated clearing house transfers of funds, in each case as it relates to cash or Cash Equivalents, if any, (B) Liens arising by operation of law or that are contractual rights of set-off in favor of the depository bank or securities intermediary, in respect of the Letter of Credit Account or the Collateral Proceeds Account, and (C) customary banker’s lien or right of offset of the holder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580"/>
          </w:cols>
          <w:pgMar w:left="980" w:top="1440" w:right="339" w:bottom="1440" w:gutter="0" w:footer="0" w:header="0"/>
        </w:sectPr>
      </w:pPr>
    </w:p>
    <w:bookmarkStart w:id="785" w:name="page786"/>
    <w:bookmarkEnd w:id="785"/>
    <w:p>
      <w:pPr>
        <w:spacing w:after="0" w:line="198"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in favor of any lender of moneys or holder of commercial paper of the Borrower or any subsidiary in the Ordinary Course of Business on moneys of the Borrower such subsidiary deposited with such lender or holder in the Ordinary Course of Business;</w:t>
      </w:r>
    </w:p>
    <w:p>
      <w:pPr>
        <w:spacing w:after="0" w:line="186" w:lineRule="exact"/>
        <w:rPr>
          <w:sz w:val="20"/>
          <w:szCs w:val="20"/>
          <w:color w:val="auto"/>
        </w:rPr>
      </w:pPr>
    </w:p>
    <w:p>
      <w:pPr>
        <w:jc w:val="both"/>
        <w:ind w:left="4" w:firstLine="644"/>
        <w:spacing w:after="0" w:line="250" w:lineRule="auto"/>
        <w:tabs>
          <w:tab w:leader="none" w:pos="1168" w:val="left"/>
        </w:tabs>
        <w:numPr>
          <w:ilvl w:val="1"/>
          <w:numId w:val="9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Trustee pursuant to the Collateral Documents or (B) otherwise expressly permitted by the Collateral Documents;</w:t>
      </w:r>
    </w:p>
    <w:p>
      <w:pPr>
        <w:spacing w:after="0" w:line="194" w:lineRule="exact"/>
        <w:rPr>
          <w:rFonts w:ascii="Times New Roman" w:cs="Times New Roman" w:eastAsia="Times New Roman" w:hAnsi="Times New Roman"/>
          <w:sz w:val="22"/>
          <w:szCs w:val="22"/>
          <w:color w:val="auto"/>
        </w:rPr>
      </w:pPr>
    </w:p>
    <w:p>
      <w:pPr>
        <w:jc w:val="both"/>
        <w:ind w:left="4" w:firstLine="644"/>
        <w:spacing w:after="0" w:line="260" w:lineRule="auto"/>
        <w:tabs>
          <w:tab w:leader="none" w:pos="1552" w:val="left"/>
        </w:tabs>
        <w:numPr>
          <w:ilvl w:val="1"/>
          <w:numId w:val="9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w:t>
      </w:r>
    </w:p>
    <w:p>
      <w:pPr>
        <w:spacing w:after="0" w:line="3" w:lineRule="exact"/>
        <w:rPr>
          <w:rFonts w:ascii="Times New Roman" w:cs="Times New Roman" w:eastAsia="Times New Roman" w:hAnsi="Times New Roman"/>
          <w:sz w:val="21"/>
          <w:szCs w:val="21"/>
          <w:color w:val="auto"/>
        </w:rPr>
      </w:pPr>
    </w:p>
    <w:p>
      <w:pPr>
        <w:jc w:val="both"/>
        <w:ind w:left="4" w:hanging="4"/>
        <w:spacing w:after="0" w:line="252" w:lineRule="auto"/>
        <w:tabs>
          <w:tab w:leader="none" w:pos="362" w:val="left"/>
        </w:tabs>
        <w:numPr>
          <w:ilvl w:val="0"/>
          <w:numId w:val="9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materially detract from the value of the property to which they attach or materially impair the use thereof to Parent and its Subsidiaries, taken as a whole and (C) do not materially adversely affect the marketability of the applicable property;</w:t>
      </w:r>
    </w:p>
    <w:p>
      <w:pPr>
        <w:spacing w:after="0" w:line="178" w:lineRule="exact"/>
        <w:rPr>
          <w:rFonts w:ascii="Times New Roman" w:cs="Times New Roman" w:eastAsia="Times New Roman" w:hAnsi="Times New Roman"/>
          <w:sz w:val="22"/>
          <w:szCs w:val="22"/>
          <w:color w:val="auto"/>
        </w:rPr>
      </w:pPr>
    </w:p>
    <w:p>
      <w:pPr>
        <w:ind w:left="4" w:firstLine="644"/>
        <w:spacing w:after="0" w:line="271" w:lineRule="auto"/>
        <w:tabs>
          <w:tab w:leader="none" w:pos="1355" w:val="left"/>
        </w:tabs>
        <w:numPr>
          <w:ilvl w:val="1"/>
          <w:numId w:val="9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salvage or similar rights of insurers, in each case as it relates to any aircraft, airframe, engine or any Additional Collateral, if any;</w:t>
      </w:r>
    </w:p>
    <w:p>
      <w:pPr>
        <w:spacing w:after="0" w:line="157" w:lineRule="exact"/>
        <w:rPr>
          <w:rFonts w:ascii="Times New Roman" w:cs="Times New Roman" w:eastAsia="Times New Roman" w:hAnsi="Times New Roman"/>
          <w:sz w:val="22"/>
          <w:szCs w:val="22"/>
          <w:color w:val="auto"/>
        </w:rPr>
      </w:pPr>
    </w:p>
    <w:p>
      <w:pPr>
        <w:ind w:left="4" w:firstLine="644"/>
        <w:spacing w:after="0" w:line="295" w:lineRule="auto"/>
        <w:tabs>
          <w:tab w:leader="none" w:pos="1228" w:val="left"/>
        </w:tabs>
        <w:numPr>
          <w:ilvl w:val="1"/>
          <w:numId w:val="9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as it relates to any aircraft, Liens on appliances, parts, components, instruments, appurtenances, furnishings and other equipment installed on such aircraft and separately financed by a Grantor, to secure such financing;</w:t>
      </w:r>
    </w:p>
    <w:p>
      <w:pPr>
        <w:spacing w:after="0" w:line="148" w:lineRule="exact"/>
        <w:rPr>
          <w:rFonts w:ascii="Times New Roman" w:cs="Times New Roman" w:eastAsia="Times New Roman" w:hAnsi="Times New Roman"/>
          <w:sz w:val="21"/>
          <w:szCs w:val="21"/>
          <w:color w:val="auto"/>
        </w:rPr>
      </w:pPr>
    </w:p>
    <w:p>
      <w:pPr>
        <w:ind w:left="4" w:firstLine="644"/>
        <w:spacing w:after="0" w:line="271" w:lineRule="auto"/>
        <w:tabs>
          <w:tab w:leader="none" w:pos="1303" w:val="left"/>
        </w:tabs>
        <w:numPr>
          <w:ilvl w:val="1"/>
          <w:numId w:val="9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the Ordinary Course of Business of Parent or any Restricted Subsidiary of Parent with respect to obligations that do not exceed in the aggregate $30,000,000 at any one time outstanding;</w:t>
      </w:r>
    </w:p>
    <w:p>
      <w:pPr>
        <w:spacing w:after="0" w:line="157" w:lineRule="exact"/>
        <w:rPr>
          <w:rFonts w:ascii="Times New Roman" w:cs="Times New Roman" w:eastAsia="Times New Roman" w:hAnsi="Times New Roman"/>
          <w:sz w:val="22"/>
          <w:szCs w:val="22"/>
          <w:color w:val="auto"/>
        </w:rPr>
      </w:pPr>
    </w:p>
    <w:p>
      <w:pPr>
        <w:ind w:left="4" w:firstLine="644"/>
        <w:spacing w:after="0" w:line="271" w:lineRule="auto"/>
        <w:tabs>
          <w:tab w:leader="none" w:pos="1252" w:val="left"/>
        </w:tabs>
        <w:numPr>
          <w:ilvl w:val="1"/>
          <w:numId w:val="9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directly resulting from (x) any Disposition permitted under Section 6.04 or (y) any sale of such Collateral in compliance with Section 6.04;</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363" w:val="left"/>
        </w:tabs>
        <w:numPr>
          <w:ilvl w:val="1"/>
          <w:numId w:val="9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(x) Transfer Restriction that applies to the transfer or assignment (other than the pledge, grant or creation of a security interest or mortgage) of any asset, right or property constituting Collateral and (y) Liens due to any Collateral Change in Law that applies to any Collateral;</w:t>
      </w:r>
    </w:p>
    <w:p>
      <w:pPr>
        <w:spacing w:after="0" w:line="167"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342" w:val="left"/>
        </w:tabs>
        <w:numPr>
          <w:ilvl w:val="1"/>
          <w:numId w:val="9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engines (including spare engines) or parts (including spare parts), Liens relating to any pooling, exchange, interchange, borrowing or maintenance servicing agreement or arrangement entered into in the Ordinary Course of Business;</w:t>
      </w:r>
    </w:p>
    <w:p>
      <w:pPr>
        <w:spacing w:after="0" w:line="172" w:lineRule="exact"/>
        <w:rPr>
          <w:rFonts w:ascii="Times New Roman" w:cs="Times New Roman" w:eastAsia="Times New Roman" w:hAnsi="Times New Roman"/>
          <w:sz w:val="22"/>
          <w:szCs w:val="22"/>
          <w:color w:val="auto"/>
        </w:rPr>
      </w:pPr>
    </w:p>
    <w:p>
      <w:pPr>
        <w:ind w:left="4" w:right="20" w:firstLine="644"/>
        <w:spacing w:after="0" w:line="284" w:lineRule="auto"/>
        <w:tabs>
          <w:tab w:leader="none" w:pos="1290" w:val="left"/>
        </w:tabs>
        <w:numPr>
          <w:ilvl w:val="1"/>
          <w:numId w:val="9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spare parts, purchase money security interest Liens held by a vendor for goods purchased from such vendor, in each case arising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0584"/>
          </w:cols>
          <w:pgMar w:left="976" w:top="1440" w:right="339" w:bottom="1440" w:gutter="0" w:footer="0" w:header="0"/>
        </w:sectPr>
      </w:pPr>
    </w:p>
    <w:bookmarkStart w:id="786" w:name="page787"/>
    <w:bookmarkEnd w:id="786"/>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Business and for which the Borrower or the applicable Grantor pays such vendor within 60 days of such purchase;</w:t>
      </w:r>
    </w:p>
    <w:p>
      <w:pPr>
        <w:spacing w:after="0" w:line="220" w:lineRule="exact"/>
        <w:rPr>
          <w:sz w:val="20"/>
          <w:szCs w:val="20"/>
          <w:color w:val="auto"/>
        </w:rPr>
      </w:pPr>
    </w:p>
    <w:p>
      <w:pPr>
        <w:ind w:left="1880" w:hanging="576"/>
        <w:spacing w:after="0"/>
        <w:tabs>
          <w:tab w:leader="none" w:pos="1880"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permitted by any of the Collateral Documents;</w:t>
      </w:r>
    </w:p>
    <w:p>
      <w:pPr>
        <w:spacing w:after="0" w:line="215"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908"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Pari Passu Senior Secured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(x)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Liens in favor of the Collateral Trustee securing the Obligations, (y) in the case of the Secured Notes be subject to the Collateral Trust Agreement and (z) in the case of any other Pari Passu Senior Secured Debt, be subject to the Collateral Trust Agreement or an Intercreditor Agreement;</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926"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 in the Ordinary Course of Business;</w:t>
      </w:r>
    </w:p>
    <w:p>
      <w:pPr>
        <w:spacing w:after="0" w:line="171"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leased real property, any interest or title of the lessor thereof;</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22"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creditors of any Person to whom Parent’s or any of its Restricted Subsidiaries’ assets constituting Collateral of the type described in clause (c), (d) or (e) of the definition of “Additional Collateral” are consigned for sale in the Ordinary Course of Business, so long as such Liens of such creditors are subject and subordinate to the Liens of the Collateral Trustee on such Collateral;</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63"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and similar financing statements relating to Operating Leases not otherwise prohibited under any Loan Document;</w:t>
      </w:r>
    </w:p>
    <w:p>
      <w:pPr>
        <w:spacing w:after="0" w:line="143"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2103"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Ground Service Equipment constituting Collateral solely to the extent attributable to the possession or use of such Ground Service Equipment constituting Collateral by the Parent or any Subsidiary of Parent, so long as such Liens are subject and subordinate to the Lien of the Collateral Trustee on such Collateral;</w:t>
      </w:r>
    </w:p>
    <w:p>
      <w:pPr>
        <w:spacing w:after="0" w:line="17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24" w:val="left"/>
        </w:tabs>
        <w:numPr>
          <w:ilvl w:val="0"/>
          <w:numId w:val="9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extension, modification, renewal or replacement of the Liens described in clauses (1) through (27)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extension, modification, renewal or replacement does not increase the principal amount of Indebtedness associated therewith.</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Person</w:t>
      </w:r>
      <w:r>
        <w:rPr>
          <w:rFonts w:ascii="Times New Roman" w:cs="Times New Roman" w:eastAsia="Times New Roman" w:hAnsi="Times New Roman"/>
          <w:sz w:val="22"/>
          <w:szCs w:val="22"/>
          <w:color w:val="auto"/>
        </w:rPr>
        <w:t>” shall have the meaning set forth in the definition of “Change of Control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Refinancing Indebtedness</w:t>
      </w:r>
      <w:r>
        <w:rPr>
          <w:rFonts w:ascii="Times New Roman" w:cs="Times New Roman" w:eastAsia="Times New Roman" w:hAnsi="Times New Roman"/>
          <w:sz w:val="22"/>
          <w:szCs w:val="22"/>
          <w:color w:val="auto"/>
        </w:rPr>
        <w:t>” shall mean any Indebtedness (or commitments in respect thereof) of Parent or any of its Restricted Subsidiaries incurred in exchange for, or the net proceeds of which are used to renew, refund, extend, refinance, replace, defease or discharge all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787" w:name="page788"/>
    <w:bookmarkEnd w:id="78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portion of other Indebtedness of any of Parent or any of its Restricted Subsidiaries (other than intercompany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sz w:val="20"/>
          <w:szCs w:val="20"/>
          <w:color w:val="auto"/>
        </w:rPr>
      </w:pPr>
    </w:p>
    <w:p>
      <w:pPr>
        <w:jc w:val="both"/>
        <w:ind w:left="660" w:firstLine="644"/>
        <w:spacing w:after="0" w:line="248" w:lineRule="auto"/>
        <w:tabs>
          <w:tab w:leader="none" w:pos="1815" w:val="left"/>
        </w:tabs>
        <w:numPr>
          <w:ilvl w:val="0"/>
          <w:numId w:val="9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Times New Roman" w:cs="Times New Roman" w:eastAsia="Times New Roman" w:hAnsi="Times New Roman"/>
          <w:sz w:val="22"/>
          <w:szCs w:val="22"/>
          <w:i w:val="1"/>
          <w:iCs w:val="1"/>
          <w:color w:val="auto"/>
        </w:rPr>
        <w:t>preceding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Permitted Refinancing Indebtedness that is refinancing secured Indebtedness and is secured by all or a portion of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19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1" w:val="left"/>
        </w:tabs>
        <w:numPr>
          <w:ilvl w:val="0"/>
          <w:numId w:val="9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28" w:val="left"/>
        </w:tabs>
        <w:numPr>
          <w:ilvl w:val="0"/>
          <w:numId w:val="9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5" w:val="left"/>
        </w:tabs>
        <w:numPr>
          <w:ilvl w:val="0"/>
          <w:numId w:val="9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spacing w:after="0" w:line="17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Warrant Transaction</w:t>
      </w:r>
      <w:r>
        <w:rPr>
          <w:rFonts w:ascii="Times New Roman" w:cs="Times New Roman" w:eastAsia="Times New Roman" w:hAnsi="Times New Roman"/>
          <w:sz w:val="22"/>
          <w:szCs w:val="22"/>
          <w:color w:val="auto"/>
        </w:rPr>
        <w:t>” shall mean any call option, warrant or right to purchase (or substantively equivalent derivative transaction) on Parent’s (or a parent company of the Parent’s) common stock sold by Parent substantially concurrently with any purchase of a related Permitted Bond Hedge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788" w:name="page789"/>
    <w:bookmarkEnd w:id="788"/>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shall mean any “employee benefit plan” (other than a “multiemployer plan” as defined in Section 4001(a)</w:t>
      </w:r>
    </w:p>
    <w:p>
      <w:pPr>
        <w:spacing w:after="0" w:line="43" w:lineRule="exact"/>
        <w:rPr>
          <w:sz w:val="20"/>
          <w:szCs w:val="20"/>
          <w:color w:val="auto"/>
        </w:rPr>
      </w:pPr>
    </w:p>
    <w:p>
      <w:pPr>
        <w:ind w:firstLine="8"/>
        <w:spacing w:after="0" w:line="248" w:lineRule="auto"/>
        <w:tabs>
          <w:tab w:leader="none" w:pos="306" w:val="left"/>
        </w:tabs>
        <w:numPr>
          <w:ilvl w:val="0"/>
          <w:numId w:val="9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ERISA), that is maintained or is contributed to by the Borrower or any ERISA Affiliate and that is a pension plan subject to the provisions of Title IV of ERISA, Sections 412 or 430 of the Code or Section 302 of ERISA.</w:t>
      </w:r>
    </w:p>
    <w:p>
      <w:pPr>
        <w:spacing w:after="0" w:line="178"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Pledged Foreign Gate Leaseholds</w:t>
      </w:r>
      <w:r>
        <w:rPr>
          <w:rFonts w:ascii="Times New Roman" w:cs="Times New Roman" w:eastAsia="Times New Roman" w:hAnsi="Times New Roman"/>
          <w:sz w:val="22"/>
          <w:szCs w:val="22"/>
          <w:color w:val="auto"/>
        </w:rPr>
        <w:t>” shall mean, as of any date, the Foreign Gate Leaseholds included in the Collateral as of such date.</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Pledged Route Authorities</w:t>
      </w:r>
      <w:r>
        <w:rPr>
          <w:rFonts w:ascii="Times New Roman" w:cs="Times New Roman" w:eastAsia="Times New Roman" w:hAnsi="Times New Roman"/>
          <w:sz w:val="21"/>
          <w:szCs w:val="21"/>
          <w:color w:val="auto"/>
        </w:rPr>
        <w:t>” shall mean, as of any date, the Route Authorities included in the Collateral as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Pledged Slots</w:t>
      </w:r>
      <w:r>
        <w:rPr>
          <w:rFonts w:ascii="Times New Roman" w:cs="Times New Roman" w:eastAsia="Times New Roman" w:hAnsi="Times New Roman"/>
          <w:sz w:val="22"/>
          <w:szCs w:val="22"/>
          <w:color w:val="auto"/>
        </w:rPr>
        <w:t>” shall mean, as of any date, the Slots included in the Collateral as of such date.</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Prime Rate</w:t>
      </w:r>
      <w:r>
        <w:rPr>
          <w:rFonts w:ascii="Times New Roman" w:cs="Times New Roman" w:eastAsia="Times New Roman" w:hAnsi="Times New Roman"/>
          <w:sz w:val="22"/>
          <w:szCs w:val="22"/>
          <w:color w:val="auto"/>
        </w:rPr>
        <w:t>” shall mean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debtors); each change in the Prime Rate shall be effective from and including the date such change is publicly announced as being effective.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QEC Kits</w:t>
      </w:r>
      <w:r>
        <w:rPr>
          <w:rFonts w:ascii="Times New Roman" w:cs="Times New Roman" w:eastAsia="Times New Roman" w:hAnsi="Times New Roman"/>
          <w:sz w:val="22"/>
          <w:szCs w:val="22"/>
          <w:color w:val="auto"/>
        </w:rPr>
        <w:t>” shall mean the quick engine change kits owned by Parent or any of its Restricted Subsidiaries.</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Receivables Transaction</w:t>
      </w:r>
      <w:r>
        <w:rPr>
          <w:rFonts w:ascii="Times New Roman" w:cs="Times New Roman" w:eastAsia="Times New Roman" w:hAnsi="Times New Roman"/>
          <w:sz w:val="22"/>
          <w:szCs w:val="22"/>
          <w:color w:val="auto"/>
        </w:rPr>
        <w:t>”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w:t>
      </w:r>
    </w:p>
    <w:p>
      <w:pPr>
        <w:spacing w:after="0" w:line="18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Replacement Assets</w:t>
      </w:r>
      <w:r>
        <w:rPr>
          <w:rFonts w:ascii="Times New Roman" w:cs="Times New Roman" w:eastAsia="Times New Roman" w:hAnsi="Times New Roman"/>
          <w:sz w:val="22"/>
          <w:szCs w:val="22"/>
          <w:color w:val="auto"/>
        </w:rPr>
        <w:t>” shall mean Additional Collateral of the types described in clauses (b), (c), (d) and (e) of the definition of “Additional Collateral.”</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Collateral</w:t>
      </w:r>
      <w:r>
        <w:rPr>
          <w:rFonts w:ascii="Times New Roman" w:cs="Times New Roman" w:eastAsia="Times New Roman" w:hAnsi="Times New Roman"/>
          <w:sz w:val="22"/>
          <w:szCs w:val="22"/>
          <w:color w:val="auto"/>
        </w:rPr>
        <w:t>” shall mean Collateral other than Foreign Gate Leaseholds.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789" w:name="page790"/>
    <w:bookmarkEnd w:id="789"/>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Qualifying Equity Interests</w:t>
      </w:r>
      <w:r>
        <w:rPr>
          <w:rFonts w:ascii="Times New Roman" w:cs="Times New Roman" w:eastAsia="Times New Roman" w:hAnsi="Times New Roman"/>
          <w:sz w:val="22"/>
          <w:szCs w:val="22"/>
          <w:color w:val="auto"/>
        </w:rPr>
        <w:t>” shall mean Equity Interests of Parent other than Disqualified Stock.</w:t>
      </w:r>
    </w:p>
    <w:p>
      <w:pPr>
        <w:spacing w:after="0" w:line="22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Real Property Assets</w:t>
      </w:r>
      <w:r>
        <w:rPr>
          <w:rFonts w:ascii="Times New Roman" w:cs="Times New Roman" w:eastAsia="Times New Roman" w:hAnsi="Times New Roman"/>
          <w:sz w:val="22"/>
          <w:szCs w:val="22"/>
          <w:color w:val="auto"/>
        </w:rPr>
        <w:t>”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w:t>
      </w:r>
      <w:r>
        <w:rPr>
          <w:rFonts w:ascii="Times New Roman" w:cs="Times New Roman" w:eastAsia="Times New Roman" w:hAnsi="Times New Roman"/>
          <w:sz w:val="22"/>
          <w:szCs w:val="22"/>
          <w:color w:val="auto"/>
        </w:rPr>
        <w:t>” shall mean Accounts, and shall also include ticket receivables, sales of frequent flyer miles and other present and future revenues and receivables that may be the subject of a Qualified Receivables Transaction or another financing transaction.</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Receivables Repurchase Obligation</w:t>
      </w:r>
      <w:r>
        <w:rPr>
          <w:rFonts w:ascii="Times New Roman" w:cs="Times New Roman" w:eastAsia="Times New Roman" w:hAnsi="Times New Roman"/>
          <w:sz w:val="22"/>
          <w:szCs w:val="22"/>
          <w:color w:val="auto"/>
        </w:rPr>
        <w:t>”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Receivables Subsidiary</w:t>
      </w:r>
      <w:r>
        <w:rPr>
          <w:rFonts w:ascii="Times New Roman" w:cs="Times New Roman" w:eastAsia="Times New Roman" w:hAnsi="Times New Roman"/>
          <w:sz w:val="21"/>
          <w:szCs w:val="21"/>
          <w:color w:val="auto"/>
        </w:rPr>
        <w:t>” shall mean (x) a Subsidiary of Parent which engages in no activities other than in connection with the financing or securitization of Receivables and which is designated by the Board of Directors of the Borrower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Times New Roman" w:cs="Times New Roman" w:eastAsia="Times New Roman" w:hAnsi="Times New Roman"/>
          <w:sz w:val="21"/>
          <w:szCs w:val="21"/>
          <w:i w:val="1"/>
          <w:iCs w:val="1"/>
          <w:color w:val="auto"/>
        </w:rPr>
        <w:t>incidental pledge</w:t>
      </w:r>
      <w:r>
        <w:rPr>
          <w:rFonts w:ascii="Times New Roman" w:cs="Times New Roman" w:eastAsia="Times New Roman" w:hAnsi="Times New Roman"/>
          <w:sz w:val="21"/>
          <w:szCs w:val="21"/>
          <w:color w:val="auto"/>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w:t>
      </w:r>
      <w:r>
        <w:rPr>
          <w:rFonts w:ascii="Times New Roman" w:cs="Times New Roman" w:eastAsia="Times New Roman" w:hAnsi="Times New Roman"/>
          <w:sz w:val="21"/>
          <w:szCs w:val="21"/>
          <w:i w:val="1"/>
          <w:iCs w:val="1"/>
          <w:color w:val="auto"/>
        </w:rPr>
        <w:t>Qualified Receivables Transaction</w:t>
      </w:r>
      <w:r>
        <w:rPr>
          <w:rFonts w:ascii="Times New Roman" w:cs="Times New Roman" w:eastAsia="Times New Roman" w:hAnsi="Times New Roman"/>
          <w:sz w:val="21"/>
          <w:szCs w:val="21"/>
          <w:color w:val="auto"/>
        </w:rPr>
        <w:t>”),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790" w:name="page791"/>
    <w:bookmarkEnd w:id="790"/>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Recovery Event</w:t>
      </w:r>
      <w:r>
        <w:rPr>
          <w:rFonts w:ascii="Times New Roman" w:cs="Times New Roman" w:eastAsia="Times New Roman" w:hAnsi="Times New Roman"/>
          <w:sz w:val="22"/>
          <w:szCs w:val="22"/>
          <w:color w:val="auto"/>
        </w:rPr>
        <w:t>”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Trustee or trustee (as applicable), if applicable).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Revolving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Refinanced Term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Refinancing</w:t>
      </w:r>
      <w:r>
        <w:rPr>
          <w:rFonts w:ascii="Times New Roman" w:cs="Times New Roman" w:eastAsia="Times New Roman" w:hAnsi="Times New Roman"/>
          <w:sz w:val="22"/>
          <w:szCs w:val="22"/>
          <w:color w:val="auto"/>
        </w:rPr>
        <w:t>” shall have the meaning set forth in the definition of “Transactions.”</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Regional Airline</w:t>
      </w:r>
      <w:r>
        <w:rPr>
          <w:rFonts w:ascii="Times New Roman" w:cs="Times New Roman" w:eastAsia="Times New Roman" w:hAnsi="Times New Roman"/>
          <w:sz w:val="22"/>
          <w:szCs w:val="22"/>
          <w:color w:val="auto"/>
        </w:rPr>
        <w:t>” shall mean Envoy Aviation Group Inc., Piedmont Airlines, Inc. and PSA Airlines, Inc. and their respective Subsidiaries.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shall have the meaning set forth in Section 10.02(b)(iv).</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shall mean, with respect to any specified Person, such Person’s Affiliates and the respective directors, officers, partners, members, employees, agents and advisors of such Person and such Person’s Affiliates.</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shall have the meaning specified in Section 101(22) of the Comprehensive Environmental Response Compensation and Liability Act.</w:t>
      </w:r>
    </w:p>
    <w:p>
      <w:pPr>
        <w:spacing w:after="0" w:line="16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Replaceable Lender</w:t>
      </w:r>
      <w:r>
        <w:rPr>
          <w:rFonts w:ascii="Times New Roman" w:cs="Times New Roman" w:eastAsia="Times New Roman" w:hAnsi="Times New Roman"/>
          <w:sz w:val="22"/>
          <w:szCs w:val="22"/>
          <w:color w:val="auto"/>
        </w:rPr>
        <w:t>” shall have the meaning set forth in Section 10.02(j).</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Loans</w:t>
      </w:r>
      <w:r>
        <w:rPr>
          <w:rFonts w:ascii="Times New Roman" w:cs="Times New Roman" w:eastAsia="Times New Roman" w:hAnsi="Times New Roman"/>
          <w:sz w:val="22"/>
          <w:szCs w:val="22"/>
          <w:color w:val="auto"/>
        </w:rPr>
        <w:t>” shall have the meaning set forth in Section 10.08(e).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Revolving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Replacement Term Loans</w:t>
      </w:r>
      <w:r>
        <w:rPr>
          <w:rFonts w:ascii="Times New Roman" w:cs="Times New Roman" w:eastAsia="Times New Roman" w:hAnsi="Times New Roman"/>
          <w:sz w:val="22"/>
          <w:szCs w:val="22"/>
          <w:color w:val="auto"/>
        </w:rPr>
        <w:t>” shall have the meaning set forth in Section 10.08(e).</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Repricing Event</w:t>
      </w:r>
      <w:r>
        <w:rPr>
          <w:rFonts w:ascii="Times New Roman" w:cs="Times New Roman" w:eastAsia="Times New Roman" w:hAnsi="Times New Roman"/>
          <w:sz w:val="22"/>
          <w:szCs w:val="22"/>
          <w:color w:val="auto"/>
        </w:rPr>
        <w:t xml:space="preserve">” shall mean (a) any prepayment, repayment, refinancing, substitution or replacement of all or a portion of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with the proceeds of, or any conversion of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into, any new or replacement Class of, 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type w:val="continuous"/>
        </w:sectPr>
      </w:pPr>
    </w:p>
    <w:bookmarkStart w:id="791" w:name="page792"/>
    <w:bookmarkEnd w:id="791"/>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new facility of, syndicated term loans by the Borrower in the principal amount of the </w:t>
      </w:r>
      <w:r>
        <w:rPr>
          <w:rFonts w:ascii="Times New Roman" w:cs="Times New Roman" w:eastAsia="Times New Roman" w:hAnsi="Times New Roman"/>
          <w:sz w:val="21"/>
          <w:szCs w:val="21"/>
          <w:b w:val="1"/>
          <w:bCs w:val="1"/>
          <w:color w:val="FF0000"/>
          <w:strike w:val="1"/>
        </w:rPr>
        <w:t>Initial</w:t>
      </w:r>
      <w:r>
        <w:rPr>
          <w:rFonts w:ascii="Times New Roman" w:cs="Times New Roman" w:eastAsia="Times New Roman" w:hAnsi="Times New Roman"/>
          <w:sz w:val="21"/>
          <w:szCs w:val="21"/>
          <w:b w:val="1"/>
          <w:bCs w:val="1"/>
          <w:u w:val="single" w:color="auto"/>
          <w:color w:val="0000FF"/>
        </w:rPr>
        <w:t>2024 Replacement</w:t>
      </w:r>
      <w:r>
        <w:rPr>
          <w:rFonts w:ascii="Times New Roman" w:cs="Times New Roman" w:eastAsia="Times New Roman" w:hAnsi="Times New Roman"/>
          <w:sz w:val="21"/>
          <w:szCs w:val="21"/>
          <w:color w:val="auto"/>
        </w:rPr>
        <w:t xml:space="preserve">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w:t>
      </w:r>
      <w:r>
        <w:rPr>
          <w:rFonts w:ascii="Times New Roman" w:cs="Times New Roman" w:eastAsia="Times New Roman" w:hAnsi="Times New Roman"/>
          <w:sz w:val="21"/>
          <w:szCs w:val="21"/>
          <w:b w:val="1"/>
          <w:bCs w:val="1"/>
          <w:color w:val="FF0000"/>
          <w:strike w:val="1"/>
        </w:rPr>
        <w:t>Initial</w:t>
      </w:r>
      <w:r>
        <w:rPr>
          <w:rFonts w:ascii="Times New Roman" w:cs="Times New Roman" w:eastAsia="Times New Roman" w:hAnsi="Times New Roman"/>
          <w:sz w:val="21"/>
          <w:szCs w:val="21"/>
          <w:b w:val="1"/>
          <w:bCs w:val="1"/>
          <w:u w:val="single" w:color="auto"/>
          <w:color w:val="0000FF"/>
        </w:rPr>
        <w:t>2024 Replacement</w:t>
      </w:r>
      <w:r>
        <w:rPr>
          <w:rFonts w:ascii="Times New Roman" w:cs="Times New Roman" w:eastAsia="Times New Roman" w:hAnsi="Times New Roman"/>
          <w:sz w:val="21"/>
          <w:szCs w:val="21"/>
          <w:color w:val="auto"/>
        </w:rPr>
        <w:t xml:space="preserve">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w:t>
      </w:r>
      <w:r>
        <w:rPr>
          <w:rFonts w:ascii="Times New Roman" w:cs="Times New Roman" w:eastAsia="Times New Roman" w:hAnsi="Times New Roman"/>
          <w:sz w:val="21"/>
          <w:szCs w:val="21"/>
          <w:b w:val="1"/>
          <w:bCs w:val="1"/>
          <w:color w:val="FF0000"/>
          <w:strike w:val="1"/>
        </w:rPr>
        <w:t>Initial</w:t>
      </w:r>
      <w:r>
        <w:rPr>
          <w:rFonts w:ascii="Times New Roman" w:cs="Times New Roman" w:eastAsia="Times New Roman" w:hAnsi="Times New Roman"/>
          <w:sz w:val="21"/>
          <w:szCs w:val="21"/>
          <w:b w:val="1"/>
          <w:bCs w:val="1"/>
          <w:u w:val="single" w:color="auto"/>
          <w:color w:val="0000FF"/>
        </w:rPr>
        <w:t>2024 Replacement</w:t>
      </w:r>
      <w:r>
        <w:rPr>
          <w:rFonts w:ascii="Times New Roman" w:cs="Times New Roman" w:eastAsia="Times New Roman" w:hAnsi="Times New Roman"/>
          <w:sz w:val="21"/>
          <w:szCs w:val="21"/>
          <w:color w:val="auto"/>
        </w:rPr>
        <w:t xml:space="preserve"> Term Loans which reduces the “effective yield” applicable to such </w:t>
      </w:r>
      <w:r>
        <w:rPr>
          <w:rFonts w:ascii="Times New Roman" w:cs="Times New Roman" w:eastAsia="Times New Roman" w:hAnsi="Times New Roman"/>
          <w:sz w:val="21"/>
          <w:szCs w:val="21"/>
          <w:b w:val="1"/>
          <w:bCs w:val="1"/>
          <w:color w:val="FF0000"/>
          <w:strike w:val="1"/>
        </w:rPr>
        <w:t>Initial</w:t>
      </w:r>
      <w:r>
        <w:rPr>
          <w:rFonts w:ascii="Times New Roman" w:cs="Times New Roman" w:eastAsia="Times New Roman" w:hAnsi="Times New Roman"/>
          <w:sz w:val="21"/>
          <w:szCs w:val="21"/>
          <w:b w:val="1"/>
          <w:bCs w:val="1"/>
          <w:u w:val="single" w:color="auto"/>
          <w:color w:val="0000FF"/>
        </w:rPr>
        <w:t>2024 Replacement</w:t>
      </w:r>
      <w:r>
        <w:rPr>
          <w:rFonts w:ascii="Times New Roman" w:cs="Times New Roman" w:eastAsia="Times New Roman" w:hAnsi="Times New Roman"/>
          <w:sz w:val="21"/>
          <w:szCs w:val="21"/>
          <w:color w:val="auto"/>
        </w:rPr>
        <w:t xml:space="preserve"> Term Loans (as determined on the same basis as provided in clause (a)), in each case only if the primary purpose of such prepayment, repayment, substitution, replacement or amendment was to reduce the “effective yield” applicable to such </w:t>
      </w:r>
      <w:r>
        <w:rPr>
          <w:rFonts w:ascii="Times New Roman" w:cs="Times New Roman" w:eastAsia="Times New Roman" w:hAnsi="Times New Roman"/>
          <w:sz w:val="21"/>
          <w:szCs w:val="21"/>
          <w:b w:val="1"/>
          <w:bCs w:val="1"/>
          <w:color w:val="FF0000"/>
          <w:strike w:val="1"/>
        </w:rPr>
        <w:t>Initial</w:t>
      </w:r>
      <w:r>
        <w:rPr>
          <w:rFonts w:ascii="Times New Roman" w:cs="Times New Roman" w:eastAsia="Times New Roman" w:hAnsi="Times New Roman"/>
          <w:sz w:val="21"/>
          <w:szCs w:val="21"/>
          <w:b w:val="1"/>
          <w:bCs w:val="1"/>
          <w:u w:val="single" w:color="auto"/>
          <w:color w:val="0000FF"/>
        </w:rPr>
        <w:t>2024 Replacement</w:t>
      </w:r>
      <w:r>
        <w:rPr>
          <w:rFonts w:ascii="Times New Roman" w:cs="Times New Roman" w:eastAsia="Times New Roman" w:hAnsi="Times New Roman"/>
          <w:sz w:val="21"/>
          <w:szCs w:val="21"/>
          <w:color w:val="auto"/>
        </w:rPr>
        <w:t xml:space="preserve"> Term Loans.</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Class Lenders</w:t>
      </w:r>
      <w:r>
        <w:rPr>
          <w:rFonts w:ascii="Times New Roman" w:cs="Times New Roman" w:eastAsia="Times New Roman" w:hAnsi="Times New Roman"/>
          <w:sz w:val="22"/>
          <w:szCs w:val="22"/>
          <w:color w:val="auto"/>
        </w:rPr>
        <w:t>” shall mean (i) with respect to any Class of Term Loans, the Term Lenders having more than 50% of all outstanding Term Loans of such Class and (ii) with respect to the Revolving Loans of a Class, the Required Revolving Lenders of such Class. The outstanding Term Loans and Term Loan Commitments of any Defaulting Lender should be disregarded for purposes of any determination with respect to a Class of Term Loans.</w:t>
      </w:r>
    </w:p>
    <w:p>
      <w:pPr>
        <w:spacing w:after="0" w:line="16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Lenders</w:t>
      </w:r>
      <w:r>
        <w:rPr>
          <w:rFonts w:ascii="Times New Roman" w:cs="Times New Roman" w:eastAsia="Times New Roman" w:hAnsi="Times New Roman"/>
          <w:sz w:val="22"/>
          <w:szCs w:val="22"/>
          <w:color w:val="auto"/>
        </w:rPr>
        <w:t>” shall mean, at any time, Lenders holding more than 50% of (a) until the Closing Date, the Commitments then in effect and (b) thereafter, the sum of (i) the aggregate principal amount of all Term Loans outstanding and</w:t>
      </w:r>
    </w:p>
    <w:p>
      <w:pPr>
        <w:spacing w:after="0" w:line="1" w:lineRule="exact"/>
        <w:rPr>
          <w:sz w:val="20"/>
          <w:szCs w:val="20"/>
          <w:color w:val="auto"/>
        </w:rPr>
      </w:pPr>
    </w:p>
    <w:p>
      <w:pPr>
        <w:jc w:val="both"/>
        <w:ind w:firstLine="8"/>
        <w:spacing w:after="0" w:line="251" w:lineRule="auto"/>
        <w:tabs>
          <w:tab w:leader="none" w:pos="373" w:val="left"/>
        </w:tabs>
        <w:numPr>
          <w:ilvl w:val="0"/>
          <w:numId w:val="9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Revolving Lenders</w:t>
      </w:r>
      <w:r>
        <w:rPr>
          <w:rFonts w:ascii="Times New Roman" w:cs="Times New Roman" w:eastAsia="Times New Roman" w:hAnsi="Times New Roman"/>
          <w:sz w:val="22"/>
          <w:szCs w:val="22"/>
          <w:color w:val="auto"/>
        </w:rPr>
        <w:t>” shall mean, at any time, Lenders holding more than 50% of the Total Revolving Commitments then in effect or, if the Revolving Commitments have been terminated, the Total Revolving Extensions of Credit then outstanding. The Revolving Extensions of Credit and Revolving Commitments of any Defaulting Lender shall be disregarded in determining the “Required Revolving Lenders” at any time.</w:t>
      </w:r>
    </w:p>
    <w:p>
      <w:pPr>
        <w:spacing w:after="0" w:line="16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Term Lenders</w:t>
      </w:r>
      <w:r>
        <w:rPr>
          <w:rFonts w:ascii="Times New Roman" w:cs="Times New Roman" w:eastAsia="Times New Roman" w:hAnsi="Times New Roman"/>
          <w:sz w:val="22"/>
          <w:szCs w:val="22"/>
          <w:color w:val="auto"/>
        </w:rPr>
        <w:t>”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w:t>
      </w:r>
    </w:p>
    <w:p>
      <w:pPr>
        <w:spacing w:after="0" w:line="18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792" w:name="page793"/>
    <w:bookmarkEnd w:id="792"/>
    <w:p>
      <w:pPr>
        <w:spacing w:after="0" w:line="19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Investment</w:t>
      </w:r>
      <w:r>
        <w:rPr>
          <w:rFonts w:ascii="Times New Roman" w:cs="Times New Roman" w:eastAsia="Times New Roman" w:hAnsi="Times New Roman"/>
          <w:sz w:val="22"/>
          <w:szCs w:val="22"/>
          <w:color w:val="auto"/>
        </w:rPr>
        <w:t>” shall mean an Investment other than a Permitted Investment.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 shall have the meaning set forth in Section 6.01(a)(iv).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Subsidiary</w:t>
      </w:r>
      <w:r>
        <w:rPr>
          <w:rFonts w:ascii="Times New Roman" w:cs="Times New Roman" w:eastAsia="Times New Roman" w:hAnsi="Times New Roman"/>
          <w:sz w:val="22"/>
          <w:szCs w:val="22"/>
          <w:color w:val="auto"/>
        </w:rPr>
        <w:t>” of a Person shall mean any Subsidiary of the referent Person that is not an Unrestricted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w:t>
      </w:r>
      <w:r>
        <w:rPr>
          <w:rFonts w:ascii="Times New Roman" w:cs="Times New Roman" w:eastAsia="Times New Roman" w:hAnsi="Times New Roman"/>
          <w:sz w:val="22"/>
          <w:szCs w:val="22"/>
          <w:color w:val="auto"/>
        </w:rPr>
        <w:t>” shall have the meaning set forth in Section 2.28(b).</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 Offer</w:t>
      </w:r>
      <w:r>
        <w:rPr>
          <w:rFonts w:ascii="Times New Roman" w:cs="Times New Roman" w:eastAsia="Times New Roman" w:hAnsi="Times New Roman"/>
          <w:sz w:val="22"/>
          <w:szCs w:val="22"/>
          <w:color w:val="auto"/>
        </w:rPr>
        <w:t>” shall have the meaning set forth in Section 2.28(b).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Revolver Extension Offer Date</w:t>
      </w:r>
      <w:r>
        <w:rPr>
          <w:rFonts w:ascii="Times New Roman" w:cs="Times New Roman" w:eastAsia="Times New Roman" w:hAnsi="Times New Roman"/>
          <w:sz w:val="22"/>
          <w:szCs w:val="22"/>
          <w:color w:val="auto"/>
        </w:rPr>
        <w:t>” shall have the meaning set forth in Section 2.28(b)(i).</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Availability Period</w:t>
      </w:r>
      <w:r>
        <w:rPr>
          <w:rFonts w:ascii="Times New Roman" w:cs="Times New Roman" w:eastAsia="Times New Roman" w:hAnsi="Times New Roman"/>
          <w:sz w:val="22"/>
          <w:szCs w:val="22"/>
          <w:color w:val="auto"/>
        </w:rPr>
        <w:t>” shall mean the period from and including the First Amendment Effective Date to but excluding the Revolving Facility Termination Date with respect to the applicable Revolving Commitments.</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w:t>
      </w:r>
      <w:r>
        <w:rPr>
          <w:rFonts w:ascii="Times New Roman" w:cs="Times New Roman" w:eastAsia="Times New Roman" w:hAnsi="Times New Roman"/>
          <w:sz w:val="22"/>
          <w:szCs w:val="22"/>
          <w:color w:val="auto"/>
        </w:rPr>
        <w:t xml:space="preserve">” shall mean the commitment of each Revolving Lender to make Revolving Loans and participate in Letters of Credit hereunder in an aggregate principal and/or face amount not to exceed the amount set forth under the heading “2024 Incremental Revolving Commitments” opposite its name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or in the Assignment and Acceptance pursuant to which such Revolving Lender became a party hereto, as the same may be changed from time to time pursuant to the terms hereof. The aggregate principal amount of the Revolving Commitments as of the First Amendment Effective Date is $</w:t>
      </w:r>
      <w:r>
        <w:rPr>
          <w:rFonts w:ascii="Times New Roman" w:cs="Times New Roman" w:eastAsia="Times New Roman" w:hAnsi="Times New Roman"/>
          <w:sz w:val="22"/>
          <w:szCs w:val="22"/>
          <w:b w:val="1"/>
          <w:bCs w:val="1"/>
          <w:color w:val="FF0000"/>
          <w:strike w:val="1"/>
        </w:rPr>
        <w:t>890,000,000</w:t>
      </w:r>
      <w:r>
        <w:rPr>
          <w:rFonts w:ascii="Times New Roman" w:cs="Times New Roman" w:eastAsia="Times New Roman" w:hAnsi="Times New Roman"/>
          <w:sz w:val="22"/>
          <w:szCs w:val="22"/>
          <w:b w:val="1"/>
          <w:bCs w:val="1"/>
          <w:u w:val="single" w:color="auto"/>
          <w:color w:val="0000FF"/>
        </w:rPr>
        <w:t>890,000,000.00</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 Percentage</w:t>
      </w:r>
      <w:r>
        <w:rPr>
          <w:rFonts w:ascii="Times New Roman" w:cs="Times New Roman" w:eastAsia="Times New Roman" w:hAnsi="Times New Roman"/>
          <w:sz w:val="22"/>
          <w:szCs w:val="22"/>
          <w:color w:val="auto"/>
        </w:rPr>
        <w:t>”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w:t>
      </w:r>
    </w:p>
    <w:p>
      <w:pPr>
        <w:spacing w:after="0" w:line="16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Extension of Credit</w:t>
      </w:r>
      <w:r>
        <w:rPr>
          <w:rFonts w:ascii="Times New Roman" w:cs="Times New Roman" w:eastAsia="Times New Roman" w:hAnsi="Times New Roman"/>
          <w:sz w:val="22"/>
          <w:szCs w:val="22"/>
          <w:color w:val="auto"/>
        </w:rPr>
        <w:t>” shall mean, as to any Revolving Lender at any time, an amount equal to the sum of (a) the aggregate principal amount of all Revolving Loans held by such Lender then outstanding and (b) such Lender’s Revolving Commitment Percentage of the LC Exposure then outstanding.</w:t>
      </w:r>
    </w:p>
    <w:p>
      <w:pPr>
        <w:spacing w:after="0" w:line="16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w:t>
      </w:r>
      <w:r>
        <w:rPr>
          <w:rFonts w:ascii="Times New Roman" w:cs="Times New Roman" w:eastAsia="Times New Roman" w:hAnsi="Times New Roman"/>
          <w:sz w:val="22"/>
          <w:szCs w:val="22"/>
          <w:color w:val="auto"/>
        </w:rPr>
        <w:t>” shall mean the Revolving Commitments and the Revolving Loans made and Letters of Credit issued thereunder.</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shall mean</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xml:space="preserve"> (a) with respect to 2024 Incremental Revolving Commitments, June 4, 2029, and (b) with respect to Extended Revolving Commitments extended after the First Amendment Effective Date, the final maturity date therefor as specified in the applicable Extension Offer accepted by the respective Revolving Lender or Revolving Lenders.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type w:val="continuous"/>
        </w:sectPr>
      </w:pPr>
    </w:p>
    <w:bookmarkStart w:id="793" w:name="page794"/>
    <w:bookmarkEnd w:id="793"/>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Termination Date</w:t>
      </w:r>
      <w:r>
        <w:rPr>
          <w:rFonts w:ascii="Times New Roman" w:cs="Times New Roman" w:eastAsia="Times New Roman" w:hAnsi="Times New Roman"/>
          <w:sz w:val="22"/>
          <w:szCs w:val="22"/>
          <w:color w:val="auto"/>
        </w:rPr>
        <w:t>” shall mean the earlier to occur of (a) the Revolving Facility Maturity Date with respect to the applicable Revolving Commitments, (b) the acceleration of the Revolving Loans (if any) and the termination of the Revolving Commitments in accordance with the terms hereof and (c) the termination of the applicable Revolving Commitments as a whole pursuant to Section 2.11.</w:t>
      </w:r>
    </w:p>
    <w:p>
      <w:pPr>
        <w:spacing w:after="0" w:line="16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Lender</w:t>
      </w:r>
      <w:r>
        <w:rPr>
          <w:rFonts w:ascii="Times New Roman" w:cs="Times New Roman" w:eastAsia="Times New Roman" w:hAnsi="Times New Roman"/>
          <w:sz w:val="22"/>
          <w:szCs w:val="22"/>
          <w:color w:val="auto"/>
        </w:rPr>
        <w:t>” shall mean each Lender having a Revolving Commitment. For the avoidance of doubt, each 2024 Incremental Revolving Lender shall constitute a “Lender” and a “Revolving Lender” hereunder and, after the First Amendment Effective Date, the Administrative Agent shall update and/or modify the Register to reflect the transactions contemplated by the First Amendment.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shall have the meaning set forth in Section 2.01(a)(i).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Route Authorities</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shall mean Standard &amp; Poor’s, a division of The McGraw-Hill Companies,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Sage</w:t>
      </w:r>
      <w:r>
        <w:rPr>
          <w:rFonts w:ascii="Times New Roman" w:cs="Times New Roman" w:eastAsia="Times New Roman" w:hAnsi="Times New Roman"/>
          <w:sz w:val="22"/>
          <w:szCs w:val="22"/>
          <w:color w:val="auto"/>
        </w:rPr>
        <w:t>” shall mean Sage Popovich, Inc.</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 of a Grantor</w:t>
      </w:r>
      <w:r>
        <w:rPr>
          <w:rFonts w:ascii="Times New Roman" w:cs="Times New Roman" w:eastAsia="Times New Roman" w:hAnsi="Times New Roman"/>
          <w:sz w:val="22"/>
          <w:szCs w:val="22"/>
          <w:color w:val="auto"/>
        </w:rPr>
        <w:t>”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Scheduled Services</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shall mean the United States Securities and Exchange Commission.</w:t>
      </w:r>
    </w:p>
    <w:p>
      <w:pPr>
        <w:spacing w:after="0" w:line="21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Second Amendment</w:t>
      </w:r>
      <w:r>
        <w:rPr>
          <w:rFonts w:ascii="Times New Roman" w:cs="Times New Roman" w:eastAsia="Times New Roman" w:hAnsi="Times New Roman"/>
          <w:sz w:val="22"/>
          <w:szCs w:val="22"/>
          <w:b w:val="1"/>
          <w:bCs w:val="1"/>
          <w:u w:val="single" w:color="auto"/>
          <w:color w:val="0000FF"/>
        </w:rPr>
        <w:t>” means the Second Amendment to Credit and Guaranty Agreement, dated as of June 4, 2024, by and among the Parent, the Borrower, Citibank, N.A., as administrative agent, the 2024 Replacement Term Lenders and Citibank N.A., in its capacity as the designated lender of 2024 Replacement Term Loans.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Second Amendment Effective Date</w:t>
      </w:r>
      <w:r>
        <w:rPr>
          <w:rFonts w:ascii="Times New Roman" w:cs="Times New Roman" w:eastAsia="Times New Roman" w:hAnsi="Times New Roman"/>
          <w:sz w:val="22"/>
          <w:szCs w:val="22"/>
          <w:b w:val="1"/>
          <w:bCs w:val="1"/>
          <w:u w:val="single" w:color="auto"/>
          <w:color w:val="0000FF"/>
        </w:rPr>
        <w:t>” shall have the meaning provided in the Second Amendment.</w:t>
      </w:r>
    </w:p>
    <w:p>
      <w:pPr>
        <w:spacing w:after="0" w:line="22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Secured Parties</w:t>
      </w:r>
      <w:r>
        <w:rPr>
          <w:rFonts w:ascii="Times New Roman" w:cs="Times New Roman" w:eastAsia="Times New Roman" w:hAnsi="Times New Roman"/>
          <w:sz w:val="22"/>
          <w:szCs w:val="22"/>
          <w:color w:val="auto"/>
        </w:rPr>
        <w:t>” shall mean each Agent, any trustee appointed pursuant to Section 8.01(d) with respect to an Aircraft Security Agreement, the Issuing Lenders, the Lenders and all other holders of Obligations.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SGR Security Agreement</w:t>
      </w:r>
      <w:r>
        <w:rPr>
          <w:rFonts w:ascii="Times New Roman" w:cs="Times New Roman" w:eastAsia="Times New Roman" w:hAnsi="Times New Roman"/>
          <w:sz w:val="22"/>
          <w:szCs w:val="22"/>
          <w:color w:val="auto"/>
        </w:rPr>
        <w:t>” shall mean the Security Agreement (Slots, Foreign Gate Leaseholds and Route Authorities), dated as December 4, 2023 by and among the Borrower, as grantor, the other grantors thereto from time to time and the Collateral Trustee, or any subsequent security agreement executed and delivered to the Administrative Agent in substantially the form of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794" w:name="page795"/>
    <w:bookmarkEnd w:id="794"/>
    <w:p>
      <w:pPr>
        <w:spacing w:after="0" w:line="19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Significant Subsidiary</w:t>
      </w:r>
      <w:r>
        <w:rPr>
          <w:rFonts w:ascii="Times New Roman" w:cs="Times New Roman" w:eastAsia="Times New Roman" w:hAnsi="Times New Roman"/>
          <w:sz w:val="22"/>
          <w:szCs w:val="22"/>
          <w:color w:val="auto"/>
        </w:rPr>
        <w:t>” shall mean any Restricted Subsidiary of Parent that would be a “significant subsidiary” as defined in Article 1, Rule 1-02 of Regulation S-X, promulgated pursuant to the Securities Act, as such Regulation is in effect on the date of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Slot</w:t>
      </w:r>
      <w:r>
        <w:rPr>
          <w:rFonts w:ascii="Times New Roman" w:cs="Times New Roman" w:eastAsia="Times New Roman" w:hAnsi="Times New Roman"/>
          <w:sz w:val="22"/>
          <w:szCs w:val="22"/>
          <w:color w:val="auto"/>
        </w:rPr>
        <w:t>” shall mean each FAA Route Slot and each Foreign Route Slot, or any of them.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4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Solvent</w:t>
      </w:r>
      <w:r>
        <w:rPr>
          <w:rFonts w:ascii="Times New Roman" w:cs="Times New Roman" w:eastAsia="Times New Roman" w:hAnsi="Times New Roman"/>
          <w:sz w:val="21"/>
          <w:szCs w:val="21"/>
          <w:color w:val="auto"/>
        </w:rPr>
        <w:t>”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the Closing Date;</w:t>
      </w:r>
    </w:p>
    <w:p>
      <w:pPr>
        <w:spacing w:after="0" w:line="2" w:lineRule="exact"/>
        <w:rPr>
          <w:sz w:val="20"/>
          <w:szCs w:val="20"/>
          <w:color w:val="auto"/>
        </w:rPr>
      </w:pPr>
    </w:p>
    <w:p>
      <w:pPr>
        <w:jc w:val="both"/>
        <w:ind w:firstLine="8"/>
        <w:spacing w:after="0" w:line="246" w:lineRule="auto"/>
        <w:tabs>
          <w:tab w:leader="none" w:pos="317" w:val="left"/>
        </w:tabs>
        <w:numPr>
          <w:ilvl w:val="0"/>
          <w:numId w:val="9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or any other analogous criteria in any jurisdiction).</w:t>
      </w:r>
    </w:p>
    <w:p>
      <w:pPr>
        <w:spacing w:after="0" w:line="18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Spare Parts</w:t>
      </w:r>
      <w:r>
        <w:rPr>
          <w:rFonts w:ascii="Times New Roman" w:cs="Times New Roman" w:eastAsia="Times New Roman" w:hAnsi="Times New Roman"/>
          <w:sz w:val="22"/>
          <w:szCs w:val="22"/>
          <w:color w:val="auto"/>
        </w:rPr>
        <w:t>”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Caribbean Jurisdictions</w:t>
      </w:r>
      <w:r>
        <w:rPr>
          <w:rFonts w:ascii="Times New Roman" w:cs="Times New Roman" w:eastAsia="Times New Roman" w:hAnsi="Times New Roman"/>
          <w:sz w:val="22"/>
          <w:szCs w:val="22"/>
          <w:color w:val="auto"/>
        </w:rPr>
        <w:t>” shall mean Antigua and Barbuda, Aruba, the Bahamas, Barbados, Bonaire, Cuba, Curacao, Dominican Republic, Grenada, Haiti, Jamaica, Saba, Saint Kitts and Nevis, Saint Lucia, Saint Vincent and the Grenadines, Sint Eustatius, Sint Maarten, and Trinidad and Tobago.</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Securitization Undertakings</w:t>
      </w:r>
      <w:r>
        <w:rPr>
          <w:rFonts w:ascii="Times New Roman" w:cs="Times New Roman" w:eastAsia="Times New Roman" w:hAnsi="Times New Roman"/>
          <w:sz w:val="22"/>
          <w:szCs w:val="22"/>
          <w:color w:val="auto"/>
        </w:rPr>
        <w:t>” shall mean all representations, warranties, covenants, indemnities, performance Guarantees and servicing obligations entered into by Parent or any Subsidiary (other than a Receivables Subsidiary), which are customary in connection with any Qualified Receivables Transaction.</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Stated Maturity</w:t>
      </w:r>
      <w:r>
        <w:rPr>
          <w:rFonts w:ascii="Times New Roman" w:cs="Times New Roman" w:eastAsia="Times New Roman" w:hAnsi="Times New Roman"/>
          <w:sz w:val="22"/>
          <w:szCs w:val="22"/>
          <w:color w:val="auto"/>
        </w:rPr>
        <w:t>”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795" w:name="page796"/>
    <w:bookmarkEnd w:id="795"/>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Subject Company</w:t>
      </w:r>
      <w:r>
        <w:rPr>
          <w:rFonts w:ascii="Times New Roman" w:cs="Times New Roman" w:eastAsia="Times New Roman" w:hAnsi="Times New Roman"/>
          <w:sz w:val="22"/>
          <w:szCs w:val="22"/>
          <w:color w:val="auto"/>
        </w:rPr>
        <w:t>” shall have the meaning set forth in Section 6.10(a).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with respect to any Person:</w:t>
      </w:r>
    </w:p>
    <w:p>
      <w:pPr>
        <w:spacing w:after="0" w:line="224" w:lineRule="exact"/>
        <w:rPr>
          <w:sz w:val="20"/>
          <w:szCs w:val="20"/>
          <w:color w:val="auto"/>
        </w:rPr>
      </w:pPr>
    </w:p>
    <w:p>
      <w:pPr>
        <w:jc w:val="both"/>
        <w:ind w:left="660" w:firstLine="644"/>
        <w:spacing w:after="0" w:line="251" w:lineRule="auto"/>
        <w:tabs>
          <w:tab w:leader="none" w:pos="1929" w:val="left"/>
        </w:tabs>
        <w:numPr>
          <w:ilvl w:val="1"/>
          <w:numId w:val="9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919" w:val="left"/>
        </w:tabs>
        <w:numPr>
          <w:ilvl w:val="1"/>
          <w:numId w:val="9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w:t>
      </w:r>
    </w:p>
    <w:p>
      <w:pPr>
        <w:spacing w:after="0" w:line="3"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9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or any Subsidiary of such Person is a controlling general partner or otherwise controls such entity.</w:t>
      </w:r>
    </w:p>
    <w:p>
      <w:pPr>
        <w:spacing w:after="0" w:line="192"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shall mean, with respect to any Guarantor, any obligation to pay or perform under any agreement, contract or transaction that constitutes a “swap” within the meaning of Section 1a(47) of the Commodity Exchange Act.</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shall mean any and all present or future taxes, levies, imposts, duties, assessments, fees, deductions, charges or withholdings imposed by any Governmental Authority including any interest, additions to tax or penalties applicable thereto.</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FAA Slot</w:t>
      </w:r>
      <w:r>
        <w:rPr>
          <w:rFonts w:ascii="Times New Roman" w:cs="Times New Roman" w:eastAsia="Times New Roman" w:hAnsi="Times New Roman"/>
          <w:sz w:val="22"/>
          <w:szCs w:val="22"/>
          <w:color w:val="auto"/>
        </w:rPr>
        <w:t>” shall mean an FAA Slot that was obtained by any Grantor from another air carrier pursuant to an agreement (including but not limited to a loan agreement, lease agreement, slot exchange agreement or slot release agreement) and is held by such Grantor on a temporary basis.</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Foreign Slot</w:t>
      </w:r>
      <w:r>
        <w:rPr>
          <w:rFonts w:ascii="Times New Roman" w:cs="Times New Roman" w:eastAsia="Times New Roman" w:hAnsi="Times New Roman"/>
          <w:sz w:val="22"/>
          <w:szCs w:val="22"/>
          <w:color w:val="auto"/>
        </w:rPr>
        <w:t>” shall mean a Foreign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16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Temporary Slot</w:t>
      </w:r>
      <w:r>
        <w:rPr>
          <w:rFonts w:ascii="Times New Roman" w:cs="Times New Roman" w:eastAsia="Times New Roman" w:hAnsi="Times New Roman"/>
          <w:sz w:val="22"/>
          <w:szCs w:val="22"/>
          <w:color w:val="auto"/>
        </w:rPr>
        <w:t>” shall mean any Temporary FAA Slot or any Temporary Foreign Slot and any FAA Slot or Foreign Slot subject to a Transfer Restriction, in each case, for so long as such Transfer Restriction is in effect.</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Lender</w:t>
      </w:r>
      <w:r>
        <w:rPr>
          <w:rFonts w:ascii="Times New Roman" w:cs="Times New Roman" w:eastAsia="Times New Roman" w:hAnsi="Times New Roman"/>
          <w:sz w:val="22"/>
          <w:szCs w:val="22"/>
          <w:color w:val="auto"/>
        </w:rPr>
        <w:t>” shall mean each Lender having a Term Loan Commitment or, as the case may be, an outstanding Term Loan</w:t>
      </w:r>
      <w:r>
        <w:rPr>
          <w:rFonts w:ascii="Times New Roman" w:cs="Times New Roman" w:eastAsia="Times New Roman" w:hAnsi="Times New Roman"/>
          <w:sz w:val="22"/>
          <w:szCs w:val="22"/>
          <w:b w:val="1"/>
          <w:bCs w:val="1"/>
          <w:u w:val="single" w:color="auto"/>
          <w:color w:val="0000FF"/>
        </w:rPr>
        <w:t>, which shall include the 2024 Replacement Term Lenders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796" w:name="page797"/>
    <w:bookmarkEnd w:id="796"/>
    <w:p>
      <w:pPr>
        <w:spacing w:after="0" w:line="19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and any other Class of term loan made by a Term Lender under this Agreement.</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“Term Loan Commitment” </w:t>
      </w:r>
      <w:r>
        <w:rPr>
          <w:rFonts w:ascii="Times New Roman" w:cs="Times New Roman" w:eastAsia="Times New Roman" w:hAnsi="Times New Roman"/>
          <w:sz w:val="22"/>
          <w:szCs w:val="22"/>
          <w:color w:val="auto"/>
        </w:rPr>
        <w:t>shall mean the commitment of each Term Lender to make Term Loans hereunder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the case of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in an aggregate principal amount not to exceed the amount set forth under the heading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 Commitment” opposite its name </w:t>
      </w:r>
      <w:r>
        <w:rPr>
          <w:rFonts w:ascii="Times New Roman" w:cs="Times New Roman" w:eastAsia="Times New Roman" w:hAnsi="Times New Roman"/>
          <w:sz w:val="22"/>
          <w:szCs w:val="22"/>
          <w:b w:val="1"/>
          <w:bCs w:val="1"/>
          <w:color w:val="FF0000"/>
          <w:strike w:val="1"/>
        </w:rPr>
        <w:t>on Annex A</w:t>
      </w:r>
      <w:r>
        <w:rPr>
          <w:rFonts w:ascii="Times New Roman" w:cs="Times New Roman" w:eastAsia="Times New Roman" w:hAnsi="Times New Roman"/>
          <w:sz w:val="22"/>
          <w:szCs w:val="22"/>
          <w:b w:val="1"/>
          <w:bCs w:val="1"/>
          <w:u w:val="single" w:color="auto"/>
          <w:color w:val="0000FF"/>
        </w:rPr>
        <w:t>in the 2024 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Term Loan Commitment Schedule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or in the Assignment and Acceptance pursuant to which such Term Lender became a party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hereto, as the same may be changed from time to time pursuant to the terms hereof. The aggregate amount of the Term Loan Commitments as of the </w:t>
      </w:r>
      <w:r>
        <w:rPr>
          <w:rFonts w:ascii="Times New Roman" w:cs="Times New Roman" w:eastAsia="Times New Roman" w:hAnsi="Times New Roman"/>
          <w:sz w:val="22"/>
          <w:szCs w:val="22"/>
          <w:b w:val="1"/>
          <w:bCs w:val="1"/>
          <w:color w:val="FF0000"/>
          <w:strike w:val="1"/>
        </w:rPr>
        <w:t>Closing</w:t>
      </w:r>
      <w:r>
        <w:rPr>
          <w:rFonts w:ascii="Times New Roman" w:cs="Times New Roman" w:eastAsia="Times New Roman" w:hAnsi="Times New Roman"/>
          <w:sz w:val="22"/>
          <w:szCs w:val="22"/>
          <w:b w:val="1"/>
          <w:bCs w:val="1"/>
          <w:u w:val="single" w:color="auto"/>
          <w:color w:val="0000FF"/>
        </w:rPr>
        <w:t>Second Amendment Effective</w:t>
      </w:r>
      <w:r>
        <w:rPr>
          <w:rFonts w:ascii="Times New Roman" w:cs="Times New Roman" w:eastAsia="Times New Roman" w:hAnsi="Times New Roman"/>
          <w:sz w:val="22"/>
          <w:szCs w:val="22"/>
          <w:color w:val="000000"/>
        </w:rPr>
        <w:t xml:space="preserve"> Date is $1,100,000,000.00.</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Extension</w:t>
      </w:r>
      <w:r>
        <w:rPr>
          <w:rFonts w:ascii="Times New Roman" w:cs="Times New Roman" w:eastAsia="Times New Roman" w:hAnsi="Times New Roman"/>
          <w:sz w:val="22"/>
          <w:szCs w:val="22"/>
          <w:color w:val="auto"/>
        </w:rPr>
        <w:t>” shall have the meaning set forth in Section 2.28(a).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Extension Offer</w:t>
      </w:r>
      <w:r>
        <w:rPr>
          <w:rFonts w:ascii="Times New Roman" w:cs="Times New Roman" w:eastAsia="Times New Roman" w:hAnsi="Times New Roman"/>
          <w:sz w:val="22"/>
          <w:szCs w:val="22"/>
          <w:color w:val="auto"/>
        </w:rPr>
        <w:t>” shall have the meaning set forth in Section 2.28(a).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Facility</w:t>
      </w:r>
      <w:r>
        <w:rPr>
          <w:rFonts w:ascii="Times New Roman" w:cs="Times New Roman" w:eastAsia="Times New Roman" w:hAnsi="Times New Roman"/>
          <w:sz w:val="22"/>
          <w:szCs w:val="22"/>
          <w:color w:val="auto"/>
        </w:rPr>
        <w:t>” shall mean the Term Loan Commitments and the Term Loans made thereunder.</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Maturity Date</w:t>
      </w:r>
      <w:r>
        <w:rPr>
          <w:rFonts w:ascii="Times New Roman" w:cs="Times New Roman" w:eastAsia="Times New Roman" w:hAnsi="Times New Roman"/>
          <w:sz w:val="22"/>
          <w:szCs w:val="22"/>
          <w:color w:val="auto"/>
        </w:rPr>
        <w:t xml:space="preserve">” shall mean, with respect to (a)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that have not been extended pursuant to Section 2.28, June 4, 2029 and (b) with respect to Extended Term Loans, the final maturity date therefor as specified in the applicable Extension Offer accepted by the respective Term Lenders (as the same may be further extended pursuant to Section 2.28).</w:t>
      </w:r>
    </w:p>
    <w:p>
      <w:pPr>
        <w:spacing w:after="0" w:line="16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Loan Termination Date</w:t>
      </w:r>
      <w:r>
        <w:rPr>
          <w:rFonts w:ascii="Times New Roman" w:cs="Times New Roman" w:eastAsia="Times New Roman" w:hAnsi="Times New Roman"/>
          <w:sz w:val="22"/>
          <w:szCs w:val="22"/>
          <w:color w:val="auto"/>
        </w:rPr>
        <w:t>” shall mean the earlier to occur of (a) the Term Loan Maturity Date and (b) the acceleration of the Term Loans in accordance with the terms hereof.</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jc w:val="both"/>
        <w:ind w:firstLine="1304"/>
        <w:spacing w:after="0" w:line="249" w:lineRule="auto"/>
        <w:tabs>
          <w:tab w:leader="none" w:pos="1937" w:val="left"/>
        </w:tabs>
        <w:numPr>
          <w:ilvl w:val="0"/>
          <w:numId w:val="9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2"/>
          <w:szCs w:val="22"/>
          <w:i w:val="1"/>
          <w:iCs w:val="1"/>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3" w:lineRule="exact"/>
        <w:rPr>
          <w:rFonts w:ascii="Times New Roman" w:cs="Times New Roman" w:eastAsia="Times New Roman" w:hAnsi="Times New Roman"/>
          <w:sz w:val="22"/>
          <w:szCs w:val="22"/>
          <w:color w:val="auto"/>
        </w:rPr>
      </w:pPr>
    </w:p>
    <w:p>
      <w:pPr>
        <w:ind w:right="20" w:firstLine="1304"/>
        <w:spacing w:after="0" w:line="271" w:lineRule="auto"/>
        <w:tabs>
          <w:tab w:leader="none" w:pos="1802" w:val="left"/>
        </w:tabs>
        <w:numPr>
          <w:ilvl w:val="0"/>
          <w:numId w:val="9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2"/>
          <w:szCs w:val="22"/>
          <w:i w:val="1"/>
          <w:iCs w:val="1"/>
          <w:color w:val="auto"/>
        </w:rPr>
        <w:t>ABR Term SOFR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797" w:name="page798"/>
    <w:bookmarkEnd w:id="797"/>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Day</w:t>
      </w:r>
      <w:r>
        <w:rPr>
          <w:rFonts w:ascii="Times New Roman" w:cs="Times New Roman" w:eastAsia="Times New Roman" w:hAnsi="Times New Roman"/>
          <w:sz w:val="22"/>
          <w:szCs w:val="22"/>
          <w:color w:val="auto"/>
        </w:rPr>
        <w:t>”) that is two (2) U.S. Government Securities Business Days prior to such day, as such rate is published by the Term SOFR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9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When used in reference to any Loan or Borrowing, “Term SOFR” refers to whether such Loan, or the Loans comprising such Borrowing, is bearing interest at a rate determined by reference to Adjusted Term SOFR.</w:t>
      </w:r>
    </w:p>
    <w:p>
      <w:pPr>
        <w:spacing w:after="0" w:line="15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Tranche</w:t>
      </w:r>
      <w:r>
        <w:rPr>
          <w:rFonts w:ascii="Times New Roman" w:cs="Times New Roman" w:eastAsia="Times New Roman" w:hAnsi="Times New Roman"/>
          <w:sz w:val="22"/>
          <w:szCs w:val="22"/>
          <w:color w:val="auto"/>
        </w:rPr>
        <w:t>” shall mean the collective reference to Term SOFR Loans under a particular Facility the then current Interest Periods with respect to all of which begin on the same date and end on the same later date (whether or not such Loans shall originally have been made on the same day).</w:t>
      </w:r>
    </w:p>
    <w:p>
      <w:pPr>
        <w:spacing w:after="0" w:line="161"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Termination Date</w:t>
      </w:r>
      <w:r>
        <w:rPr>
          <w:rFonts w:ascii="Times New Roman" w:cs="Times New Roman" w:eastAsia="Times New Roman" w:hAnsi="Times New Roman"/>
          <w:sz w:val="21"/>
          <w:szCs w:val="21"/>
          <w:color w:val="auto"/>
        </w:rPr>
        <w:t>” shall mean (i) with respect to the Revolving Loans, the Revolving Facility Termination Date applicable to the related Revolving Commitments and (ii) with respect to the Term Loans, the Term Loan Termination Date.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 14</w:t>
      </w:r>
      <w:r>
        <w:rPr>
          <w:rFonts w:ascii="Times New Roman" w:cs="Times New Roman" w:eastAsia="Times New Roman" w:hAnsi="Times New Roman"/>
          <w:sz w:val="22"/>
          <w:szCs w:val="22"/>
          <w:color w:val="auto"/>
        </w:rPr>
        <w:t>” shall have the meaning set forth in the SGR Security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Title 49</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Obligations</w:t>
      </w:r>
      <w:r>
        <w:rPr>
          <w:rFonts w:ascii="Times New Roman" w:cs="Times New Roman" w:eastAsia="Times New Roman" w:hAnsi="Times New Roman"/>
          <w:sz w:val="22"/>
          <w:szCs w:val="22"/>
          <w:color w:val="auto"/>
        </w:rPr>
        <w:t>” shall have the meaning provided in the definition of “</w:t>
      </w: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Revolving Commitment</w:t>
      </w:r>
      <w:r>
        <w:rPr>
          <w:rFonts w:ascii="Times New Roman" w:cs="Times New Roman" w:eastAsia="Times New Roman" w:hAnsi="Times New Roman"/>
          <w:sz w:val="22"/>
          <w:szCs w:val="22"/>
          <w:color w:val="auto"/>
        </w:rPr>
        <w:t>” shall mean, at any time, the sum of the Revolving Commitments at such time.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Revolving Extensions of Credit</w:t>
      </w:r>
      <w:r>
        <w:rPr>
          <w:rFonts w:ascii="Times New Roman" w:cs="Times New Roman" w:eastAsia="Times New Roman" w:hAnsi="Times New Roman"/>
          <w:sz w:val="22"/>
          <w:szCs w:val="22"/>
          <w:color w:val="auto"/>
        </w:rPr>
        <w:t>” shall mean, at any time, the aggregate amount of the Revolving Extensions of Credit of the Revolving Lenders outstanding at such time.</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firstLine="1304"/>
        <w:spacing w:after="0" w:line="271" w:lineRule="auto"/>
        <w:tabs>
          <w:tab w:leader="none" w:pos="1835" w:val="left"/>
        </w:tabs>
        <w:numPr>
          <w:ilvl w:val="0"/>
          <w:numId w:val="9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the Borrower and Guarantors of this Agreement and the other Loan Documents to which they may be a party, the creation of the Liens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798" w:name="page799"/>
    <w:bookmarkEnd w:id="798"/>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Collateral in favor of the Collateral Trustee for the benefit of the Secured Parties, the borrowing of Loans and the use of the proceeds thereof, and the request for and issuance of Letters of Credit hereunder;</w:t>
      </w:r>
    </w:p>
    <w:p>
      <w:pPr>
        <w:spacing w:after="0" w:line="158" w:lineRule="exact"/>
        <w:rPr>
          <w:sz w:val="20"/>
          <w:szCs w:val="20"/>
          <w:color w:val="auto"/>
        </w:rPr>
      </w:pPr>
    </w:p>
    <w:p>
      <w:pPr>
        <w:ind w:left="1780" w:hanging="476"/>
        <w:spacing w:after="0"/>
        <w:tabs>
          <w:tab w:leader="none" w:pos="1780" w:val="left"/>
        </w:tabs>
        <w:numPr>
          <w:ilvl w:val="0"/>
          <w:numId w:val="9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by the Borrower, Parent or their respective Affiliates of the Secured Notes;</w:t>
      </w:r>
    </w:p>
    <w:p>
      <w:pPr>
        <w:spacing w:after="0" w:line="22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9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of the Existing Notes (the “</w:t>
      </w:r>
      <w:r>
        <w:rPr>
          <w:rFonts w:ascii="Times New Roman" w:cs="Times New Roman" w:eastAsia="Times New Roman" w:hAnsi="Times New Roman"/>
          <w:sz w:val="22"/>
          <w:szCs w:val="22"/>
          <w:i w:val="1"/>
          <w:iCs w:val="1"/>
          <w:color w:val="auto"/>
        </w:rPr>
        <w:t>Refinancing</w:t>
      </w:r>
      <w:r>
        <w:rPr>
          <w:rFonts w:ascii="Times New Roman" w:cs="Times New Roman" w:eastAsia="Times New Roman" w:hAnsi="Times New Roman"/>
          <w:sz w:val="22"/>
          <w:szCs w:val="22"/>
          <w:color w:val="auto"/>
        </w:rPr>
        <w:t>”); and</w:t>
      </w:r>
    </w:p>
    <w:p>
      <w:pPr>
        <w:spacing w:after="0" w:line="223" w:lineRule="exact"/>
        <w:rPr>
          <w:rFonts w:ascii="Times New Roman" w:cs="Times New Roman" w:eastAsia="Times New Roman" w:hAnsi="Times New Roman"/>
          <w:sz w:val="22"/>
          <w:szCs w:val="22"/>
          <w:color w:val="auto"/>
        </w:rPr>
      </w:pPr>
    </w:p>
    <w:p>
      <w:pPr>
        <w:ind w:firstLine="1304"/>
        <w:spacing w:after="0" w:line="271" w:lineRule="auto"/>
        <w:tabs>
          <w:tab w:leader="none" w:pos="1847" w:val="left"/>
        </w:tabs>
        <w:numPr>
          <w:ilvl w:val="0"/>
          <w:numId w:val="9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by the Borrower, Parent and their respective Affiliates of fees and expenses in connection with the transactions contemplated in clauses (1) through (3) above.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 Restriction</w:t>
      </w:r>
      <w:r>
        <w:rPr>
          <w:rFonts w:ascii="Times New Roman" w:cs="Times New Roman" w:eastAsia="Times New Roman" w:hAnsi="Times New Roman"/>
          <w:sz w:val="22"/>
          <w:szCs w:val="22"/>
          <w:color w:val="auto"/>
        </w:rPr>
        <w:t>” shall have the meaning set forth in the SGR Security Agreement.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Adjusted Term SOFR or the Alternate Base Rate and when used in reference to any Commitment, refers to whether such Commitment is a Revolving Commitment or a Term Loan Commitment.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shall mean the Uniform Commercial Code as in effect from time to time in any applicable jurisdiction.</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63"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shall mean the United States of America.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United States Citizen</w:t>
      </w:r>
      <w:r>
        <w:rPr>
          <w:rFonts w:ascii="Times New Roman" w:cs="Times New Roman" w:eastAsia="Times New Roman" w:hAnsi="Times New Roman"/>
          <w:sz w:val="22"/>
          <w:szCs w:val="22"/>
          <w:color w:val="auto"/>
        </w:rPr>
        <w:t>” shall have the meaning set forth in Section 3.02.</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Unrestricted Subsidiary</w:t>
      </w:r>
      <w:r>
        <w:rPr>
          <w:rFonts w:ascii="Times New Roman" w:cs="Times New Roman" w:eastAsia="Times New Roman" w:hAnsi="Times New Roman"/>
          <w:sz w:val="22"/>
          <w:szCs w:val="22"/>
          <w:color w:val="auto"/>
        </w:rPr>
        <w:t>” shall mean any Subsidiary of Parent (other than the Borrower) that is designated by Parent as an Unrestricted Subsidiary in compliance with Section 5.05 or any Subsidiary of an Unrestricted Subsidiary, but only if such Subsidiary:</w:t>
      </w:r>
    </w:p>
    <w:p>
      <w:pPr>
        <w:spacing w:after="0" w:line="165" w:lineRule="exact"/>
        <w:rPr>
          <w:sz w:val="20"/>
          <w:szCs w:val="20"/>
          <w:color w:val="auto"/>
        </w:rPr>
      </w:pPr>
    </w:p>
    <w:p>
      <w:pPr>
        <w:ind w:left="1780" w:hanging="476"/>
        <w:spacing w:after="0"/>
        <w:tabs>
          <w:tab w:leader="none" w:pos="1780" w:val="left"/>
        </w:tabs>
        <w:numPr>
          <w:ilvl w:val="0"/>
          <w:numId w:val="9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 Indebtedness other than Non-Recourse Debt;</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30" w:val="left"/>
        </w:tabs>
        <w:numPr>
          <w:ilvl w:val="0"/>
          <w:numId w:val="9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Section 6.05, is not party to any agreement, contract, arrangement or understanding with Parent or any Restricted Subsidiary of Parent unless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type w:val="continuous"/>
        </w:sectPr>
      </w:pPr>
    </w:p>
    <w:bookmarkStart w:id="799" w:name="page800"/>
    <w:bookmarkEnd w:id="799"/>
    <w:p>
      <w:pPr>
        <w:spacing w:after="0" w:line="198"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terms of any such agreement, contract, arrangement or understanding are no less favorable to Parent or such Restricted Subsidiary than those that might be obtained at the time from Persons who are not Affiliates of Parent;</w:t>
      </w:r>
    </w:p>
    <w:p>
      <w:pPr>
        <w:spacing w:after="0" w:line="158" w:lineRule="exact"/>
        <w:rPr>
          <w:sz w:val="20"/>
          <w:szCs w:val="20"/>
          <w:color w:val="auto"/>
        </w:rPr>
      </w:pPr>
    </w:p>
    <w:p>
      <w:pPr>
        <w:jc w:val="both"/>
        <w:ind w:left="660" w:firstLine="644"/>
        <w:spacing w:after="0" w:line="263" w:lineRule="auto"/>
        <w:tabs>
          <w:tab w:leader="none" w:pos="1891" w:val="left"/>
        </w:tabs>
        <w:numPr>
          <w:ilvl w:val="0"/>
          <w:numId w:val="9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01" w:val="left"/>
        </w:tabs>
        <w:numPr>
          <w:ilvl w:val="0"/>
          <w:numId w:val="9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guaranteed or otherwise directly or indirectly provided credit support for any Indebtedness of Parent or any of its Restricted Subsidiaries;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own any assets or properties that constitute Collateral.</w:t>
      </w:r>
    </w:p>
    <w:p>
      <w:pPr>
        <w:spacing w:after="0" w:line="22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Unused Total Revolving Commitment</w:t>
      </w:r>
      <w:r>
        <w:rPr>
          <w:rFonts w:ascii="Times New Roman" w:cs="Times New Roman" w:eastAsia="Times New Roman" w:hAnsi="Times New Roman"/>
          <w:sz w:val="22"/>
          <w:szCs w:val="22"/>
          <w:color w:val="auto"/>
        </w:rPr>
        <w:t>” shall mean, at any time, (a) the Total Revolving Commitment less (b) the Total Revolving Extensions of Credit.</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w:t>
      </w:r>
      <w:r>
        <w:rPr>
          <w:rFonts w:ascii="Times New Roman" w:cs="Times New Roman" w:eastAsia="Times New Roman" w:hAnsi="Times New Roman"/>
          <w:sz w:val="22"/>
          <w:szCs w:val="22"/>
          <w:color w:val="auto"/>
        </w:rPr>
        <w:t>” shall mean US Airways, Inc., a Delaware corporation, which merged with and into the Borrower with the Borrower as the surviving entity.</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Closing Date</w:t>
      </w:r>
      <w:r>
        <w:rPr>
          <w:rFonts w:ascii="Times New Roman" w:cs="Times New Roman" w:eastAsia="Times New Roman" w:hAnsi="Times New Roman"/>
          <w:sz w:val="22"/>
          <w:szCs w:val="22"/>
          <w:color w:val="auto"/>
        </w:rPr>
        <w:t>” shall mean May 24, 2013.</w:t>
      </w:r>
    </w:p>
    <w:p>
      <w:pPr>
        <w:spacing w:after="0" w:line="220"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Airways Indenture</w:t>
      </w:r>
      <w:r>
        <w:rPr>
          <w:rFonts w:ascii="Times New Roman" w:cs="Times New Roman" w:eastAsia="Times New Roman" w:hAnsi="Times New Roman"/>
          <w:sz w:val="22"/>
          <w:szCs w:val="22"/>
          <w:color w:val="auto"/>
        </w:rPr>
        <w:t>” shall mean the Indenture, dated as of May 24, 2013, between US Airways and Wilmington Trust, National Association, as trustee, as amended or supplemented from time to time.</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Use or Lose Rule</w:t>
      </w:r>
      <w:r>
        <w:rPr>
          <w:rFonts w:ascii="Times New Roman" w:cs="Times New Roman" w:eastAsia="Times New Roman" w:hAnsi="Times New Roman"/>
          <w:sz w:val="22"/>
          <w:szCs w:val="22"/>
          <w:color w:val="auto"/>
        </w:rPr>
        <w:t>” shall mean with respect to Slots, any applicable utilization requirements issued by the FAA, other Governmental Authorities, any Foreign Aviation Authorities or any Airport Authorities.</w:t>
      </w:r>
    </w:p>
    <w:p>
      <w:pPr>
        <w:spacing w:after="0" w:line="13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Stock</w:t>
      </w:r>
      <w:r>
        <w:rPr>
          <w:rFonts w:ascii="Times New Roman" w:cs="Times New Roman" w:eastAsia="Times New Roman" w:hAnsi="Times New Roman"/>
          <w:sz w:val="22"/>
          <w:szCs w:val="22"/>
          <w:color w:val="auto"/>
        </w:rPr>
        <w:t>” of any specified Person as of any date shall mean the Capital Stock of such Person that is at the time entitled to vote in the election of the Board of Directors of such Person.</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Weighted Average Life to Maturity</w:t>
      </w:r>
      <w:r>
        <w:rPr>
          <w:rFonts w:ascii="Times New Roman" w:cs="Times New Roman" w:eastAsia="Times New Roman" w:hAnsi="Times New Roman"/>
          <w:sz w:val="22"/>
          <w:szCs w:val="22"/>
          <w:color w:val="auto"/>
        </w:rPr>
        <w:t>” shall mean, when applied to any Indebtedness at any date, the number of years obtained by dividing:</w:t>
      </w:r>
    </w:p>
    <w:p>
      <w:pPr>
        <w:spacing w:after="0" w:line="167" w:lineRule="exact"/>
        <w:rPr>
          <w:sz w:val="20"/>
          <w:szCs w:val="20"/>
          <w:color w:val="auto"/>
        </w:rPr>
      </w:pPr>
    </w:p>
    <w:p>
      <w:pPr>
        <w:jc w:val="both"/>
        <w:ind w:left="660" w:firstLine="644"/>
        <w:spacing w:after="0" w:line="252" w:lineRule="auto"/>
        <w:tabs>
          <w:tab w:leader="none" w:pos="1800" w:val="left"/>
        </w:tabs>
        <w:numPr>
          <w:ilvl w:val="0"/>
          <w:numId w:val="9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800" w:name="page801"/>
    <w:bookmarkEnd w:id="800"/>
    <w:p>
      <w:pPr>
        <w:spacing w:after="0" w:line="199"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the then outstanding principal amount of such Indebtedness.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Withholding Agent</w:t>
      </w:r>
      <w:r>
        <w:rPr>
          <w:rFonts w:ascii="Times New Roman" w:cs="Times New Roman" w:eastAsia="Times New Roman" w:hAnsi="Times New Roman"/>
          <w:sz w:val="22"/>
          <w:szCs w:val="22"/>
          <w:color w:val="auto"/>
        </w:rPr>
        <w:t>” shall mean any of the Borrower, a Guarantor and the Administrative Agent.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Working Capital</w:t>
      </w:r>
      <w:r>
        <w:rPr>
          <w:rFonts w:ascii="Times New Roman" w:cs="Times New Roman" w:eastAsia="Times New Roman" w:hAnsi="Times New Roman"/>
          <w:sz w:val="22"/>
          <w:szCs w:val="22"/>
          <w:color w:val="auto"/>
        </w:rPr>
        <w:t>”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w:t>
      </w:r>
    </w:p>
    <w:p>
      <w:pPr>
        <w:spacing w:after="0" w:line="16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Yield Differential</w:t>
      </w:r>
      <w:r>
        <w:rPr>
          <w:rFonts w:ascii="Times New Roman" w:cs="Times New Roman" w:eastAsia="Times New Roman" w:hAnsi="Times New Roman"/>
          <w:sz w:val="22"/>
          <w:szCs w:val="22"/>
          <w:color w:val="auto"/>
        </w:rPr>
        <w:t>” shall have the meaning set forth in Section 2.27(c)(iv).</w:t>
      </w:r>
    </w:p>
    <w:p>
      <w:pPr>
        <w:spacing w:after="0" w:line="22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w:t>
      </w:r>
    </w:p>
    <w:p>
      <w:pPr>
        <w:spacing w:after="0" w:line="5" w:lineRule="exact"/>
        <w:rPr>
          <w:sz w:val="20"/>
          <w:szCs w:val="20"/>
          <w:color w:val="auto"/>
        </w:rPr>
      </w:pPr>
    </w:p>
    <w:p>
      <w:pPr>
        <w:jc w:val="both"/>
        <w:ind w:firstLine="8"/>
        <w:spacing w:after="0" w:line="246" w:lineRule="auto"/>
        <w:tabs>
          <w:tab w:leader="none" w:pos="295" w:val="left"/>
        </w:tabs>
        <w:numPr>
          <w:ilvl w:val="0"/>
          <w:numId w:val="9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 of the Borrower or such Guarantors, as applicable.</w:t>
      </w:r>
    </w:p>
    <w:p>
      <w:pPr>
        <w:spacing w:after="0" w:line="199"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Except as otherwise expressly provided herein, all terms of an accounting or financial nature shall be construed in accordance with GAAP,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801" w:name="page802"/>
    <w:bookmarkEnd w:id="801"/>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effect from time to time; provided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w:t>
      </w:r>
    </w:p>
    <w:p>
      <w:pPr>
        <w:spacing w:after="0" w:line="18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802" w:name="page803"/>
    <w:bookmarkEnd w:id="802"/>
    <w:p>
      <w:pPr>
        <w:spacing w:after="0" w:line="1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AMOUNT AND TERMS OF CREDIT</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Commitments of the Lenders; Term Loans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ind w:left="1760" w:hanging="456"/>
        <w:spacing w:after="0"/>
        <w:tabs>
          <w:tab w:leader="none" w:pos="1760" w:val="left"/>
        </w:tabs>
        <w:numPr>
          <w:ilvl w:val="0"/>
          <w:numId w:val="9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Commitments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0" w:lineRule="auto"/>
        <w:tabs>
          <w:tab w:leader="none" w:pos="1770" w:val="left"/>
        </w:tabs>
        <w:numPr>
          <w:ilvl w:val="0"/>
          <w:numId w:val="9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Lender severally, and not jointly with the other Revolving Lenders, agrees, upon the terms and subject to the conditions herein set forth, to make revolving credit loans denominated in Dollars (each a “</w:t>
      </w:r>
      <w:r>
        <w:rPr>
          <w:rFonts w:ascii="Times New Roman" w:cs="Times New Roman" w:eastAsia="Times New Roman" w:hAnsi="Times New Roman"/>
          <w:sz w:val="22"/>
          <w:szCs w:val="22"/>
          <w:i w:val="1"/>
          <w:iCs w:val="1"/>
          <w:color w:val="auto"/>
        </w:rPr>
        <w:t>Revolving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6" w:val="left"/>
        </w:tabs>
        <w:numPr>
          <w:ilvl w:val="0"/>
          <w:numId w:val="9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of a Revolving Loan shall be made from the Revolving Lenders pro rata in accordance with their respective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Revolving Lender to make any Revolving Loan shall not in itself relieve the other Revolving Lenders of their obligations to lend.</w:t>
      </w:r>
    </w:p>
    <w:p>
      <w:pPr>
        <w:spacing w:after="0" w:line="182" w:lineRule="exact"/>
        <w:rPr>
          <w:sz w:val="20"/>
          <w:szCs w:val="20"/>
          <w:color w:val="auto"/>
        </w:rPr>
      </w:pPr>
    </w:p>
    <w:p>
      <w:pPr>
        <w:jc w:val="both"/>
        <w:ind w:firstLine="1304"/>
        <w:spacing w:after="0" w:line="251" w:lineRule="auto"/>
        <w:tabs>
          <w:tab w:leader="none" w:pos="1872" w:val="left"/>
        </w:tabs>
        <w:numPr>
          <w:ilvl w:val="0"/>
          <w:numId w:val="9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 Loan Commitments. </w:t>
      </w:r>
      <w:r>
        <w:rPr>
          <w:rFonts w:ascii="Times New Roman" w:cs="Times New Roman" w:eastAsia="Times New Roman" w:hAnsi="Times New Roman"/>
          <w:sz w:val="22"/>
          <w:szCs w:val="22"/>
          <w:color w:val="auto"/>
        </w:rPr>
        <w:t>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FF0000"/>
          <w:strike w:val="1"/>
        </w:rPr>
        <w:t>Closing</w:t>
      </w:r>
      <w:r>
        <w:rPr>
          <w:rFonts w:ascii="Times New Roman" w:cs="Times New Roman" w:eastAsia="Times New Roman" w:hAnsi="Times New Roman"/>
          <w:sz w:val="22"/>
          <w:szCs w:val="22"/>
          <w:b w:val="1"/>
          <w:bCs w:val="1"/>
          <w:u w:val="single" w:color="auto"/>
          <w:color w:val="0000FF"/>
        </w:rPr>
        <w:t>Second Amendment Effective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 Lender agrees to make to the Borrower the </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denominated in Dollars in an aggregate principal amount equal to such </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Lender’s </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 Commitment as of the </w:t>
      </w:r>
      <w:r>
        <w:rPr>
          <w:rFonts w:ascii="Times New Roman" w:cs="Times New Roman" w:eastAsia="Times New Roman" w:hAnsi="Times New Roman"/>
          <w:sz w:val="22"/>
          <w:szCs w:val="22"/>
          <w:b w:val="1"/>
          <w:bCs w:val="1"/>
          <w:color w:val="FF0000"/>
          <w:strike w:val="1"/>
        </w:rPr>
        <w:t>Closing</w:t>
      </w:r>
      <w:r>
        <w:rPr>
          <w:rFonts w:ascii="Times New Roman" w:cs="Times New Roman" w:eastAsia="Times New Roman" w:hAnsi="Times New Roman"/>
          <w:sz w:val="22"/>
          <w:szCs w:val="22"/>
          <w:b w:val="1"/>
          <w:bCs w:val="1"/>
          <w:u w:val="single" w:color="auto"/>
          <w:color w:val="0000FF"/>
        </w:rPr>
        <w:t>Second Amendment Effective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Date in accordance with the terms and conditions of</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color w:val="FF0000"/>
          <w:strike w:val="1"/>
        </w:rPr>
        <w:t>this Agreement</w:t>
      </w:r>
      <w:r>
        <w:rPr>
          <w:rFonts w:ascii="Times New Roman" w:cs="Times New Roman" w:eastAsia="Times New Roman" w:hAnsi="Times New Roman"/>
          <w:sz w:val="22"/>
          <w:szCs w:val="22"/>
          <w:b w:val="1"/>
          <w:bCs w:val="1"/>
          <w:u w:val="single" w:color="auto"/>
          <w:color w:val="0000FF"/>
        </w:rPr>
        <w:t>the Second</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b w:val="1"/>
          <w:bCs w:val="1"/>
          <w:u w:val="single" w:color="auto"/>
          <w:color w:val="0000FF"/>
        </w:rPr>
        <w:t>Amendment</w:t>
      </w:r>
      <w:r>
        <w:rPr>
          <w:rFonts w:ascii="Times New Roman" w:cs="Times New Roman" w:eastAsia="Times New Roman" w:hAnsi="Times New Roman"/>
          <w:sz w:val="22"/>
          <w:szCs w:val="22"/>
          <w:color w:val="000000"/>
        </w:rPr>
        <w:t>.</w:t>
      </w:r>
    </w:p>
    <w:p>
      <w:pPr>
        <w:spacing w:after="0" w:line="18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9" w:val="left"/>
        </w:tabs>
        <w:numPr>
          <w:ilvl w:val="0"/>
          <w:numId w:val="9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Type of Borrowing</w:t>
      </w:r>
      <w:r>
        <w:rPr>
          <w:rFonts w:ascii="Times New Roman" w:cs="Times New Roman" w:eastAsia="Times New Roman" w:hAnsi="Times New Roman"/>
          <w:sz w:val="22"/>
          <w:szCs w:val="22"/>
          <w:color w:val="auto"/>
        </w:rPr>
        <w:t>. Each Borrowing shall be comprised entirely of ABR Loans or Term SOFR Loans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may request in accordance herewith. Each Lender at its option may make any Term SOFR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 There may be multiple Borrowings incurred, converted or continued on the same day.</w:t>
      </w:r>
    </w:p>
    <w:p>
      <w:pPr>
        <w:spacing w:after="0" w:line="18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18" w:val="left"/>
        </w:tabs>
        <w:numPr>
          <w:ilvl w:val="0"/>
          <w:numId w:val="9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Amount of Borrowing</w:t>
      </w:r>
      <w:r>
        <w:rPr>
          <w:rFonts w:ascii="Times New Roman" w:cs="Times New Roman" w:eastAsia="Times New Roman" w:hAnsi="Times New Roman"/>
          <w:sz w:val="22"/>
          <w:szCs w:val="22"/>
          <w:color w:val="auto"/>
        </w:rPr>
        <w:t>. At the commencement of each Interest Period for any Term SOFR Borrowing,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ABR Borrowing may be in an aggregate amount that is equal to the entire Unused Total Revolving Commitment or that is required to finance the reimbursement of an LC Disbursement as contemplated by Section 2.02(e). Borrowings of more than one Type may be outstanding at the same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803" w:name="page804"/>
    <w:bookmarkEnd w:id="803"/>
    <w:p>
      <w:pPr>
        <w:spacing w:after="0" w:line="194" w:lineRule="exact"/>
        <w:rPr>
          <w:sz w:val="20"/>
          <w:szCs w:val="20"/>
          <w:color w:val="auto"/>
        </w:rPr>
      </w:pPr>
    </w:p>
    <w:p>
      <w:pPr>
        <w:jc w:val="both"/>
        <w:ind w:firstLine="1304"/>
        <w:spacing w:after="0" w:line="254" w:lineRule="auto"/>
        <w:tabs>
          <w:tab w:leader="none" w:pos="1752" w:val="left"/>
        </w:tabs>
        <w:numPr>
          <w:ilvl w:val="0"/>
          <w:numId w:val="9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Interest Period</w:t>
      </w:r>
      <w:r>
        <w:rPr>
          <w:rFonts w:ascii="Times New Roman" w:cs="Times New Roman" w:eastAsia="Times New Roman" w:hAnsi="Times New Roman"/>
          <w:sz w:val="22"/>
          <w:szCs w:val="22"/>
          <w:color w:val="auto"/>
        </w:rPr>
        <w:t>. Notwithstanding any other provision of this Agreement, the Borrower shall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entitled to request, or to elect to convert or continue, (i) any 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w:t>
      </w:r>
    </w:p>
    <w:p>
      <w:pPr>
        <w:spacing w:after="0" w:line="17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49" w:lineRule="auto"/>
        <w:tabs>
          <w:tab w:leader="none" w:pos="1765" w:val="left"/>
        </w:tabs>
        <w:numPr>
          <w:ilvl w:val="0"/>
          <w:numId w:val="9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Subject to the terms and conditions set forth herein, the Borrower may request the issuance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and (subject to the representation in the second sentence of clause (b) below being true and correct) each Issuing Lender agrees to issue Letters of Credit in Dollars upon request of the Borrower at any time and from time to time from the first day of the Revolver Availability Period to but excluding the date that is five (5) Business Days prior to the Revolving Facility Maturity Date, for the Borrower’s own account or the account of any other Subsidiary of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Issuing Lender shall issue (or amend, renew or extend) any Letter of Credit if, after giving effect to such issuance (or amendment, renewal or extension), (i) the LC Exposure in respect of Letters of Credit issued by it would exceed its LC Commitment or (ii) the aggregate amount of the Unused Total Revolving Commitment would be less than zero.</w:t>
      </w:r>
    </w:p>
    <w:p>
      <w:pPr>
        <w:spacing w:after="0" w:line="195"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04" w:val="left"/>
        </w:tabs>
        <w:numPr>
          <w:ilvl w:val="0"/>
          <w:numId w:val="9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 of Issuance, Amendment, Renewal, Extension. </w:t>
      </w:r>
      <w:r>
        <w:rPr>
          <w:rFonts w:ascii="Times New Roman" w:cs="Times New Roman" w:eastAsia="Times New Roman" w:hAnsi="Times New Roman"/>
          <w:sz w:val="21"/>
          <w:szCs w:val="21"/>
          <w:color w:val="auto"/>
        </w:rPr>
        <w:t>The Borrower may request the issuance of a Letter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Credit (or the amendment, renewal or extension of an outstanding Letter of Credit) by delivering (i) telephonic notice promptly followed by written Letter of Credit Request or (ii) hand deliver or telecopy (or transmit by electronic communication, if arrangements for doing so have been approved by the applicable Issuing Lender (which approval shall not be unreasonably withheld, delayed or conditioned)) to the applicable Issuing Lender and the Administrative Agent (at least two (2) 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 ), (2) the date on which such Letter of Credit is to expire (which shall comply with paragraph (c) of this Section 2.02), (3) the amount of such Letter of Credit, (4) 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 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804" w:name="page805"/>
    <w:bookmarkEnd w:id="804"/>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Borrower with, an Issuing Lender relating to any Letter of Credit, the terms and conditions of this Agreement shall control.</w:t>
      </w:r>
    </w:p>
    <w:p>
      <w:pPr>
        <w:spacing w:after="0" w:line="216" w:lineRule="exact"/>
        <w:rPr>
          <w:sz w:val="20"/>
          <w:szCs w:val="20"/>
          <w:color w:val="auto"/>
        </w:rPr>
      </w:pPr>
    </w:p>
    <w:p>
      <w:pPr>
        <w:jc w:val="both"/>
        <w:ind w:firstLine="1304"/>
        <w:spacing w:after="0" w:line="268" w:lineRule="auto"/>
        <w:tabs>
          <w:tab w:leader="none" w:pos="1765" w:val="left"/>
        </w:tabs>
        <w:numPr>
          <w:ilvl w:val="1"/>
          <w:numId w:val="9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Expiration Date</w:t>
      </w:r>
      <w:r>
        <w:rPr>
          <w:rFonts w:ascii="Times New Roman" w:cs="Times New Roman" w:eastAsia="Times New Roman" w:hAnsi="Times New Roman"/>
          <w:sz w:val="21"/>
          <w:szCs w:val="21"/>
          <w:color w:val="auto"/>
        </w:rPr>
        <w:t>. Each Letter of Credit shall expire at or prior to the close of business on the earlier of (i)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date that is (x) one year after the date of the issuance of such Letter of Credit (or, in the case of any renewal or extension thereof, one year after such renewal or extension) or (y) such later date as may be agreed by the Borrower and the Issuing Lender, and</w:t>
      </w:r>
    </w:p>
    <w:p>
      <w:pPr>
        <w:spacing w:after="0" w:line="2" w:lineRule="exact"/>
        <w:rPr>
          <w:rFonts w:ascii="Times New Roman" w:cs="Times New Roman" w:eastAsia="Times New Roman" w:hAnsi="Times New Roman"/>
          <w:sz w:val="21"/>
          <w:szCs w:val="21"/>
          <w:color w:val="auto"/>
        </w:rPr>
      </w:pPr>
    </w:p>
    <w:p>
      <w:pPr>
        <w:jc w:val="both"/>
        <w:ind w:firstLine="8"/>
        <w:spacing w:after="0" w:line="245" w:lineRule="auto"/>
        <w:tabs>
          <w:tab w:leader="none" w:pos="325" w:val="left"/>
        </w:tabs>
        <w:numPr>
          <w:ilvl w:val="0"/>
          <w:numId w:val="9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five (5) Business Days prior to the Revolving Facility Maturity Date with respect to the applicable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clause (ii)).</w:t>
      </w:r>
    </w:p>
    <w:p>
      <w:pPr>
        <w:spacing w:after="0" w:line="19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04" w:val="left"/>
        </w:tabs>
        <w:numPr>
          <w:ilvl w:val="1"/>
          <w:numId w:val="9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By the issuance of a Letter of Credit (or an amendment, renewal or extension of a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including any amendment 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reimbursement payment required to be refunded to the Borrower 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w:t>
      </w:r>
    </w:p>
    <w:p>
      <w:pPr>
        <w:spacing w:after="0" w:line="185"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9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48" w:lineRule="auto"/>
        <w:tabs>
          <w:tab w:leader="none" w:pos="1797" w:val="left"/>
        </w:tabs>
        <w:numPr>
          <w:ilvl w:val="0"/>
          <w:numId w:val="9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Issuing Lender shall make any LC Disbursement in respect of a Letter of Credit, the Borrower shall reimburse such LC Disbursement (whether or not such Letter of Credit was issued for the Borrower’s own account or in its name for the account or name of any other Subsidiary of Parent) by paying to the Administrative Agent an amount equal to the amount of such LC Disbursement not later than the first Business Day following the date the Borrower receives notice from the Issuing Lender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LC Disbursement, to the extent not reimbursed and, subject to the satisfaction (or waiver) of the conditions to borrowing set forth herein, including, without limitation, making a 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805" w:name="page806"/>
    <w:bookmarkEnd w:id="805"/>
    <w:p>
      <w:pPr>
        <w:spacing w:after="0" w:line="198" w:lineRule="exact"/>
        <w:rPr>
          <w:sz w:val="20"/>
          <w:szCs w:val="20"/>
          <w:color w:val="auto"/>
        </w:rPr>
      </w:pPr>
    </w:p>
    <w:p>
      <w:pPr>
        <w:jc w:val="both"/>
        <w:ind w:firstLine="1304"/>
        <w:spacing w:after="0" w:line="260" w:lineRule="auto"/>
        <w:tabs>
          <w:tab w:leader="none" w:pos="1809" w:val="left"/>
        </w:tabs>
        <w:numPr>
          <w:ilvl w:val="0"/>
          <w:numId w:val="9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Borrower fails to make any payment due under the preceding paragraph (i) with respect to a Letter of Credit when due (including by a Borrowing), the Administrative Agent 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to Revolving Loans made by such Revolving Lender (and Section 2.04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w:t>
      </w:r>
    </w:p>
    <w:p>
      <w:pPr>
        <w:spacing w:after="0" w:line="181" w:lineRule="exact"/>
        <w:rPr>
          <w:sz w:val="20"/>
          <w:szCs w:val="20"/>
          <w:color w:val="auto"/>
        </w:rPr>
      </w:pPr>
    </w:p>
    <w:p>
      <w:pPr>
        <w:jc w:val="both"/>
        <w:ind w:firstLine="1304"/>
        <w:spacing w:after="0" w:line="246" w:lineRule="auto"/>
        <w:tabs>
          <w:tab w:leader="none" w:pos="2038" w:val="left"/>
        </w:tabs>
        <w:numPr>
          <w:ilvl w:val="0"/>
          <w:numId w:val="9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Absolute</w:t>
      </w:r>
      <w:r>
        <w:rPr>
          <w:rFonts w:ascii="Times New Roman" w:cs="Times New Roman" w:eastAsia="Times New Roman" w:hAnsi="Times New Roman"/>
          <w:sz w:val="22"/>
          <w:szCs w:val="22"/>
          <w:color w:val="auto"/>
        </w:rPr>
        <w:t>. The Borrower’s obligation to reimburse LC Disbursements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2.02(e)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 waived by the Borrower to the extent 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806" w:name="page807"/>
    <w:bookmarkEnd w:id="806"/>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terms and conditions of such Letter of Credit (as finally determined by a court of competent jurisdiction).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2" w:lineRule="exact"/>
        <w:rPr>
          <w:sz w:val="20"/>
          <w:szCs w:val="20"/>
          <w:color w:val="auto"/>
        </w:rPr>
      </w:pPr>
    </w:p>
    <w:p>
      <w:pPr>
        <w:jc w:val="both"/>
        <w:ind w:firstLine="1304"/>
        <w:spacing w:after="0" w:line="250" w:lineRule="auto"/>
        <w:tabs>
          <w:tab w:leader="none" w:pos="1926" w:val="left"/>
        </w:tabs>
        <w:numPr>
          <w:ilvl w:val="0"/>
          <w:numId w:val="9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Disbursement Procedures</w:t>
      </w:r>
      <w:r>
        <w:rPr>
          <w:rFonts w:ascii="Times New Roman" w:cs="Times New Roman" w:eastAsia="Times New Roman" w:hAnsi="Times New Roman"/>
          <w:sz w:val="22"/>
          <w:szCs w:val="22"/>
          <w:color w:val="auto"/>
        </w:rPr>
        <w:t>. The applicable Issuing Lender shall, promptly following its receipt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examine all documents purporting to represent a demand for payment under a Letter of Credit. The applicable Issuing Lender shall promptly notify the Administrative Agent and the Borrower by telephone (confirmed by telecopy) of such demand for payment, whether the applicable Issuing Lender has made or will make an LC Disbursement thereunder and the amount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the applicable Issuing Lender and the Revolving Lenders with respect to any such LC Disbursement in accordance with the terms herein.</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4" w:val="left"/>
        </w:tabs>
        <w:numPr>
          <w:ilvl w:val="0"/>
          <w:numId w:val="9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Interim Interest</w:t>
      </w:r>
      <w:r>
        <w:rPr>
          <w:rFonts w:ascii="Times New Roman" w:cs="Times New Roman" w:eastAsia="Times New Roman" w:hAnsi="Times New Roman"/>
          <w:sz w:val="22"/>
          <w:szCs w:val="22"/>
          <w:color w:val="auto"/>
        </w:rPr>
        <w:t>. If the applicable Issuing Lender shall make any LC Disbursement, then, unless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w:t>
      </w:r>
    </w:p>
    <w:p>
      <w:pPr>
        <w:spacing w:after="0" w:line="198"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70" w:val="left"/>
        </w:tabs>
        <w:numPr>
          <w:ilvl w:val="0"/>
          <w:numId w:val="9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Replacement of the Issuing Lender</w:t>
      </w:r>
      <w:r>
        <w:rPr>
          <w:rFonts w:ascii="Times New Roman" w:cs="Times New Roman" w:eastAsia="Times New Roman" w:hAnsi="Times New Roman"/>
          <w:sz w:val="21"/>
          <w:szCs w:val="21"/>
          <w:color w:val="auto"/>
        </w:rPr>
        <w:t>. Any Issuing Lender may be replaced at any time by written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among the Borrower, the Administrative Agent, 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807" w:name="page808"/>
    <w:bookmarkEnd w:id="80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rights and obligations of an Issuing Lender under this Agreement with respect to Letters of Credit issued by it prior to such replacement, but shall not be required to issue additional Letters of Credit.</w:t>
      </w:r>
    </w:p>
    <w:p>
      <w:pPr>
        <w:spacing w:after="0" w:line="154" w:lineRule="exact"/>
        <w:rPr>
          <w:sz w:val="20"/>
          <w:szCs w:val="20"/>
          <w:color w:val="auto"/>
        </w:rPr>
      </w:pPr>
    </w:p>
    <w:p>
      <w:pPr>
        <w:jc w:val="both"/>
        <w:ind w:firstLine="1304"/>
        <w:spacing w:after="0" w:line="250" w:lineRule="auto"/>
        <w:tabs>
          <w:tab w:leader="none" w:pos="1878" w:val="left"/>
        </w:tabs>
        <w:numPr>
          <w:ilvl w:val="1"/>
          <w:numId w:val="9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Replacement of Letters of Credit; Cash Collateralization</w:t>
      </w:r>
      <w:r>
        <w:rPr>
          <w:rFonts w:ascii="Times New Roman" w:cs="Times New Roman" w:eastAsia="Times New Roman" w:hAnsi="Times New Roman"/>
          <w:sz w:val="22"/>
          <w:szCs w:val="22"/>
          <w:color w:val="auto"/>
        </w:rPr>
        <w:t>. The Borrower shall (i) upon or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Maturity Date with respect to all Revolving Commitments and (B) the acceleration of the Revolving Loans (if any) and the termination of the Revolving Commitments in accordance with the terms hereof (the “</w:t>
      </w:r>
      <w:r>
        <w:rPr>
          <w:rFonts w:ascii="Times New Roman" w:cs="Times New Roman" w:eastAsia="Times New Roman" w:hAnsi="Times New Roman"/>
          <w:sz w:val="22"/>
          <w:szCs w:val="22"/>
          <w:i w:val="1"/>
          <w:iCs w:val="1"/>
          <w:color w:val="auto"/>
        </w:rPr>
        <w:t>Outstanding Letters of Credit</w:t>
      </w:r>
      <w:r>
        <w:rPr>
          <w:rFonts w:ascii="Times New Roman" w:cs="Times New Roman" w:eastAsia="Times New Roman" w:hAnsi="Times New Roman"/>
          <w:sz w:val="22"/>
          <w:szCs w:val="22"/>
          <w:color w:val="auto"/>
        </w:rPr>
        <w:t>”) to be returned to the applicable Issuing Lender undrawn and marked “cancelled” or (y) if the Borrower does not do so in whole or in part either</w:t>
      </w:r>
    </w:p>
    <w:p>
      <w:pPr>
        <w:spacing w:after="0" w:line="5" w:lineRule="exact"/>
        <w:rPr>
          <w:rFonts w:ascii="Times New Roman" w:cs="Times New Roman" w:eastAsia="Times New Roman" w:hAnsi="Times New Roman"/>
          <w:sz w:val="22"/>
          <w:szCs w:val="22"/>
          <w:color w:val="auto"/>
        </w:rPr>
      </w:pPr>
    </w:p>
    <w:p>
      <w:pPr>
        <w:jc w:val="both"/>
        <w:ind w:firstLine="8"/>
        <w:spacing w:after="0" w:line="246" w:lineRule="auto"/>
        <w:tabs>
          <w:tab w:leader="none" w:pos="363" w:val="left"/>
        </w:tabs>
        <w:numPr>
          <w:ilvl w:val="0"/>
          <w:numId w:val="9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 (A) or (B) above), and (ii) if required pursuant to Section 2.02(l), 2.12(c), 2.12(d), 2.12(e), 2.12(g), 2.26(d)(ii), 2.26(e)(ii), 2.26(f) or 7.01 or pursuant to any 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(it being understood that any LC Exposure shall be deemed to be “</w:t>
      </w:r>
      <w:r>
        <w:rPr>
          <w:rFonts w:ascii="Times New Roman" w:cs="Times New Roman" w:eastAsia="Times New Roman" w:hAnsi="Times New Roman"/>
          <w:sz w:val="22"/>
          <w:szCs w:val="22"/>
          <w:i w:val="1"/>
          <w:iCs w:val="1"/>
          <w:color w:val="auto"/>
        </w:rPr>
        <w:t>Cash Collateralized</w:t>
      </w:r>
      <w:r>
        <w:rPr>
          <w:rFonts w:ascii="Times New Roman" w:cs="Times New Roman" w:eastAsia="Times New Roman" w:hAnsi="Times New Roman"/>
          <w:sz w:val="22"/>
          <w:szCs w:val="22"/>
          <w:color w:val="auto"/>
        </w:rPr>
        <w:t>” 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808" w:name="page809"/>
    <w:bookmarkEnd w:id="808"/>
    <w:p>
      <w:pPr>
        <w:spacing w:after="0" w:line="195" w:lineRule="exact"/>
        <w:rPr>
          <w:sz w:val="20"/>
          <w:szCs w:val="20"/>
          <w:color w:val="auto"/>
        </w:rPr>
      </w:pPr>
    </w:p>
    <w:p>
      <w:pPr>
        <w:jc w:val="both"/>
        <w:ind w:firstLine="1304"/>
        <w:spacing w:after="0" w:line="247" w:lineRule="auto"/>
        <w:tabs>
          <w:tab w:leader="none" w:pos="1831" w:val="left"/>
        </w:tabs>
        <w:numPr>
          <w:ilvl w:val="0"/>
          <w:numId w:val="9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Issuing Lender Agreements</w:t>
      </w:r>
      <w:r>
        <w:rPr>
          <w:rFonts w:ascii="Times New Roman" w:cs="Times New Roman" w:eastAsia="Times New Roman" w:hAnsi="Times New Roman"/>
          <w:sz w:val="22"/>
          <w:szCs w:val="22"/>
          <w:color w:val="auto"/>
        </w:rPr>
        <w:t>. Unless otherwise requested by the Administrative Agent, each Issuing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w:t>
      </w:r>
    </w:p>
    <w:p>
      <w:pPr>
        <w:spacing w:after="0" w:line="202"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16" w:val="left"/>
        </w:tabs>
        <w:numPr>
          <w:ilvl w:val="0"/>
          <w:numId w:val="9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Provisions Related to Extended Revolving Commitments</w:t>
      </w:r>
      <w:r>
        <w:rPr>
          <w:rFonts w:ascii="Times New Roman" w:cs="Times New Roman" w:eastAsia="Times New Roman" w:hAnsi="Times New Roman"/>
          <w:sz w:val="21"/>
          <w:szCs w:val="21"/>
          <w:color w:val="auto"/>
        </w:rPr>
        <w:t>. If the Revolving Facility Maturity Date in respect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tranche of Revolving Commitments occurs prior to the expiration of any Letter of Credit with respect to which Lenders holding such Revolving Commitments hold participation interests, then (i) if one or more other tranches of Revolving Commitments in respect of which the Revolving Facility Maturity Date shall not have occurred 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Requests for Loans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63" w:lineRule="auto"/>
        <w:tabs>
          <w:tab w:leader="none" w:pos="1833" w:val="left"/>
        </w:tabs>
        <w:numPr>
          <w:ilvl w:val="1"/>
          <w:numId w:val="9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Revolving Loans</w:t>
      </w:r>
      <w:r>
        <w:rPr>
          <w:rFonts w:ascii="Times New Roman" w:cs="Times New Roman" w:eastAsia="Times New Roman" w:hAnsi="Times New Roman"/>
          <w:sz w:val="22"/>
          <w:szCs w:val="22"/>
          <w:color w:val="auto"/>
        </w:rPr>
        <w:t>. Unless otherwise agreed to by the Administrative Agent in connection with making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initial Revolving Loans, to request a Revolving Loan, the Borrower shall notify the Administrative Agent of such request by</w:t>
      </w:r>
    </w:p>
    <w:p>
      <w:pPr>
        <w:jc w:val="both"/>
        <w:ind w:firstLine="8"/>
        <w:spacing w:after="0" w:line="245" w:lineRule="auto"/>
        <w:tabs>
          <w:tab w:leader="none" w:pos="271" w:val="left"/>
        </w:tabs>
        <w:numPr>
          <w:ilvl w:val="0"/>
          <w:numId w:val="9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telephone or (ii) by hand delivery, by electronic mail or by facsimile delivery of a written Loan Request (A) in the case of a Term SOFR Loan, not later than 11:00 a.m., New York City time, three (3) Business Days before proposed Borrowing Date (or such later time as the Administrative Agent shall reasonably agree) and (B) in the case of an ABR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809" w:name="page810"/>
    <w:bookmarkEnd w:id="809"/>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Loan, not later than 11:00 a.m., New York City time, on the proposed Borrowing Date (or such later time as the Administrative Agent shall reasonably agree). Each such telephonic Revolving Loan request shall be irrevocable and shall be confirmed promptly by hand delivery, electronic mail or telecopy to the Administrative Agent of a written Loan Request signed by the Borrower. Each such telephonic Revolving Loan request and written Loan Request shall specify the following information in compliance with Section 2.01:</w:t>
      </w:r>
    </w:p>
    <w:p>
      <w:pPr>
        <w:spacing w:after="0" w:line="179" w:lineRule="exact"/>
        <w:rPr>
          <w:sz w:val="20"/>
          <w:szCs w:val="20"/>
          <w:color w:val="auto"/>
        </w:rPr>
      </w:pPr>
    </w:p>
    <w:p>
      <w:pPr>
        <w:ind w:left="1720" w:hanging="416"/>
        <w:spacing w:after="0"/>
        <w:tabs>
          <w:tab w:leader="none" w:pos="1720" w:val="left"/>
        </w:tabs>
        <w:numPr>
          <w:ilvl w:val="0"/>
          <w:numId w:val="9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Revolving Loan (which shall comply with Section 2.01(d));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of such Revolving Loan, which shall be a Business Day;</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Revolving Loan is to be an ABR Loan or a Term SOFR Loan; and</w:t>
      </w:r>
    </w:p>
    <w:p>
      <w:pPr>
        <w:spacing w:after="0" w:line="23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7" w:val="left"/>
        </w:tabs>
        <w:numPr>
          <w:ilvl w:val="0"/>
          <w:numId w:val="9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Loan, the initial Interest Period to be applicable thereto, which shall be a period contemplated by the definition of the term “Interest Period.”</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no election as to the Type of Revolving Loan is specified, then the requested Revolving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w:t>
      </w:r>
    </w:p>
    <w:p>
      <w:pPr>
        <w:spacing w:after="0" w:line="175" w:lineRule="exact"/>
        <w:rPr>
          <w:sz w:val="20"/>
          <w:szCs w:val="20"/>
          <w:color w:val="auto"/>
        </w:rPr>
      </w:pPr>
    </w:p>
    <w:p>
      <w:pPr>
        <w:jc w:val="both"/>
        <w:ind w:firstLine="1304"/>
        <w:spacing w:after="0" w:line="249" w:lineRule="auto"/>
        <w:tabs>
          <w:tab w:leader="none" w:pos="1912" w:val="left"/>
        </w:tabs>
        <w:numPr>
          <w:ilvl w:val="0"/>
          <w:numId w:val="9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Loans</w:t>
      </w:r>
      <w:r>
        <w:rPr>
          <w:rFonts w:ascii="Times New Roman" w:cs="Times New Roman" w:eastAsia="Times New Roman" w:hAnsi="Times New Roman"/>
          <w:sz w:val="22"/>
          <w:szCs w:val="22"/>
          <w:color w:val="auto"/>
        </w:rPr>
        <w:t>. Unless otherwise agreed to by the Administrative Agent, to request the Term Loans,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notify the Administrative Agent of such request by telephone or electronic mail (i) in the case of a Term SOFR Loan, not later than 2:00 p.m., New York City time, two (2) Business Days before the Closing Date (or such later time as the Administrative Agent shall reasonably agree) and (ii) in the case of an ABR Loan, not later than 1:00 p.m., New York City time one (1) Business Day before the Closing Date (or such later time as the Administrative Agent shall reasonably agree). Each such telephonic Term Loan request shall be irrevocable and shall be confirmed promptly by hand delivery, electronic mail or telecopy to the Administrative Agent of a written Loan Request signed by the Borrower. Each such telephonic and written Loan Request shall specify the following information in compliance with Section 2.01:</w:t>
      </w:r>
    </w:p>
    <w:p>
      <w:pPr>
        <w:spacing w:after="0" w:line="186" w:lineRule="exact"/>
        <w:rPr>
          <w:sz w:val="20"/>
          <w:szCs w:val="20"/>
          <w:color w:val="auto"/>
        </w:rPr>
      </w:pPr>
    </w:p>
    <w:p>
      <w:pPr>
        <w:ind w:left="1720" w:hanging="416"/>
        <w:spacing w:after="0"/>
        <w:tabs>
          <w:tab w:leader="none" w:pos="1720" w:val="left"/>
        </w:tabs>
        <w:numPr>
          <w:ilvl w:val="0"/>
          <w:numId w:val="9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Term Loan (which shall comply with Section 2.01(d));</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of such Term Loan, which shall be a Business Day;</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Term Loan is to be an ABR Loan or a Term SOFR Loan; and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47" w:val="left"/>
        </w:tabs>
        <w:numPr>
          <w:ilvl w:val="0"/>
          <w:numId w:val="9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Term SOFR Loan, the initial Interest Period to be applicable thereto, which shall be a period contemplated by the definition of the term “Interest Period.”</w:t>
      </w:r>
    </w:p>
    <w:p>
      <w:pPr>
        <w:spacing w:after="0" w:line="1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no election as to the Type of Term Loan is specified, then the requested Term Loan shall be an ABR Loan. If no Interest Period is specified with respect to any requested Term SOFR Loan,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810" w:name="page811"/>
    <w:bookmarkEnd w:id="810"/>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Borrower shall be deemed to have selected an Interest Period of one month’s duration. Promptly following receipt of a Loan Request in accordance with this Section 2.03(b), the Administrative Agent shall advise each Term Lender of the details thereof and of the amount of such Term Lender’s Loan to be made as part of the requested Term Loan.</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u w:val="single" w:color="auto"/>
          <w:color w:val="auto"/>
        </w:rPr>
        <w:t>Funding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900" w:val="left"/>
        </w:tabs>
        <w:numPr>
          <w:ilvl w:val="0"/>
          <w:numId w:val="9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ABR Loans made to finance the reimbursement of an LC Disbursement as provided in Section 2.02(e) shall be remitted by the Administrative Agent to the relevant Issuing Lender.</w:t>
      </w:r>
    </w:p>
    <w:p>
      <w:pPr>
        <w:spacing w:after="0" w:line="172"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18" w:val="left"/>
        </w:tabs>
        <w:numPr>
          <w:ilvl w:val="0"/>
          <w:numId w:val="9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4" w:val="left"/>
        </w:tabs>
        <w:numPr>
          <w:ilvl w:val="0"/>
          <w:numId w:val="9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Borrowing Date (or, with respect to any ABR Loan made on same-day notice, prior to 12:00 p.m.,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811" w:name="page812"/>
    <w:bookmarkEnd w:id="811"/>
    <w:p>
      <w:pPr>
        <w:spacing w:after="0" w:line="19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757" w:val="left"/>
        </w:tabs>
        <w:numPr>
          <w:ilvl w:val="0"/>
          <w:numId w:val="9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elect from time to time to (i) convert ABR Loans to Term SOFR Loans, (ii) convert Term SOFR Loans to ABR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conversion of Term SOFR Loans may be made only on the last day of an Interest Period with respect thereto or (iii) continue any Term SOFR Loan as such upon the expiration of the then current Interest Period with respect thereto.</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93" w:val="left"/>
        </w:tabs>
        <w:numPr>
          <w:ilvl w:val="0"/>
          <w:numId w:val="9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Interest Election Request pursuant to this Section 2.05, the Borrower shall notify the Administrative Agent of such election by hand or facsimile delivery or by electronic mail of a written Interest Election Request by the time that a Loan Request would be required under Section 2.03(a) or Section 2.03(b) if the Borrower were requesting a Loan of the Type resulting from such election to be made on the effective date of such election.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w:t>
      </w:r>
    </w:p>
    <w:p>
      <w:pPr>
        <w:spacing w:after="0" w:line="180" w:lineRule="exact"/>
        <w:rPr>
          <w:rFonts w:ascii="Times New Roman" w:cs="Times New Roman" w:eastAsia="Times New Roman" w:hAnsi="Times New Roman"/>
          <w:sz w:val="22"/>
          <w:szCs w:val="22"/>
          <w:color w:val="auto"/>
        </w:rPr>
      </w:pPr>
    </w:p>
    <w:p>
      <w:pPr>
        <w:ind w:left="2020" w:hanging="716"/>
        <w:spacing w:after="0"/>
        <w:tabs>
          <w:tab w:leader="none" w:pos="2020" w:val="left"/>
        </w:tabs>
        <w:numPr>
          <w:ilvl w:val="0"/>
          <w:numId w:val="9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written Interest Election Request shall specify the following information in compliance with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2.01:</w:t>
      </w:r>
    </w:p>
    <w:p>
      <w:pPr>
        <w:spacing w:after="0" w:line="209" w:lineRule="exact"/>
        <w:rPr>
          <w:sz w:val="20"/>
          <w:szCs w:val="20"/>
          <w:color w:val="auto"/>
        </w:rPr>
      </w:pPr>
    </w:p>
    <w:p>
      <w:pPr>
        <w:jc w:val="both"/>
        <w:ind w:left="660" w:firstLine="644"/>
        <w:spacing w:after="0" w:line="257" w:lineRule="auto"/>
        <w:tabs>
          <w:tab w:leader="none" w:pos="1741" w:val="left"/>
        </w:tabs>
        <w:numPr>
          <w:ilvl w:val="0"/>
          <w:numId w:val="9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2"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9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election made pursuant to such Interest Election Request, which shall be a Business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w:t>
      </w:r>
    </w:p>
    <w:p>
      <w:pPr>
        <w:spacing w:after="0" w:line="209" w:lineRule="exact"/>
        <w:rPr>
          <w:rFonts w:ascii="Times New Roman" w:cs="Times New Roman" w:eastAsia="Times New Roman" w:hAnsi="Times New Roman"/>
          <w:sz w:val="21"/>
          <w:szCs w:val="21"/>
          <w:color w:val="auto"/>
        </w:rPr>
      </w:pPr>
    </w:p>
    <w:p>
      <w:pPr>
        <w:ind w:left="1840" w:hanging="536"/>
        <w:spacing w:after="0"/>
        <w:tabs>
          <w:tab w:leader="none" w:pos="1840" w:val="left"/>
        </w:tabs>
        <w:numPr>
          <w:ilvl w:val="0"/>
          <w:numId w:val="9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Term SOFR Borrowing;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36" w:val="left"/>
        </w:tabs>
        <w:numPr>
          <w:ilvl w:val="0"/>
          <w:numId w:val="9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Term SOFR Borrowing, the Interest Period to be applicable thereto after giving effect to such election, which shall be a period contemplated by the definition of the term “Interest Period.”</w:t>
      </w:r>
    </w:p>
    <w:p>
      <w:pPr>
        <w:spacing w:after="0" w:line="1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any such Interest Election Request requests a Term SOFR Borrowing but does not specify an Interest Period, then the Borrower shall be deemed to have selected an Interest Period of one month’s duration.</w:t>
      </w:r>
    </w:p>
    <w:p>
      <w:pPr>
        <w:spacing w:after="0" w:line="171" w:lineRule="exact"/>
        <w:rPr>
          <w:sz w:val="20"/>
          <w:szCs w:val="20"/>
          <w:color w:val="auto"/>
        </w:rPr>
      </w:pPr>
    </w:p>
    <w:p>
      <w:pPr>
        <w:ind w:firstLine="1304"/>
        <w:spacing w:after="0" w:line="271" w:lineRule="auto"/>
        <w:tabs>
          <w:tab w:leader="none" w:pos="1900" w:val="left"/>
        </w:tabs>
        <w:numPr>
          <w:ilvl w:val="0"/>
          <w:numId w:val="9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Lender of the details thereof and of such Lender’s portion of each resulting Borrowing.</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6" w:val="left"/>
        </w:tabs>
        <w:numPr>
          <w:ilvl w:val="0"/>
          <w:numId w:val="9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 one-month Term SOFR Borrowing. Notwithstanding any contrary provision hereof,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sectPr>
      </w:pPr>
    </w:p>
    <w:bookmarkStart w:id="812" w:name="page813"/>
    <w:bookmarkEnd w:id="812"/>
    <w:p>
      <w:pPr>
        <w:spacing w:after="0" w:line="19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an Event of Default has occurred and is continuing, and upon the request of the Required Lenders, (i) no outstanding Borrowing may be converted to or continued as a Term SOFR Borrowing and (ii) unless repaid, each Term SOFR Borrowing shall be converted to an ABR Borrowing at the end of the Interest Period applicable thereto.</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Limitation on Term SOFR Tranches</w:t>
      </w:r>
      <w:r>
        <w:rPr>
          <w:rFonts w:ascii="Times New Roman" w:cs="Times New Roman" w:eastAsia="Times New Roman" w:hAnsi="Times New Roman"/>
          <w:sz w:val="22"/>
          <w:szCs w:val="22"/>
          <w:color w:val="auto"/>
        </w:rPr>
        <w:t>.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Tranche shall be equal to $1,000,000 or a whole multiple of $1,000,000 in excess thereof and (b) no more than twenty Term SOFR Tranches shall be outstanding at any one time.</w:t>
      </w:r>
    </w:p>
    <w:p>
      <w:pPr>
        <w:spacing w:after="0" w:line="19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1"/>
          <w:szCs w:val="21"/>
          <w:u w:val="single" w:color="auto"/>
          <w:color w:val="auto"/>
        </w:rPr>
        <w:t>Interest on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803" w:val="left"/>
        </w:tabs>
        <w:numPr>
          <w:ilvl w:val="0"/>
          <w:numId w:val="9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2.08, each ABR Loan shall bear interest (computed on the basis of the actual number of days elapsed over a year of 365 days or 366 days in a leap year) at a rate per annum equal to the Alternate Base Rate plus the Applicable Margin.</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5" w:val="left"/>
        </w:tabs>
        <w:numPr>
          <w:ilvl w:val="0"/>
          <w:numId w:val="9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2.08, each Term SOFR Loan shall bear interest (computed on the basis of the actual number of days elapsed over a year of 360 days) at a rate per annum equal, during each Interest Period applicable thereto, to Adjusted Term SOFR for such Interest Period in effect for such Borrowing plus the Applicable Margin.</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45" w:val="left"/>
        </w:tabs>
        <w:numPr>
          <w:ilvl w:val="0"/>
          <w:numId w:val="9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conversion of any Term SOFR Loan to an ABR Loan, accrued interest on such Loan shall be payable on the effective date of such conversion.</w:t>
      </w:r>
    </w:p>
    <w:p>
      <w:pPr>
        <w:spacing w:after="0" w:line="19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4" w:val="left"/>
        </w:tabs>
        <w:numPr>
          <w:ilvl w:val="0"/>
          <w:numId w:val="9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use or administration of Term SOFR,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813" w:name="page814"/>
    <w:bookmarkEnd w:id="813"/>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Alternate Base Rate is applicable, a year of 365 days or 366 days in a leap year) equal to (a) with respect to the principal amount of any Loan, the rate then applicable for such Borrowings plus 2.0%, and (b) in the case of all other amounts, the rate applicable for ABR Loans plus 2.0%.</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2.09.</w:t>
      </w:r>
      <w:r>
        <w:rPr>
          <w:sz w:val="20"/>
          <w:szCs w:val="20"/>
          <w:color w:val="auto"/>
        </w:rPr>
        <w:tab/>
      </w:r>
      <w:r>
        <w:rPr>
          <w:rFonts w:ascii="Times New Roman" w:cs="Times New Roman" w:eastAsia="Times New Roman" w:hAnsi="Times New Roman"/>
          <w:sz w:val="21"/>
          <w:szCs w:val="21"/>
          <w:u w:val="single" w:color="auto"/>
          <w:color w:val="auto"/>
        </w:rPr>
        <w:t>Benchmark Replacement Setting</w:t>
      </w:r>
    </w:p>
    <w:p>
      <w:pPr>
        <w:spacing w:after="0" w:line="220" w:lineRule="exact"/>
        <w:rPr>
          <w:sz w:val="20"/>
          <w:szCs w:val="20"/>
          <w:color w:val="auto"/>
        </w:rPr>
      </w:pPr>
    </w:p>
    <w:p>
      <w:pPr>
        <w:jc w:val="both"/>
        <w:ind w:firstLine="1304"/>
        <w:spacing w:after="0" w:line="239" w:lineRule="auto"/>
        <w:tabs>
          <w:tab w:leader="none" w:pos="1792" w:val="left"/>
        </w:tabs>
        <w:numPr>
          <w:ilvl w:val="0"/>
          <w:numId w:val="9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U.S. Government Securities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2.09(a) will occur prior to the applicable Benchmark Transition Start Date.</w:t>
      </w:r>
    </w:p>
    <w:p>
      <w:pPr>
        <w:spacing w:after="0" w:line="19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99" w:val="left"/>
        </w:tabs>
        <w:numPr>
          <w:ilvl w:val="0"/>
          <w:numId w:val="9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46" w:val="left"/>
        </w:tabs>
        <w:numPr>
          <w:ilvl w:val="0"/>
          <w:numId w:val="9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2.09(d) and (y) the commencement of any Benchmark Unavailability Period. Any determination, decision or election that may be made by the Administrative Agent or, if applicable, any Lender (or group of Lenders) pursuant to this Section 2.09,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2.09.</w:t>
      </w:r>
    </w:p>
    <w:p>
      <w:pPr>
        <w:spacing w:after="0" w:line="18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7" w:val="left"/>
        </w:tabs>
        <w:numPr>
          <w:ilvl w:val="0"/>
          <w:numId w:val="9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814" w:name="page815"/>
    <w:bookmarkEnd w:id="814"/>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0" w:lineRule="exact"/>
        <w:rPr>
          <w:sz w:val="20"/>
          <w:szCs w:val="20"/>
          <w:color w:val="auto"/>
        </w:rPr>
      </w:pPr>
    </w:p>
    <w:p>
      <w:pPr>
        <w:jc w:val="both"/>
        <w:ind w:firstLine="1304"/>
        <w:spacing w:after="0" w:line="250" w:lineRule="auto"/>
        <w:tabs>
          <w:tab w:leader="none" w:pos="1941" w:val="left"/>
        </w:tabs>
        <w:numPr>
          <w:ilvl w:val="0"/>
          <w:numId w:val="9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the Borrower may revoke any pending request for a Term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9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Amortization of Term Loans; Repayment of Loans; Evidence of Debt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68" w:val="left"/>
        </w:tabs>
        <w:numPr>
          <w:ilvl w:val="1"/>
          <w:numId w:val="9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to the Administrative Agent for the ratable account of each Revolving Lender the then unpaid principal amount of each Revolving Loan then outstanding on the Revolving Facility Termination Date applicable to such Revolving Loan.</w:t>
      </w:r>
    </w:p>
    <w:p>
      <w:pPr>
        <w:spacing w:after="0" w:line="16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2" w:val="left"/>
        </w:tabs>
        <w:numPr>
          <w:ilvl w:val="1"/>
          <w:numId w:val="9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amounts of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shall be repaid in consecutive annual installments beginning on the first anniversary of the Closing Date (each, an “</w:t>
      </w:r>
      <w:r>
        <w:rPr>
          <w:rFonts w:ascii="Times New Roman" w:cs="Times New Roman" w:eastAsia="Times New Roman" w:hAnsi="Times New Roman"/>
          <w:sz w:val="22"/>
          <w:szCs w:val="22"/>
          <w:i w:val="1"/>
          <w:iCs w:val="1"/>
          <w:color w:val="auto"/>
        </w:rPr>
        <w:t>Installment</w:t>
      </w:r>
      <w:r>
        <w:rPr>
          <w:rFonts w:ascii="Times New Roman" w:cs="Times New Roman" w:eastAsia="Times New Roman" w:hAnsi="Times New Roman"/>
          <w:sz w:val="22"/>
          <w:szCs w:val="22"/>
          <w:color w:val="auto"/>
        </w:rPr>
        <w:t xml:space="preserve">”) of 1.00% of the original aggregate principal amount of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made on the </w:t>
      </w:r>
      <w:r>
        <w:rPr>
          <w:rFonts w:ascii="Times New Roman" w:cs="Times New Roman" w:eastAsia="Times New Roman" w:hAnsi="Times New Roman"/>
          <w:sz w:val="22"/>
          <w:szCs w:val="22"/>
          <w:b w:val="1"/>
          <w:bCs w:val="1"/>
          <w:color w:val="FF0000"/>
          <w:strike w:val="1"/>
        </w:rPr>
        <w:t>Closing</w:t>
      </w:r>
      <w:r>
        <w:rPr>
          <w:rFonts w:ascii="Times New Roman" w:cs="Times New Roman" w:eastAsia="Times New Roman" w:hAnsi="Times New Roman"/>
          <w:sz w:val="22"/>
          <w:szCs w:val="22"/>
          <w:b w:val="1"/>
          <w:bCs w:val="1"/>
          <w:u w:val="single" w:color="auto"/>
          <w:color w:val="0000FF"/>
        </w:rPr>
        <w:t>Second Amendment Effective</w:t>
      </w:r>
      <w:r>
        <w:rPr>
          <w:rFonts w:ascii="Times New Roman" w:cs="Times New Roman" w:eastAsia="Times New Roman" w:hAnsi="Times New Roman"/>
          <w:sz w:val="22"/>
          <w:szCs w:val="22"/>
          <w:color w:val="auto"/>
        </w:rPr>
        <w:t xml:space="preserve"> Date. Notwithstanding the foregoing, (1) such Installments shall be reduced in connection with any mandatory or voluntary prepayments of the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8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71" w:val="left"/>
        </w:tabs>
        <w:numPr>
          <w:ilvl w:val="1"/>
          <w:numId w:val="9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2" w:lineRule="exact"/>
        <w:rPr>
          <w:rFonts w:ascii="Times New Roman" w:cs="Times New Roman" w:eastAsia="Times New Roman" w:hAnsi="Times New Roman"/>
          <w:sz w:val="22"/>
          <w:szCs w:val="22"/>
          <w:color w:val="auto"/>
        </w:rPr>
      </w:pPr>
    </w:p>
    <w:p>
      <w:pPr>
        <w:jc w:val="both"/>
        <w:ind w:firstLine="1304"/>
        <w:spacing w:after="0" w:line="267" w:lineRule="auto"/>
        <w:tabs>
          <w:tab w:leader="none" w:pos="1763" w:val="left"/>
        </w:tabs>
        <w:numPr>
          <w:ilvl w:val="1"/>
          <w:numId w:val="9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acting solely for this purpose as an agent of the Borrower, maintain accounts in which it shall record (i) the amount of each Loan made hereunder, the Type thereof and the Interest Period applicable thereto,</w:t>
      </w:r>
    </w:p>
    <w:p>
      <w:pPr>
        <w:spacing w:after="0" w:line="1" w:lineRule="exact"/>
        <w:rPr>
          <w:rFonts w:ascii="Times New Roman" w:cs="Times New Roman" w:eastAsia="Times New Roman" w:hAnsi="Times New Roman"/>
          <w:sz w:val="21"/>
          <w:szCs w:val="21"/>
          <w:color w:val="auto"/>
        </w:rPr>
      </w:pPr>
    </w:p>
    <w:p>
      <w:pPr>
        <w:ind w:firstLine="8"/>
        <w:spacing w:after="0" w:line="259" w:lineRule="auto"/>
        <w:tabs>
          <w:tab w:leader="none" w:pos="340" w:val="left"/>
        </w:tabs>
        <w:numPr>
          <w:ilvl w:val="0"/>
          <w:numId w:val="9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principal or interest due and payable or to become due and payable from the Borrower to each Lender hereunder and (iii) the amount of any sum received by the Administrative Agent hereunder for the account of the Lenders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40" w:right="339" w:bottom="1440" w:gutter="0" w:footer="0" w:header="0"/>
        </w:sectPr>
      </w:pPr>
    </w:p>
    <w:bookmarkStart w:id="815" w:name="page816"/>
    <w:bookmarkEnd w:id="815"/>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each Lender’s share thereof. The Borrower shall have the right, upon reasonable notice, to request information regarding the accounts referred to in the preceding sentence.</w:t>
      </w:r>
    </w:p>
    <w:p>
      <w:pPr>
        <w:spacing w:after="0" w:line="158" w:lineRule="exact"/>
        <w:rPr>
          <w:sz w:val="20"/>
          <w:szCs w:val="20"/>
          <w:color w:val="auto"/>
        </w:rPr>
      </w:pPr>
    </w:p>
    <w:p>
      <w:pPr>
        <w:jc w:val="both"/>
        <w:ind w:firstLine="1304"/>
        <w:spacing w:after="0" w:line="251" w:lineRule="auto"/>
        <w:tabs>
          <w:tab w:leader="none" w:pos="1821" w:val="left"/>
        </w:tabs>
        <w:numPr>
          <w:ilvl w:val="0"/>
          <w:numId w:val="9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(c) or (d) of this Section 2.10 shall be prima facie evidence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 In the event of any conflict between the records maintained by any Lender and the records maintained by the Administrative Agent in such matters, the records of the Administrative Agent shall control in the absence of any manifest error.</w:t>
      </w:r>
    </w:p>
    <w:p>
      <w:pPr>
        <w:spacing w:after="0" w:line="19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52" w:val="left"/>
        </w:tabs>
        <w:numPr>
          <w:ilvl w:val="0"/>
          <w:numId w:val="9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Optional Termination or Reduction of Revolving Commitments</w:t>
      </w:r>
      <w:r>
        <w:rPr>
          <w:rFonts w:ascii="Times New Roman" w:cs="Times New Roman" w:eastAsia="Times New Roman" w:hAnsi="Times New Roman"/>
          <w:sz w:val="22"/>
          <w:szCs w:val="22"/>
          <w:color w:val="auto"/>
        </w:rPr>
        <w:t xml:space="preserve">. Upon at least one (1) Business Day prior written notice to the Administrative Agent, the Borrower may at any time in whole permanently terminate the Total Revolving Commitment (subject to compliance with Section 2.12(e)), or from time to time in part permanently reduce the Unused Total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 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Section 2.11 shall be applied to reduce the Revolving Commitment of each Revolving Lender on a pro rata basis.</w:t>
      </w:r>
    </w:p>
    <w:p>
      <w:pPr>
        <w:spacing w:after="0" w:line="18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u w:val="single" w:color="auto"/>
          <w:color w:val="auto"/>
        </w:rPr>
        <w:t>Mandatory Prepayment of Loans; Commitment 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82" w:val="left"/>
        </w:tabs>
        <w:numPr>
          <w:ilvl w:val="0"/>
          <w:numId w:val="9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(subject in all respects to any Intercreditor Agreement, and the Collateral Trust Agreement) deposit, on the next Business Day (or, if later, within five (5) Business Days of Parent or any of its Subsidiaries receiving any Net Proceeds as a result of such Disposition of Collateral or Recovery Event), cash in an amount (the “</w:t>
      </w:r>
      <w:r>
        <w:rPr>
          <w:rFonts w:ascii="Times New Roman" w:cs="Times New Roman" w:eastAsia="Times New Roman" w:hAnsi="Times New Roman"/>
          <w:sz w:val="22"/>
          <w:szCs w:val="22"/>
          <w:i w:val="1"/>
          <w:iCs w:val="1"/>
          <w:color w:val="auto"/>
        </w:rPr>
        <w:t>Net Proceeds Amount</w:t>
      </w:r>
      <w:r>
        <w:rPr>
          <w:rFonts w:ascii="Times New Roman" w:cs="Times New Roman" w:eastAsia="Times New Roman" w:hAnsi="Times New Roman"/>
          <w:sz w:val="22"/>
          <w:szCs w:val="22"/>
          <w:color w:val="auto"/>
        </w:rPr>
        <w:t>”) equal to the amount of such received Net Proceeds (solely to the extent necessary to maintain compliance with Section 6.04) into the Collateral Proceeds Account that is maintained with the Collateral Trustee for such purpose and subject to an Account Control Agreement and thereafter such Net Proceeds Amount shall be applied (to the extent not otherwise applied pursuant to the immediately succeeding proviso and solely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816" w:name="page817"/>
    <w:bookmarkEnd w:id="816"/>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Borrower is not in compliance with Section 6.04) in accordance with the requirements of Section 2.12(c);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w:t>
      </w:r>
    </w:p>
    <w:p>
      <w:pPr>
        <w:spacing w:after="0" w:line="189" w:lineRule="exact"/>
        <w:rPr>
          <w:sz w:val="20"/>
          <w:szCs w:val="20"/>
          <w:color w:val="auto"/>
        </w:rPr>
      </w:pPr>
    </w:p>
    <w:p>
      <w:pPr>
        <w:ind w:firstLine="1304"/>
        <w:spacing w:after="0" w:line="271" w:lineRule="auto"/>
        <w:tabs>
          <w:tab w:leader="none" w:pos="1902" w:val="left"/>
        </w:tabs>
        <w:numPr>
          <w:ilvl w:val="0"/>
          <w:numId w:val="9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prepay the Loans (without, in the case of any Revolving Loan, any corresponding reduction in Revolving Commitments) when and in an amount necessary to comply with Section 6.09(b).</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47" w:val="left"/>
        </w:tabs>
        <w:numPr>
          <w:ilvl w:val="0"/>
          <w:numId w:val="9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2.02(j). The application of any prepayment pursuant to this Section 2.12 shall be made,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ABR Loans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Term SOFR Loans. Term Loans prepaid pursuant to this Section 2.12 may not be reborrowed.</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64" w:val="left"/>
        </w:tabs>
        <w:numPr>
          <w:ilvl w:val="0"/>
          <w:numId w:val="9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29" w:val="left"/>
        </w:tabs>
        <w:numPr>
          <w:ilvl w:val="0"/>
          <w:numId w:val="9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727" w:val="left"/>
        </w:tabs>
        <w:numPr>
          <w:ilvl w:val="0"/>
          <w:numId w:val="9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prepayments under this Section 2.12 shall be accompanied by accrued but unpaid interest on the principal amount being prepaid to (but not including) the date of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40" w:right="339" w:bottom="1440" w:gutter="0" w:footer="0" w:header="0"/>
        </w:sectPr>
      </w:pPr>
    </w:p>
    <w:bookmarkStart w:id="817" w:name="page818"/>
    <w:bookmarkEnd w:id="81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plus, if applicable, any accrued and unpaid Fees and any losses, costs and expenses, as more fully described in Section 2.15.</w:t>
      </w:r>
    </w:p>
    <w:p>
      <w:pPr>
        <w:spacing w:after="0" w:line="220" w:lineRule="exact"/>
        <w:rPr>
          <w:sz w:val="20"/>
          <w:szCs w:val="20"/>
          <w:color w:val="auto"/>
        </w:rPr>
      </w:pPr>
    </w:p>
    <w:p>
      <w:pPr>
        <w:jc w:val="both"/>
        <w:ind w:firstLine="1304"/>
        <w:spacing w:after="0" w:line="253" w:lineRule="auto"/>
        <w:tabs>
          <w:tab w:leader="none" w:pos="1808" w:val="left"/>
        </w:tabs>
        <w:numPr>
          <w:ilvl w:val="0"/>
          <w:numId w:val="9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occurs, within thirty (30) days following the occurrence of such Change of Control, the Borrower (or Parent (or any third party on behalf of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7" w:val="left"/>
        </w:tabs>
        <w:numPr>
          <w:ilvl w:val="0"/>
          <w:numId w:val="9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the Core Collateral,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w:t>
      </w:r>
    </w:p>
    <w:p>
      <w:pPr>
        <w:spacing w:after="0" w:line="20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0" w:val="left"/>
        </w:tabs>
        <w:numPr>
          <w:ilvl w:val="0"/>
          <w:numId w:val="9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immediately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w:t>
      </w:r>
    </w:p>
    <w:p>
      <w:pPr>
        <w:spacing w:after="0" w:line="200" w:lineRule="exact"/>
        <w:rPr>
          <w:sz w:val="20"/>
          <w:szCs w:val="20"/>
          <w:color w:val="auto"/>
        </w:rPr>
      </w:pPr>
    </w:p>
    <w:p>
      <w:pPr>
        <w:spacing w:after="0" w:line="23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Optional Prepayment of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766" w:val="left"/>
        </w:tabs>
        <w:numPr>
          <w:ilvl w:val="1"/>
          <w:numId w:val="9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have the right, at any time and from time to time but subject to Section 2.13(d) below, to prepay any Loans, in whole or in part, (i) with respect to Term SOFR Loans, upon (A) telephonic notice (followed promptly by written or facsimile notice or notice by electronic mail) (which notice may be conditional notice) to the Administrative Agent or</w:t>
      </w:r>
    </w:p>
    <w:p>
      <w:pPr>
        <w:spacing w:after="0" w:line="2" w:lineRule="exact"/>
        <w:rPr>
          <w:rFonts w:ascii="Times New Roman" w:cs="Times New Roman" w:eastAsia="Times New Roman" w:hAnsi="Times New Roman"/>
          <w:sz w:val="21"/>
          <w:szCs w:val="21"/>
          <w:color w:val="auto"/>
        </w:rPr>
      </w:pPr>
    </w:p>
    <w:p>
      <w:pPr>
        <w:jc w:val="both"/>
        <w:ind w:firstLine="8"/>
        <w:spacing w:after="0" w:line="247" w:lineRule="auto"/>
        <w:tabs>
          <w:tab w:leader="none" w:pos="373" w:val="left"/>
        </w:tabs>
        <w:numPr>
          <w:ilvl w:val="0"/>
          <w:numId w:val="9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written or facsimile notice (or notice by electronic mail) (which notice may be conditional notice) to the Administrative Agent, in any case received by 1:00 p.m., New York City time, three (3) U.S. Government Securities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ABR Loans may be prepaid on the same day notice is given if such notice is received by the Administrative Agent by 12:00 noon, New York City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revocation of such conditional notice occurs prior to the requested borrowing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each such partial prepayment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40" w:right="339" w:bottom="1440" w:gutter="0" w:footer="0" w:header="0"/>
        </w:sectPr>
      </w:pPr>
    </w:p>
    <w:bookmarkStart w:id="818" w:name="page819"/>
    <w:bookmarkEnd w:id="818"/>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be in an amount not less than $1,000,000 and in integral multiples of $1,000,000 in the case of Term SOFR Loans and integral multiples of $100,000 in the case of ABR Loans, (B) no prepayment of Term SOFR Loans shall be permitted pursuant to this Section 2.13(a) other than on the last day of an Interest Period applicable thereto unless such prepayment is accompanied by the payment of the amounts (if any) described in Section 2.15, and (C) no partial prepayment of a Term SOFR Tranche shall result in the aggregate principal amount of the Term SOFR Loans remaining outstanding pursuant to such Term SOFR Tranche being less than $1,000,000.</w:t>
      </w:r>
    </w:p>
    <w:p>
      <w:pPr>
        <w:spacing w:after="0" w:line="181" w:lineRule="exact"/>
        <w:rPr>
          <w:sz w:val="20"/>
          <w:szCs w:val="20"/>
          <w:color w:val="auto"/>
        </w:rPr>
      </w:pPr>
    </w:p>
    <w:p>
      <w:pPr>
        <w:jc w:val="both"/>
        <w:ind w:firstLine="1304"/>
        <w:spacing w:after="0" w:line="250" w:lineRule="auto"/>
        <w:tabs>
          <w:tab w:leader="none" w:pos="1870" w:val="left"/>
        </w:tabs>
        <w:numPr>
          <w:ilvl w:val="0"/>
          <w:numId w:val="9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52" w:val="left"/>
        </w:tabs>
        <w:numPr>
          <w:ilvl w:val="0"/>
          <w:numId w:val="9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of prepayment shall specify the prepayment date, the principal amount of the Loans to be prepaid and, in the case of Term SOFR Loans, the Borrowing or Borrowings to be prepaid and shall commit the Borrower to prepay such Loan by the amount and on the date stated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w:t>
      </w:r>
    </w:p>
    <w:p>
      <w:pPr>
        <w:spacing w:after="0" w:line="17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52" w:val="left"/>
        </w:tabs>
        <w:numPr>
          <w:ilvl w:val="0"/>
          <w:numId w:val="9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prior to the date that is six (6) months after the </w:t>
      </w:r>
      <w:r>
        <w:rPr>
          <w:rFonts w:ascii="Times New Roman" w:cs="Times New Roman" w:eastAsia="Times New Roman" w:hAnsi="Times New Roman"/>
          <w:sz w:val="22"/>
          <w:szCs w:val="22"/>
          <w:b w:val="1"/>
          <w:bCs w:val="1"/>
          <w:color w:val="FF0000"/>
          <w:strike w:val="1"/>
        </w:rPr>
        <w:t>Closing</w:t>
      </w:r>
      <w:r>
        <w:rPr>
          <w:rFonts w:ascii="Times New Roman" w:cs="Times New Roman" w:eastAsia="Times New Roman" w:hAnsi="Times New Roman"/>
          <w:sz w:val="22"/>
          <w:szCs w:val="22"/>
          <w:b w:val="1"/>
          <w:bCs w:val="1"/>
          <w:u w:val="single" w:color="auto"/>
          <w:color w:val="0000FF"/>
        </w:rPr>
        <w:t>Second Amendment Effective</w:t>
      </w:r>
      <w:r>
        <w:rPr>
          <w:rFonts w:ascii="Times New Roman" w:cs="Times New Roman" w:eastAsia="Times New Roman" w:hAnsi="Times New Roman"/>
          <w:sz w:val="22"/>
          <w:szCs w:val="22"/>
          <w:color w:val="auto"/>
        </w:rPr>
        <w:t xml:space="preserve"> Date, there shall occur any Repricing Event with respect to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the Borrower shall pay to the Administrative Agent, for the ratable account of each of the Term Lenders holding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subject to such Repricing Event, (i) in the case of a Repricing Event of the type described in clause (a) of the definition thereof, a prepayment premium of 1.00% of the aggregate principal amount of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subject to such Repricing Event and (ii) in the case of a Repricing Event of the type described in clause (b) of the definition thereof, an amount equal to 1.00% of the aggregate principal amount of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Term Lender so replaced shall be entitled to the prepayment premium set forth in clause (i)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40" w:right="339" w:bottom="1440" w:gutter="0" w:footer="0" w:header="0"/>
        </w:sectPr>
      </w:pPr>
    </w:p>
    <w:bookmarkStart w:id="819" w:name="page820"/>
    <w:bookmarkEnd w:id="819"/>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 xml:space="preserve">preceding sentence with respect to its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so assigned unless such fee is waived by such Term Lender.</w:t>
      </w:r>
    </w:p>
    <w:p>
      <w:pPr>
        <w:spacing w:after="0" w:line="15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If any Change in Law shall:</w:t>
      </w:r>
    </w:p>
    <w:p>
      <w:pPr>
        <w:spacing w:after="0" w:line="220" w:lineRule="exact"/>
        <w:rPr>
          <w:sz w:val="20"/>
          <w:szCs w:val="20"/>
          <w:color w:val="auto"/>
        </w:rPr>
      </w:pPr>
    </w:p>
    <w:p>
      <w:pPr>
        <w:jc w:val="both"/>
        <w:ind w:left="660" w:firstLine="644"/>
        <w:spacing w:after="0" w:line="253" w:lineRule="auto"/>
        <w:tabs>
          <w:tab w:leader="none" w:pos="1728" w:val="left"/>
        </w:tabs>
        <w:numPr>
          <w:ilvl w:val="0"/>
          <w:numId w:val="9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by, any Lender or Issuing Lender; or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31" w:val="left"/>
        </w:tabs>
        <w:numPr>
          <w:ilvl w:val="0"/>
          <w:numId w:val="9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Issuing Lender or the London interbank market any other condition, cost or expense (other than Taxes) affecting this Agreement or Term SOFR Loans made by such Lender or any Letter of Credit or participation therein;</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into, continuing or maintaining any Term SOFR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Term SOFR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w:t>
      </w:r>
    </w:p>
    <w:p>
      <w:pPr>
        <w:spacing w:after="0" w:line="194" w:lineRule="exact"/>
        <w:rPr>
          <w:sz w:val="20"/>
          <w:szCs w:val="20"/>
          <w:color w:val="auto"/>
        </w:rPr>
      </w:pPr>
    </w:p>
    <w:p>
      <w:pPr>
        <w:jc w:val="both"/>
        <w:ind w:firstLine="1304"/>
        <w:spacing w:after="0" w:line="260" w:lineRule="auto"/>
        <w:tabs>
          <w:tab w:leader="none" w:pos="1797" w:val="left"/>
        </w:tabs>
        <w:numPr>
          <w:ilvl w:val="0"/>
          <w:numId w:val="9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SOFR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w:t>
      </w:r>
    </w:p>
    <w:p>
      <w:pPr>
        <w:spacing w:after="0" w:line="186"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9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40" w:right="339" w:bottom="1440" w:gutter="0" w:footer="0" w:header="0"/>
        </w:sectPr>
      </w:pPr>
    </w:p>
    <w:bookmarkStart w:id="820" w:name="page821"/>
    <w:bookmarkEnd w:id="820"/>
    <w:p>
      <w:pPr>
        <w:spacing w:after="0" w:line="199" w:lineRule="exact"/>
        <w:rPr>
          <w:sz w:val="20"/>
          <w:szCs w:val="20"/>
          <w:color w:val="auto"/>
        </w:rPr>
      </w:pPr>
    </w:p>
    <w:p>
      <w:pPr>
        <w:jc w:val="both"/>
        <w:ind w:firstLine="1304"/>
        <w:spacing w:after="0" w:line="253" w:lineRule="auto"/>
        <w:tabs>
          <w:tab w:leader="none" w:pos="1841" w:val="left"/>
        </w:tabs>
        <w:numPr>
          <w:ilvl w:val="0"/>
          <w:numId w:val="9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 Lender or Issuing Lender setting forth the amount or amounts necessary to compensate such Lender or Issuing Lender or its holding company, as the case may be, as specified in paragraph (a) or (b) of this Section 2.14 and the basis for calculating such amount or amounts shall be delivered to the Borrower and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amount due. The Borrower shall pay such Lender or Issuing Lender, as the case may be, the amount due within fifteen (15) days after receipt of such certificate.</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83" w:val="left"/>
        </w:tabs>
        <w:numPr>
          <w:ilvl w:val="0"/>
          <w:numId w:val="9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or Issuing Lender to demand compensation pursuant to this Section 2.14 shall not constitute a waiver of such Lender’s or Issuing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Issuing Lender pursuant to this Section 2.14 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w:t>
      </w:r>
    </w:p>
    <w:p>
      <w:pPr>
        <w:spacing w:after="0" w:line="18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42" w:val="left"/>
        </w:tabs>
        <w:numPr>
          <w:ilvl w:val="0"/>
          <w:numId w:val="9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Section 2.18 is not “voluntary”), or (C) such Lender or Issuing Lender is not seeking similar compensation for such costs to which it is entitled from its borrowers generally in commercial loans of a similar size.</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73" w:val="left"/>
        </w:tabs>
        <w:numPr>
          <w:ilvl w:val="0"/>
          <w:numId w:val="9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determination by a Lender or Issuing Lender of amounts owed pursuant to this Section 2.14 to such Lender or Issuing Lender due to any such Change in Law shall be made in good faith in a manner generally consistent with such Lender’s or Issuing Lender’s standard practice.</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Break Funding Payments</w:t>
      </w:r>
      <w:r>
        <w:rPr>
          <w:rFonts w:ascii="Times New Roman" w:cs="Times New Roman" w:eastAsia="Times New Roman" w:hAnsi="Times New Roman"/>
          <w:sz w:val="21"/>
          <w:szCs w:val="21"/>
          <w:color w:val="auto"/>
        </w:rPr>
        <w:t xml:space="preserve">. In the event of (a) the payment of any principal of any Term SOFR Loan other than on the last day of an Interest Period applicable thereto (including as a result of the occurrence and continuance of an Event of Default), (b) the failure to borrow, convert, continue or prepay any Term SOFR Loan on the date specified in any notice delivered pursuant hereto or (c) the assignment of any Term SOFR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case shall this Section 2.15 apply to any payment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40" w:right="339" w:bottom="1440" w:gutter="0" w:footer="0" w:header="0"/>
        </w:sectPr>
      </w:pPr>
    </w:p>
    <w:bookmarkStart w:id="821" w:name="page822"/>
    <w:bookmarkEnd w:id="821"/>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Installment pursuant to Section 2.10(b). The Borrower shall pay such Lender the amount due within fifteen (15) days after receipt of such certificate.</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0" w:lineRule="auto"/>
        <w:tabs>
          <w:tab w:leader="none" w:pos="1813" w:val="left"/>
        </w:tabs>
        <w:numPr>
          <w:ilvl w:val="1"/>
          <w:numId w:val="9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payments by or on account of any Obligation of the Borrower or any Guarantor hereunder or under any other Loan Document shall be made free and clear of and without deduction or withholding for any Taxes except as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Taxes are required to be deducted or withheld from any amounts payable to the Administrative Agent, any Lender or any Issuing Lender, as determined in good faith by the applicable Withholding Agent, then</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293" w:val="left"/>
        </w:tabs>
        <w:numPr>
          <w:ilvl w:val="0"/>
          <w:numId w:val="9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Taxes are Indemnified Taxes or Other Taxes, the sum payable by the Borrower or applicable Guarantor shall be increased as necessary so that after making all required deductions or withholdings for any Indemnified Taxes or Other Taxes (including deductions or withholdings for any Indemnified Taxes or Other Taxes applicable to additional sums payable under this Section 2.16), the Administrative Agent, Lender, Issuing Lender or any other recipient of such payments (as the case may be) receives an amount equal to the sum it would have received had no such deductions or withholdings been made, (ii) the applicable Withholding Agent shall make such deductions or withholdings and (iii) the applicable Withholding Agent shall timely pay the full amount deducted or withheld to the relevant Governmental Authority in accordance with applicable law.</w:t>
      </w:r>
    </w:p>
    <w:p>
      <w:pPr>
        <w:spacing w:after="0" w:line="19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9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or any Guarantor, as applicable, shall pay any Other Taxes to the relevant Governmental Authority in accordance with applicable law.</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4" w:val="left"/>
        </w:tabs>
        <w:numPr>
          <w:ilvl w:val="1"/>
          <w:numId w:val="9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w:t>
      </w:r>
    </w:p>
    <w:p>
      <w:pPr>
        <w:spacing w:after="0" w:line="17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14" w:val="left"/>
        </w:tabs>
        <w:numPr>
          <w:ilvl w:val="1"/>
          <w:numId w:val="9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6" w:val="left"/>
        </w:tabs>
        <w:numPr>
          <w:ilvl w:val="1"/>
          <w:numId w:val="9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40" w:right="339" w:bottom="1440" w:gutter="0" w:footer="0" w:header="0"/>
        </w:sectPr>
      </w:pPr>
    </w:p>
    <w:bookmarkStart w:id="822" w:name="page823"/>
    <w:bookmarkEnd w:id="822"/>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86" w:lineRule="exact"/>
        <w:rPr>
          <w:sz w:val="20"/>
          <w:szCs w:val="20"/>
          <w:color w:val="auto"/>
        </w:rPr>
      </w:pPr>
    </w:p>
    <w:p>
      <w:pPr>
        <w:jc w:val="both"/>
        <w:ind w:firstLine="1304"/>
        <w:spacing w:after="0" w:line="248" w:lineRule="auto"/>
        <w:tabs>
          <w:tab w:leader="none" w:pos="1851" w:val="left"/>
        </w:tabs>
        <w:numPr>
          <w:ilvl w:val="0"/>
          <w:numId w:val="9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or as will enable the Borrower to determine whether or not such Lender is subject to backup withholding or information reporting requirements;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required to deliver any documentation pursuant to this Section 2.16(f) that such Lender is not legally able to deliver. For purposes of this paragraph (f) and paragraphs (g) and (h), the term “Lender” includes any Issuing Lender.</w:t>
      </w:r>
    </w:p>
    <w:p>
      <w:pPr>
        <w:spacing w:after="0" w:line="18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8" w:val="left"/>
        </w:tabs>
        <w:numPr>
          <w:ilvl w:val="0"/>
          <w:numId w:val="9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w:t>
      </w:r>
    </w:p>
    <w:p>
      <w:pPr>
        <w:spacing w:after="0" w:line="176" w:lineRule="exact"/>
        <w:rPr>
          <w:sz w:val="20"/>
          <w:szCs w:val="20"/>
          <w:color w:val="auto"/>
        </w:rPr>
      </w:pPr>
    </w:p>
    <w:p>
      <w:pPr>
        <w:jc w:val="both"/>
        <w:ind w:left="660" w:firstLine="644"/>
        <w:spacing w:after="0" w:line="257" w:lineRule="auto"/>
        <w:tabs>
          <w:tab w:leader="none" w:pos="1836" w:val="left"/>
        </w:tabs>
        <w:numPr>
          <w:ilvl w:val="0"/>
          <w:numId w:val="9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W-8BEN or Internal Revenue Service Form W-8BEN-E, as applicable, claiming eligibility for benefits of an income tax treaty to which the United States is a party;</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W-8ECI;</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9" w:val="left"/>
        </w:tabs>
        <w:numPr>
          <w:ilvl w:val="0"/>
          <w:numId w:val="9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duly executed originals of Internal Revenue Service Form W 8IMY, together with the duly executed forms for its beneficiaries, partners or members described in clauses (i), (ii), (iii) or (iv) of this subparagraph (g)(1) or in subparagraph (g)(2) and other applicable attachments;</w:t>
      </w:r>
    </w:p>
    <w:p>
      <w:pPr>
        <w:spacing w:after="0" w:line="172" w:lineRule="exact"/>
        <w:rPr>
          <w:rFonts w:ascii="Times New Roman" w:cs="Times New Roman" w:eastAsia="Times New Roman" w:hAnsi="Times New Roman"/>
          <w:sz w:val="22"/>
          <w:szCs w:val="22"/>
          <w:color w:val="auto"/>
        </w:rPr>
      </w:pPr>
    </w:p>
    <w:p>
      <w:pPr>
        <w:ind w:left="2100" w:hanging="796"/>
        <w:spacing w:after="0"/>
        <w:tabs>
          <w:tab w:leader="none" w:pos="2100" w:val="left"/>
        </w:tabs>
        <w:numPr>
          <w:ilvl w:val="0"/>
          <w:numId w:val="9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exemption for portfolio interest under</w:t>
      </w:r>
    </w:p>
    <w:p>
      <w:pPr>
        <w:spacing w:after="0" w:line="29"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Section 881(c) of the Code, (x) a certificate to the effect that such Foreign Lender is not (A) a “bank” within the meaning of Section 881(c)(3)(A) of the Code, (B) a “10 percent shareholder” of the Borrower within the meaning of Section 881(c)</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(3)(B) of the Code, (C) a “controlled foreign corporation” described in Section 881(c)(3)(C) of the Code or</w:t>
      </w:r>
    </w:p>
    <w:p>
      <w:pPr>
        <w:spacing w:after="0" w:line="4" w:lineRule="exact"/>
        <w:rPr>
          <w:sz w:val="20"/>
          <w:szCs w:val="20"/>
          <w:color w:val="auto"/>
        </w:rPr>
      </w:pPr>
    </w:p>
    <w:p>
      <w:pPr>
        <w:jc w:val="both"/>
        <w:ind w:left="660" w:hanging="4"/>
        <w:spacing w:after="0" w:line="245" w:lineRule="auto"/>
        <w:tabs>
          <w:tab w:leader="none" w:pos="1067" w:val="left"/>
        </w:tabs>
        <w:numPr>
          <w:ilvl w:val="0"/>
          <w:numId w:val="9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a trade or business in the United States with which the relevant interest payments are effectively connected and (y) two (2) duly executed originals of the Internal Revenue Service Form W-8BEN or Internal Revenue Service Form W-8BEN-E, as applicable; or</w:t>
      </w:r>
    </w:p>
    <w:p>
      <w:pPr>
        <w:spacing w:after="0" w:line="200" w:lineRule="exact"/>
        <w:rPr>
          <w:rFonts w:ascii="Times New Roman" w:cs="Times New Roman" w:eastAsia="Times New Roman" w:hAnsi="Times New Roman"/>
          <w:sz w:val="22"/>
          <w:szCs w:val="22"/>
          <w:color w:val="auto"/>
        </w:rPr>
      </w:pPr>
    </w:p>
    <w:p>
      <w:pPr>
        <w:ind w:left="660" w:firstLine="644"/>
        <w:spacing w:after="0" w:line="271" w:lineRule="auto"/>
        <w:tabs>
          <w:tab w:leader="none" w:pos="1886" w:val="left"/>
        </w:tabs>
        <w:numPr>
          <w:ilvl w:val="1"/>
          <w:numId w:val="9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duly executed form prescribed by applicable law as a basis for claiming exemption from or a reduction in United States federal withholding tax and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40" w:right="339" w:bottom="1440" w:gutter="0" w:footer="0" w:header="0"/>
        </w:sectPr>
      </w:pPr>
    </w:p>
    <w:bookmarkStart w:id="823" w:name="page824"/>
    <w:bookmarkEnd w:id="823"/>
    <w:p>
      <w:pPr>
        <w:spacing w:after="0" w:line="198"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requested by the Borrower or the Administrative Agent to permit the Borrower to determine the withholding or required deduction to be made.</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A Foreign Lender shall not be required to deliver any form or statement pursuant to this Section 2.16(g) that such Foreign Lender is not legally able to deliver.</w:t>
      </w:r>
    </w:p>
    <w:p>
      <w:pPr>
        <w:spacing w:after="0" w:line="144" w:lineRule="exact"/>
        <w:rPr>
          <w:sz w:val="20"/>
          <w:szCs w:val="20"/>
          <w:color w:val="auto"/>
        </w:rPr>
      </w:pPr>
    </w:p>
    <w:p>
      <w:pPr>
        <w:jc w:val="both"/>
        <w:ind w:firstLine="1304"/>
        <w:spacing w:after="0" w:line="251" w:lineRule="auto"/>
        <w:tabs>
          <w:tab w:leader="none" w:pos="1830" w:val="left"/>
        </w:tabs>
        <w:numPr>
          <w:ilvl w:val="0"/>
          <w:numId w:val="9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federal backup withholding tax.</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66" w:val="left"/>
        </w:tabs>
        <w:numPr>
          <w:ilvl w:val="0"/>
          <w:numId w:val="9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4" w:val="left"/>
        </w:tabs>
        <w:numPr>
          <w:ilvl w:val="0"/>
          <w:numId w:val="9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w:t>
      </w:r>
    </w:p>
    <w:p>
      <w:pPr>
        <w:spacing w:after="0" w:line="185" w:lineRule="exact"/>
        <w:rPr>
          <w:sz w:val="20"/>
          <w:szCs w:val="20"/>
          <w:color w:val="auto"/>
        </w:rPr>
      </w:pPr>
    </w:p>
    <w:p>
      <w:pPr>
        <w:jc w:val="both"/>
        <w:ind w:firstLine="1304"/>
        <w:spacing w:after="0" w:line="248" w:lineRule="auto"/>
        <w:tabs>
          <w:tab w:leader="none" w:pos="1778" w:val="left"/>
        </w:tabs>
        <w:numPr>
          <w:ilvl w:val="0"/>
          <w:numId w:val="9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40" w:right="339" w:bottom="1440" w:gutter="0" w:footer="0" w:header="0"/>
        </w:sectPr>
      </w:pPr>
    </w:p>
    <w:bookmarkStart w:id="824" w:name="page825"/>
    <w:bookmarkEnd w:id="824"/>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2.16 shall not be construed to require the Administrative Agent or any Lender to make available its tax returns (or any other information relating to its taxes which it deems confidential) to the Borrower or any other Person.</w:t>
      </w:r>
    </w:p>
    <w:p>
      <w:pPr>
        <w:spacing w:after="0" w:line="19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u w:val="single" w:color="auto"/>
          <w:color w:val="auto"/>
        </w:rPr>
        <w:t>Payments Generally; Pro Rata Treatment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853" w:val="left"/>
        </w:tabs>
        <w:numPr>
          <w:ilvl w:val="1"/>
          <w:numId w:val="9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each payment or prepayment required to be made by it hereunder (whether of principal, interest, fees or reimbursement of LC Disbursements,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1615 Brett Road, Ops III, New Castle, DE 19720, pursuant to wire instructions to be provided by the Administrative Agent, except payments to be made directly to an Issuing Lender as expressly provided herein and except that payments pursuant to Sections 2.14, 2.15 and 10.04 shall be made directly to the Persons entitled thereto. The Administrative Agent shall distribute any such payments received by it (including, subject to the terms of the Collateral Trust Agreement or any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8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33" w:val="left"/>
        </w:tabs>
        <w:numPr>
          <w:ilvl w:val="1"/>
          <w:numId w:val="9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insufficient funds are received by and available to the Administrative Agent to pay fully all Obligations then due hereunder, such funds shall be applied, subject to the terms of the Collateral Trust Agreement or any Intercreditor Agreement, as applicable,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towards payment of Fees and expenses then due under Sections 2.19 and 10.04 payable to each Agent and any trustee appointed pursuant to Section 8.01(d), to the extent applicable,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towards payment of Fees and expenses then due under Sections 2.20, 2.21 and 10.04 payable to the Lenders and the Issuing Lenders and towards payment of interest then due on account of the Revolving Loans, Term Loans and Letters of Credit, ratably among the parties entitled thereto in accordance with the amounts of such Fees and expenses and interest then due to such parties and</w:t>
      </w:r>
    </w:p>
    <w:p>
      <w:pPr>
        <w:spacing w:after="0" w:line="5" w:lineRule="exact"/>
        <w:rPr>
          <w:rFonts w:ascii="Times New Roman" w:cs="Times New Roman" w:eastAsia="Times New Roman" w:hAnsi="Times New Roman"/>
          <w:sz w:val="22"/>
          <w:szCs w:val="22"/>
          <w:color w:val="auto"/>
        </w:rPr>
      </w:pPr>
    </w:p>
    <w:p>
      <w:pPr>
        <w:jc w:val="both"/>
        <w:ind w:firstLine="8"/>
        <w:spacing w:after="0" w:line="247" w:lineRule="auto"/>
        <w:tabs>
          <w:tab w:leader="none" w:pos="378" w:val="left"/>
        </w:tabs>
        <w:numPr>
          <w:ilvl w:val="0"/>
          <w:numId w:val="9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towards payment of (A) principal of the Revolving Loans, Term Loans and unreimbursed LC Disbursements then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40" w:right="339" w:bottom="1440" w:gutter="0" w:footer="0" w:header="0"/>
        </w:sectPr>
      </w:pPr>
    </w:p>
    <w:bookmarkStart w:id="825" w:name="page826"/>
    <w:bookmarkEnd w:id="825"/>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w:t>
      </w:r>
    </w:p>
    <w:p>
      <w:pPr>
        <w:spacing w:after="0" w:line="176" w:lineRule="exact"/>
        <w:rPr>
          <w:sz w:val="20"/>
          <w:szCs w:val="20"/>
          <w:color w:val="auto"/>
        </w:rPr>
      </w:pPr>
    </w:p>
    <w:p>
      <w:pPr>
        <w:jc w:val="both"/>
        <w:ind w:firstLine="1304"/>
        <w:spacing w:after="0" w:line="247" w:lineRule="auto"/>
        <w:tabs>
          <w:tab w:leader="none" w:pos="1757" w:val="left"/>
        </w:tabs>
        <w:numPr>
          <w:ilvl w:val="0"/>
          <w:numId w:val="9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20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2" w:val="left"/>
        </w:tabs>
        <w:numPr>
          <w:ilvl w:val="0"/>
          <w:numId w:val="9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9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9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 Rata Treatment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1" w:lineRule="auto"/>
        <w:tabs>
          <w:tab w:leader="none" w:pos="1775" w:val="left"/>
        </w:tabs>
        <w:numPr>
          <w:ilvl w:val="0"/>
          <w:numId w:val="9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Installments of the applicable Class of Term Loans being prepaid.</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4" w:val="left"/>
        </w:tabs>
        <w:numPr>
          <w:ilvl w:val="0"/>
          <w:numId w:val="9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(including each prepayment) by the Borrower on account of principal of and interest on any Class of Revolving Loans shall be made pro rata according to the respective outstanding principal amounts of such Class of Revolving Loans then held by the Revolving Lenders.</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Sections 2.18(b), 2.26, 2.27, 2.28, 10.08(d), 10.08(e) or 10.08(f), (D) the application of funds resulting from the existence of a Defaulting Lender, or (E) any other circumstance expressly provided for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40" w:right="339" w:bottom="1440" w:gutter="0" w:footer="0" w:header="0"/>
        </w:sectPr>
      </w:pPr>
    </w:p>
    <w:bookmarkStart w:id="826" w:name="page827"/>
    <w:bookmarkEnd w:id="826"/>
    <w:p>
      <w:pPr>
        <w:spacing w:after="0" w:line="19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Mitigation Obligations; Replacement of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780" w:val="left"/>
        </w:tabs>
        <w:numPr>
          <w:ilvl w:val="1"/>
          <w:numId w:val="9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273" w:val="left"/>
        </w:tabs>
        <w:numPr>
          <w:ilvl w:val="0"/>
          <w:numId w:val="9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4" w:val="left"/>
        </w:tabs>
        <w:numPr>
          <w:ilvl w:val="1"/>
          <w:numId w:val="9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w:t>
      </w:r>
    </w:p>
    <w:p>
      <w:pPr>
        <w:spacing w:after="0" w:line="1" w:lineRule="exact"/>
        <w:rPr>
          <w:rFonts w:ascii="Times New Roman" w:cs="Times New Roman" w:eastAsia="Times New Roman" w:hAnsi="Times New Roman"/>
          <w:sz w:val="22"/>
          <w:szCs w:val="22"/>
          <w:color w:val="auto"/>
        </w:rPr>
      </w:pPr>
    </w:p>
    <w:p>
      <w:pPr>
        <w:jc w:val="both"/>
        <w:ind w:firstLine="8"/>
        <w:spacing w:after="0" w:line="247" w:lineRule="auto"/>
        <w:tabs>
          <w:tab w:leader="none" w:pos="263" w:val="left"/>
        </w:tabs>
        <w:numPr>
          <w:ilvl w:val="0"/>
          <w:numId w:val="9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w:t>
      </w:r>
    </w:p>
    <w:p>
      <w:pPr>
        <w:spacing w:after="0" w:line="18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2.19.</w:t>
      </w:r>
      <w:r>
        <w:rPr>
          <w:sz w:val="20"/>
          <w:szCs w:val="20"/>
          <w:color w:val="auto"/>
        </w:rPr>
        <w:tab/>
      </w:r>
      <w:r>
        <w:rPr>
          <w:rFonts w:ascii="Times New Roman" w:cs="Times New Roman" w:eastAsia="Times New Roman" w:hAnsi="Times New Roman"/>
          <w:sz w:val="21"/>
          <w:szCs w:val="21"/>
          <w:u w:val="single" w:color="auto"/>
          <w:color w:val="auto"/>
        </w:rPr>
        <w:t>Certain Fees.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Borrower shall pay to the Administrative Agent the fees set forth in that certain Administrative Agent Fee Letter, dated as of the date hereof, between the Administrative Agent and the Borrower (as may be amended, restated, amended and restated, modified, supplemented or replaced from time to time, the “</w:t>
      </w:r>
      <w:r>
        <w:rPr>
          <w:rFonts w:ascii="Times New Roman" w:cs="Times New Roman" w:eastAsia="Times New Roman" w:hAnsi="Times New Roman"/>
          <w:sz w:val="21"/>
          <w:szCs w:val="21"/>
          <w:i w:val="1"/>
          <w:iCs w:val="1"/>
          <w:color w:val="auto"/>
        </w:rPr>
        <w:t>Fee Letter</w:t>
      </w:r>
      <w:r>
        <w:rPr>
          <w:rFonts w:ascii="Times New Roman" w:cs="Times New Roman" w:eastAsia="Times New Roman" w:hAnsi="Times New Roman"/>
          <w:sz w:val="21"/>
          <w:szCs w:val="21"/>
          <w:color w:val="auto"/>
        </w:rPr>
        <w:t>”), at the times and to the entities set forth therein.</w:t>
      </w:r>
    </w:p>
    <w:p>
      <w:pPr>
        <w:spacing w:after="0" w:line="15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2.20.</w:t>
      </w:r>
      <w:r>
        <w:rPr>
          <w:sz w:val="20"/>
          <w:szCs w:val="20"/>
          <w:color w:val="auto"/>
        </w:rPr>
        <w:tab/>
      </w: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Borrower shall pay to the Administrative Agent for the accounts of the Revolving Lenders a commitment fee (the “</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for the period commencing on the effective date of the applicable Revolving Commitments to the Revolving Facility Termination Date with respect to the applicable Revolving Commitments or the earlier date of termination of the applicable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40" w:right="339" w:bottom="1440" w:gutter="0" w:footer="0" w:header="0"/>
        </w:sectPr>
      </w:pPr>
    </w:p>
    <w:bookmarkStart w:id="827" w:name="page828"/>
    <w:bookmarkEnd w:id="827"/>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Commitment, computed (on the basis of the actual number of days elapsed over a year of 360 days) at the Commitment Fee Rate on the average daily Unused Total Revolving Commitment. Such Commitment Fee, to the extent then accrued, shall be payable quarterly in arrears (a) following the Closing Date on the last Business Day of each March, June, September and December,</w:t>
      </w:r>
    </w:p>
    <w:p>
      <w:pPr>
        <w:spacing w:after="0" w:line="2" w:lineRule="exact"/>
        <w:rPr>
          <w:sz w:val="20"/>
          <w:szCs w:val="20"/>
          <w:color w:val="auto"/>
        </w:rPr>
      </w:pPr>
    </w:p>
    <w:p>
      <w:pPr>
        <w:jc w:val="both"/>
        <w:ind w:firstLine="8"/>
        <w:spacing w:after="0" w:line="248" w:lineRule="auto"/>
        <w:tabs>
          <w:tab w:leader="none" w:pos="328" w:val="left"/>
        </w:tabs>
        <w:numPr>
          <w:ilvl w:val="0"/>
          <w:numId w:val="9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Revolving Facility Termination Date with respect to the applicable Revolving Commitments and (c) as provided in Section 2.11, upon any reduction or termination in whole or in part of the Total Revolving Commitment (provided that such fee will be prorated for the fiscal quarter in which the First Amendment Effective Date occurs based on the Commitment Fee set forth herein prior to the First Amendment Effective Date and from and after the First Amendment Effective Date).</w:t>
      </w:r>
    </w:p>
    <w:p>
      <w:pPr>
        <w:spacing w:after="0" w:line="18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2.21. </w:t>
      </w:r>
      <w:r>
        <w:rPr>
          <w:rFonts w:ascii="Times New Roman" w:cs="Times New Roman" w:eastAsia="Times New Roman" w:hAnsi="Times New Roman"/>
          <w:sz w:val="21"/>
          <w:szCs w:val="21"/>
          <w:u w:val="single" w:color="auto"/>
          <w:color w:val="auto"/>
        </w:rPr>
        <w:t>Letter of Credit Fees</w:t>
      </w:r>
      <w:r>
        <w:rPr>
          <w:rFonts w:ascii="Times New Roman" w:cs="Times New Roman" w:eastAsia="Times New Roman" w:hAnsi="Times New Roman"/>
          <w:sz w:val="21"/>
          <w:szCs w:val="21"/>
          <w:color w:val="auto"/>
        </w:rPr>
        <w:t>.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Term SOFR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 payable quarterly in the manner described in the immediately preceding sentence and on the date of expiration or termination of any such Letter of Credit.</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2.22. </w:t>
      </w:r>
      <w:r>
        <w:rPr>
          <w:rFonts w:ascii="Times New Roman" w:cs="Times New Roman" w:eastAsia="Times New Roman" w:hAnsi="Times New Roman"/>
          <w:sz w:val="22"/>
          <w:szCs w:val="22"/>
          <w:u w:val="single" w:color="auto"/>
          <w:color w:val="auto"/>
        </w:rPr>
        <w:t>Nature of Fees</w:t>
      </w:r>
      <w:r>
        <w:rPr>
          <w:rFonts w:ascii="Times New Roman" w:cs="Times New Roman" w:eastAsia="Times New Roman" w:hAnsi="Times New Roman"/>
          <w:sz w:val="22"/>
          <w:szCs w:val="22"/>
          <w:color w:val="auto"/>
        </w:rPr>
        <w:t>. All Fees shall be paid on the dates due, in immediately available funds, to the Administrative Agent, the Issuing Lenders and the Joint Lead Arrangers and Bookrunners, as applicable, in each case as provided herein and in the Fee Letter. Once paid, none of the Fees shall be refundable or creditable under any circumstances, except as otherwise provided in the applicable Fee Letter.</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2.23.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Upon the occurrence and during the continuance of any Event of Default pursuant to Section 7.01(b), the Administrative Agent, the Collateral Trustee,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40" w:right="339" w:bottom="1440" w:gutter="0" w:footer="0" w:header="0"/>
        </w:sectPr>
      </w:pPr>
    </w:p>
    <w:bookmarkStart w:id="828" w:name="page829"/>
    <w:bookmarkEnd w:id="828"/>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shall have made any demand under any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Lender, each Issuing Lender and the Administrative Agent agree promptly to notify the Borrower and Guarantors after any such set-off and application made by such Lender, such Issuing Lender or the Administrative Agent (or any of such banking Affiliates),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2.24. </w:t>
      </w:r>
      <w:r>
        <w:rPr>
          <w:rFonts w:ascii="Times New Roman" w:cs="Times New Roman" w:eastAsia="Times New Roman" w:hAnsi="Times New Roman"/>
          <w:sz w:val="22"/>
          <w:szCs w:val="22"/>
          <w:u w:val="single" w:color="auto"/>
          <w:color w:val="auto"/>
        </w:rPr>
        <w:t>Security Interest in Letter of Credit Account</w:t>
      </w:r>
      <w:r>
        <w:rPr>
          <w:rFonts w:ascii="Times New Roman" w:cs="Times New Roman" w:eastAsia="Times New Roman" w:hAnsi="Times New Roman"/>
          <w:sz w:val="22"/>
          <w:szCs w:val="22"/>
          <w:color w:val="auto"/>
        </w:rPr>
        <w:t>. The Borrower and the Guarantors hereby pledge to the Administrative Agent, for its benefit and for the benefit of the other Secured Parties, and hereby grant to the Administrative Agent, for its benefit and for the benefit of the other Secured Parties, a first priority security interest, senior to all other Liens (other than Permitted Liens), if any, in all of the Borrower’s and the Guarantors’ right, title and interest in and to the Letter of Credit Account, any direct investment of the funds contained therein and any proceeds thereof, in each case whether now owned or hereafter acquired. Cash held in the Letter of Credit Account shall not be available for use by the Borrower, and shall be released to the Borrower only as described in Section 2.02(j).</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2.25.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2.26.</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779" w:val="left"/>
        </w:tabs>
        <w:numPr>
          <w:ilvl w:val="0"/>
          <w:numId w:val="9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any Lender becomes a Defaulting Lender, then the Borrower may,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Lender shall have any obligation to the Borrower to find a replacement Lender or other such Person.</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1" w:val="left"/>
        </w:tabs>
        <w:numPr>
          <w:ilvl w:val="0"/>
          <w:numId w:val="9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being replaced pursuant to Section 2.26(a) 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40" w:right="339" w:bottom="1440" w:gutter="0" w:footer="0" w:header="0"/>
        </w:sectPr>
      </w:pPr>
    </w:p>
    <w:bookmarkStart w:id="829" w:name="page830"/>
    <w:bookmarkEnd w:id="829"/>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w:t>
      </w:r>
    </w:p>
    <w:p>
      <w:pPr>
        <w:spacing w:after="0" w:line="184" w:lineRule="exact"/>
        <w:rPr>
          <w:sz w:val="20"/>
          <w:szCs w:val="20"/>
          <w:color w:val="auto"/>
        </w:rPr>
      </w:pPr>
    </w:p>
    <w:p>
      <w:pPr>
        <w:jc w:val="both"/>
        <w:ind w:firstLine="1304"/>
        <w:spacing w:after="0" w:line="263" w:lineRule="auto"/>
        <w:tabs>
          <w:tab w:leader="none" w:pos="1817" w:val="left"/>
        </w:tabs>
        <w:numPr>
          <w:ilvl w:val="0"/>
          <w:numId w:val="9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Anything herein to the contrary notwithstanding, if a Revolving Lender becomes, and during the period it remains, a Defaulting Lender, during such period, such Defaulting Lender shall not be entitled to any fees accruing during such period pursuant to Sections 2.20 and 2.21 (without prejudice to the rights of the Non-Defaulting Lenders in respect of such fees);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w:t>
      </w:r>
    </w:p>
    <w:p>
      <w:pPr>
        <w:spacing w:after="0" w:line="169"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9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LC Exposure exists at the time a Revolving Lender becomes a Defaulting Lender then:</w:t>
      </w:r>
    </w:p>
    <w:p>
      <w:pPr>
        <w:spacing w:after="0" w:line="220" w:lineRule="exact"/>
        <w:rPr>
          <w:sz w:val="20"/>
          <w:szCs w:val="20"/>
          <w:color w:val="auto"/>
        </w:rPr>
      </w:pPr>
    </w:p>
    <w:p>
      <w:pPr>
        <w:jc w:val="both"/>
        <w:ind w:left="660" w:firstLine="644"/>
        <w:spacing w:after="0" w:line="249" w:lineRule="auto"/>
        <w:tabs>
          <w:tab w:leader="none" w:pos="1824" w:val="left"/>
        </w:tabs>
        <w:numPr>
          <w:ilvl w:val="0"/>
          <w:numId w:val="9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the Non-Defaulting Lenders pro rata in accordance with their respective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Revolving Extensions of Credit of each such Non-Defaulting Lender may not in any event exceed the Revolving Commitment of such Non-Defaulting Lender as in effect at the time of such reallocation, (B) such reallocation will not constitute a waiver or release of any claim the Borrower, the Administrative Agent, the Issuing Lenders or any other Lender may have against such Defaulting Lender, (C) at the time of such reallocation, no Event of Default pursuant to Sections 7.01(b), (e)(B), (f) or (g) has occurred and is continuing and (D) neither such reallocation nor any payment by a Non-Defaulting Lender as a result thereof will cause such Defaulting Lender to be a Non-Defaulting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40" w:right="339" w:bottom="1440" w:gutter="0" w:footer="0" w:header="0"/>
        </w:sectPr>
      </w:pPr>
    </w:p>
    <w:bookmarkStart w:id="830" w:name="page831"/>
    <w:bookmarkEnd w:id="830"/>
    <w:p>
      <w:pPr>
        <w:spacing w:after="0" w:line="195" w:lineRule="exact"/>
        <w:rPr>
          <w:sz w:val="20"/>
          <w:szCs w:val="20"/>
          <w:color w:val="auto"/>
        </w:rPr>
      </w:pPr>
    </w:p>
    <w:p>
      <w:pPr>
        <w:jc w:val="both"/>
        <w:ind w:left="660" w:firstLine="644"/>
        <w:spacing w:after="0" w:line="250" w:lineRule="auto"/>
        <w:tabs>
          <w:tab w:leader="none" w:pos="1827" w:val="left"/>
        </w:tabs>
        <w:numPr>
          <w:ilvl w:val="0"/>
          <w:numId w:val="9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portion (the “</w:t>
      </w:r>
      <w:r>
        <w:rPr>
          <w:rFonts w:ascii="Times New Roman" w:cs="Times New Roman" w:eastAsia="Times New Roman" w:hAnsi="Times New Roman"/>
          <w:sz w:val="22"/>
          <w:szCs w:val="22"/>
          <w:i w:val="1"/>
          <w:iCs w:val="1"/>
          <w:color w:val="auto"/>
        </w:rPr>
        <w:t>unreallocated portion</w:t>
      </w:r>
      <w:r>
        <w:rPr>
          <w:rFonts w:ascii="Times New Roman" w:cs="Times New Roman" w:eastAsia="Times New Roman" w:hAnsi="Times New Roman"/>
          <w:sz w:val="22"/>
          <w:szCs w:val="22"/>
          <w:color w:val="auto"/>
        </w:rPr>
        <w:t>”)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w:t>
      </w:r>
    </w:p>
    <w:p>
      <w:pPr>
        <w:spacing w:after="0" w:line="184" w:lineRule="exact"/>
        <w:rPr>
          <w:sz w:val="20"/>
          <w:szCs w:val="20"/>
          <w:color w:val="auto"/>
        </w:rPr>
      </w:pPr>
    </w:p>
    <w:p>
      <w:pPr>
        <w:jc w:val="both"/>
        <w:ind w:firstLine="1304"/>
        <w:spacing w:after="0" w:line="263" w:lineRule="auto"/>
        <w:tabs>
          <w:tab w:leader="none" w:pos="1790" w:val="left"/>
        </w:tabs>
        <w:numPr>
          <w:ilvl w:val="0"/>
          <w:numId w:val="9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other conditions precedent set forth in this Agreement, if any Revolving Lender becomes, and during the period it remains, a Defaulting Lender, no Issuing Lender shall be required to issue any Letter of Credit or to amend any outstanding Letter of Credit, unless:</w:t>
      </w:r>
    </w:p>
    <w:p>
      <w:pPr>
        <w:spacing w:after="0" w:line="167" w:lineRule="exact"/>
        <w:rPr>
          <w:sz w:val="20"/>
          <w:szCs w:val="20"/>
          <w:color w:val="auto"/>
        </w:rPr>
      </w:pPr>
    </w:p>
    <w:p>
      <w:pPr>
        <w:jc w:val="both"/>
        <w:ind w:left="660" w:firstLine="644"/>
        <w:spacing w:after="0" w:line="257" w:lineRule="auto"/>
        <w:tabs>
          <w:tab w:leader="none" w:pos="1913" w:val="left"/>
        </w:tabs>
        <w:numPr>
          <w:ilvl w:val="0"/>
          <w:numId w:val="9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Defaulting Lender, the LC Exposure of such Defaulting Lender is reallocated, as to outstanding and future Letters of Credit, to the Non-Defaulting Lenders as provided in Section 2.26(d)(i), except as provided in clause (ii) below,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19" w:val="left"/>
        </w:tabs>
        <w:numPr>
          <w:ilvl w:val="0"/>
          <w:numId w:val="9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62" w:lineRule="auto"/>
        <w:tabs>
          <w:tab w:leader="none" w:pos="1861" w:val="left"/>
        </w:tabs>
        <w:numPr>
          <w:ilvl w:val="0"/>
          <w:numId w:val="9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 be, (A) the Borrower agrees that the face amount of such requested Letter of Credit will be reduced by an amount equal to the portion thereof as to which such Defaulting Lender would otherwise be liable, and (B) the Non-Defaulting Lenders’ 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w:t>
      </w:r>
    </w:p>
    <w:p>
      <w:pPr>
        <w:spacing w:after="0" w:line="172" w:lineRule="exact"/>
        <w:rPr>
          <w:sz w:val="20"/>
          <w:szCs w:val="20"/>
          <w:color w:val="auto"/>
        </w:rPr>
      </w:pPr>
    </w:p>
    <w:p>
      <w:pPr>
        <w:jc w:val="both"/>
        <w:ind w:firstLine="1304"/>
        <w:spacing w:after="0" w:line="251" w:lineRule="auto"/>
        <w:tabs>
          <w:tab w:leader="none" w:pos="1750" w:val="left"/>
        </w:tabs>
        <w:numPr>
          <w:ilvl w:val="0"/>
          <w:numId w:val="9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40" w:right="339" w:bottom="1440" w:gutter="0" w:footer="0" w:header="0"/>
        </w:sectPr>
      </w:pPr>
    </w:p>
    <w:bookmarkStart w:id="831" w:name="page832"/>
    <w:bookmarkEnd w:id="831"/>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obligations (contingent or otherwise) of such Defaulting Lender in respect thereof, or to make other arrangements satisfactory to the Administrative Agent and such Issuing Lender in their sole discretion to protect them against the risk of non-payment by such Defaulting Lender.</w:t>
      </w:r>
    </w:p>
    <w:p>
      <w:pPr>
        <w:spacing w:after="0" w:line="186" w:lineRule="exact"/>
        <w:rPr>
          <w:sz w:val="20"/>
          <w:szCs w:val="20"/>
          <w:color w:val="auto"/>
        </w:rPr>
      </w:pPr>
    </w:p>
    <w:p>
      <w:pPr>
        <w:jc w:val="both"/>
        <w:ind w:firstLine="1304"/>
        <w:spacing w:after="0" w:line="251" w:lineRule="auto"/>
        <w:tabs>
          <w:tab w:leader="none" w:pos="1775" w:val="left"/>
        </w:tabs>
        <w:numPr>
          <w:ilvl w:val="0"/>
          <w:numId w:val="9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amounts owing by such Defaulting Lender to the Administrative Agent;</w:t>
      </w:r>
    </w:p>
    <w:p>
      <w:pPr>
        <w:spacing w:after="0" w:line="22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any amounts owing by such Defaulting Lender to the Issuing Lenders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14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payment of the default interest and then current interest due and payable to the Revolving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Non-Defaulting Lenders hereunder, ratably among them in accordance with the amounts of such interest then due and payable to them;</w:t>
      </w:r>
    </w:p>
    <w:p>
      <w:pPr>
        <w:spacing w:after="0" w:line="161"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fees then due and payable to the Non-Defaulting Lenders hereunder, ratably among them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amounts of such fees then due and payable to them;</w:t>
      </w:r>
    </w:p>
    <w:p>
      <w:pPr>
        <w:spacing w:after="0" w:line="149" w:lineRule="exact"/>
        <w:rPr>
          <w:sz w:val="20"/>
          <w:szCs w:val="20"/>
          <w:color w:val="auto"/>
        </w:rPr>
      </w:pPr>
    </w:p>
    <w:p>
      <w:pPr>
        <w:jc w:val="both"/>
        <w:ind w:left="660"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pay principal and unreimbursed LC Disbursements then due and payable to the Non-Defaulting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ratably in accordance with the amounts thereof then due and payable to them;</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ratable payment of other amounts then due and payable to the Non-Defaulting Lenders;</w:t>
      </w:r>
    </w:p>
    <w:p>
      <w:pPr>
        <w:spacing w:after="0" w:line="220"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funding of any Loan or the funding or Cash Collateralization of any participation in any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in respect of which such Defaulting Lender has failed to fund its portion thereof as required by this Agreement, as determined by the Administrative Agent;</w:t>
      </w:r>
    </w:p>
    <w:p>
      <w:pPr>
        <w:spacing w:after="0" w:line="166" w:lineRule="exact"/>
        <w:rPr>
          <w:sz w:val="20"/>
          <w:szCs w:val="20"/>
          <w:color w:val="auto"/>
        </w:rPr>
      </w:pPr>
    </w:p>
    <w:p>
      <w:pPr>
        <w:jc w:val="both"/>
        <w:ind w:left="660"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if so determined by the Administrative Agent and the Borrower, held in such account as cash collateral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future funding obligations of the Defaulting Lender under this Agreement;</w:t>
      </w:r>
    </w:p>
    <w:p>
      <w:pPr>
        <w:spacing w:after="0" w:line="137"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ninth</w:t>
      </w:r>
      <w:r>
        <w:rPr>
          <w:rFonts w:ascii="Times New Roman" w:cs="Times New Roman" w:eastAsia="Times New Roman" w:hAnsi="Times New Roman"/>
          <w:sz w:val="22"/>
          <w:szCs w:val="22"/>
          <w:color w:val="auto"/>
        </w:rPr>
        <w:t>, pro rata, to the payment of any amounts owing to the Borrower or the Lenders as a result of any judgment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court of competent jurisdiction obtained by a Borrower or any Lender against such Defaulting Lender as a result of such Defaulting Lender’s breach of its obligations under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40" w:right="339" w:bottom="1440" w:gutter="0" w:footer="0" w:header="0"/>
        </w:sectPr>
      </w:pPr>
    </w:p>
    <w:bookmarkStart w:id="832" w:name="page833"/>
    <w:bookmarkEnd w:id="832"/>
    <w:p>
      <w:pPr>
        <w:spacing w:after="0" w:line="195"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tenth</w:t>
      </w:r>
      <w:r>
        <w:rPr>
          <w:rFonts w:ascii="Times New Roman" w:cs="Times New Roman" w:eastAsia="Times New Roman" w:hAnsi="Times New Roman"/>
          <w:sz w:val="22"/>
          <w:szCs w:val="22"/>
          <w:color w:val="auto"/>
        </w:rPr>
        <w:t>, after the termination of the Revolving Commitments and payment in full of all obligations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hereunder, to pay amounts owing under this Agreement to such Defaulting Lender or as a court of competent jurisdiction may otherwise direct.</w:t>
      </w:r>
    </w:p>
    <w:p>
      <w:pPr>
        <w:spacing w:after="0" w:line="184" w:lineRule="exact"/>
        <w:rPr>
          <w:sz w:val="20"/>
          <w:szCs w:val="20"/>
          <w:color w:val="auto"/>
        </w:rPr>
      </w:pPr>
    </w:p>
    <w:p>
      <w:pPr>
        <w:jc w:val="both"/>
        <w:ind w:firstLine="1304"/>
        <w:spacing w:after="0" w:line="250" w:lineRule="auto"/>
        <w:tabs>
          <w:tab w:leader="none" w:pos="1871" w:val="left"/>
        </w:tabs>
        <w:numPr>
          <w:ilvl w:val="0"/>
          <w:numId w:val="9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26" w:val="left"/>
        </w:tabs>
        <w:numPr>
          <w:ilvl w:val="0"/>
          <w:numId w:val="9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shall be made retroactively with respect to fees accrued while such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Non</w:t>
      </w:r>
      <w:r>
        <w:rPr>
          <w:rFonts w:ascii="Calibri" w:cs="Calibri" w:eastAsia="Calibri" w:hAnsi="Calibri"/>
          <w:sz w:val="22"/>
          <w:szCs w:val="22"/>
          <w:color w:val="auto"/>
        </w:rPr>
        <w:t>-</w:t>
      </w:r>
      <w:r>
        <w:rPr>
          <w:rFonts w:ascii="Times New Roman" w:cs="Times New Roman" w:eastAsia="Times New Roman" w:hAnsi="Times New Roman"/>
          <w:sz w:val="22"/>
          <w:szCs w:val="22"/>
          <w:color w:val="auto"/>
        </w:rPr>
        <w:t>Defaulting Lender shall constitute a waiver or release of any claim of any party hereunder arising from such Lender’s having been a Defaulting Lender.</w:t>
      </w:r>
    </w:p>
    <w:p>
      <w:pPr>
        <w:spacing w:after="0" w:line="182" w:lineRule="exact"/>
        <w:rPr>
          <w:rFonts w:ascii="Times New Roman" w:cs="Times New Roman" w:eastAsia="Times New Roman" w:hAnsi="Times New Roman"/>
          <w:sz w:val="22"/>
          <w:szCs w:val="22"/>
          <w:color w:val="auto"/>
        </w:rPr>
      </w:pPr>
    </w:p>
    <w:p>
      <w:pPr>
        <w:jc w:val="both"/>
        <w:ind w:firstLine="1304"/>
        <w:spacing w:after="0" w:line="281" w:lineRule="auto"/>
        <w:tabs>
          <w:tab w:leader="none" w:pos="1748" w:val="left"/>
        </w:tabs>
        <w:numPr>
          <w:ilvl w:val="0"/>
          <w:numId w:val="9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w:t>
      </w:r>
    </w:p>
    <w:p>
      <w:pPr>
        <w:spacing w:after="0" w:line="15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2.27.</w:t>
      </w:r>
      <w:r>
        <w:rPr>
          <w:sz w:val="20"/>
          <w:szCs w:val="20"/>
          <w:color w:val="auto"/>
        </w:rPr>
        <w:tab/>
      </w:r>
      <w:r>
        <w:rPr>
          <w:rFonts w:ascii="Times New Roman" w:cs="Times New Roman" w:eastAsia="Times New Roman" w:hAnsi="Times New Roman"/>
          <w:sz w:val="21"/>
          <w:szCs w:val="21"/>
          <w:u w:val="single" w:color="auto"/>
          <w:color w:val="auto"/>
        </w:rPr>
        <w:t>Increase in Commitment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50" w:lineRule="auto"/>
        <w:tabs>
          <w:tab w:leader="none" w:pos="1779" w:val="left"/>
        </w:tabs>
        <w:numPr>
          <w:ilvl w:val="0"/>
          <w:numId w:val="9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Borrower Request</w:t>
      </w:r>
      <w:r>
        <w:rPr>
          <w:rFonts w:ascii="Times New Roman" w:cs="Times New Roman" w:eastAsia="Times New Roman" w:hAnsi="Times New Roman"/>
          <w:sz w:val="22"/>
          <w:szCs w:val="22"/>
          <w:color w:val="auto"/>
        </w:rPr>
        <w:t>. The Borrower may by written notice to the Administrative Agent request (x)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Revolving Facility Maturity Date, an increase to the existing Revolving Commitments and/or LC Commitment or to establish one or more new Revolving Commitments and/or LC Commitments (each, an “</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and/or (y) at any time the establishment of one or more new Term Loan Commitments (each, an “</w:t>
      </w:r>
      <w:r>
        <w:rPr>
          <w:rFonts w:ascii="Times New Roman" w:cs="Times New Roman" w:eastAsia="Times New Roman" w:hAnsi="Times New Roman"/>
          <w:sz w:val="22"/>
          <w:szCs w:val="22"/>
          <w:i w:val="1"/>
          <w:iCs w:val="1"/>
          <w:color w:val="auto"/>
        </w:rPr>
        <w:t>Incremental Term Loan Commitment</w:t>
      </w:r>
      <w:r>
        <w:rPr>
          <w:rFonts w:ascii="Times New Roman" w:cs="Times New Roman" w:eastAsia="Times New Roman" w:hAnsi="Times New Roman"/>
          <w:sz w:val="22"/>
          <w:szCs w:val="22"/>
          <w:color w:val="auto"/>
        </w:rPr>
        <w:t>”, and together with the Incremental Revolving Commitments, the “</w:t>
      </w:r>
      <w:r>
        <w:rPr>
          <w:rFonts w:ascii="Times New Roman" w:cs="Times New Roman" w:eastAsia="Times New Roman" w:hAnsi="Times New Roman"/>
          <w:sz w:val="22"/>
          <w:szCs w:val="22"/>
          <w:i w:val="1"/>
          <w:iCs w:val="1"/>
          <w:color w:val="auto"/>
        </w:rPr>
        <w:t>Incremental Commitments</w:t>
      </w:r>
      <w:r>
        <w:rPr>
          <w:rFonts w:ascii="Times New Roman" w:cs="Times New Roman" w:eastAsia="Times New Roman" w:hAnsi="Times New Roman"/>
          <w:sz w:val="22"/>
          <w:szCs w:val="22"/>
          <w:color w:val="auto"/>
        </w:rPr>
        <w:t>”) by an amount not less than $50,000,000 individually. Each such notice shall specify (i) the date (each, an “</w:t>
      </w:r>
      <w:r>
        <w:rPr>
          <w:rFonts w:ascii="Times New Roman" w:cs="Times New Roman" w:eastAsia="Times New Roman" w:hAnsi="Times New Roman"/>
          <w:sz w:val="22"/>
          <w:szCs w:val="22"/>
          <w:i w:val="1"/>
          <w:iCs w:val="1"/>
          <w:color w:val="auto"/>
        </w:rPr>
        <w:t>Increase Effective Date</w:t>
      </w:r>
      <w:r>
        <w:rPr>
          <w:rFonts w:ascii="Times New Roman" w:cs="Times New Roman" w:eastAsia="Times New Roman" w:hAnsi="Times New Roman"/>
          <w:sz w:val="22"/>
          <w:szCs w:val="22"/>
          <w:color w:val="auto"/>
        </w:rPr>
        <w:t>”) on which the Borrower proposes that the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40" w:right="339" w:bottom="1440" w:gutter="0" w:footer="0" w:header="0"/>
        </w:sectPr>
      </w:pPr>
    </w:p>
    <w:bookmarkStart w:id="833" w:name="page834"/>
    <w:bookmarkEnd w:id="833"/>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Commitments shall be effective, which shall be a date not less than ten (10) Business Days after the date on which such notice is delivered to the Administrative Agent (or such earlier date agreed by the Administrative Agent) and (ii) the identity of each Eligible Assignee or other lender reasonably acceptable to the Administrative Agent (and, in the case of any Incremental Revolving Commitment that contains an LC Commitment, each Issuing Lender) to whom the Borrower proposes any portion of such Incremental Commitments be allocated (each, a “</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xml:space="preserve">”) and the amounts of such allocations;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existing Lender approached to provide all or a portion of the Incremental Commitments may elect or decline, in its sole discretion, to provide such Incremental Commitment.</w:t>
      </w:r>
    </w:p>
    <w:p>
      <w:pPr>
        <w:spacing w:after="0" w:line="176" w:lineRule="exact"/>
        <w:rPr>
          <w:sz w:val="20"/>
          <w:szCs w:val="20"/>
          <w:color w:val="auto"/>
        </w:rPr>
      </w:pPr>
    </w:p>
    <w:p>
      <w:pPr>
        <w:ind w:left="1920" w:hanging="616"/>
        <w:spacing w:after="0"/>
        <w:tabs>
          <w:tab w:leader="none" w:pos="1920" w:val="left"/>
        </w:tabs>
        <w:numPr>
          <w:ilvl w:val="0"/>
          <w:numId w:val="9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Conditions</w:t>
      </w:r>
      <w:r>
        <w:rPr>
          <w:rFonts w:ascii="Times New Roman" w:cs="Times New Roman" w:eastAsia="Times New Roman" w:hAnsi="Times New Roman"/>
          <w:sz w:val="22"/>
          <w:szCs w:val="22"/>
          <w:color w:val="auto"/>
        </w:rPr>
        <w:t>. The Incremental Commitments shall become effective, as of such Increase Effective Date;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7" w:lineRule="exact"/>
        <w:rPr>
          <w:sz w:val="20"/>
          <w:szCs w:val="20"/>
          <w:color w:val="auto"/>
        </w:rPr>
      </w:pPr>
    </w:p>
    <w:p>
      <w:pPr>
        <w:ind w:left="660" w:firstLine="644"/>
        <w:spacing w:after="0" w:line="271" w:lineRule="auto"/>
        <w:tabs>
          <w:tab w:leader="none" w:pos="1775" w:val="left"/>
        </w:tabs>
        <w:numPr>
          <w:ilvl w:val="0"/>
          <w:numId w:val="9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conditions set forth in Section 4.02 shall be satisfied on or prior to such Increase Effective Date before and after giving effect to such Incremental Commitments;</w:t>
      </w:r>
    </w:p>
    <w:p>
      <w:pPr>
        <w:spacing w:after="0" w:line="157" w:lineRule="exact"/>
        <w:rPr>
          <w:rFonts w:ascii="Times New Roman" w:cs="Times New Roman" w:eastAsia="Times New Roman" w:hAnsi="Times New Roman"/>
          <w:sz w:val="22"/>
          <w:szCs w:val="22"/>
          <w:color w:val="auto"/>
        </w:rPr>
      </w:pPr>
    </w:p>
    <w:p>
      <w:pPr>
        <w:ind w:left="660" w:firstLine="644"/>
        <w:spacing w:after="0" w:line="295" w:lineRule="auto"/>
        <w:tabs>
          <w:tab w:leader="none" w:pos="1888" w:val="left"/>
        </w:tabs>
        <w:numPr>
          <w:ilvl w:val="0"/>
          <w:numId w:val="9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or would immediately result from giving effect to the Incremental Commitments on, or the making of any new Loans on, such Increase Effective Date; and</w:t>
      </w:r>
    </w:p>
    <w:p>
      <w:pPr>
        <w:spacing w:after="0" w:line="135"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956" w:val="left"/>
        </w:tabs>
        <w:numPr>
          <w:ilvl w:val="0"/>
          <w:numId w:val="9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provide an Officer’s Certificate demonstrating in reasonable detail that, immediately after giving pro forma effect to (1) the Incremental Commitments, (2) any new Loans to be made on such Increase Effective Date and (3) the pledge of any Additional Collateral, the Collateral Coverage Ratio shall be no less than 1.6 to 1.0 and the aggregate amount of Liquidity shall be no less than $2,000,000,000.</w:t>
      </w:r>
    </w:p>
    <w:p>
      <w:pPr>
        <w:spacing w:after="0" w:line="172" w:lineRule="exact"/>
        <w:rPr>
          <w:sz w:val="20"/>
          <w:szCs w:val="20"/>
          <w:color w:val="auto"/>
        </w:rPr>
      </w:pPr>
    </w:p>
    <w:p>
      <w:pPr>
        <w:ind w:firstLine="1304"/>
        <w:spacing w:after="0" w:line="275" w:lineRule="auto"/>
        <w:tabs>
          <w:tab w:leader="none" w:pos="1887" w:val="left"/>
        </w:tabs>
        <w:numPr>
          <w:ilvl w:val="0"/>
          <w:numId w:val="9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of New Loans and Commitments</w:t>
      </w:r>
      <w:r>
        <w:rPr>
          <w:rFonts w:ascii="Times New Roman" w:cs="Times New Roman" w:eastAsia="Times New Roman" w:hAnsi="Times New Roman"/>
          <w:sz w:val="22"/>
          <w:szCs w:val="22"/>
          <w:color w:val="auto"/>
        </w:rPr>
        <w:t>. The terms and provisions of Loans made pursuant to the new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shall be as follows:</w:t>
      </w:r>
    </w:p>
    <w:p>
      <w:pPr>
        <w:spacing w:after="0" w:line="167" w:lineRule="exact"/>
        <w:rPr>
          <w:sz w:val="20"/>
          <w:szCs w:val="20"/>
          <w:color w:val="auto"/>
        </w:rPr>
      </w:pPr>
    </w:p>
    <w:p>
      <w:pPr>
        <w:jc w:val="both"/>
        <w:ind w:left="660" w:firstLine="644"/>
        <w:spacing w:after="0" w:line="252" w:lineRule="auto"/>
        <w:tabs>
          <w:tab w:leader="none" w:pos="1796" w:val="left"/>
        </w:tabs>
        <w:numPr>
          <w:ilvl w:val="0"/>
          <w:numId w:val="9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provisions with respect to interest rates, maturity date and amortization schedule of Loans made pursuant to any Incremental Term Loan Commitments (“</w:t>
      </w:r>
      <w:r>
        <w:rPr>
          <w:rFonts w:ascii="Times New Roman" w:cs="Times New Roman" w:eastAsia="Times New Roman" w:hAnsi="Times New Roman"/>
          <w:sz w:val="22"/>
          <w:szCs w:val="22"/>
          <w:i w:val="1"/>
          <w:iCs w:val="1"/>
          <w:color w:val="auto"/>
        </w:rPr>
        <w:t>Incremental Term Loans</w:t>
      </w:r>
      <w:r>
        <w:rPr>
          <w:rFonts w:ascii="Times New Roman" w:cs="Times New Roman" w:eastAsia="Times New Roman" w:hAnsi="Times New Roman"/>
          <w:sz w:val="22"/>
          <w:szCs w:val="22"/>
          <w:color w:val="auto"/>
        </w:rPr>
        <w:t xml:space="preserve">”) shall be as agreed upon between the Borrower and the applicable Lenders providing such Loans (it being understood that the Incremental Term Loans may be part of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or any other Class of Term Loans);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47" w:val="left"/>
        </w:tabs>
        <w:numPr>
          <w:ilvl w:val="0"/>
          <w:numId w:val="9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maturity date of any Loans made pursuant to Incremental Term Loan Commitments shall be no earlier than the Term Loan Maturity Date applicable to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that have not been extended pursuant to Section 2.28;</w:t>
      </w:r>
    </w:p>
    <w:p>
      <w:pPr>
        <w:spacing w:after="0" w:line="167"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2118" w:val="left"/>
        </w:tabs>
        <w:numPr>
          <w:ilvl w:val="0"/>
          <w:numId w:val="9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any Loans made pursuant to Incremental Term Loan Commitments shall be no shorter than the Weighted Average Life to Maturity of the Term Loan Commitments made on the Closing Date;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41" w:val="left"/>
        </w:tabs>
        <w:numPr>
          <w:ilvl w:val="0"/>
          <w:numId w:val="9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interest rate margins for new Incremental Term Loans shall be determined by the Borrower and the applicable Lenders providing such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Class of Incremental Term Loans incurred prior to the date that is eighteen (18) months after the Closing Date that are denominated in Dollars and pari passu in right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40" w:right="339" w:bottom="1440" w:gutter="0" w:footer="0" w:header="0"/>
          <w:type w:val="continuous"/>
        </w:sectPr>
      </w:pPr>
    </w:p>
    <w:bookmarkStart w:id="834" w:name="page835"/>
    <w:bookmarkEnd w:id="834"/>
    <w:p>
      <w:pPr>
        <w:spacing w:after="0" w:line="195"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payment with, and secured on a pari passu basis with,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if the All-In Initial Yield on such Class of Incremental Term Loans exceeds the All-In Initial Yield on the </w:t>
      </w:r>
      <w:r>
        <w:rPr>
          <w:rFonts w:ascii="Times New Roman" w:cs="Times New Roman" w:eastAsia="Times New Roman" w:hAnsi="Times New Roman"/>
          <w:sz w:val="22"/>
          <w:szCs w:val="22"/>
          <w:b w:val="1"/>
          <w:bCs w:val="1"/>
          <w:color w:val="FF0000"/>
          <w:strike w:val="1"/>
        </w:rPr>
        <w:t>Initial</w:t>
      </w:r>
      <w:r>
        <w:rPr>
          <w:rFonts w:ascii="Times New Roman" w:cs="Times New Roman" w:eastAsia="Times New Roman" w:hAnsi="Times New Roman"/>
          <w:sz w:val="22"/>
          <w:szCs w:val="22"/>
          <w:b w:val="1"/>
          <w:bCs w:val="1"/>
          <w:u w:val="single" w:color="auto"/>
          <w:color w:val="0000FF"/>
        </w:rPr>
        <w:t>2024 Replacement</w:t>
      </w:r>
      <w:r>
        <w:rPr>
          <w:rFonts w:ascii="Times New Roman" w:cs="Times New Roman" w:eastAsia="Times New Roman" w:hAnsi="Times New Roman"/>
          <w:sz w:val="22"/>
          <w:szCs w:val="22"/>
          <w:color w:val="auto"/>
        </w:rPr>
        <w:t xml:space="preserve"> Term Loans funded hereunder on the Closing Date (the “</w:t>
      </w:r>
      <w:r>
        <w:rPr>
          <w:rFonts w:ascii="Times New Roman" w:cs="Times New Roman" w:eastAsia="Times New Roman" w:hAnsi="Times New Roman"/>
          <w:sz w:val="22"/>
          <w:szCs w:val="22"/>
          <w:i w:val="1"/>
          <w:iCs w:val="1"/>
          <w:color w:val="auto"/>
        </w:rPr>
        <w:t>Original Term Loans</w:t>
      </w:r>
      <w:r>
        <w:rPr>
          <w:rFonts w:ascii="Times New Roman" w:cs="Times New Roman" w:eastAsia="Times New Roman" w:hAnsi="Times New Roman"/>
          <w:sz w:val="22"/>
          <w:szCs w:val="22"/>
          <w:color w:val="auto"/>
        </w:rPr>
        <w:t>”) by more than 50 basis points (the amount of such excess, if any, above 50 basis points being referred to herein as the “</w:t>
      </w:r>
      <w:r>
        <w:rPr>
          <w:rFonts w:ascii="Times New Roman" w:cs="Times New Roman" w:eastAsia="Times New Roman" w:hAnsi="Times New Roman"/>
          <w:sz w:val="22"/>
          <w:szCs w:val="22"/>
          <w:i w:val="1"/>
          <w:iCs w:val="1"/>
          <w:color w:val="auto"/>
        </w:rPr>
        <w:t>Yield Differential</w:t>
      </w:r>
      <w:r>
        <w:rPr>
          <w:rFonts w:ascii="Times New Roman" w:cs="Times New Roman" w:eastAsia="Times New Roman" w:hAnsi="Times New Roman"/>
          <w:sz w:val="22"/>
          <w:szCs w:val="22"/>
          <w:color w:val="auto"/>
        </w:rPr>
        <w:t xml:space="preserve">”), then the interest rate margin (and, as provided in the following proviso, the Adjusted Term SOFR floor) then in effect for the Original Term Loans shall be increased to eliminate such Yield Differential;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to the extent any portion of the Yield Differential is attributable to any Term SOFR Reference Rate floor applicable to such Class of Incremental Term Loans exceeding the Adjusted Term SOFR floor applicable to the Original Term Loans, the Adjusted Term SOFR floor applicable to the Original Term Loans shall first be increased to eliminate such Yield Differential to an amount not to exceed the Term SOFR Reference Rate floor applicable to such Class of Incremental Term Loans prior to any increase in the interest rate margin applicable to such Original Term Loans;</w:t>
      </w:r>
    </w:p>
    <w:p>
      <w:pPr>
        <w:spacing w:after="0" w:line="181" w:lineRule="exact"/>
        <w:rPr>
          <w:sz w:val="20"/>
          <w:szCs w:val="20"/>
          <w:color w:val="auto"/>
        </w:rPr>
      </w:pPr>
    </w:p>
    <w:p>
      <w:pPr>
        <w:jc w:val="both"/>
        <w:ind w:left="660" w:firstLine="644"/>
        <w:spacing w:after="0" w:line="257" w:lineRule="auto"/>
        <w:tabs>
          <w:tab w:leader="none" w:pos="1830" w:val="left"/>
        </w:tabs>
        <w:numPr>
          <w:ilvl w:val="0"/>
          <w:numId w:val="9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Revolving Loans extended pursuant to such new Commitments shall be no earlier than the Revolving Facility Maturity Date applicable to the Revolving Commitments that have not been extended pursuant to Section 2.28;</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08" w:val="left"/>
        </w:tabs>
        <w:numPr>
          <w:ilvl w:val="0"/>
          <w:numId w:val="9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Revolving Commitments established pursuant to such Incremental Revolving Commitments shall not require any scheduled amortization or mandatory commitment reduction prior to the Revolving Facility Maturity Date;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2036" w:val="left"/>
        </w:tabs>
        <w:numPr>
          <w:ilvl w:val="0"/>
          <w:numId w:val="9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Incremental Commitments shall be effected by a joinder agreement (the “</w:t>
      </w:r>
      <w:r>
        <w:rPr>
          <w:rFonts w:ascii="Times New Roman" w:cs="Times New Roman" w:eastAsia="Times New Roman" w:hAnsi="Times New Roman"/>
          <w:sz w:val="22"/>
          <w:szCs w:val="22"/>
          <w:i w:val="1"/>
          <w:iCs w:val="1"/>
          <w:color w:val="auto"/>
        </w:rPr>
        <w:t>Increase Joinder</w:t>
      </w:r>
      <w:r>
        <w:rPr>
          <w:rFonts w:ascii="Times New Roman" w:cs="Times New Roman" w:eastAsia="Times New Roman" w:hAnsi="Times New Roman"/>
          <w:sz w:val="22"/>
          <w:szCs w:val="22"/>
          <w:color w:val="auto"/>
        </w:rPr>
        <w:t>”)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w:t>
      </w:r>
    </w:p>
    <w:p>
      <w:pPr>
        <w:spacing w:after="0" w:line="199" w:lineRule="exact"/>
        <w:rPr>
          <w:sz w:val="20"/>
          <w:szCs w:val="20"/>
          <w:color w:val="auto"/>
        </w:rPr>
      </w:pPr>
    </w:p>
    <w:p>
      <w:pPr>
        <w:jc w:val="both"/>
        <w:ind w:firstLine="1304"/>
        <w:spacing w:after="0" w:line="253" w:lineRule="auto"/>
        <w:tabs>
          <w:tab w:leader="none" w:pos="1858" w:val="left"/>
        </w:tabs>
        <w:numPr>
          <w:ilvl w:val="0"/>
          <w:numId w:val="9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of Revolving Loans</w:t>
      </w:r>
      <w:r>
        <w:rPr>
          <w:rFonts w:ascii="Times New Roman" w:cs="Times New Roman" w:eastAsia="Times New Roman" w:hAnsi="Times New Roman"/>
          <w:sz w:val="22"/>
          <w:szCs w:val="22"/>
          <w:color w:val="auto"/>
        </w:rPr>
        <w:t>. To the extent the Commitments being increased on the relevant Increase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Date are Revolving Commitments, each 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40" w:right="339" w:bottom="1440" w:gutter="0" w:footer="0" w:header="0"/>
        </w:sectPr>
      </w:pPr>
    </w:p>
    <w:bookmarkStart w:id="835" w:name="page836"/>
    <w:bookmarkEnd w:id="835"/>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increased Revolving Commitments shall make such Revolving Loans in accordance with Section 2.01(a).</w:t>
      </w:r>
    </w:p>
    <w:p>
      <w:pPr>
        <w:spacing w:after="0" w:line="175" w:lineRule="exact"/>
        <w:rPr>
          <w:sz w:val="20"/>
          <w:szCs w:val="20"/>
          <w:color w:val="auto"/>
        </w:rPr>
      </w:pPr>
    </w:p>
    <w:p>
      <w:pPr>
        <w:jc w:val="both"/>
        <w:ind w:firstLine="1304"/>
        <w:spacing w:after="0" w:line="258" w:lineRule="auto"/>
        <w:tabs>
          <w:tab w:leader="none" w:pos="1792" w:val="left"/>
        </w:tabs>
        <w:numPr>
          <w:ilvl w:val="0"/>
          <w:numId w:val="9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Making of New Term Loans</w:t>
      </w:r>
      <w:r>
        <w:rPr>
          <w:rFonts w:ascii="Times New Roman" w:cs="Times New Roman" w:eastAsia="Times New Roman" w:hAnsi="Times New Roman"/>
          <w:sz w:val="22"/>
          <w:szCs w:val="22"/>
          <w:color w:val="auto"/>
        </w:rPr>
        <w:t>. On any Increase Effective Date on which one or more Incremental Term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becomes effective, subject to the satisfaction of the foregoing terms and conditions, each Lender of such Incremental Term Loan Commitment shall make an Incremental Term Loan to the Borrower in an amount equal to its Incremental Term Loan Commitment.</w:t>
      </w:r>
    </w:p>
    <w:p>
      <w:pPr>
        <w:spacing w:after="0" w:line="16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41" w:val="left"/>
        </w:tabs>
        <w:numPr>
          <w:ilvl w:val="0"/>
          <w:numId w:val="9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 and Guaranty</w:t>
      </w:r>
      <w:r>
        <w:rPr>
          <w:rFonts w:ascii="Times New Roman" w:cs="Times New Roman" w:eastAsia="Times New Roman" w:hAnsi="Times New Roman"/>
          <w:sz w:val="22"/>
          <w:szCs w:val="22"/>
          <w:color w:val="auto"/>
        </w:rPr>
        <w:t>. The Incremental Commitments will be secured on a</w:t>
      </w:r>
      <w:r>
        <w:rPr>
          <w:rFonts w:ascii="Times New Roman" w:cs="Times New Roman" w:eastAsia="Times New Roman" w:hAnsi="Times New Roman"/>
          <w:sz w:val="22"/>
          <w:szCs w:val="22"/>
          <w:i w:val="1"/>
          <w:iCs w:val="1"/>
          <w:color w:val="auto"/>
        </w:rPr>
        <w:t xml:space="preserve"> pari passu </w:t>
      </w:r>
      <w:r>
        <w:rPr>
          <w:rFonts w:ascii="Times New Roman" w:cs="Times New Roman" w:eastAsia="Times New Roman" w:hAnsi="Times New Roman"/>
          <w:sz w:val="22"/>
          <w:szCs w:val="22"/>
          <w:color w:val="auto"/>
        </w:rPr>
        <w:t>or (at the Borrower’s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option) junior basis by the same Collateral securing the obligations under the Facilities, and the Incremental Commitments and any incremental loans drawn thereunder shall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 right of payment with or (at the Borrower’s option) junior to the obligations under the Facilities (it being understood any such junior liens shall be subject to an Intercreditor Agreement). Incremental Commitments shall benefit from the same guarantees as the Facilities.</w:t>
      </w:r>
    </w:p>
    <w:p>
      <w:pPr>
        <w:spacing w:after="0" w:line="19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2.28.</w:t>
      </w:r>
      <w:r>
        <w:rPr>
          <w:sz w:val="20"/>
          <w:szCs w:val="20"/>
          <w:color w:val="auto"/>
        </w:rPr>
        <w:tab/>
      </w:r>
      <w:r>
        <w:rPr>
          <w:rFonts w:ascii="Times New Roman" w:cs="Times New Roman" w:eastAsia="Times New Roman" w:hAnsi="Times New Roman"/>
          <w:sz w:val="21"/>
          <w:szCs w:val="21"/>
          <w:u w:val="single" w:color="auto"/>
          <w:color w:val="auto"/>
        </w:rPr>
        <w:t>Extension of Term Loans; Extension of the Revolving Facility</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48" w:lineRule="auto"/>
        <w:tabs>
          <w:tab w:leader="none" w:pos="1833" w:val="left"/>
        </w:tabs>
        <w:numPr>
          <w:ilvl w:val="0"/>
          <w:numId w:val="9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of Term Loans</w:t>
      </w:r>
      <w:r>
        <w:rPr>
          <w:rFonts w:ascii="Times New Roman" w:cs="Times New Roman" w:eastAsia="Times New Roman" w:hAnsi="Times New Roman"/>
          <w:sz w:val="22"/>
          <w:szCs w:val="22"/>
          <w:color w:val="auto"/>
        </w:rPr>
        <w:t>. Notwithstanding anything to the contrary in this Agreement, pursuant to one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offers (each, a “</w:t>
      </w:r>
      <w:r>
        <w:rPr>
          <w:rFonts w:ascii="Times New Roman" w:cs="Times New Roman" w:eastAsia="Times New Roman" w:hAnsi="Times New Roman"/>
          <w:sz w:val="22"/>
          <w:szCs w:val="22"/>
          <w:i w:val="1"/>
          <w:iCs w:val="1"/>
          <w:color w:val="auto"/>
        </w:rPr>
        <w:t>Term Loan Extension Offer</w:t>
      </w:r>
      <w:r>
        <w:rPr>
          <w:rFonts w:ascii="Times New Roman" w:cs="Times New Roman" w:eastAsia="Times New Roman" w:hAnsi="Times New Roman"/>
          <w:sz w:val="22"/>
          <w:szCs w:val="22"/>
          <w:color w:val="auto"/>
        </w:rPr>
        <w:t>”),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Times New Roman" w:cs="Times New Roman" w:eastAsia="Times New Roman" w:hAnsi="Times New Roman"/>
          <w:sz w:val="22"/>
          <w:szCs w:val="22"/>
          <w:i w:val="1"/>
          <w:iCs w:val="1"/>
          <w:color w:val="auto"/>
        </w:rPr>
        <w:t>Term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Extension</w:t>
      </w:r>
      <w:r>
        <w:rPr>
          <w:rFonts w:ascii="Times New Roman" w:cs="Times New Roman" w:eastAsia="Times New Roman" w:hAnsi="Times New Roman"/>
          <w:sz w:val="22"/>
          <w:szCs w:val="22"/>
          <w:color w:val="auto"/>
        </w:rPr>
        <w:t>,” and each group of Term Loans, as so extended, as well as the original Term Loans not so extended, being a “</w:t>
      </w:r>
      <w:r>
        <w:rPr>
          <w:rFonts w:ascii="Times New Roman" w:cs="Times New Roman" w:eastAsia="Times New Roman" w:hAnsi="Times New Roman"/>
          <w:sz w:val="22"/>
          <w:szCs w:val="22"/>
          <w:i w:val="1"/>
          <w:iCs w:val="1"/>
          <w:color w:val="auto"/>
        </w:rPr>
        <w:t>tranche of Term Loans</w:t>
      </w:r>
      <w:r>
        <w:rPr>
          <w:rFonts w:ascii="Times New Roman" w:cs="Times New Roman" w:eastAsia="Times New Roman" w:hAnsi="Times New Roman"/>
          <w:sz w:val="22"/>
          <w:szCs w:val="22"/>
          <w:color w:val="auto"/>
        </w:rPr>
        <w:t>,” and subject to the last sentence of the definition of “Class,” any Extended Term Loan shall constitute a separate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of Term Loans from the tranche of Term Loans from which they were converted), so long as the following terms are satisfied:</w:t>
      </w:r>
    </w:p>
    <w:p>
      <w:pPr>
        <w:spacing w:after="0" w:line="188" w:lineRule="exact"/>
        <w:rPr>
          <w:sz w:val="20"/>
          <w:szCs w:val="20"/>
          <w:color w:val="auto"/>
        </w:rPr>
      </w:pPr>
    </w:p>
    <w:p>
      <w:pPr>
        <w:ind w:left="660" w:right="20" w:firstLine="644"/>
        <w:spacing w:after="0" w:line="271" w:lineRule="auto"/>
        <w:tabs>
          <w:tab w:leader="none" w:pos="1733" w:val="left"/>
        </w:tabs>
        <w:numPr>
          <w:ilvl w:val="0"/>
          <w:numId w:val="9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pursuant to Section 7.01(b), (e)(B), (f) or (g) shall have occurred and be continuing at the time the offering document in respect of a Term Loan Extension Offer is delivered to the applicable Term Lenders;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99" w:val="left"/>
        </w:tabs>
        <w:numPr>
          <w:ilvl w:val="0"/>
          <w:numId w:val="9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 Amendment (an “</w:t>
      </w:r>
      <w:r>
        <w:rPr>
          <w:rFonts w:ascii="Times New Roman" w:cs="Times New Roman" w:eastAsia="Times New Roman" w:hAnsi="Times New Roman"/>
          <w:sz w:val="22"/>
          <w:szCs w:val="22"/>
          <w:i w:val="1"/>
          <w:iCs w:val="1"/>
          <w:color w:val="auto"/>
        </w:rPr>
        <w:t>Extended Term Loan</w:t>
      </w:r>
      <w:r>
        <w:rPr>
          <w:rFonts w:ascii="Times New Roman" w:cs="Times New Roman" w:eastAsia="Times New Roman" w:hAnsi="Times New Roman"/>
          <w:sz w:val="22"/>
          <w:szCs w:val="22"/>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40" w:right="339" w:bottom="1440" w:gutter="0" w:footer="0" w:header="0"/>
        </w:sectPr>
      </w:pPr>
    </w:p>
    <w:bookmarkStart w:id="836" w:name="page837"/>
    <w:bookmarkEnd w:id="836"/>
    <w:p>
      <w:pPr>
        <w:spacing w:after="0" w:line="199"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1"/>
          <w:szCs w:val="21"/>
          <w:color w:val="auto"/>
        </w:rPr>
        <w:t xml:space="preserve">be a Term Loan with the same terms as the original Class of Term Loans being extended;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w:t>
      </w:r>
    </w:p>
    <w:p>
      <w:pPr>
        <w:spacing w:after="0" w:line="180" w:lineRule="exact"/>
        <w:rPr>
          <w:sz w:val="20"/>
          <w:szCs w:val="20"/>
          <w:color w:val="auto"/>
        </w:rPr>
      </w:pPr>
    </w:p>
    <w:p>
      <w:pPr>
        <w:ind w:left="1840" w:hanging="536"/>
        <w:spacing w:after="0"/>
        <w:tabs>
          <w:tab w:leader="none" w:pos="1840" w:val="left"/>
        </w:tabs>
        <w:numPr>
          <w:ilvl w:val="0"/>
          <w:numId w:val="9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Term Loan Extension shall be consistent with the foregoing;</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88" w:val="left"/>
        </w:tabs>
        <w:numPr>
          <w:ilvl w:val="0"/>
          <w:numId w:val="9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amend, revoke or replace a Term Loan Extension Offer at any time prior to the date on which Lenders under the tranche of Term Loans are requested to respond to the offer; and</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87" w:val="left"/>
        </w:tabs>
        <w:numPr>
          <w:ilvl w:val="0"/>
          <w:numId w:val="9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Term Lender shall be obligated to accept any Term Loan Extension Offer.</w:t>
      </w:r>
    </w:p>
    <w:p>
      <w:pPr>
        <w:spacing w:after="0" w:line="140" w:lineRule="exact"/>
        <w:rPr>
          <w:sz w:val="20"/>
          <w:szCs w:val="20"/>
          <w:color w:val="auto"/>
        </w:rPr>
      </w:pPr>
    </w:p>
    <w:p>
      <w:pPr>
        <w:jc w:val="both"/>
        <w:ind w:firstLine="1304"/>
        <w:spacing w:after="0" w:line="248" w:lineRule="auto"/>
        <w:tabs>
          <w:tab w:leader="none" w:pos="1777" w:val="left"/>
        </w:tabs>
        <w:numPr>
          <w:ilvl w:val="0"/>
          <w:numId w:val="9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of the Revolving Facility</w:t>
      </w:r>
      <w:r>
        <w:rPr>
          <w:rFonts w:ascii="Times New Roman" w:cs="Times New Roman" w:eastAsia="Times New Roman" w:hAnsi="Times New Roman"/>
          <w:sz w:val="22"/>
          <w:szCs w:val="22"/>
          <w:color w:val="auto"/>
        </w:rPr>
        <w:t>. Notwithstanding anything to the contrary in this Agreement,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one or more offers (each, a “</w:t>
      </w:r>
      <w:r>
        <w:rPr>
          <w:rFonts w:ascii="Times New Roman" w:cs="Times New Roman" w:eastAsia="Times New Roman" w:hAnsi="Times New Roman"/>
          <w:sz w:val="22"/>
          <w:szCs w:val="22"/>
          <w:i w:val="1"/>
          <w:iCs w:val="1"/>
          <w:color w:val="auto"/>
        </w:rPr>
        <w:t>Revolver Extension Offer</w:t>
      </w:r>
      <w:r>
        <w:rPr>
          <w:rFonts w:ascii="Times New Roman" w:cs="Times New Roman" w:eastAsia="Times New Roman" w:hAnsi="Times New Roman"/>
          <w:sz w:val="22"/>
          <w:szCs w:val="22"/>
          <w:color w:val="auto"/>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all or a portion of each such Revolving Lender’s Revolving Commitments and otherwise modify the terms of such Revolving Commitments pursuant to the terms of the relevant Revolver Extension Offer (including, without limitation, by the changing interest rate or fees payable in respect of such Revolving Commitments (and related outstandings)) (each, a “</w:t>
      </w:r>
      <w:r>
        <w:rPr>
          <w:rFonts w:ascii="Times New Roman" w:cs="Times New Roman" w:eastAsia="Times New Roman" w:hAnsi="Times New Roman"/>
          <w:sz w:val="22"/>
          <w:szCs w:val="22"/>
          <w:i w:val="1"/>
          <w:iCs w:val="1"/>
          <w:color w:val="auto"/>
        </w:rPr>
        <w:t>Revolver Extension</w:t>
      </w:r>
      <w:r>
        <w:rPr>
          <w:rFonts w:ascii="Times New Roman" w:cs="Times New Roman" w:eastAsia="Times New Roman" w:hAnsi="Times New Roman"/>
          <w:sz w:val="22"/>
          <w:szCs w:val="22"/>
          <w:color w:val="auto"/>
        </w:rPr>
        <w:t>,” and each group of Revolving Commitments, as so extended, as well as the original Revolving Commitments not so extended, being a “</w:t>
      </w:r>
      <w:r>
        <w:rPr>
          <w:rFonts w:ascii="Times New Roman" w:cs="Times New Roman" w:eastAsia="Times New Roman" w:hAnsi="Times New Roman"/>
          <w:sz w:val="22"/>
          <w:szCs w:val="22"/>
          <w:i w:val="1"/>
          <w:iCs w:val="1"/>
          <w:color w:val="auto"/>
        </w:rPr>
        <w:t>tranche of Revolving Loans</w:t>
      </w:r>
      <w:r>
        <w:rPr>
          <w:rFonts w:ascii="Times New Roman" w:cs="Times New Roman" w:eastAsia="Times New Roman" w:hAnsi="Times New Roman"/>
          <w:sz w:val="22"/>
          <w:szCs w:val="22"/>
          <w:color w:val="auto"/>
        </w:rPr>
        <w:t>,” and any subject to the last sentence of the definition of "Class," Extended Revolving Commitments shall constitute a separate tranche of Revolving Commitments from the tranche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40" w:right="339" w:bottom="1440" w:gutter="0" w:footer="0" w:header="0"/>
        </w:sectPr>
      </w:pPr>
    </w:p>
    <w:bookmarkStart w:id="837" w:name="page838"/>
    <w:bookmarkEnd w:id="83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Revolving Commitments from which they were converted), so long as the following terms are satisfied:</w:t>
      </w:r>
    </w:p>
    <w:p>
      <w:pPr>
        <w:spacing w:after="0" w:line="220" w:lineRule="exact"/>
        <w:rPr>
          <w:sz w:val="20"/>
          <w:szCs w:val="20"/>
          <w:color w:val="auto"/>
        </w:rPr>
      </w:pPr>
    </w:p>
    <w:p>
      <w:pPr>
        <w:jc w:val="both"/>
        <w:ind w:left="660" w:right="20" w:firstLine="644"/>
        <w:spacing w:after="0" w:line="263" w:lineRule="auto"/>
        <w:tabs>
          <w:tab w:leader="none" w:pos="1782" w:val="left"/>
        </w:tabs>
        <w:numPr>
          <w:ilvl w:val="0"/>
          <w:numId w:val="9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pursuant to Section 7.01(b), (e)(B), (f) or (g) shall have occurred and be continuing at the time the offering document in respect of a Revolver Extension Offer is delivered to the applicable Revolving Lenders (the “</w:t>
      </w:r>
      <w:r>
        <w:rPr>
          <w:rFonts w:ascii="Times New Roman" w:cs="Times New Roman" w:eastAsia="Times New Roman" w:hAnsi="Times New Roman"/>
          <w:sz w:val="22"/>
          <w:szCs w:val="22"/>
          <w:i w:val="1"/>
          <w:iCs w:val="1"/>
          <w:color w:val="auto"/>
        </w:rPr>
        <w:t>Revolver Extension Offer Date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793" w:val="left"/>
        </w:tabs>
        <w:numPr>
          <w:ilvl w:val="0"/>
          <w:numId w:val="9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 w:cs="Times New Roman" w:eastAsia="Times New Roman" w:hAnsi="Times New Roman"/>
          <w:sz w:val="21"/>
          <w:szCs w:val="21"/>
          <w:i w:val="1"/>
          <w:iCs w:val="1"/>
          <w:color w:val="auto"/>
        </w:rPr>
        <w:t>Extended Revolving Commitment</w:t>
      </w:r>
      <w:r>
        <w:rPr>
          <w:rFonts w:ascii="Times New Roman" w:cs="Times New Roman" w:eastAsia="Times New Roman" w:hAnsi="Times New Roman"/>
          <w:sz w:val="21"/>
          <w:szCs w:val="21"/>
          <w:color w:val="auto"/>
        </w:rPr>
        <w:t xml:space="preserve">”), and the related outstandings, shall be a Revolving Commitment (or related outstandings, as the case may be) with the same terms as the original Class of Revolving Commitments being extended (and related outstandings);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 (a) prepayments of Revolving Loans other than in connection with a termination of commitments shall not be required to be on a pro rata basis and (b) the Borrower shall be permitted to permanently repay and terminate commitments of any such tranche of Revolving Loans on a better than pro rata basis as compared to any other tranche of Revolving 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w:t>
      </w:r>
    </w:p>
    <w:p>
      <w:pPr>
        <w:spacing w:after="0" w:line="182"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890" w:val="left"/>
        </w:tabs>
        <w:numPr>
          <w:ilvl w:val="0"/>
          <w:numId w:val="9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81" w:val="left"/>
        </w:tabs>
        <w:numPr>
          <w:ilvl w:val="0"/>
          <w:numId w:val="9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40" w:right="339" w:bottom="1440" w:gutter="0" w:footer="0" w:header="0"/>
        </w:sectPr>
      </w:pPr>
    </w:p>
    <w:bookmarkStart w:id="838" w:name="page839"/>
    <w:bookmarkEnd w:id="838"/>
    <w:p>
      <w:pPr>
        <w:spacing w:after="0" w:line="199"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each Revolving Lender that does not respond affirmatively by the deadline set forth in the Revolver Extension Offer shall be deemed not to have accepted such Revolver Extension Offer,</w:t>
      </w:r>
    </w:p>
    <w:p>
      <w:pPr>
        <w:spacing w:after="0" w:line="2" w:lineRule="exact"/>
        <w:rPr>
          <w:sz w:val="20"/>
          <w:szCs w:val="20"/>
          <w:color w:val="auto"/>
        </w:rPr>
      </w:pPr>
    </w:p>
    <w:p>
      <w:pPr>
        <w:jc w:val="both"/>
        <w:ind w:left="660" w:hanging="4"/>
        <w:spacing w:after="0" w:line="246" w:lineRule="auto"/>
        <w:tabs>
          <w:tab w:leader="none" w:pos="979" w:val="left"/>
        </w:tabs>
        <w:numPr>
          <w:ilvl w:val="0"/>
          <w:numId w:val="9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to this Section 2.28(b)(iv), if applicable) or the Borrower (in the case of all other amounts), (3) the processing and recordation fee specified in Section 10.02(b)(ii)(D) shall be paid by the Borrower or such assignee and (4) the assigning Revolving Lender shall continue to be entitled to the rights under Section 10.04 for any period prior to the effectiveness of such assignment;</w:t>
      </w:r>
    </w:p>
    <w:p>
      <w:pPr>
        <w:spacing w:after="0" w:line="185" w:lineRule="exact"/>
        <w:rPr>
          <w:rFonts w:ascii="Times New Roman" w:cs="Times New Roman" w:eastAsia="Times New Roman" w:hAnsi="Times New Roman"/>
          <w:sz w:val="22"/>
          <w:szCs w:val="22"/>
          <w:color w:val="auto"/>
        </w:rPr>
      </w:pPr>
    </w:p>
    <w:p>
      <w:pPr>
        <w:ind w:left="660" w:firstLine="644"/>
        <w:spacing w:after="0" w:line="284" w:lineRule="auto"/>
        <w:tabs>
          <w:tab w:leader="none" w:pos="1929" w:val="left"/>
        </w:tabs>
        <w:numPr>
          <w:ilvl w:val="1"/>
          <w:numId w:val="9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Revolver Extension shall be consistent with the foregoing unless otherwise agreed by the Administrative Agent and the Borrower;</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17" w:val="left"/>
        </w:tabs>
        <w:numPr>
          <w:ilvl w:val="1"/>
          <w:numId w:val="9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amend, revoke or replace a Revolver Extension Offer at any time prior to the date on which Lenders under the tranche of Revolving Loans are requested to respond to the offer;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82" w:val="left"/>
        </w:tabs>
        <w:numPr>
          <w:ilvl w:val="1"/>
          <w:numId w:val="9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Revolving Lender shall be obligated to accept any Revolver Extension Offer.</w:t>
      </w:r>
    </w:p>
    <w:p>
      <w:pPr>
        <w:spacing w:after="0" w:line="167" w:lineRule="exact"/>
        <w:rPr>
          <w:sz w:val="20"/>
          <w:szCs w:val="20"/>
          <w:color w:val="auto"/>
        </w:rPr>
      </w:pPr>
    </w:p>
    <w:p>
      <w:pPr>
        <w:jc w:val="both"/>
        <w:ind w:firstLine="1304"/>
        <w:spacing w:after="0" w:line="248" w:lineRule="auto"/>
        <w:tabs>
          <w:tab w:leader="none" w:pos="1752" w:val="left"/>
        </w:tabs>
        <w:numPr>
          <w:ilvl w:val="0"/>
          <w:numId w:val="10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With respect to all Extensions consummated by the Borrower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2.28, (i) such 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Times New Roman" w:cs="Times New Roman" w:eastAsia="Times New Roman" w:hAnsi="Times New Roman"/>
          <w:sz w:val="22"/>
          <w:szCs w:val="22"/>
          <w:i w:val="1"/>
          <w:iCs w:val="1"/>
          <w:color w:val="auto"/>
        </w:rPr>
        <w:t>Minimum Extension Condition</w:t>
      </w:r>
      <w:r>
        <w:rPr>
          <w:rFonts w:ascii="Times New Roman" w:cs="Times New Roman" w:eastAsia="Times New Roman" w:hAnsi="Times New Roman"/>
          <w:sz w:val="22"/>
          <w:szCs w:val="22"/>
          <w:color w:val="auto"/>
        </w:rPr>
        <w:t>”).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w:t>
      </w:r>
    </w:p>
    <w:p>
      <w:pPr>
        <w:spacing w:after="0" w:line="180"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80" w:val="left"/>
        </w:tabs>
        <w:numPr>
          <w:ilvl w:val="0"/>
          <w:numId w:val="10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Amendment</w:t>
      </w:r>
      <w:r>
        <w:rPr>
          <w:rFonts w:ascii="Times New Roman" w:cs="Times New Roman" w:eastAsia="Times New Roman" w:hAnsi="Times New Roman"/>
          <w:sz w:val="22"/>
          <w:szCs w:val="22"/>
          <w:color w:val="auto"/>
        </w:rPr>
        <w:t>. The consent of the Administrative Agent shall be required to effectuate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Extension, such consent not to be unreasonably withheld. No consent of any Lender shall be required to effectuate any Extension, other than (A) in the case of a Revolver Extension, (i) the consent of each Lender agreeing to such Extension with respect to all or a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40" w:right="339" w:bottom="1440" w:gutter="0" w:footer="0" w:header="0"/>
        </w:sectPr>
      </w:pPr>
    </w:p>
    <w:bookmarkStart w:id="839" w:name="page840"/>
    <w:bookmarkEnd w:id="839"/>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 (B) in the case of a Term Loan Extension, the consent of each Lender agreeing to such Extension with respect to all or a portion of its Term Loans, as applicable. All Extended Term Loans and Extended Revolving Commitments and all obligations in respect thereof shall be Obligations under this Agreement and the other Loan Documents that are secured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all other applicable Obligations under this Agreement and the other Loan Documents. Notwithstanding anything else to the contrary set forth in this Agreement or the other Loan Documents, the Lenders hereby irrevocably authorize each Agent to enter into amendments to this Agreement and the other Loan Documents (each, an “</w:t>
      </w:r>
      <w:r>
        <w:rPr>
          <w:rFonts w:ascii="Times New Roman" w:cs="Times New Roman" w:eastAsia="Times New Roman" w:hAnsi="Times New Roman"/>
          <w:sz w:val="22"/>
          <w:szCs w:val="22"/>
          <w:i w:val="1"/>
          <w:iCs w:val="1"/>
          <w:color w:val="auto"/>
        </w:rPr>
        <w:t>Extension Amendment</w:t>
      </w:r>
      <w:r>
        <w:rPr>
          <w:rFonts w:ascii="Times New Roman" w:cs="Times New Roman" w:eastAsia="Times New Roman" w:hAnsi="Times New Roman"/>
          <w:sz w:val="22"/>
          <w:szCs w:val="22"/>
          <w:color w:val="auto"/>
        </w:rPr>
        <w:t xml:space="preserve">”) with the Borrower 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 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w:t>
      </w:r>
    </w:p>
    <w:p>
      <w:pPr>
        <w:spacing w:after="0" w:line="187" w:lineRule="exact"/>
        <w:rPr>
          <w:sz w:val="20"/>
          <w:szCs w:val="20"/>
          <w:color w:val="auto"/>
        </w:rPr>
      </w:pPr>
    </w:p>
    <w:p>
      <w:pPr>
        <w:jc w:val="both"/>
        <w:ind w:firstLine="1304"/>
        <w:spacing w:after="0" w:line="250" w:lineRule="auto"/>
        <w:tabs>
          <w:tab w:leader="none" w:pos="1865" w:val="left"/>
        </w:tabs>
        <w:numPr>
          <w:ilvl w:val="0"/>
          <w:numId w:val="10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40" w:right="339" w:bottom="1440" w:gutter="0" w:footer="0" w:header="0"/>
        </w:sectPr>
      </w:pPr>
    </w:p>
    <w:bookmarkStart w:id="840" w:name="page841"/>
    <w:bookmarkEnd w:id="840"/>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and Authority</w:t>
      </w:r>
      <w:r>
        <w:rPr>
          <w:rFonts w:ascii="Times New Roman" w:cs="Times New Roman" w:eastAsia="Times New Roman" w:hAnsi="Times New Roman"/>
          <w:sz w:val="22"/>
          <w:szCs w:val="22"/>
          <w:color w:val="auto"/>
        </w:rPr>
        <w:t>.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Air Carrier Status</w:t>
      </w:r>
      <w:r>
        <w:rPr>
          <w:rFonts w:ascii="Times New Roman" w:cs="Times New Roman" w:eastAsia="Times New Roman" w:hAnsi="Times New Roman"/>
          <w:sz w:val="22"/>
          <w:szCs w:val="22"/>
          <w:color w:val="auto"/>
        </w:rPr>
        <w:t>. As of the date hereof, the Borrower is an “air carrier” within the meaning of Section 40102 of Title 49 and holds a certificate under Section 41102 of Title 49. The Borrower holds or co-holds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Times New Roman" w:cs="Times New Roman" w:eastAsia="Times New Roman" w:hAnsi="Times New Roman"/>
          <w:sz w:val="22"/>
          <w:szCs w:val="22"/>
          <w:i w:val="1"/>
          <w:iCs w:val="1"/>
          <w:color w:val="auto"/>
        </w:rPr>
        <w:t>United States Citizen</w:t>
      </w:r>
      <w:r>
        <w:rPr>
          <w:rFonts w:ascii="Times New Roman" w:cs="Times New Roman" w:eastAsia="Times New Roman" w:hAnsi="Times New Roman"/>
          <w:sz w:val="22"/>
          <w:szCs w:val="22"/>
          <w:color w:val="auto"/>
        </w:rPr>
        <w:t>”). The Borrower possesses or co-possesses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w:t>
      </w:r>
    </w:p>
    <w:p>
      <w:pPr>
        <w:spacing w:after="0" w:line="18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Due Execution</w:t>
      </w:r>
      <w:r>
        <w:rPr>
          <w:rFonts w:ascii="Times New Roman" w:cs="Times New Roman" w:eastAsia="Times New Roman" w:hAnsi="Times New Roman"/>
          <w:sz w:val="21"/>
          <w:szCs w:val="21"/>
          <w:color w:val="auto"/>
        </w:rPr>
        <w:t>.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40" w:right="339" w:bottom="1440" w:gutter="0" w:footer="0" w:header="0"/>
        </w:sectPr>
      </w:pPr>
    </w:p>
    <w:bookmarkStart w:id="841" w:name="page842"/>
    <w:bookmarkEnd w:id="841"/>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Documents and (b)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w:t>
      </w:r>
    </w:p>
    <w:p>
      <w:pPr>
        <w:spacing w:after="0" w:line="1" w:lineRule="exact"/>
        <w:rPr>
          <w:sz w:val="20"/>
          <w:szCs w:val="20"/>
          <w:color w:val="auto"/>
        </w:rPr>
      </w:pPr>
    </w:p>
    <w:p>
      <w:pPr>
        <w:jc w:val="both"/>
        <w:ind w:firstLine="8"/>
        <w:spacing w:after="0" w:line="245" w:lineRule="auto"/>
        <w:tabs>
          <w:tab w:leader="none" w:pos="369" w:val="left"/>
        </w:tabs>
        <w:numPr>
          <w:ilvl w:val="0"/>
          <w:numId w:val="10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u w:val="single" w:color="auto"/>
          <w:color w:val="auto"/>
        </w:rPr>
        <w:t>Statements Made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810" w:val="left"/>
        </w:tabs>
        <w:numPr>
          <w:ilvl w:val="0"/>
          <w:numId w:val="10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2022 of Parent filed with the SEC and all Quarterly Reports on Form 10-Q or Current Reports on Form 8-K that have been filed after December 31, 2022,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2" w:val="left"/>
        </w:tabs>
        <w:numPr>
          <w:ilvl w:val="0"/>
          <w:numId w:val="10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u w:val="single" w:color="auto"/>
          <w:color w:val="auto"/>
        </w:rPr>
        <w:t>Financial Statements; Material Adverse Change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928" w:val="left"/>
        </w:tabs>
        <w:numPr>
          <w:ilvl w:val="0"/>
          <w:numId w:val="10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Parent and its Subsidiaries for the fiscal year ended December 31, 2022, included in Parent’s Annual Report on Form 10-K for 2022 filed with the SEC, as amended and (ii) the unaudited consolidated financial statement of Parent and its Subsidiaries for the fiscal quarter ending September 30, 2023, each present fairly, in all material respects, in accordance with GAAP, the financial condition, results of operations and cash flows of Parent and its Subsidiaries on a consolidated basis as of such date and for such period (except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40" w:right="339" w:bottom="1440" w:gutter="0" w:footer="0" w:header="0"/>
        </w:sectPr>
      </w:pPr>
    </w:p>
    <w:bookmarkStart w:id="842" w:name="page843"/>
    <w:bookmarkEnd w:id="842"/>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consolidated financial statements are subject to normal year-end audit adjustments and the absence of footnotes).</w:t>
      </w:r>
    </w:p>
    <w:p>
      <w:pPr>
        <w:spacing w:after="0" w:line="220" w:lineRule="exact"/>
        <w:rPr>
          <w:sz w:val="20"/>
          <w:szCs w:val="20"/>
          <w:color w:val="auto"/>
        </w:rPr>
      </w:pPr>
    </w:p>
    <w:p>
      <w:pPr>
        <w:ind w:firstLine="1304"/>
        <w:spacing w:after="0" w:line="271" w:lineRule="auto"/>
        <w:tabs>
          <w:tab w:leader="none" w:pos="1856" w:val="left"/>
        </w:tabs>
        <w:numPr>
          <w:ilvl w:val="0"/>
          <w:numId w:val="10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Parent’s Annual Report on Form 10-K for 2022 or any subsequent report filed by Parent on Form 10-Q or Form 8-K with the SEC, since December 31, 2022, there has been no Material Adverse Change.</w:t>
      </w:r>
    </w:p>
    <w:p>
      <w:pPr>
        <w:spacing w:after="0" w:line="171" w:lineRule="exact"/>
        <w:rPr>
          <w:sz w:val="20"/>
          <w:szCs w:val="20"/>
          <w:color w:val="auto"/>
        </w:rPr>
      </w:pPr>
    </w:p>
    <w:p>
      <w:pPr>
        <w:ind w:left="1300"/>
        <w:spacing w:after="0"/>
        <w:tabs>
          <w:tab w:leader="none" w:pos="298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As of the Closing Date, other than as set forth on Schedule 3.06,</w:t>
      </w:r>
    </w:p>
    <w:p>
      <w:pPr>
        <w:spacing w:after="0" w:line="28" w:lineRule="exact"/>
        <w:rPr>
          <w:sz w:val="20"/>
          <w:szCs w:val="20"/>
          <w:color w:val="auto"/>
        </w:rPr>
      </w:pPr>
    </w:p>
    <w:p>
      <w:pPr>
        <w:ind w:firstLine="8"/>
        <w:spacing w:after="0" w:line="248" w:lineRule="auto"/>
        <w:tabs>
          <w:tab w:leader="none" w:pos="299" w:val="left"/>
        </w:tabs>
        <w:numPr>
          <w:ilvl w:val="0"/>
          <w:numId w:val="10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Persons listed on Schedule 3.06 is a wholly-owned, direct or indirect Subsidiary of Parent and (b) Parent owns no other Subsidiaries (other than Immaterial Subsidiaries), whether directly or indirectly.</w:t>
      </w:r>
    </w:p>
    <w:p>
      <w:pPr>
        <w:spacing w:after="0" w:line="182" w:lineRule="exact"/>
        <w:rPr>
          <w:sz w:val="20"/>
          <w:szCs w:val="20"/>
          <w:color w:val="auto"/>
        </w:rPr>
      </w:pPr>
    </w:p>
    <w:p>
      <w:pPr>
        <w:ind w:left="1300"/>
        <w:spacing w:after="0"/>
        <w:tabs>
          <w:tab w:leader="none" w:pos="302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There are no Liens of any nature whatsoever on any Collateral, except for Permitted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Liens.</w:t>
      </w:r>
    </w:p>
    <w:p>
      <w:pPr>
        <w:spacing w:after="0" w:line="209" w:lineRule="exact"/>
        <w:rPr>
          <w:sz w:val="20"/>
          <w:szCs w:val="20"/>
          <w:color w:val="auto"/>
        </w:rPr>
      </w:pPr>
    </w:p>
    <w:p>
      <w:pPr>
        <w:ind w:left="1300"/>
        <w:spacing w:after="0"/>
        <w:tabs>
          <w:tab w:leader="none" w:pos="296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shall be used (i) to consummate the Refinancing,</w:t>
      </w:r>
    </w:p>
    <w:p>
      <w:pPr>
        <w:spacing w:after="0" w:line="28" w:lineRule="exact"/>
        <w:rPr>
          <w:sz w:val="20"/>
          <w:szCs w:val="20"/>
          <w:color w:val="auto"/>
        </w:rPr>
      </w:pPr>
    </w:p>
    <w:p>
      <w:pPr>
        <w:ind w:left="1300" w:right="2120" w:hanging="1292"/>
        <w:spacing w:after="0" w:line="436" w:lineRule="auto"/>
        <w:tabs>
          <w:tab w:leader="none" w:pos="322" w:val="left"/>
        </w:tabs>
        <w:numPr>
          <w:ilvl w:val="0"/>
          <w:numId w:val="10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pay fees and expenses in connection with the Transactions, and (iii) for general corporate purposes. SECTION 3.09. </w:t>
      </w:r>
      <w:r>
        <w:rPr>
          <w:rFonts w:ascii="Times New Roman" w:cs="Times New Roman" w:eastAsia="Times New Roman" w:hAnsi="Times New Roman"/>
          <w:sz w:val="22"/>
          <w:szCs w:val="22"/>
          <w:u w:val="single" w:color="auto"/>
          <w:color w:val="auto"/>
        </w:rPr>
        <w:t>Litigation and Compliance with Laws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7" w:val="left"/>
        </w:tabs>
        <w:numPr>
          <w:ilvl w:val="1"/>
          <w:numId w:val="10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Parent’s Annual Report on Form 10-K for 2022 or any subsequent report filed by Parent on Form 10-Q or Form 8-K with the SEC since December 31, 2022,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6" w:val="left"/>
        </w:tabs>
        <w:numPr>
          <w:ilvl w:val="1"/>
          <w:numId w:val="10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Slots</w:t>
      </w:r>
      <w:r>
        <w:rPr>
          <w:rFonts w:ascii="Times New Roman" w:cs="Times New Roman" w:eastAsia="Times New Roman" w:hAnsi="Times New Roman"/>
          <w:sz w:val="22"/>
          <w:szCs w:val="22"/>
          <w:color w:val="auto"/>
        </w:rPr>
        <w:t>.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40" w:right="339" w:bottom="1440" w:gutter="0" w:footer="0" w:header="0"/>
        </w:sectPr>
      </w:pPr>
    </w:p>
    <w:bookmarkStart w:id="843" w:name="page844"/>
    <w:bookmarkEnd w:id="843"/>
    <w:p>
      <w:pPr>
        <w:spacing w:after="0" w:line="19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Routes</w:t>
      </w:r>
      <w:r>
        <w:rPr>
          <w:rFonts w:ascii="Times New Roman" w:cs="Times New Roman" w:eastAsia="Times New Roman" w:hAnsi="Times New Roman"/>
          <w:sz w:val="21"/>
          <w:szCs w:val="21"/>
          <w:color w:val="auto"/>
        </w:rPr>
        <w:t>. With respect to the Pledged Route Authorities relating to the Scheduled Services, each applicable Grantor holds or co-holds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17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Margin Regulations; Investment Company Act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13" w:val="left"/>
        </w:tabs>
        <w:numPr>
          <w:ilvl w:val="0"/>
          <w:numId w:val="10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Guarantor is engaged, principally or as one of its important activities, in the business of purchasing or carrying margin stock (within the meaning of Regulation U issued by the Board, “</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or extending credit for the purpose of purchasing or carrying Margin Stock, and no proceeds of any Loans will be used to purchase or carry any Margin Stock or to extend credit to others for the purpose of purchasing or carrying any Margin Stock in violation of Regulation U.</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838" w:val="left"/>
        </w:tabs>
        <w:numPr>
          <w:ilvl w:val="0"/>
          <w:numId w:val="10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Guarantor is, or after the making of the Loans will be, or is required to be, registered as an “investment company” under the Investment Company Act of 1940, as amended.</w:t>
      </w:r>
    </w:p>
    <w:p>
      <w:pPr>
        <w:spacing w:after="0" w:line="15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Holding of Collateral</w:t>
      </w:r>
      <w:r>
        <w:rPr>
          <w:rFonts w:ascii="Times New Roman" w:cs="Times New Roman" w:eastAsia="Times New Roman" w:hAnsi="Times New Roman"/>
          <w:sz w:val="22"/>
          <w:szCs w:val="22"/>
          <w:color w:val="auto"/>
        </w:rPr>
        <w:t>. Each applicable Grantor is, and as to Collateral acquired by it from time to time after the date hereof such Grantor will be, the holder or a co-holder of all such Collateral free from any Lien except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Lien and security interest created by the Collateral Documents and (2) Permitted Liens.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3.14. </w:t>
      </w:r>
      <w:r>
        <w:rPr>
          <w:rFonts w:ascii="Times New Roman" w:cs="Times New Roman" w:eastAsia="Times New Roman" w:hAnsi="Times New Roman"/>
          <w:sz w:val="21"/>
          <w:szCs w:val="21"/>
          <w:u w:val="single" w:color="auto"/>
          <w:color w:val="auto"/>
        </w:rPr>
        <w:t>Perfected Security Interests</w:t>
      </w:r>
      <w:r>
        <w:rPr>
          <w:rFonts w:ascii="Times New Roman" w:cs="Times New Roman" w:eastAsia="Times New Roman" w:hAnsi="Times New Roman"/>
          <w:sz w:val="21"/>
          <w:szCs w:val="21"/>
          <w:color w:val="auto"/>
        </w:rPr>
        <w:t>. All UCC filings necessary or reasonably requested by the Collateral Trustee to create, preserve, protect and perfect the security interests granted by the Borrower or any Guarantor, as applicable, to the Collateral Trustee for the 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if any, as provided in Sections 9-104 and 9-106 of the UCC have been taken by such Grantor to the extent that such security interests can be perfected on or before the date hereof by execution and delivery of the Account Control Agreement. Subject to the Collateral Trust Agreement and any Intercreditor Agreement, the security interests granted to the Collateral Trustee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40" w:right="339" w:bottom="1440" w:gutter="0" w:footer="0" w:header="0"/>
        </w:sectPr>
      </w:pPr>
    </w:p>
    <w:bookmarkStart w:id="844" w:name="page845"/>
    <w:bookmarkEnd w:id="844"/>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is entitled with respect to such perfected security interest to all the rights, priorities and benefits afforded by the UCC to perfected security interests.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No Unlawful Payments</w:t>
      </w:r>
      <w:r>
        <w:rPr>
          <w:rFonts w:ascii="Times New Roman" w:cs="Times New Roman" w:eastAsia="Times New Roman" w:hAnsi="Times New Roman"/>
          <w:sz w:val="22"/>
          <w:szCs w:val="22"/>
          <w:color w:val="auto"/>
        </w:rPr>
        <w:t>.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Borrower and each Guarantor has implemented compliance programs for purposes of (a) informing the appropriate officers and employees of the Borrower, such Guarantor 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any purpose in breach of any laws described in clause (1) – (4) above.</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3.17. </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target of any U.S. sanctions administered by the U.S. federal government (including the Office of Foreign Assets Control of the U.S. Treasury Department (“</w:t>
      </w:r>
      <w:r>
        <w:rPr>
          <w:rFonts w:ascii="Times New Roman" w:cs="Times New Roman" w:eastAsia="Times New Roman" w:hAnsi="Times New Roman"/>
          <w:sz w:val="21"/>
          <w:szCs w:val="21"/>
          <w:i w:val="1"/>
          <w:iCs w:val="1"/>
          <w:color w:val="auto"/>
        </w:rPr>
        <w:t>OFAC</w:t>
      </w:r>
      <w:r>
        <w:rPr>
          <w:rFonts w:ascii="Times New Roman" w:cs="Times New Roman" w:eastAsia="Times New Roman" w:hAnsi="Times New Roman"/>
          <w:sz w:val="21"/>
          <w:szCs w:val="21"/>
          <w:color w:val="auto"/>
        </w:rPr>
        <w:t>”)); and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the purpose of financing the activities of any person (individual or entity) or in any country, region or territory, that is at the time of such financing the target of any U.S. sanctions administered by the U.S. federal government (including OFAC) in any manner that would result in the violation of any U.S. sanctions applicable to any party hereto.</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The operations of the Borrower, the Guarantors and their respective subsidiaries are and have been conducted at all times in material compliance with all applicable financial recordkeeping and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40" w:right="339" w:bottom="1440" w:gutter="0" w:footer="0" w:header="0"/>
        </w:sectPr>
      </w:pPr>
    </w:p>
    <w:bookmarkStart w:id="845" w:name="page846"/>
    <w:bookmarkEnd w:id="845"/>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including those of the Bank Secrecy Act, as amended by the Patriot Act, and the applicable anti-money laundering statutes of jurisdictions where the Borrower, the Guarantors and their respective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Borrower, the Guarantors or any of their respective subsidiaries with respect to the Anti-Money Laundering Laws is pending or, to the best knowledge of the Borrower and the Guarantors, threatened.</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the Closing Date, after giving effect to the Loans made on the Closing Date and the payment of all costs and expenses in connection therewith, that the Borrower and the Guarantors, taken as a whole, are Solvent.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OF LENDING</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Precedent to Closing</w:t>
      </w:r>
      <w:r>
        <w:rPr>
          <w:rFonts w:ascii="Times New Roman" w:cs="Times New Roman" w:eastAsia="Times New Roman" w:hAnsi="Times New Roman"/>
          <w:sz w:val="22"/>
          <w:szCs w:val="22"/>
          <w:color w:val="auto"/>
        </w:rPr>
        <w:t>. The Credit Agreement shall become effective on the date on which the following conditions precedent shall have been satisfied (or waived by the Lenders in accordance with Section 10.08 and by the Administrative Agent):</w:t>
      </w:r>
    </w:p>
    <w:p>
      <w:pPr>
        <w:spacing w:after="0" w:line="163" w:lineRule="exact"/>
        <w:rPr>
          <w:sz w:val="20"/>
          <w:szCs w:val="20"/>
          <w:color w:val="auto"/>
        </w:rPr>
      </w:pPr>
    </w:p>
    <w:p>
      <w:pPr>
        <w:ind w:right="20" w:firstLine="1304"/>
        <w:spacing w:after="0" w:line="275" w:lineRule="auto"/>
        <w:tabs>
          <w:tab w:leader="none" w:pos="1792" w:val="left"/>
        </w:tabs>
        <w:numPr>
          <w:ilvl w:val="0"/>
          <w:numId w:val="10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Supporting Documents</w:t>
      </w:r>
      <w:r>
        <w:rPr>
          <w:rFonts w:ascii="Times New Roman" w:cs="Times New Roman" w:eastAsia="Times New Roman" w:hAnsi="Times New Roman"/>
          <w:sz w:val="22"/>
          <w:szCs w:val="22"/>
          <w:color w:val="auto"/>
        </w:rPr>
        <w:t>. The Administrative Agent shall have received with respect to each of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Guarantors in form and substance reasonably satisfactory to the Administrative Agent:</w:t>
      </w:r>
    </w:p>
    <w:p>
      <w:pPr>
        <w:spacing w:after="0" w:line="153" w:lineRule="exact"/>
        <w:rPr>
          <w:sz w:val="20"/>
          <w:szCs w:val="20"/>
          <w:color w:val="auto"/>
        </w:rPr>
      </w:pPr>
    </w:p>
    <w:p>
      <w:pPr>
        <w:ind w:left="660" w:firstLine="644"/>
        <w:spacing w:after="0" w:line="271" w:lineRule="auto"/>
        <w:tabs>
          <w:tab w:leader="none" w:pos="1803" w:val="left"/>
        </w:tabs>
        <w:numPr>
          <w:ilvl w:val="0"/>
          <w:numId w:val="10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of State of the state of such entity’s incorporation or formation, dated as of a recent date, as to the good standing of that entity (to the extent available in the applicable jurisdiction);</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44" w:val="left"/>
        </w:tabs>
        <w:numPr>
          <w:ilvl w:val="0"/>
          <w:numId w:val="10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or an Assistant Secretary (or similar officer), of such entity dated the Closing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hereunder, the execution, delivery and performance in accordance with their respective terms of the Credit Agreement, the other Loan Documents and any other documents required or contemplated hereunder or thereunder, and the granting of the security interests and other Liens contemplated hereby or by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Responsible Officer of that entity executing the Credit Agreement and the Loan Documents or any other document delivered by it in connection herewith or therewith (such certificate to contain a certification by another Responsible Officer of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40" w:right="339" w:bottom="1440" w:gutter="0" w:footer="0" w:header="0"/>
        </w:sectPr>
      </w:pPr>
    </w:p>
    <w:bookmarkStart w:id="846" w:name="page847"/>
    <w:bookmarkEnd w:id="846"/>
    <w:p>
      <w:pPr>
        <w:spacing w:after="0" w:line="199"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entity as to the incumbency and signature of the Responsible Officer signing the certificate referred to in this clause (ii)); and</w:t>
      </w:r>
    </w:p>
    <w:p>
      <w:pPr>
        <w:spacing w:after="0" w:line="158"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1"/>
          <w:szCs w:val="21"/>
          <w:color w:val="auto"/>
        </w:rPr>
        <w:t>an Officer’s Certificate certifying as to the conditions set forth in Sections 4.01(k) and 4.01(l).</w:t>
      </w:r>
    </w:p>
    <w:p>
      <w:pPr>
        <w:spacing w:after="0" w:line="229" w:lineRule="exact"/>
        <w:rPr>
          <w:sz w:val="20"/>
          <w:szCs w:val="20"/>
          <w:color w:val="auto"/>
        </w:rPr>
      </w:pPr>
    </w:p>
    <w:p>
      <w:pPr>
        <w:ind w:left="1780" w:hanging="476"/>
        <w:spacing w:after="0"/>
        <w:tabs>
          <w:tab w:leader="none" w:pos="1780" w:val="left"/>
        </w:tabs>
        <w:numPr>
          <w:ilvl w:val="1"/>
          <w:numId w:val="10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Each party hereto shall have duly executed and delivered to the Administrative Agent the</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Credit Agreement.</w:t>
      </w:r>
    </w:p>
    <w:p>
      <w:pPr>
        <w:spacing w:after="0" w:line="191" w:lineRule="exact"/>
        <w:rPr>
          <w:rFonts w:ascii="Times New Roman" w:cs="Times New Roman" w:eastAsia="Times New Roman" w:hAnsi="Times New Roman"/>
          <w:sz w:val="21"/>
          <w:szCs w:val="21"/>
          <w:color w:val="auto"/>
        </w:rPr>
      </w:pPr>
    </w:p>
    <w:p>
      <w:pPr>
        <w:jc w:val="both"/>
        <w:ind w:firstLine="1304"/>
        <w:spacing w:after="0" w:line="254" w:lineRule="auto"/>
        <w:tabs>
          <w:tab w:leader="none" w:pos="1792" w:val="left"/>
        </w:tabs>
        <w:numPr>
          <w:ilvl w:val="1"/>
          <w:numId w:val="10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The Borrower shall have duly executed and delivered to the Administrative Agent (i)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Trust Agreement, (ii) any other Collateral Documents and (iii) the other Loan Documents, and has delivered all UCC financing statements in form and substance reasonably acceptable to the Administrative Agent as may be required to grant, continue and maintain an enforceable security interest in the applicable Collateral (subject to the terms hereof and of the other Loan Documents) in accordance with the UCC as enacted in all relevant jurisdictions.</w:t>
      </w:r>
    </w:p>
    <w:p>
      <w:pPr>
        <w:spacing w:after="0" w:line="173" w:lineRule="exact"/>
        <w:rPr>
          <w:rFonts w:ascii="Times New Roman" w:cs="Times New Roman" w:eastAsia="Times New Roman" w:hAnsi="Times New Roman"/>
          <w:sz w:val="22"/>
          <w:szCs w:val="22"/>
          <w:color w:val="auto"/>
        </w:rPr>
      </w:pPr>
    </w:p>
    <w:p>
      <w:pPr>
        <w:jc w:val="both"/>
        <w:ind w:firstLine="1304"/>
        <w:spacing w:after="0" w:line="269" w:lineRule="auto"/>
        <w:tabs>
          <w:tab w:leader="none" w:pos="1764" w:val="left"/>
        </w:tabs>
        <w:numPr>
          <w:ilvl w:val="1"/>
          <w:numId w:val="10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Initial Appraisals</w:t>
      </w:r>
      <w:r>
        <w:rPr>
          <w:rFonts w:ascii="Times New Roman" w:cs="Times New Roman" w:eastAsia="Times New Roman" w:hAnsi="Times New Roman"/>
          <w:sz w:val="21"/>
          <w:szCs w:val="21"/>
          <w:color w:val="auto"/>
        </w:rPr>
        <w:t>. The Administrative Agent shall have received (x) the Initial Appraisals in form reasonably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satisfactory to the Administrative Agent, and (y) an Officer’s Certificate from a Responsible Officer of the Borrower demonstrating that using the Appraised Value listed in the Initial Appraisals, on the Closing Date and immediately after giving effect to the Extensions of Credit to be made on such date, the Collateral Coverage Ratio shall be no less than 1.6 to 1.0.</w:t>
      </w:r>
    </w:p>
    <w:p>
      <w:pPr>
        <w:spacing w:after="0" w:line="172" w:lineRule="exact"/>
        <w:rPr>
          <w:rFonts w:ascii="Times New Roman" w:cs="Times New Roman" w:eastAsia="Times New Roman" w:hAnsi="Times New Roman"/>
          <w:sz w:val="21"/>
          <w:szCs w:val="21"/>
          <w:color w:val="auto"/>
        </w:rPr>
      </w:pPr>
    </w:p>
    <w:p>
      <w:pPr>
        <w:ind w:left="1800" w:hanging="496"/>
        <w:spacing w:after="0"/>
        <w:tabs>
          <w:tab w:leader="none" w:pos="1800" w:val="left"/>
        </w:tabs>
        <w:numPr>
          <w:ilvl w:val="1"/>
          <w:numId w:val="10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Opinions of Counsel</w:t>
      </w:r>
      <w:r>
        <w:rPr>
          <w:rFonts w:ascii="Times New Roman" w:cs="Times New Roman" w:eastAsia="Times New Roman" w:hAnsi="Times New Roman"/>
          <w:sz w:val="21"/>
          <w:szCs w:val="21"/>
          <w:color w:val="auto"/>
        </w:rPr>
        <w:t>. The Administrative Agent shall have received a customary written opinion of Latham</w:t>
      </w:r>
    </w:p>
    <w:p>
      <w:pPr>
        <w:spacing w:after="0" w:line="43" w:lineRule="exact"/>
        <w:rPr>
          <w:rFonts w:ascii="Times New Roman" w:cs="Times New Roman" w:eastAsia="Times New Roman" w:hAnsi="Times New Roman"/>
          <w:sz w:val="21"/>
          <w:szCs w:val="21"/>
          <w:color w:val="auto"/>
        </w:rPr>
      </w:pPr>
    </w:p>
    <w:p>
      <w:pPr>
        <w:ind w:firstLine="8"/>
        <w:spacing w:after="0" w:line="248" w:lineRule="auto"/>
        <w:tabs>
          <w:tab w:leader="none" w:pos="258" w:val="left"/>
        </w:tabs>
        <w:numPr>
          <w:ilvl w:val="0"/>
          <w:numId w:val="10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Watkins LLP, counsel for the Borrower and the Guarantors, dated the Closing Date, in a form and substance reasonably satisfactory to the Administrative Agent.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4" w:lineRule="auto"/>
        <w:tabs>
          <w:tab w:leader="none" w:pos="1795" w:val="left"/>
        </w:tabs>
        <w:numPr>
          <w:ilvl w:val="1"/>
          <w:numId w:val="10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Fees and Expenses</w:t>
      </w:r>
      <w:r>
        <w:rPr>
          <w:rFonts w:ascii="Times New Roman" w:cs="Times New Roman" w:eastAsia="Times New Roman" w:hAnsi="Times New Roman"/>
          <w:sz w:val="22"/>
          <w:szCs w:val="22"/>
          <w:color w:val="auto"/>
        </w:rPr>
        <w:t>. The Borrower shall have paid to the Administrative Agent, the Joint Lead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Arrangers and Bookrunners and the Lenders the then-unpaid balance of all accrued and unpaid Fees due, owing and payable on the Closing Date under and pursuant to the Credit Agreement, and all reasonable and documented out-of-pocket expenses of the Administrative Agent (including reasonable attorneys’ fees of Milbank LLP) required to be reimbursed by the Borrower hereunder for which invoices have been presented at least three (3) Business Days prior to the Closing Date.</w:t>
      </w:r>
    </w:p>
    <w:p>
      <w:pPr>
        <w:spacing w:after="0" w:line="17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777" w:val="left"/>
        </w:tabs>
        <w:numPr>
          <w:ilvl w:val="1"/>
          <w:numId w:val="10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Lien Searches</w:t>
      </w:r>
      <w:r>
        <w:rPr>
          <w:rFonts w:ascii="Times New Roman" w:cs="Times New Roman" w:eastAsia="Times New Roman" w:hAnsi="Times New Roman"/>
          <w:sz w:val="22"/>
          <w:szCs w:val="22"/>
          <w:color w:val="auto"/>
        </w:rPr>
        <w:t>. The Administrative Agent shall have received UCC searches conducted in the jurisdictions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Borrower is incorporated or such other jurisdictions as the Administrative Agent may reasonably request at least 20 Business Days prior to the Closing Date (it being acknowledged and agreed that the Administrative Agent has received such searches).</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93" w:val="left"/>
        </w:tabs>
        <w:numPr>
          <w:ilvl w:val="1"/>
          <w:numId w:val="10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The Lenders shall have received at least three (3) days prior to the Closing Date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documentation and other information required by bank regulatory authorities under applicable “know your customer” and anti-money laundering rules and regulations, including the Patriot Act, that the Administrative Agent shall have requested from the Borrower or Guarantor at least ten (10) days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40" w:right="339" w:bottom="1440" w:gutter="0" w:footer="0" w:header="0"/>
        </w:sectPr>
      </w:pPr>
    </w:p>
    <w:bookmarkStart w:id="847" w:name="page848"/>
    <w:bookmarkEnd w:id="847"/>
    <w:p>
      <w:pPr>
        <w:spacing w:after="0" w:line="194" w:lineRule="exact"/>
        <w:rPr>
          <w:sz w:val="20"/>
          <w:szCs w:val="20"/>
          <w:color w:val="auto"/>
        </w:rPr>
      </w:pPr>
    </w:p>
    <w:p>
      <w:pPr>
        <w:jc w:val="both"/>
        <w:ind w:firstLine="1304"/>
        <w:spacing w:after="0" w:line="274" w:lineRule="auto"/>
        <w:tabs>
          <w:tab w:leader="none" w:pos="1729" w:val="left"/>
        </w:tabs>
        <w:numPr>
          <w:ilvl w:val="0"/>
          <w:numId w:val="10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Perfected Liens</w:t>
      </w:r>
      <w:r>
        <w:rPr>
          <w:rFonts w:ascii="Times New Roman" w:cs="Times New Roman" w:eastAsia="Times New Roman" w:hAnsi="Times New Roman"/>
          <w:sz w:val="21"/>
          <w:szCs w:val="21"/>
          <w:color w:val="auto"/>
        </w:rPr>
        <w:t>. The Collateral Trustee, for the benefit of the Secured Parties, shall have received a valid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perfected first priority lien on and security interest in the Collateral subject to and pursuant to the SGR Security Agreement to the extent such security interests can be perfected under the UCC, and all UCC financing statements to be filed in the Borrower’s jurisdiction of organization shall have been delivered, or shall be delivered substantially concurrently with the initial funding.</w:t>
      </w:r>
    </w:p>
    <w:p>
      <w:pPr>
        <w:spacing w:after="0" w:line="152" w:lineRule="exact"/>
        <w:rPr>
          <w:rFonts w:ascii="Times New Roman" w:cs="Times New Roman" w:eastAsia="Times New Roman" w:hAnsi="Times New Roman"/>
          <w:sz w:val="21"/>
          <w:szCs w:val="21"/>
          <w:color w:val="auto"/>
        </w:rPr>
      </w:pPr>
    </w:p>
    <w:p>
      <w:pPr>
        <w:jc w:val="both"/>
        <w:ind w:firstLine="1304"/>
        <w:spacing w:after="0" w:line="259" w:lineRule="auto"/>
        <w:tabs>
          <w:tab w:leader="none" w:pos="1837" w:val="left"/>
        </w:tabs>
        <w:numPr>
          <w:ilvl w:val="0"/>
          <w:numId w:val="10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Solvency</w:t>
      </w:r>
      <w:r>
        <w:rPr>
          <w:rFonts w:ascii="Times New Roman" w:cs="Times New Roman" w:eastAsia="Times New Roman" w:hAnsi="Times New Roman"/>
          <w:sz w:val="22"/>
          <w:szCs w:val="22"/>
          <w:color w:val="auto"/>
        </w:rPr>
        <w:t>. The Administrative Agent shall have received an Officer’s Certificate certifying that as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immediately after giving effect to the Loans made on the Closing Date and the payment of all costs and expenses in connection therewith, that the Borrower and the Guarantors, taken as a whole together with their Subsidiaries, are Solvent.</w:t>
      </w:r>
    </w:p>
    <w:p>
      <w:pPr>
        <w:spacing w:after="0" w:line="166" w:lineRule="exact"/>
        <w:rPr>
          <w:rFonts w:ascii="Times New Roman" w:cs="Times New Roman" w:eastAsia="Times New Roman" w:hAnsi="Times New Roman"/>
          <w:sz w:val="22"/>
          <w:szCs w:val="22"/>
          <w:color w:val="auto"/>
        </w:rPr>
      </w:pPr>
    </w:p>
    <w:p>
      <w:pPr>
        <w:ind w:firstLine="1304"/>
        <w:spacing w:after="0" w:line="287" w:lineRule="auto"/>
        <w:tabs>
          <w:tab w:leader="none" w:pos="1764" w:val="left"/>
        </w:tabs>
        <w:numPr>
          <w:ilvl w:val="0"/>
          <w:numId w:val="10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Event of Default</w:t>
      </w:r>
      <w:r>
        <w:rPr>
          <w:rFonts w:ascii="Times New Roman" w:cs="Times New Roman" w:eastAsia="Times New Roman" w:hAnsi="Times New Roman"/>
          <w:sz w:val="22"/>
          <w:szCs w:val="22"/>
          <w:color w:val="auto"/>
        </w:rPr>
        <w:t>. No Default or Event of Default shall have occurred and be continuing immediately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giving effect to the Closing Date Transactions.</w:t>
      </w:r>
    </w:p>
    <w:p>
      <w:pPr>
        <w:spacing w:after="0" w:line="13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51" w:val="left"/>
        </w:tabs>
        <w:numPr>
          <w:ilvl w:val="0"/>
          <w:numId w:val="10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All representations and warranties of the Borrower and the Guarantors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contained in the Credit Agreement and the other Loan Documents executed and delivered on the Closing Date shall be true and correct in all material respects on and as of the Closing Date, immediately after giving effect to the Closing Date Transactions, as though made on and as of such date (except to the extent any such representation or warranty by its terms is made as of a different specified date, in which case as of such specified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after giving effect to the Closing Date Transactions.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execution by each Lender of the Credit Agreement shall be deemed to be confirmation by such Lender that any condition relating to such Lender’s satisfaction or reasonable satisfaction with any documentation set forth in this Section 4.01 has been satisfied as to such Lender.</w:t>
      </w:r>
    </w:p>
    <w:p>
      <w:pPr>
        <w:spacing w:after="0" w:line="16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Conditions Precedent to Each Loan and Each Letter of Credit</w:t>
      </w:r>
      <w:r>
        <w:rPr>
          <w:rFonts w:ascii="Times New Roman" w:cs="Times New Roman" w:eastAsia="Times New Roman" w:hAnsi="Times New Roman"/>
          <w:sz w:val="22"/>
          <w:szCs w:val="22"/>
          <w:color w:val="auto"/>
        </w:rPr>
        <w:t>. The obligation of the Lenders to make each Loan and of the Issuing Lenders to issue each Letter of Credit after the Closing Date is subject to the satisfaction (or waiver in accordance with Section 10.08) of the following conditions precedent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condition precedent to drawing of a Revolving Loan may be waived only by the Required Revolving Lenders):</w:t>
      </w:r>
    </w:p>
    <w:p>
      <w:pPr>
        <w:spacing w:after="0" w:line="172" w:lineRule="exact"/>
        <w:rPr>
          <w:sz w:val="20"/>
          <w:szCs w:val="20"/>
          <w:color w:val="auto"/>
        </w:rPr>
      </w:pPr>
    </w:p>
    <w:p>
      <w:pPr>
        <w:jc w:val="both"/>
        <w:ind w:firstLine="1304"/>
        <w:spacing w:after="0" w:line="299" w:lineRule="auto"/>
        <w:tabs>
          <w:tab w:leader="none" w:pos="1779" w:val="left"/>
        </w:tabs>
        <w:numPr>
          <w:ilvl w:val="0"/>
          <w:numId w:val="10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w:t>
      </w:r>
      <w:r>
        <w:rPr>
          <w:rFonts w:ascii="Times New Roman" w:cs="Times New Roman" w:eastAsia="Times New Roman" w:hAnsi="Times New Roman"/>
          <w:sz w:val="21"/>
          <w:szCs w:val="21"/>
          <w:color w:val="auto"/>
        </w:rPr>
        <w:t>. The Administrative Agent shall have received a Loan Request pursuant to Section 2.03 with respect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such borrowing or a Letter of Credit Request for issuance of such Letter of Credit pursuant to Section 2.02, as the case may be.</w:t>
      </w:r>
    </w:p>
    <w:p>
      <w:pPr>
        <w:spacing w:after="0" w:line="127" w:lineRule="exact"/>
        <w:rPr>
          <w:rFonts w:ascii="Times New Roman" w:cs="Times New Roman" w:eastAsia="Times New Roman" w:hAnsi="Times New Roman"/>
          <w:sz w:val="21"/>
          <w:szCs w:val="21"/>
          <w:color w:val="auto"/>
        </w:rPr>
      </w:pPr>
    </w:p>
    <w:p>
      <w:pPr>
        <w:jc w:val="both"/>
        <w:ind w:right="20" w:firstLine="1304"/>
        <w:spacing w:after="0" w:line="274" w:lineRule="auto"/>
        <w:tabs>
          <w:tab w:leader="none" w:pos="1872" w:val="left"/>
        </w:tabs>
        <w:numPr>
          <w:ilvl w:val="0"/>
          <w:numId w:val="10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Representations and Warranties</w:t>
      </w:r>
      <w:r>
        <w:rPr>
          <w:rFonts w:ascii="Times New Roman" w:cs="Times New Roman" w:eastAsia="Times New Roman" w:hAnsi="Times New Roman"/>
          <w:sz w:val="21"/>
          <w:szCs w:val="21"/>
          <w:color w:val="auto"/>
        </w:rPr>
        <w:t>. All representations and warranties contained in this Agreement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 Loan Documents (other than in the case of each Borrowing Date after the Closing Date, the representations and warranties set forth in Sections 3.05(b), 3.06, 3.09(a) and 3.19) shall be true and correct in all material respects on and as of the date of such Loan or the issuance of such Letter of Credit hereunder (both immediately before and after giving effect thereto and,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40" w:right="339" w:bottom="1440" w:gutter="0" w:footer="0" w:header="0"/>
        </w:sectPr>
      </w:pPr>
    </w:p>
    <w:bookmarkStart w:id="848" w:name="page849"/>
    <w:bookmarkEnd w:id="848"/>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before and after giving effect to such Loan or the issuance of such Letter of Credit hereunder.</w:t>
      </w:r>
    </w:p>
    <w:p>
      <w:pPr>
        <w:spacing w:after="0" w:line="177" w:lineRule="exact"/>
        <w:rPr>
          <w:sz w:val="20"/>
          <w:szCs w:val="20"/>
          <w:color w:val="auto"/>
        </w:rPr>
      </w:pPr>
    </w:p>
    <w:p>
      <w:pPr>
        <w:jc w:val="both"/>
        <w:ind w:firstLine="1304"/>
        <w:spacing w:after="0" w:line="258" w:lineRule="auto"/>
        <w:tabs>
          <w:tab w:leader="none" w:pos="1833" w:val="left"/>
        </w:tabs>
        <w:numPr>
          <w:ilvl w:val="0"/>
          <w:numId w:val="10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On the date of such Loan or the issuance of such Letter of Credit hereunder, no (i) Event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 or (ii) Default with respect to Section 7.01(b), (e), (f) or (g) shall have occurred and be continuing nor shall any such Default or Event of Default, as the case may be, immediately occur by reason of the making of the requested Borrowing or the issuance of the requested Letter of Credit and, in the case of each Loan, the application of proceeds thereof.</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59" w:lineRule="auto"/>
        <w:tabs>
          <w:tab w:leader="none" w:pos="1777" w:val="left"/>
        </w:tabs>
        <w:numPr>
          <w:ilvl w:val="0"/>
          <w:numId w:val="10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Collateral Coverage Ratio</w:t>
      </w:r>
      <w:r>
        <w:rPr>
          <w:rFonts w:ascii="Times New Roman" w:cs="Times New Roman" w:eastAsia="Times New Roman" w:hAnsi="Times New Roman"/>
          <w:sz w:val="22"/>
          <w:szCs w:val="22"/>
          <w:color w:val="auto"/>
        </w:rPr>
        <w:t>. On the date of such Loan or the issuance of such Letter of Credit hereunder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giving pro forma effect thereto), the Collateral Coverage Ratio shall not be less than 1.6 to 1.0, as evidenced by the delivery of a Collateral Coverage Ratio Certificate to the Administrative Agent demonstrating such compliance.</w:t>
      </w:r>
    </w:p>
    <w:p>
      <w:pPr>
        <w:spacing w:after="0" w:line="16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9" w:val="left"/>
        </w:tabs>
        <w:numPr>
          <w:ilvl w:val="0"/>
          <w:numId w:val="10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Going Concern Qualification</w:t>
      </w:r>
      <w:r>
        <w:rPr>
          <w:rFonts w:ascii="Times New Roman" w:cs="Times New Roman" w:eastAsia="Times New Roman" w:hAnsi="Times New Roman"/>
          <w:sz w:val="22"/>
          <w:szCs w:val="22"/>
          <w:color w:val="auto"/>
        </w:rPr>
        <w:t>. For any Loan made or Letter of Credit issued after the filing by Parent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 Annual Report on Form 10-K for the fiscal year ended on December 31, 2022, on the date of such Loan or the issuance of such Letter of Credit hereunder,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acceptance by the Borrower of each Extension of Credit hereunder shall be deemed to be a representation and warranty by the Borrower that the conditions specified in this Section 4.02 have been satisfied at that time.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233"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40" w:right="339" w:bottom="1440" w:gutter="0" w:footer="0" w:header="0"/>
        </w:sectPr>
      </w:pPr>
    </w:p>
    <w:bookmarkStart w:id="849" w:name="page850"/>
    <w:bookmarkEnd w:id="849"/>
    <w:p>
      <w:pPr>
        <w:spacing w:after="0" w:line="19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Reports, etc.</w:t>
      </w:r>
      <w:r>
        <w:rPr>
          <w:rFonts w:ascii="Times New Roman" w:cs="Times New Roman" w:eastAsia="Times New Roman" w:hAnsi="Times New Roman"/>
          <w:sz w:val="22"/>
          <w:szCs w:val="22"/>
          <w:color w:val="auto"/>
        </w:rPr>
        <w:t xml:space="preserve"> The Borrower shall deliver to the Administrative Agent on behalf of the Lenders:</w:t>
      </w:r>
    </w:p>
    <w:p>
      <w:pPr>
        <w:spacing w:after="0" w:line="158" w:lineRule="exact"/>
        <w:rPr>
          <w:sz w:val="20"/>
          <w:szCs w:val="20"/>
          <w:color w:val="auto"/>
        </w:rPr>
      </w:pPr>
    </w:p>
    <w:p>
      <w:pPr>
        <w:jc w:val="both"/>
        <w:ind w:firstLine="1304"/>
        <w:spacing w:after="0" w:line="250" w:lineRule="auto"/>
        <w:tabs>
          <w:tab w:leader="none" w:pos="1860" w:val="left"/>
        </w:tabs>
        <w:numPr>
          <w:ilvl w:val="0"/>
          <w:numId w:val="10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Parent shall have filed with the SEC its Annual Report on Form 10-K for such fiscal year, which is available to the public via EDGAR or any similar successor system;</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1" w:val="left"/>
        </w:tabs>
        <w:numPr>
          <w:ilvl w:val="0"/>
          <w:numId w:val="10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Parent shall have filed with the SEC its Quarterly Report on Form 10-Q for such fiscal quarter, which is available to the public via EDGAR or any similar successor system;</w:t>
      </w:r>
    </w:p>
    <w:p>
      <w:pPr>
        <w:spacing w:after="0" w:line="19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57" w:val="left"/>
        </w:tabs>
        <w:numPr>
          <w:ilvl w:val="0"/>
          <w:numId w:val="10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w:t>
      </w:r>
    </w:p>
    <w:p>
      <w:pPr>
        <w:spacing w:after="0" w:line="179" w:lineRule="exact"/>
        <w:rPr>
          <w:rFonts w:ascii="Times New Roman" w:cs="Times New Roman" w:eastAsia="Times New Roman" w:hAnsi="Times New Roman"/>
          <w:sz w:val="22"/>
          <w:szCs w:val="22"/>
          <w:color w:val="auto"/>
        </w:rPr>
      </w:pPr>
    </w:p>
    <w:p>
      <w:pPr>
        <w:ind w:firstLine="1304"/>
        <w:spacing w:after="0" w:line="284" w:lineRule="auto"/>
        <w:tabs>
          <w:tab w:leader="none" w:pos="1766" w:val="left"/>
        </w:tabs>
        <w:numPr>
          <w:ilvl w:val="0"/>
          <w:numId w:val="10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time period under clauses (a) and (b) of this Section 5.01, an Officer’s Certificate demonstrating in reasonable detail compliance with Section 6.08 as of the end of the preceding fiscal quarter;</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65" w:val="left"/>
        </w:tabs>
        <w:numPr>
          <w:ilvl w:val="0"/>
          <w:numId w:val="10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thereof, written notice of the termination of a Plan of the Borrower or an ERISA Affiliate pursuant to Section 4042 of ERISA, to the extent such termination would constitute an Event of Default under Section 7.01(j);</w:t>
      </w:r>
    </w:p>
    <w:p>
      <w:pPr>
        <w:spacing w:after="0" w:line="172"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0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Collateral Coverage Ratio Certificate, as and when required under Section 6.09(a);</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72" w:val="left"/>
        </w:tabs>
        <w:numPr>
          <w:ilvl w:val="0"/>
          <w:numId w:val="10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Commitment, Loan or Letter of Credit is outstanding, promptly after the Chief Financial Officer or the Treasurer of Parent becoming aware of the occurrence of a Default or an Event of Default that is continuing, an Officer’s Certificate specifying such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40" w:right="339" w:bottom="1440" w:gutter="0" w:footer="0" w:header="0"/>
        </w:sectPr>
      </w:pPr>
    </w:p>
    <w:bookmarkStart w:id="850" w:name="page851"/>
    <w:bookmarkEnd w:id="850"/>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Event of Default and what action Parent and its Subsidiaries are taking or propose to take with respect thereto;</w:t>
      </w:r>
    </w:p>
    <w:p>
      <w:pPr>
        <w:spacing w:after="0" w:line="220" w:lineRule="exact"/>
        <w:rPr>
          <w:sz w:val="20"/>
          <w:szCs w:val="20"/>
          <w:color w:val="auto"/>
        </w:rPr>
      </w:pPr>
    </w:p>
    <w:p>
      <w:pPr>
        <w:jc w:val="both"/>
        <w:ind w:firstLine="1304"/>
        <w:spacing w:after="0" w:line="253" w:lineRule="auto"/>
        <w:tabs>
          <w:tab w:leader="none" w:pos="1792" w:val="left"/>
        </w:tabs>
        <w:numPr>
          <w:ilvl w:val="0"/>
          <w:numId w:val="10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Borrower or Parent in a current report on Form 8-k filed with the SEC), (b) or (c) of the definition thereof;</w:t>
      </w:r>
    </w:p>
    <w:p>
      <w:pPr>
        <w:spacing w:after="0" w:line="17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0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Collateral Coverage Ratio Certificate as and when required under Section 6.04(ii)(D);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27" w:val="left"/>
        </w:tabs>
        <w:numPr>
          <w:ilvl w:val="0"/>
          <w:numId w:val="10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Any certificate to be delivered under this Section 5.01 may, at the Borrower’s option, be combined with any other certificate to be delivered under this Section 5.01 within the same time period.</w:t>
      </w:r>
    </w:p>
    <w:p>
      <w:pPr>
        <w:spacing w:after="0" w:line="158"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Subject to the next succeeding sentence, information delivered pursuant to this Section 5.01 to the Administrative Agent may be made available by the Administrative Agent to the Lenders by posting such information on the Intralinks website on the Internet at http://www.intralinks.com and/or on the DebtDomain website on the Internet at http://www.debtdomain.com. Information required to be delivered pursuant to this Section 5.01 by the Borrower (and solely in the case of Section 5.01(a) or</w:t>
      </w:r>
    </w:p>
    <w:p>
      <w:pPr>
        <w:spacing w:after="0" w:line="1" w:lineRule="exact"/>
        <w:rPr>
          <w:sz w:val="20"/>
          <w:szCs w:val="20"/>
          <w:color w:val="auto"/>
        </w:rPr>
      </w:pPr>
    </w:p>
    <w:p>
      <w:pPr>
        <w:jc w:val="both"/>
        <w:ind w:firstLine="8"/>
        <w:spacing w:after="0" w:line="246" w:lineRule="auto"/>
        <w:tabs>
          <w:tab w:leader="none" w:pos="329" w:val="left"/>
        </w:tabs>
        <w:numPr>
          <w:ilvl w:val="0"/>
          <w:numId w:val="10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to the extent not made available on EDGAR) shall be delivered pursuant to Section 10.01 or as set forth the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w:t>
      </w:r>
    </w:p>
    <w:p>
      <w:pPr>
        <w:spacing w:after="0" w:line="18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w:t>
      </w:r>
    </w:p>
    <w:p>
      <w:pPr>
        <w:spacing w:after="0" w:line="1" w:lineRule="exact"/>
        <w:rPr>
          <w:sz w:val="20"/>
          <w:szCs w:val="20"/>
          <w:color w:val="auto"/>
        </w:rPr>
      </w:pPr>
    </w:p>
    <w:p>
      <w:pPr>
        <w:ind w:right="20" w:firstLine="8"/>
        <w:spacing w:after="0" w:line="248" w:lineRule="auto"/>
        <w:tabs>
          <w:tab w:leader="none" w:pos="415" w:val="left"/>
        </w:tabs>
        <w:numPr>
          <w:ilvl w:val="0"/>
          <w:numId w:val="10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or communication has been posted on the Borrower’s general commercial website on the Internet, as such website may be specified by the Borrower to the Administrative Agent from time to time.</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Parent shall pay, and shall cause each of its Subsidiaries to pay, all material taxes, assessments and governmental levies imposed or assessed on any of them or any of their assets before the same shall become more than 90 days delinquent, other than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40" w:right="339" w:bottom="1440" w:gutter="0" w:footer="0" w:header="0"/>
        </w:sectPr>
      </w:pPr>
    </w:p>
    <w:bookmarkStart w:id="851" w:name="page852"/>
    <w:bookmarkEnd w:id="851"/>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assessments and levies (i) being contested in good faith by appropriate proceedings or (ii) the failure to effect such payment of which are not reasonably be expected to have, individually or collectively, a Material Adverse Effect on Parent.</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Parent shall do or cause to be done all things reasonably necessary to preserve and keep in full force and effect:</w:t>
      </w:r>
    </w:p>
    <w:p>
      <w:pPr>
        <w:spacing w:after="0" w:line="144" w:lineRule="exact"/>
        <w:rPr>
          <w:sz w:val="20"/>
          <w:szCs w:val="20"/>
          <w:color w:val="auto"/>
        </w:rPr>
      </w:pPr>
    </w:p>
    <w:p>
      <w:pPr>
        <w:jc w:val="both"/>
        <w:ind w:left="660" w:firstLine="644"/>
        <w:spacing w:after="0" w:line="257" w:lineRule="auto"/>
        <w:tabs>
          <w:tab w:leader="none" w:pos="2031" w:val="left"/>
        </w:tabs>
        <w:numPr>
          <w:ilvl w:val="0"/>
          <w:numId w:val="10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corporate existence, and the corporate, partnership or other existence of each of its Restricted Subsidiaries, in accordance with the respective organizational documents (as the same may be amended from time to time) of Parent or any such Restricted Subsidiary;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8" w:val="left"/>
        </w:tabs>
        <w:numPr>
          <w:ilvl w:val="0"/>
          <w:numId w:val="10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(charter and statutory) and material franchises of Parent and its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For the avoidance of doubt, this Section 5.03 shall not prohibit any actions permitted by Section 6.10 or described in Section 6.10(b).</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u w:val="single" w:color="auto"/>
          <w:color w:val="auto"/>
        </w:rPr>
        <w:t>Designation of Restricted and Unrestricted Subsidiaries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25" w:val="left"/>
        </w:tabs>
        <w:numPr>
          <w:ilvl w:val="0"/>
          <w:numId w:val="10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12" w:val="left"/>
        </w:tabs>
        <w:numPr>
          <w:ilvl w:val="0"/>
          <w:numId w:val="10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may at any time designate any Unrestricted Subsidiary to be a Restricted Subsidiary of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will be permitted only if no Default or Event of Default would be in existence following such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40" w:right="339" w:bottom="1440" w:gutter="0" w:footer="0" w:header="0"/>
        </w:sectPr>
      </w:pPr>
    </w:p>
    <w:bookmarkStart w:id="852" w:name="page853"/>
    <w:bookmarkEnd w:id="852"/>
    <w:p>
      <w:pPr>
        <w:spacing w:after="0" w:line="199" w:lineRule="exact"/>
        <w:rPr>
          <w:sz w:val="20"/>
          <w:szCs w:val="20"/>
          <w:color w:val="auto"/>
        </w:rPr>
      </w:pPr>
    </w:p>
    <w:p>
      <w:pPr>
        <w:jc w:val="both"/>
        <w:ind w:firstLine="1304"/>
        <w:spacing w:after="0" w:line="257" w:lineRule="auto"/>
        <w:tabs>
          <w:tab w:leader="none" w:pos="1843" w:val="left"/>
        </w:tabs>
        <w:numPr>
          <w:ilvl w:val="0"/>
          <w:numId w:val="10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Delivery of Appraisals</w:t>
      </w:r>
      <w:r>
        <w:rPr>
          <w:rFonts w:ascii="Times New Roman" w:cs="Times New Roman" w:eastAsia="Times New Roman" w:hAnsi="Times New Roman"/>
          <w:sz w:val="21"/>
          <w:szCs w:val="21"/>
          <w:color w:val="auto"/>
        </w:rPr>
        <w:t>. No later than:</w:t>
      </w:r>
    </w:p>
    <w:p>
      <w:pPr>
        <w:spacing w:after="0" w:line="220" w:lineRule="exact"/>
        <w:rPr>
          <w:sz w:val="20"/>
          <w:szCs w:val="20"/>
          <w:color w:val="auto"/>
        </w:rPr>
      </w:pPr>
    </w:p>
    <w:p>
      <w:pPr>
        <w:jc w:val="both"/>
        <w:ind w:left="660" w:firstLine="644"/>
        <w:spacing w:after="0" w:line="257" w:lineRule="auto"/>
        <w:tabs>
          <w:tab w:leader="none" w:pos="1812" w:val="left"/>
        </w:tabs>
        <w:numPr>
          <w:ilvl w:val="0"/>
          <w:numId w:val="10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with the fiscal year ended December 31, 2024, each of (x) June 30 of each year and (y) a date to be selected by the Borrower from time to time between July 1 and December 31 of each year, but in any event, no earlier than five (5) months after the delivery of the appraisal set forth in clause (x) for such year; and</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927" w:val="left"/>
        </w:tabs>
        <w:numPr>
          <w:ilvl w:val="0"/>
          <w:numId w:val="10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45-day period following a written request by the Administrative Agent if an Event of Default has occurred and is continuing,</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Borrower will deliver to the Administrative Agent one or more Appraisals establishing the Appraised Value of the Collateral (other than any cash or Cash Equivalents in the Collateral).</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Subject to the next succeeding sentence, the Borrower shall deliver the Appraisals described above to the Administrative Agent and the Administrative Agent shall make such Appraisals available to the Lenders by posting such information on the confidential, non-public portion of Intralinks website on the Internet at http://www.intralinks.com and/or on the DebtDomain website on the Internet at http://www.debtdomain.com. Information required to be delivered pursuant to this Section 5.06 by the Borrower shall be delivered pursuant to Section 10.01 and shall be deemed to contain material non-public information.</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u w:val="single" w:color="auto"/>
          <w:color w:val="auto"/>
        </w:rPr>
        <w:t>Regulatory Matters; Utilization; Reporting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Borrower will:</w:t>
      </w:r>
    </w:p>
    <w:p>
      <w:pPr>
        <w:spacing w:after="0" w:line="220" w:lineRule="exact"/>
        <w:rPr>
          <w:sz w:val="20"/>
          <w:szCs w:val="20"/>
          <w:color w:val="auto"/>
        </w:rPr>
      </w:pPr>
    </w:p>
    <w:p>
      <w:pPr>
        <w:ind w:left="660" w:firstLine="644"/>
        <w:spacing w:after="0" w:line="284" w:lineRule="auto"/>
        <w:tabs>
          <w:tab w:leader="none" w:pos="1820" w:val="left"/>
        </w:tabs>
        <w:numPr>
          <w:ilvl w:val="0"/>
          <w:numId w:val="10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as an “air carrier” within the meaning of Section 40102(a)(2) of Title 49 and hold or co-hold a certificate under Section 41102(a)(1) of Title 49;</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6" w:val="left"/>
        </w:tabs>
        <w:numPr>
          <w:ilvl w:val="0"/>
          <w:numId w:val="10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at the FAA as an “air carrier” and hold or co-hold an air carrier operating certificate under Section 44705 of Title 49 and operations specifications issued by the FAA pursuant to Parts 119 and 121 of Title 14;</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3" w:val="left"/>
        </w:tabs>
        <w:numPr>
          <w:ilvl w:val="0"/>
          <w:numId w:val="10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 and maintain all certificates, exemptions, licenses, permits, designations, authorizations, frequencies and consents required by the FAA, the DOT or any applicable Foreign Aviation Authority or Airport Authority or any other Governmental Authority that 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ectPr>
          <w:pgSz w:w="11900" w:h="16838" w:orient="portrait"/>
          <w:cols w:equalWidth="0" w:num="1">
            <w:col w:w="11240"/>
          </w:cols>
          <w:pgMar w:left="320" w:top="1440" w:right="339" w:bottom="1440" w:gutter="0" w:footer="0" w:header="0"/>
          <w:type w:val="continuous"/>
        </w:sectPr>
      </w:pPr>
    </w:p>
    <w:bookmarkStart w:id="853" w:name="page854"/>
    <w:bookmarkEnd w:id="853"/>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material to the operation of the Pledged Route Authorities and Pledged Slots operated by it, and to the conduct of its business and operations as currently conducted, in each case, to the extent necessary for the Borrower’s operation of the Scheduled Services, except to the extent that any failure to possess or maintain would not reasonably be expected to result in a Material Adverse Effect;</w:t>
      </w:r>
    </w:p>
    <w:p>
      <w:pPr>
        <w:spacing w:after="0" w:line="176" w:lineRule="exact"/>
        <w:rPr>
          <w:sz w:val="20"/>
          <w:szCs w:val="20"/>
          <w:color w:val="auto"/>
        </w:rPr>
      </w:pPr>
    </w:p>
    <w:p>
      <w:pPr>
        <w:jc w:val="both"/>
        <w:ind w:left="660" w:firstLine="644"/>
        <w:spacing w:after="0" w:line="257" w:lineRule="auto"/>
        <w:tabs>
          <w:tab w:leader="none" w:pos="1821" w:val="left"/>
        </w:tabs>
        <w:numPr>
          <w:ilvl w:val="0"/>
          <w:numId w:val="10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76" w:val="left"/>
        </w:tabs>
        <w:numPr>
          <w:ilvl w:val="0"/>
          <w:numId w:val="10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9" w:val="left"/>
        </w:tabs>
        <w:numPr>
          <w:ilvl w:val="0"/>
          <w:numId w:val="10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38" w:val="left"/>
        </w:tabs>
        <w:numPr>
          <w:ilvl w:val="0"/>
          <w:numId w:val="10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4" w:val="left"/>
        </w:tabs>
        <w:numPr>
          <w:ilvl w:val="0"/>
          <w:numId w:val="10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to be done all things reasonably necessary to preserve and keep in full force and effect its authority to operate the Scheduled Services, except to the extent that any failure to do so would not reasonably be expected to result in a Material Adverse Effect.</w:t>
      </w:r>
    </w:p>
    <w:p>
      <w:pPr>
        <w:spacing w:after="0" w:line="167" w:lineRule="exact"/>
        <w:rPr>
          <w:sz w:val="20"/>
          <w:szCs w:val="20"/>
          <w:color w:val="auto"/>
        </w:rPr>
      </w:pPr>
    </w:p>
    <w:p>
      <w:pPr>
        <w:jc w:val="both"/>
        <w:ind w:firstLine="1304"/>
        <w:spacing w:after="0" w:line="248" w:lineRule="auto"/>
        <w:tabs>
          <w:tab w:leader="none" w:pos="1878" w:val="left"/>
        </w:tabs>
        <w:numPr>
          <w:ilvl w:val="0"/>
          <w:numId w:val="10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w:t>
      </w:r>
    </w:p>
    <w:p>
      <w:pPr>
        <w:spacing w:after="0" w:line="19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any provision of this Section 5.07 or anything else in this Agreement or any other Loan Document to the contrary, (x) for the avoidance of doubt, any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40" w:right="339" w:bottom="1440" w:gutter="0" w:footer="0" w:header="0"/>
        </w:sectPr>
      </w:pPr>
    </w:p>
    <w:bookmarkStart w:id="854" w:name="page855"/>
    <w:bookmarkEnd w:id="854"/>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Maintenance of Ratings</w:t>
      </w:r>
      <w:r>
        <w:rPr>
          <w:rFonts w:ascii="Times New Roman" w:cs="Times New Roman" w:eastAsia="Times New Roman" w:hAnsi="Times New Roman"/>
          <w:sz w:val="22"/>
          <w:szCs w:val="22"/>
          <w:color w:val="auto"/>
        </w:rPr>
        <w:t>. The Borrower will use commercially reasonable efforts to maintain a rating of the Facilities by each of S&amp;P and Moody’s after such ratings are obtained (but not to obtain or maintain a specific rating).</w:t>
      </w:r>
    </w:p>
    <w:p>
      <w:pPr>
        <w:spacing w:after="0" w:line="17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5.09.</w:t>
      </w:r>
      <w:r>
        <w:rPr>
          <w:sz w:val="20"/>
          <w:szCs w:val="20"/>
          <w:color w:val="auto"/>
        </w:rPr>
        <w:tab/>
      </w:r>
      <w:r>
        <w:rPr>
          <w:rFonts w:ascii="Times New Roman" w:cs="Times New Roman" w:eastAsia="Times New Roman" w:hAnsi="Times New Roman"/>
          <w:sz w:val="21"/>
          <w:szCs w:val="21"/>
          <w:u w:val="single" w:color="auto"/>
          <w:color w:val="auto"/>
        </w:rPr>
        <w:t>Additional Guarantors; Additional Collateral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9" w:lineRule="auto"/>
        <w:tabs>
          <w:tab w:leader="none" w:pos="1811" w:val="left"/>
        </w:tabs>
        <w:numPr>
          <w:ilvl w:val="0"/>
          <w:numId w:val="10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Domestic Subsidiary that constitutes an Immaterial Subsidiary, a Receivables Subsidiary or an Excluded Subsidiary need not become a Guarantor unless and until thirty (30) Business Days after such time as it ceases to be (and is no longer any of) an Immaterial Subsidiary, a Receivables Subsidiary or an Excluded Subsidiary or such time as it guarantees, or pledges any property or assets to secure, any other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0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 thirty (30) Business Days after such time as it ceases to be (and is no longer any of ) an Immaterial Subsidiary, a Receivables Subsidiary or an Excluded Subsidiary or such time as it guarantees, or pledges any property or assets to secure, any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40" w:right="339" w:bottom="1440" w:gutter="0" w:footer="0" w:header="0"/>
        </w:sectPr>
      </w:pPr>
    </w:p>
    <w:bookmarkStart w:id="855" w:name="page856"/>
    <w:bookmarkEnd w:id="855"/>
    <w:p>
      <w:pPr>
        <w:spacing w:after="0" w:line="198" w:lineRule="exact"/>
        <w:rPr>
          <w:sz w:val="20"/>
          <w:szCs w:val="20"/>
          <w:color w:val="auto"/>
        </w:rPr>
      </w:pPr>
    </w:p>
    <w:p>
      <w:pPr>
        <w:jc w:val="both"/>
        <w:ind w:firstLine="1304"/>
        <w:spacing w:after="0" w:line="257" w:lineRule="auto"/>
        <w:tabs>
          <w:tab w:leader="none" w:pos="1881" w:val="left"/>
        </w:tabs>
        <w:numPr>
          <w:ilvl w:val="0"/>
          <w:numId w:val="10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in Section 5.09(a) and 5.09(b), no Regional Airline shall be required to become a Guarantor hereunder at any time, provided however that a Regional Airline may become a Guarantor at the sole discretion of the Borrower.</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98" w:val="left"/>
        </w:tabs>
        <w:numPr>
          <w:ilvl w:val="0"/>
          <w:numId w:val="10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with prior written notice to the Administrative Agent and the Collateral Trustee, the Borrower may, and may cause any other Guarantor to, at its sole discretion, pledge additional assets as Additional Collateral.</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Access to Books and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17" w:val="left"/>
        </w:tabs>
        <w:numPr>
          <w:ilvl w:val="1"/>
          <w:numId w:val="10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w:t>
      </w:r>
    </w:p>
    <w:p>
      <w:pPr>
        <w:spacing w:after="0" w:line="176" w:lineRule="exact"/>
        <w:rPr>
          <w:rFonts w:ascii="Times New Roman" w:cs="Times New Roman" w:eastAsia="Times New Roman" w:hAnsi="Times New Roman"/>
          <w:sz w:val="22"/>
          <w:szCs w:val="22"/>
          <w:color w:val="auto"/>
        </w:rPr>
      </w:pPr>
    </w:p>
    <w:p>
      <w:pPr>
        <w:jc w:val="both"/>
        <w:ind w:firstLine="1304"/>
        <w:spacing w:after="0" w:line="258" w:lineRule="auto"/>
        <w:tabs>
          <w:tab w:leader="none" w:pos="1814" w:val="left"/>
        </w:tabs>
        <w:numPr>
          <w:ilvl w:val="1"/>
          <w:numId w:val="10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with respect to Collateral and matters relating thereto, the rights of Administrative Agent and the Lenders under this Section 5.10 shall be limited to the following: upon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w:t>
      </w:r>
    </w:p>
    <w:p>
      <w:pPr>
        <w:spacing w:after="0" w:line="10" w:lineRule="exact"/>
        <w:rPr>
          <w:rFonts w:ascii="Times New Roman" w:cs="Times New Roman" w:eastAsia="Times New Roman" w:hAnsi="Times New Roman"/>
          <w:sz w:val="21"/>
          <w:szCs w:val="21"/>
          <w:color w:val="auto"/>
        </w:rPr>
      </w:pPr>
    </w:p>
    <w:p>
      <w:pPr>
        <w:jc w:val="both"/>
        <w:ind w:firstLine="8"/>
        <w:spacing w:after="0" w:line="247" w:lineRule="auto"/>
        <w:tabs>
          <w:tab w:leader="none" w:pos="346" w:val="left"/>
        </w:tabs>
        <w:numPr>
          <w:ilvl w:val="0"/>
          <w:numId w:val="10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40" w:right="339" w:bottom="1440" w:gutter="0" w:footer="0" w:header="0"/>
        </w:sectPr>
      </w:pPr>
    </w:p>
    <w:bookmarkStart w:id="856" w:name="page857"/>
    <w:bookmarkEnd w:id="856"/>
    <w:p>
      <w:pPr>
        <w:spacing w:after="0" w:line="199" w:lineRule="exact"/>
        <w:rPr>
          <w:sz w:val="20"/>
          <w:szCs w:val="20"/>
          <w:color w:val="auto"/>
        </w:rPr>
      </w:pPr>
    </w:p>
    <w:p>
      <w:pPr>
        <w:ind w:left="130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932" w:val="left"/>
        </w:tabs>
        <w:numPr>
          <w:ilvl w:val="0"/>
          <w:numId w:val="10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Pledged Route Authorities, Pledged Slots, Pledged Foreign Gate Leaseholds and any Additional Route Authorities or Gate Leaseholds otherwise constituting Collateral, upon the reasonable request of the Administrative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the SGR Security Agreement or other applicable Collateral Document is in effect, the perfection of the security interests created by the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Administrative Agent will furnish to the Collateral Trustee such financing statements and continuation statements as may be required to enable the Collateral Trustee to take such action.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7" w:val="left"/>
        </w:tabs>
        <w:numPr>
          <w:ilvl w:val="0"/>
          <w:numId w:val="10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constituting aircraft or spare engines, each of the applicable Aircraft Security Agreements will provide that the Borrower or the applicable Grantor shall take, or cause to be taken, upon the reasonable request of the Administrative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Collateral Trustee appointed pursuant to Section 8.01(d), will furnish such trustee with such instruments, in execution form, and such other information, as may be required to enable such trustee to take such action.</w:t>
      </w:r>
    </w:p>
    <w:p>
      <w:pPr>
        <w:spacing w:after="0" w:line="19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7" w:val="left"/>
        </w:tabs>
        <w:numPr>
          <w:ilvl w:val="0"/>
          <w:numId w:val="10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constituting Real Property Assets, each of the applicable Collateral Documents relating to such Collateral will provide that the Borrower or the applicable Grantor shall provide, or cause to be provided, to the Collateral Trustee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Collateral Trustee for such title insurer to deliver endorsements to such title insurance as are customary (as determined by the Borrower in its sole discretion), environmental assessments, flood certifications and flood insurance (if applicable) and reports and evidence regarding recording and payment of fees, insurance premium and taxes), in each case that the Administrative Agent may reasonably request, to create, register, perfect, maintain, evidence the existence, substance, form or validity of or enforce a valid lien on such parcel of or leasehold interest in real property subject only to Permitted Liens.</w:t>
      </w:r>
    </w:p>
    <w:p>
      <w:pPr>
        <w:spacing w:after="0" w:line="19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25" w:val="left"/>
        </w:tabs>
        <w:numPr>
          <w:ilvl w:val="0"/>
          <w:numId w:val="10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Collateral other than Pledged Route Authorities, Pledged Slots, Pledged Foreign Gate Leaseholds, Additional Route Authorities, Gate Leaseholds, aircraft or spare engines, each of the applicable Collateral Documents relating to such Collateral will provide that the Borrower or the applicable Grantor shall take, or cause to be taken, upon the reasonable request of the Administrative Agent, such commercially reasonable actions as are necessary to maintain, so long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40" w:right="339" w:bottom="1440" w:gutter="0" w:footer="0" w:header="0"/>
        </w:sectPr>
      </w:pPr>
    </w:p>
    <w:bookmarkStart w:id="857" w:name="page858"/>
    <w:bookmarkEnd w:id="857"/>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such Collateral Document is in effect, the perfection of the security interests created by such Collateral Document in such Collateral, subject, in each case, to Permitted Liens, or at the reasonable request of the Collateral Trustee, will furnish the Collateral Trustee with such instruments, in execution form, and such other information, as may be required to enable the Collateral Trustee to take such 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AND FINANCIAL COVENANTS</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Parent will not, and will not permit any of its Restricted Subsidiaries to, directly or indirectly:</w:t>
      </w:r>
    </w:p>
    <w:p>
      <w:pPr>
        <w:spacing w:after="0" w:line="220" w:lineRule="exact"/>
        <w:rPr>
          <w:sz w:val="20"/>
          <w:szCs w:val="20"/>
          <w:color w:val="auto"/>
        </w:rPr>
      </w:pPr>
    </w:p>
    <w:p>
      <w:pPr>
        <w:jc w:val="both"/>
        <w:ind w:left="660" w:firstLine="644"/>
        <w:spacing w:after="0" w:line="265" w:lineRule="auto"/>
        <w:tabs>
          <w:tab w:leader="none" w:pos="1787" w:val="left"/>
        </w:tabs>
        <w:numPr>
          <w:ilvl w:val="1"/>
          <w:numId w:val="10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w:t>
      </w:r>
    </w:p>
    <w:p>
      <w:pPr>
        <w:spacing w:after="0" w:line="182"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10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redeem or otherwise acquire or retire for value any Equity Interests of Parent;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26" w:val="left"/>
        </w:tabs>
        <w:numPr>
          <w:ilvl w:val="1"/>
          <w:numId w:val="10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voluntary payment on or with respect to, or purchase, redeem, defease or otherwise acquire or retire for value (collectively for purposes of this clause (iii), a “</w:t>
      </w:r>
      <w:r>
        <w:rPr>
          <w:rFonts w:ascii="Times New Roman" w:cs="Times New Roman" w:eastAsia="Times New Roman" w:hAnsi="Times New Roman"/>
          <w:sz w:val="22"/>
          <w:szCs w:val="22"/>
          <w:i w:val="1"/>
          <w:iCs w:val="1"/>
          <w:color w:val="auto"/>
        </w:rPr>
        <w:t>purchase</w:t>
      </w:r>
      <w:r>
        <w:rPr>
          <w:rFonts w:ascii="Times New Roman" w:cs="Times New Roman" w:eastAsia="Times New Roman" w:hAnsi="Times New Roman"/>
          <w:sz w:val="22"/>
          <w:szCs w:val="22"/>
          <w:color w:val="auto"/>
        </w:rPr>
        <w:t>”)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w:t>
      </w:r>
    </w:p>
    <w:p>
      <w:pPr>
        <w:spacing w:after="0" w:line="17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10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Restricted Investment (all such payments and other actions set forth in these clauses (i) through</w:t>
      </w:r>
    </w:p>
    <w:p>
      <w:pPr>
        <w:spacing w:after="0" w:line="2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10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being collectively referred to as “</w:t>
      </w:r>
      <w:r>
        <w:rPr>
          <w:rFonts w:ascii="Times New Roman" w:cs="Times New Roman" w:eastAsia="Times New Roman" w:hAnsi="Times New Roman"/>
          <w:sz w:val="22"/>
          <w:szCs w:val="22"/>
          <w:i w:val="1"/>
          <w:iCs w:val="1"/>
          <w:color w:val="auto"/>
        </w:rPr>
        <w:t>Restricted Payments</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at the time of and after giving effect to such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40" w:right="339" w:bottom="1440" w:gutter="0" w:footer="0" w:header="0"/>
        </w:sectPr>
      </w:pPr>
    </w:p>
    <w:bookmarkStart w:id="858" w:name="page859"/>
    <w:bookmarkEnd w:id="858"/>
    <w:p>
      <w:pPr>
        <w:spacing w:after="0" w:line="199" w:lineRule="exact"/>
        <w:rPr>
          <w:sz w:val="20"/>
          <w:szCs w:val="20"/>
          <w:color w:val="auto"/>
        </w:rPr>
      </w:pPr>
    </w:p>
    <w:p>
      <w:pPr>
        <w:jc w:val="both"/>
        <w:ind w:firstLine="8"/>
        <w:spacing w:after="0" w:line="256" w:lineRule="auto"/>
        <w:tabs>
          <w:tab w:leader="none" w:pos="490" w:val="left"/>
        </w:tabs>
        <w:numPr>
          <w:ilvl w:val="0"/>
          <w:numId w:val="10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$4,000,000,000, or</w:t>
      </w:r>
    </w:p>
    <w:p>
      <w:pPr>
        <w:spacing w:after="0" w:line="176" w:lineRule="exact"/>
        <w:rPr>
          <w:rFonts w:ascii="Times New Roman" w:cs="Times New Roman" w:eastAsia="Times New Roman" w:hAnsi="Times New Roman"/>
          <w:sz w:val="22"/>
          <w:szCs w:val="22"/>
          <w:color w:val="auto"/>
        </w:rPr>
      </w:pPr>
    </w:p>
    <w:p>
      <w:pPr>
        <w:jc w:val="both"/>
        <w:ind w:firstLine="8"/>
        <w:spacing w:after="0" w:line="252" w:lineRule="auto"/>
        <w:tabs>
          <w:tab w:leader="none" w:pos="492" w:val="left"/>
        </w:tabs>
        <w:numPr>
          <w:ilvl w:val="0"/>
          <w:numId w:val="10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36" w:val="left"/>
        </w:tabs>
        <w:numPr>
          <w:ilvl w:val="1"/>
          <w:numId w:val="10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 of the Consolidated Net Income of Parent for the period (taken as one accounting period) from April 1,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w:t>
      </w:r>
    </w:p>
    <w:p>
      <w:pPr>
        <w:spacing w:after="0" w:line="180"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861" w:val="left"/>
        </w:tabs>
        <w:numPr>
          <w:ilvl w:val="1"/>
          <w:numId w:val="10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855" w:val="left"/>
        </w:tabs>
        <w:numPr>
          <w:ilvl w:val="1"/>
          <w:numId w:val="10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40" w:right="339" w:bottom="1440" w:gutter="0" w:footer="0" w:header="0"/>
        </w:sectPr>
      </w:pPr>
    </w:p>
    <w:bookmarkStart w:id="859" w:name="page860"/>
    <w:bookmarkEnd w:id="859"/>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(other than Qualifying Equity Interests (as such term is defined in the US Airways Indenture) and convertible or exchangeable Disqualified Stock (as such term is defined in the US Airways Indenture) or debt securities sold to a Subsidiary of US Airways); plus</w:t>
      </w:r>
    </w:p>
    <w:p>
      <w:pPr>
        <w:spacing w:after="0" w:line="186" w:lineRule="exact"/>
        <w:rPr>
          <w:sz w:val="20"/>
          <w:szCs w:val="20"/>
          <w:color w:val="auto"/>
        </w:rPr>
      </w:pPr>
    </w:p>
    <w:p>
      <w:pPr>
        <w:jc w:val="both"/>
        <w:ind w:firstLine="644"/>
        <w:spacing w:after="0" w:line="252" w:lineRule="auto"/>
        <w:tabs>
          <w:tab w:leader="none" w:pos="1262" w:val="left"/>
        </w:tabs>
        <w:numPr>
          <w:ilvl w:val="0"/>
          <w:numId w:val="10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Restricted Investment that was made after the Closing Date is (i) sold for cash or otherwise cancelled, liquidated or repaid for cash or (ii) made in an entity that subsequently becomes a Restricted Subsidiary of Parent, the initial amount of such Restricted Investment (or, if less, the amount of cash received upon repayment or sale); plus</w:t>
      </w:r>
    </w:p>
    <w:p>
      <w:pPr>
        <w:spacing w:after="0" w:line="179" w:lineRule="exact"/>
        <w:rPr>
          <w:rFonts w:ascii="Times New Roman" w:cs="Times New Roman" w:eastAsia="Times New Roman" w:hAnsi="Times New Roman"/>
          <w:sz w:val="22"/>
          <w:szCs w:val="22"/>
          <w:color w:val="auto"/>
        </w:rPr>
      </w:pPr>
    </w:p>
    <w:p>
      <w:pPr>
        <w:jc w:val="both"/>
        <w:ind w:firstLine="644"/>
        <w:spacing w:after="0" w:line="268" w:lineRule="auto"/>
        <w:tabs>
          <w:tab w:leader="none" w:pos="1271" w:val="left"/>
        </w:tabs>
        <w:numPr>
          <w:ilvl w:val="0"/>
          <w:numId w:val="10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w:t>
      </w:r>
    </w:p>
    <w:p>
      <w:pPr>
        <w:spacing w:after="0" w:line="163" w:lineRule="exact"/>
        <w:rPr>
          <w:rFonts w:ascii="Times New Roman" w:cs="Times New Roman" w:eastAsia="Times New Roman" w:hAnsi="Times New Roman"/>
          <w:sz w:val="21"/>
          <w:szCs w:val="21"/>
          <w:color w:val="auto"/>
        </w:rPr>
      </w:pPr>
    </w:p>
    <w:p>
      <w:pPr>
        <w:jc w:val="both"/>
        <w:ind w:firstLine="644"/>
        <w:spacing w:after="0" w:line="256" w:lineRule="auto"/>
        <w:tabs>
          <w:tab w:leader="none" w:pos="1135" w:val="left"/>
        </w:tabs>
        <w:numPr>
          <w:ilvl w:val="0"/>
          <w:numId w:val="10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w:t>
      </w:r>
    </w:p>
    <w:p>
      <w:pPr>
        <w:spacing w:after="0" w:line="176"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provisions of Section 6.01(a) will not prohibit:</w:t>
      </w:r>
    </w:p>
    <w:p>
      <w:pPr>
        <w:spacing w:after="0" w:line="220" w:lineRule="exact"/>
        <w:rPr>
          <w:sz w:val="20"/>
          <w:szCs w:val="20"/>
          <w:color w:val="auto"/>
        </w:rPr>
      </w:pPr>
    </w:p>
    <w:p>
      <w:pPr>
        <w:jc w:val="both"/>
        <w:ind w:firstLine="644"/>
        <w:spacing w:after="0" w:line="256" w:lineRule="auto"/>
        <w:tabs>
          <w:tab w:leader="none" w:pos="1239" w:val="left"/>
        </w:tabs>
        <w:numPr>
          <w:ilvl w:val="0"/>
          <w:numId w:val="10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w:t>
      </w:r>
    </w:p>
    <w:p>
      <w:pPr>
        <w:spacing w:after="0" w:line="176" w:lineRule="exact"/>
        <w:rPr>
          <w:rFonts w:ascii="Times New Roman" w:cs="Times New Roman" w:eastAsia="Times New Roman" w:hAnsi="Times New Roman"/>
          <w:sz w:val="22"/>
          <w:szCs w:val="22"/>
          <w:color w:val="auto"/>
        </w:rPr>
      </w:pPr>
    </w:p>
    <w:p>
      <w:pPr>
        <w:jc w:val="both"/>
        <w:ind w:firstLine="644"/>
        <w:spacing w:after="0" w:line="268" w:lineRule="auto"/>
        <w:tabs>
          <w:tab w:leader="none" w:pos="1254" w:val="left"/>
        </w:tabs>
        <w:numPr>
          <w:ilvl w:val="0"/>
          <w:numId w:val="10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w:t>
      </w:r>
    </w:p>
    <w:p>
      <w:pPr>
        <w:spacing w:after="0" w:line="163" w:lineRule="exact"/>
        <w:rPr>
          <w:rFonts w:ascii="Times New Roman" w:cs="Times New Roman" w:eastAsia="Times New Roman" w:hAnsi="Times New Roman"/>
          <w:sz w:val="21"/>
          <w:szCs w:val="21"/>
          <w:color w:val="auto"/>
        </w:rPr>
      </w:pPr>
    </w:p>
    <w:p>
      <w:pPr>
        <w:jc w:val="both"/>
        <w:ind w:firstLine="644"/>
        <w:spacing w:after="0" w:line="257" w:lineRule="auto"/>
        <w:tabs>
          <w:tab w:leader="none" w:pos="1214" w:val="left"/>
        </w:tabs>
        <w:numPr>
          <w:ilvl w:val="0"/>
          <w:numId w:val="10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dividend (or, in the case of any partnership or limited liability company, any similar distribution), distribution or payment by a Restricted Subsidiary of Parent to the holders of its Equity Interests on a pro rata basis;</w:t>
      </w:r>
    </w:p>
    <w:p>
      <w:pPr>
        <w:spacing w:after="0" w:line="172" w:lineRule="exact"/>
        <w:rPr>
          <w:rFonts w:ascii="Times New Roman" w:cs="Times New Roman" w:eastAsia="Times New Roman" w:hAnsi="Times New Roman"/>
          <w:sz w:val="22"/>
          <w:szCs w:val="22"/>
          <w:color w:val="auto"/>
        </w:rPr>
      </w:pPr>
    </w:p>
    <w:p>
      <w:pPr>
        <w:ind w:right="20" w:firstLine="644"/>
        <w:spacing w:after="0" w:line="284" w:lineRule="auto"/>
        <w:tabs>
          <w:tab w:leader="none" w:pos="1194" w:val="left"/>
        </w:tabs>
        <w:numPr>
          <w:ilvl w:val="0"/>
          <w:numId w:val="10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redemption, defeasance or other acquisition or retirement for value of Indebtedness of the Borrower or any Guarantor that is contractually subordinated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0580"/>
          </w:cols>
          <w:pgMar w:left="980" w:top="1440" w:right="339" w:bottom="1440" w:gutter="0" w:footer="0" w:header="0"/>
        </w:sectPr>
      </w:pPr>
    </w:p>
    <w:bookmarkStart w:id="860" w:name="page861"/>
    <w:bookmarkEnd w:id="860"/>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 of payment to the Loans with the net cash proceeds from an incurrence of Permitted Refinancing Indebtedness;</w:t>
      </w:r>
    </w:p>
    <w:p>
      <w:pPr>
        <w:spacing w:after="0" w:line="220" w:lineRule="exact"/>
        <w:rPr>
          <w:sz w:val="20"/>
          <w:szCs w:val="20"/>
          <w:color w:val="auto"/>
        </w:rPr>
      </w:pPr>
    </w:p>
    <w:p>
      <w:pPr>
        <w:jc w:val="both"/>
        <w:ind w:firstLine="644"/>
        <w:spacing w:after="0" w:line="248" w:lineRule="auto"/>
        <w:tabs>
          <w:tab w:leader="none" w:pos="1244" w:val="left"/>
        </w:tabs>
        <w:numPr>
          <w:ilvl w:val="0"/>
          <w:numId w:val="10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w:t>
      </w:r>
    </w:p>
    <w:p>
      <w:pPr>
        <w:spacing w:after="0" w:line="184" w:lineRule="exact"/>
        <w:rPr>
          <w:rFonts w:ascii="Times New Roman" w:cs="Times New Roman" w:eastAsia="Times New Roman" w:hAnsi="Times New Roman"/>
          <w:sz w:val="22"/>
          <w:szCs w:val="22"/>
          <w:color w:val="auto"/>
        </w:rPr>
      </w:pPr>
    </w:p>
    <w:p>
      <w:pPr>
        <w:jc w:val="both"/>
        <w:ind w:firstLine="644"/>
        <w:spacing w:after="0" w:line="251" w:lineRule="auto"/>
        <w:tabs>
          <w:tab w:leader="none" w:pos="1129" w:val="left"/>
        </w:tabs>
        <w:numPr>
          <w:ilvl w:val="0"/>
          <w:numId w:val="10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spacing w:after="0" w:line="194" w:lineRule="exact"/>
        <w:rPr>
          <w:rFonts w:ascii="Times New Roman" w:cs="Times New Roman" w:eastAsia="Times New Roman" w:hAnsi="Times New Roman"/>
          <w:sz w:val="22"/>
          <w:szCs w:val="22"/>
          <w:color w:val="auto"/>
        </w:rPr>
      </w:pPr>
    </w:p>
    <w:p>
      <w:pPr>
        <w:jc w:val="both"/>
        <w:ind w:firstLine="644"/>
        <w:spacing w:after="0" w:line="257" w:lineRule="auto"/>
        <w:tabs>
          <w:tab w:leader="none" w:pos="1147" w:val="left"/>
        </w:tabs>
        <w:numPr>
          <w:ilvl w:val="0"/>
          <w:numId w:val="10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spacing w:after="0" w:line="172" w:lineRule="exact"/>
        <w:rPr>
          <w:rFonts w:ascii="Times New Roman" w:cs="Times New Roman" w:eastAsia="Times New Roman" w:hAnsi="Times New Roman"/>
          <w:sz w:val="22"/>
          <w:szCs w:val="22"/>
          <w:color w:val="auto"/>
        </w:rPr>
      </w:pPr>
    </w:p>
    <w:p>
      <w:pPr>
        <w:ind w:firstLine="644"/>
        <w:spacing w:after="0" w:line="271" w:lineRule="auto"/>
        <w:tabs>
          <w:tab w:leader="none" w:pos="1144" w:val="left"/>
        </w:tabs>
        <w:numPr>
          <w:ilvl w:val="0"/>
          <w:numId w:val="10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cash, dividends, distributions, advances, common stock or other Restricted Payments by Parent or any of its Restricted Subsidiaries to allow the payment of cash in lieu of the issuance of fractional shares;</w:t>
      </w:r>
    </w:p>
    <w:p>
      <w:pPr>
        <w:spacing w:after="0" w:line="171" w:lineRule="exact"/>
        <w:rPr>
          <w:rFonts w:ascii="Times New Roman" w:cs="Times New Roman" w:eastAsia="Times New Roman" w:hAnsi="Times New Roman"/>
          <w:sz w:val="22"/>
          <w:szCs w:val="22"/>
          <w:color w:val="auto"/>
        </w:rPr>
      </w:pPr>
    </w:p>
    <w:p>
      <w:pPr>
        <w:jc w:val="both"/>
        <w:ind w:firstLine="644"/>
        <w:spacing w:after="0" w:line="257" w:lineRule="auto"/>
        <w:tabs>
          <w:tab w:leader="none" w:pos="1143" w:val="left"/>
        </w:tabs>
        <w:numPr>
          <w:ilvl w:val="0"/>
          <w:numId w:val="10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w:t>
      </w:r>
    </w:p>
    <w:p>
      <w:pPr>
        <w:spacing w:after="0" w:line="172" w:lineRule="exact"/>
        <w:rPr>
          <w:rFonts w:ascii="Times New Roman" w:cs="Times New Roman" w:eastAsia="Times New Roman" w:hAnsi="Times New Roman"/>
          <w:sz w:val="22"/>
          <w:szCs w:val="22"/>
          <w:color w:val="auto"/>
        </w:rPr>
      </w:pPr>
    </w:p>
    <w:p>
      <w:pPr>
        <w:ind w:left="1220" w:hanging="576"/>
        <w:spacing w:after="0"/>
        <w:tabs>
          <w:tab w:leader="none" w:pos="1220" w:val="left"/>
        </w:tabs>
        <w:numPr>
          <w:ilvl w:val="0"/>
          <w:numId w:val="10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with Excluded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0580"/>
          </w:cols>
          <w:pgMar w:left="980" w:top="1440" w:right="339" w:bottom="1440" w:gutter="0" w:footer="0" w:header="0"/>
        </w:sectPr>
      </w:pPr>
    </w:p>
    <w:bookmarkStart w:id="861" w:name="page862"/>
    <w:bookmarkEnd w:id="861"/>
    <w:p>
      <w:pPr>
        <w:spacing w:after="0" w:line="198" w:lineRule="exact"/>
        <w:rPr>
          <w:sz w:val="20"/>
          <w:szCs w:val="20"/>
          <w:color w:val="auto"/>
        </w:rPr>
      </w:pPr>
    </w:p>
    <w:p>
      <w:pPr>
        <w:ind w:left="-460" w:right="20" w:firstLine="644"/>
        <w:spacing w:after="0" w:line="271" w:lineRule="auto"/>
        <w:tabs>
          <w:tab w:leader="none" w:pos="763"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as a dividend or otherwise, of shares of Capital Stock of, or Indebtedness owed to Parent or any of its Restricted Subsidiaries by, any Unrestricted Subsidiary;</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954"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Payment in connection with any full or partial “spin-off” of a Subsidiary or similar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or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assets distributed or dividended do not include, directly or indirectly, any property or asset that constitutes Collateral;</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15"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distribution or dividend of assets or Capital Stock of any Person in connection with any full or partial “spin-off” of a Subsidiary or similar transactions having an aggregate Fair Market Value not to exceed $600,000,000 since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assets distributed or dividended do not include, directly or indirectly, any property or asset that constitutes Collateral;</w:t>
      </w:r>
    </w:p>
    <w:p>
      <w:pPr>
        <w:spacing w:after="0" w:line="176"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18"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38"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950"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w:t>
      </w:r>
    </w:p>
    <w:p>
      <w:pPr>
        <w:spacing w:after="0" w:line="192"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48"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payments in connection with a Permitted Bond Hedge Transaction and (b) the settlement of any related Permitted Warrant Transaction (i) by delivery of shares of Parent’s or a parent company of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 such parent company or such common stock, cash and/or other property;</w:t>
      </w:r>
    </w:p>
    <w:p>
      <w:pPr>
        <w:spacing w:after="0" w:line="180"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02" w:val="left"/>
        </w:tabs>
        <w:numPr>
          <w:ilvl w:val="0"/>
          <w:numId w:val="10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has occurred and is continuing, Restricted Payments (i) made to purchase or redeem Equity Interests of Parent or (ii) consisting of payments in respect of any Indebtedness (whether for purchase or prepayment thereof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0120"/>
          </w:cols>
          <w:pgMar w:left="1440" w:top="1440" w:right="339" w:bottom="1440" w:gutter="0" w:footer="0" w:header="0"/>
        </w:sectPr>
      </w:pPr>
    </w:p>
    <w:bookmarkStart w:id="862" w:name="page863"/>
    <w:bookmarkEnd w:id="862"/>
    <w:p>
      <w:pPr>
        <w:spacing w:after="0" w:line="199" w:lineRule="exact"/>
        <w:rPr>
          <w:sz w:val="20"/>
          <w:szCs w:val="20"/>
          <w:color w:val="auto"/>
        </w:rPr>
      </w:pPr>
    </w:p>
    <w:p>
      <w:pPr>
        <w:jc w:val="both"/>
        <w:ind w:left="660" w:firstLine="644"/>
        <w:spacing w:after="0" w:line="253" w:lineRule="auto"/>
        <w:tabs>
          <w:tab w:leader="none" w:pos="1954" w:val="left"/>
        </w:tabs>
        <w:numPr>
          <w:ilvl w:val="0"/>
          <w:numId w:val="10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04" w:val="left"/>
        </w:tabs>
        <w:numPr>
          <w:ilvl w:val="0"/>
          <w:numId w:val="10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w:t>
      </w:r>
    </w:p>
    <w:p>
      <w:pPr>
        <w:spacing w:after="0" w:line="163"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0"/>
          <w:numId w:val="10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repurchase of Receivables and/or related assets pursuant to a Receivables Repurchase Obligation.</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40" w:right="339" w:bottom="1440" w:gutter="0" w:footer="0" w:header="0"/>
        </w:sectPr>
      </w:pPr>
    </w:p>
    <w:bookmarkStart w:id="863" w:name="page864"/>
    <w:bookmarkEnd w:id="863"/>
    <w:p>
      <w:pPr>
        <w:spacing w:after="0" w:line="198" w:lineRule="exact"/>
        <w:rPr>
          <w:sz w:val="20"/>
          <w:szCs w:val="20"/>
          <w:color w:val="auto"/>
        </w:rPr>
      </w:pPr>
    </w:p>
    <w:p>
      <w:pPr>
        <w:jc w:val="right"/>
        <w:spacing w:after="0"/>
        <w:tabs>
          <w:tab w:leader="none" w:pos="8200" w:val="left"/>
        </w:tabs>
        <w:rPr>
          <w:sz w:val="20"/>
          <w:szCs w:val="20"/>
          <w:color w:val="auto"/>
        </w:rPr>
      </w:pPr>
      <w:r>
        <w:rPr>
          <w:rFonts w:ascii="Times New Roman" w:cs="Times New Roman" w:eastAsia="Times New Roman" w:hAnsi="Times New Roman"/>
          <w:sz w:val="22"/>
          <w:szCs w:val="22"/>
          <w:color w:val="auto"/>
        </w:rPr>
        <w:t>SECTION 6.02.</w:t>
      </w:r>
      <w:r>
        <w:rPr>
          <w:sz w:val="20"/>
          <w:szCs w:val="20"/>
          <w:color w:val="auto"/>
        </w:rPr>
        <w:tab/>
      </w:r>
      <w:r>
        <w:rPr>
          <w:rFonts w:ascii="Times New Roman" w:cs="Times New Roman" w:eastAsia="Times New Roman" w:hAnsi="Times New Roman"/>
          <w:sz w:val="22"/>
          <w:szCs w:val="22"/>
          <w:u w:val="single" w:color="auto"/>
          <w:color w:val="auto"/>
        </w:rPr>
        <w:t>Restrictions on Ability of Restricted Subsidiaries to Pay Dividends and Make Certain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304"/>
        <w:spacing w:after="0" w:line="263" w:lineRule="auto"/>
        <w:tabs>
          <w:tab w:leader="none" w:pos="1789" w:val="left"/>
        </w:tabs>
        <w:numPr>
          <w:ilvl w:val="0"/>
          <w:numId w:val="10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will not, and will not permit any of its Restricted Subsidiaries other than the Borrower to, directly or indirectly, create or permit to exist or become effective any consensual encumbrance or restriction on the ability of any such Restricted Subsidiary to:</w:t>
      </w:r>
    </w:p>
    <w:p>
      <w:pPr>
        <w:spacing w:after="0" w:line="167" w:lineRule="exact"/>
        <w:rPr>
          <w:sz w:val="20"/>
          <w:szCs w:val="20"/>
          <w:color w:val="auto"/>
        </w:rPr>
      </w:pPr>
    </w:p>
    <w:p>
      <w:pPr>
        <w:jc w:val="both"/>
        <w:ind w:left="660" w:firstLine="644"/>
        <w:spacing w:after="0" w:line="257" w:lineRule="auto"/>
        <w:tabs>
          <w:tab w:leader="none" w:pos="1948" w:val="left"/>
        </w:tabs>
        <w:numPr>
          <w:ilvl w:val="0"/>
          <w:numId w:val="10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on its Capital Stock to Parent or any of its Restricted Subsidiaries or with respect to any other interest or participation in the profits of such Restricted Subsidiary, or measured by the profits of such Restricted Subsidiary;</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Indebtedness owed to Parent or any of its Restricted Subsidiaries;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loans or advances to Parent or any of its Restricted Subsidiaries;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or transfer any of its properties or assets to Parent or any of its Restricted Subsidiaries.</w:t>
      </w:r>
    </w:p>
    <w:p>
      <w:pPr>
        <w:spacing w:after="0" w:line="220" w:lineRule="exact"/>
        <w:rPr>
          <w:sz w:val="20"/>
          <w:szCs w:val="20"/>
          <w:color w:val="auto"/>
        </w:rPr>
      </w:pPr>
    </w:p>
    <w:p>
      <w:pPr>
        <w:ind w:left="1780" w:hanging="476"/>
        <w:spacing w:after="0"/>
        <w:tabs>
          <w:tab w:leader="none" w:pos="1780" w:val="left"/>
        </w:tabs>
        <w:numPr>
          <w:ilvl w:val="0"/>
          <w:numId w:val="10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restrictions in Section 6.02(a) will not apply to encumbrances or restrictions existing under or by reason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196" w:lineRule="exact"/>
        <w:rPr>
          <w:sz w:val="20"/>
          <w:szCs w:val="20"/>
          <w:color w:val="auto"/>
        </w:rPr>
      </w:pPr>
    </w:p>
    <w:p>
      <w:pPr>
        <w:jc w:val="both"/>
        <w:ind w:left="660" w:firstLine="644"/>
        <w:spacing w:after="0" w:line="263" w:lineRule="auto"/>
        <w:tabs>
          <w:tab w:leader="none" w:pos="1803" w:val="left"/>
        </w:tabs>
        <w:numPr>
          <w:ilvl w:val="0"/>
          <w:numId w:val="10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(A) governing Existing Indebtedness, Credit Facilities and any other obligations, in each case as in effect on (or required by agreements in effect on) the Closing Date, (B) in effect on the Closing Date or (C) of US Airways Group, Inc. and any of its Subsidiaries in effect on the date of the AMR/US Airways Merger;</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Collateral Documents, including any Intercreditor Agreement;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09" w:val="left"/>
        </w:tabs>
        <w:numPr>
          <w:ilvl w:val="0"/>
          <w:numId w:val="10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agreements governing other Indebtedness or shares of preferred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 or any reimbursement obligation with respect to LC Disbursements;</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 rule, regulation or order;</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38" w:val="left"/>
        </w:tabs>
        <w:numPr>
          <w:ilvl w:val="0"/>
          <w:numId w:val="10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40" w:right="339" w:bottom="1440" w:gutter="0" w:footer="0" w:header="0"/>
        </w:sectPr>
      </w:pPr>
    </w:p>
    <w:bookmarkStart w:id="864" w:name="page865"/>
    <w:bookmarkEnd w:id="864"/>
    <w:p>
      <w:pPr>
        <w:spacing w:after="0" w:line="199" w:lineRule="exact"/>
        <w:rPr>
          <w:sz w:val="20"/>
          <w:szCs w:val="20"/>
          <w:color w:val="auto"/>
        </w:rPr>
      </w:pPr>
    </w:p>
    <w:p>
      <w:pPr>
        <w:ind w:left="-460" w:firstLine="644"/>
        <w:spacing w:after="0" w:line="271" w:lineRule="auto"/>
        <w:tabs>
          <w:tab w:leader="none" w:pos="749"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contracts, licenses, leases and asset sale agreements entered into in the Ordinary Course of Business;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755"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obligations for property acquired in the Ordinary Course of Business and Capital Lease Obligations that impose restrictions on the property (or proceeds thereof) purchased or leased of the nature described in clause (4) of Section 6.02(a);</w:t>
      </w:r>
    </w:p>
    <w:p>
      <w:pPr>
        <w:spacing w:after="0" w:line="167"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878"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agreement for the sale or other disposition of a Restricted Subsidiary that restricts distributions, asset sales or loans by that Restricted Subsidiary pending its sale or other disposition;</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1" w:lineRule="auto"/>
        <w:tabs>
          <w:tab w:leader="none" w:pos="779"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Refinancing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w:t>
      </w:r>
    </w:p>
    <w:p>
      <w:pPr>
        <w:spacing w:after="0" w:line="181"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 and Liens that limit the right of the debtor to dispose of the assets subject to such Liens;</w:t>
      </w:r>
    </w:p>
    <w:p>
      <w:pPr>
        <w:spacing w:after="0" w:line="233"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777"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w:t>
      </w:r>
    </w:p>
    <w:p>
      <w:pPr>
        <w:spacing w:after="0" w:line="194" w:lineRule="exact"/>
        <w:rPr>
          <w:rFonts w:ascii="Times New Roman" w:cs="Times New Roman" w:eastAsia="Times New Roman" w:hAnsi="Times New Roman"/>
          <w:sz w:val="22"/>
          <w:szCs w:val="22"/>
          <w:color w:val="auto"/>
        </w:rPr>
      </w:pPr>
    </w:p>
    <w:p>
      <w:pPr>
        <w:ind w:left="-460" w:firstLine="644"/>
        <w:spacing w:after="0" w:line="271" w:lineRule="auto"/>
        <w:tabs>
          <w:tab w:leader="none" w:pos="782"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cash or other deposits or net worth imposed by customers under contracts entered into in the Ordinary Course of Business;</w:t>
      </w:r>
    </w:p>
    <w:p>
      <w:pPr>
        <w:spacing w:after="0" w:line="157"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779"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or agreement entered into in connection with (or in anticipation of) any full or partial “spin-off” or similar transactions;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60" w:val="left"/>
        </w:tabs>
        <w:numPr>
          <w:ilvl w:val="0"/>
          <w:numId w:val="10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0120"/>
          </w:cols>
          <w:pgMar w:left="1440" w:top="1440" w:right="339" w:bottom="1440" w:gutter="0" w:footer="0" w:header="0"/>
        </w:sectPr>
      </w:pPr>
    </w:p>
    <w:bookmarkStart w:id="865" w:name="page866"/>
    <w:bookmarkEnd w:id="865"/>
    <w:p>
      <w:pPr>
        <w:spacing w:after="0" w:line="198" w:lineRule="exact"/>
        <w:rPr>
          <w:sz w:val="20"/>
          <w:szCs w:val="20"/>
          <w:color w:val="auto"/>
        </w:rPr>
      </w:pPr>
    </w:p>
    <w:p>
      <w:pPr>
        <w:jc w:val="both"/>
        <w:ind w:left="660" w:firstLine="644"/>
        <w:spacing w:after="0" w:line="257" w:lineRule="auto"/>
        <w:tabs>
          <w:tab w:leader="none" w:pos="2144" w:val="left"/>
        </w:tabs>
        <w:numPr>
          <w:ilvl w:val="0"/>
          <w:numId w:val="10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existing under or by reason of Indebtedness or other contractual requirements of a Receivables Subsidiary or any Standard Securitization Undertaking, in each case, in connection with a Qualified Receivables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apply only to such Receivables Subsidiary</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6.03.</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6.04.</w:t>
      </w:r>
      <w:r>
        <w:rPr>
          <w:sz w:val="20"/>
          <w:szCs w:val="20"/>
          <w:color w:val="auto"/>
        </w:rPr>
        <w:tab/>
      </w:r>
      <w:r>
        <w:rPr>
          <w:rFonts w:ascii="Times New Roman" w:cs="Times New Roman" w:eastAsia="Times New Roman" w:hAnsi="Times New Roman"/>
          <w:sz w:val="21"/>
          <w:szCs w:val="21"/>
          <w:u w:val="single" w:color="auto"/>
          <w:color w:val="auto"/>
        </w:rPr>
        <w:t>Disposition of Collateral.</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 xml:space="preserve">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 (A) upon consummation of any such Disposition, no Event of Default shall have occurred and be continuing, (B) either (I) there is (1) no Collateral Coverage Ratio Failure after giving effect to such Disposition (including any deposit of any Net Proceeds received upon consummation thereof in the Collateral Proceeds Account subject to an Account Control Agreement) and (2) no Core Collateral Failure after giving effect to such Disposition;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(x) 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less than 1.6 to 1.0 and (y) no Core Collateral Failure shall have occurred and be continuing as a result of such Disposition or after giving effect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Disposition that is not a voluntary Disposition of Collateral by the Borrower or such Grantor, the Borrower shall have up to 45 days after such Disposition to accomplish the actions contemplated by this clause (II); or (III) (1) the Borrower shall comply with its obligations set forth in Section 2.12(a), (2) no Collateral Coverage Ratio Failure has occurred and is continuing after giving effect to such Disposition and any prepayments or deposits made pursuant to Section 2.12(a) and (3) no Core Collateral Failure has occurred and is continuing after giving effect to such Disposition and any prepayments or deposits made pursuant to Section 2.12(a), (C) such sale or other Disposition, if to any other Person that is not a Subsidiary of the Borrower, is an arms’ length Disposition and</w:t>
      </w:r>
    </w:p>
    <w:p>
      <w:pPr>
        <w:spacing w:after="0" w:line="8" w:lineRule="exact"/>
        <w:rPr>
          <w:sz w:val="20"/>
          <w:szCs w:val="20"/>
          <w:color w:val="auto"/>
        </w:rPr>
      </w:pPr>
    </w:p>
    <w:p>
      <w:pPr>
        <w:jc w:val="both"/>
        <w:ind w:firstLine="8"/>
        <w:spacing w:after="0" w:line="248" w:lineRule="auto"/>
        <w:tabs>
          <w:tab w:leader="none" w:pos="384" w:val="left"/>
        </w:tabs>
        <w:numPr>
          <w:ilvl w:val="0"/>
          <w:numId w:val="10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provide to the Administrative Agent a Collateral Coverage Ratio Certificate calculating the Collateral Coverage Ratio and certifying that no Core Collateral Failure is continuing after giving effect to such Disposition (provided, that such certification that no Core Collateral Failure is continuing may be given up to 45 days after such Disposition in the case of any Disposition that is not a voluntary Disposition).</w:t>
      </w:r>
    </w:p>
    <w:p>
      <w:pPr>
        <w:spacing w:after="0" w:line="18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the avoidance of doubt, none of (v) the reduction of the frequency of flight operations over any Scheduled Service, (w) 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40" w:right="339" w:bottom="1440" w:gutter="0" w:footer="0" w:header="0"/>
        </w:sectPr>
      </w:pPr>
    </w:p>
    <w:bookmarkStart w:id="866" w:name="page867"/>
    <w:bookmarkEnd w:id="866"/>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Leasehold constituting Collateral, as 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 or Gate Leasehold otherwise constituting Collateral, as applicable, shall constitute a Disposition nor, solely with respect to this clause (y), result in the automatic release of such Collateral.</w:t>
      </w:r>
    </w:p>
    <w:p>
      <w:pPr>
        <w:spacing w:after="0" w:line="200" w:lineRule="exact"/>
        <w:rPr>
          <w:sz w:val="20"/>
          <w:szCs w:val="20"/>
          <w:color w:val="auto"/>
        </w:rPr>
      </w:pPr>
    </w:p>
    <w:p>
      <w:pPr>
        <w:spacing w:after="0" w:line="22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6.05.</w:t>
      </w:r>
      <w:r>
        <w:rPr>
          <w:sz w:val="20"/>
          <w:szCs w:val="20"/>
          <w:color w:val="auto"/>
        </w:rPr>
        <w:tab/>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72" w:lineRule="auto"/>
        <w:tabs>
          <w:tab w:leader="none" w:pos="1782" w:val="left"/>
        </w:tabs>
        <w:numPr>
          <w:ilvl w:val="0"/>
          <w:numId w:val="10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 w:cs="Times New Roman" w:eastAsia="Times New Roman" w:hAnsi="Times New Roman"/>
          <w:sz w:val="21"/>
          <w:szCs w:val="21"/>
          <w:i w:val="1"/>
          <w:iCs w:val="1"/>
          <w:color w:val="auto"/>
        </w:rPr>
        <w:t>Affiliate Transaction</w:t>
      </w:r>
      <w:r>
        <w:rPr>
          <w:rFonts w:ascii="Times New Roman" w:cs="Times New Roman" w:eastAsia="Times New Roman" w:hAnsi="Times New Roman"/>
          <w:sz w:val="21"/>
          <w:szCs w:val="21"/>
          <w:color w:val="auto"/>
        </w:rPr>
        <w:t>”) involving aggregate payments or consideration in excess of $60,000,000, unless:</w:t>
      </w:r>
    </w:p>
    <w:p>
      <w:pPr>
        <w:spacing w:after="0" w:line="161" w:lineRule="exact"/>
        <w:rPr>
          <w:sz w:val="20"/>
          <w:szCs w:val="20"/>
          <w:color w:val="auto"/>
        </w:rPr>
      </w:pPr>
    </w:p>
    <w:p>
      <w:pPr>
        <w:jc w:val="both"/>
        <w:ind w:left="660" w:firstLine="644"/>
        <w:spacing w:after="0" w:line="252" w:lineRule="auto"/>
        <w:tabs>
          <w:tab w:leader="none" w:pos="1791" w:val="left"/>
        </w:tabs>
        <w:numPr>
          <w:ilvl w:val="0"/>
          <w:numId w:val="10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w:t>
      </w:r>
    </w:p>
    <w:p>
      <w:pPr>
        <w:spacing w:after="0" w:line="19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delivers to the Administrative Agent: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666" w:val="left"/>
        </w:tabs>
        <w:numPr>
          <w:ilvl w:val="1"/>
          <w:numId w:val="10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Affiliate Transaction or series of related Affiliate Transactions involving aggregate consideration in excess of $150,000,000, an Officer’s Certificate certifying that such Affiliate Transaction complies with clause (1) of this Section 6.05(a); and</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658" w:val="left"/>
        </w:tabs>
        <w:numPr>
          <w:ilvl w:val="1"/>
          <w:numId w:val="10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w:t>
      </w:r>
    </w:p>
    <w:p>
      <w:pPr>
        <w:spacing w:after="0" w:line="176" w:lineRule="exact"/>
        <w:rPr>
          <w:sz w:val="20"/>
          <w:szCs w:val="20"/>
          <w:color w:val="auto"/>
        </w:rPr>
      </w:pPr>
    </w:p>
    <w:p>
      <w:pPr>
        <w:ind w:firstLine="1304"/>
        <w:spacing w:after="0" w:line="271" w:lineRule="auto"/>
        <w:tabs>
          <w:tab w:leader="none" w:pos="1780" w:val="left"/>
        </w:tabs>
        <w:numPr>
          <w:ilvl w:val="0"/>
          <w:numId w:val="10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items will not be deemed to be Affiliate Transactions and, therefore, will not be subject to the provisions of Section 6.05(a):</w:t>
      </w:r>
    </w:p>
    <w:p>
      <w:pPr>
        <w:spacing w:after="0" w:line="171" w:lineRule="exact"/>
        <w:rPr>
          <w:sz w:val="20"/>
          <w:szCs w:val="20"/>
          <w:color w:val="auto"/>
        </w:rPr>
      </w:pPr>
    </w:p>
    <w:p>
      <w:pPr>
        <w:jc w:val="both"/>
        <w:ind w:left="660" w:firstLine="644"/>
        <w:spacing w:after="0" w:line="252" w:lineRule="auto"/>
        <w:tabs>
          <w:tab w:leader="none" w:pos="2068" w:val="left"/>
        </w:tabs>
        <w:numPr>
          <w:ilvl w:val="0"/>
          <w:numId w:val="10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440" w:right="339" w:bottom="1440" w:gutter="0" w:footer="0" w:header="0"/>
        </w:sectPr>
      </w:pPr>
    </w:p>
    <w:bookmarkStart w:id="867" w:name="page868"/>
    <w:bookmarkEnd w:id="867"/>
    <w:p>
      <w:pPr>
        <w:spacing w:after="0" w:line="198" w:lineRule="exact"/>
        <w:rPr>
          <w:sz w:val="20"/>
          <w:szCs w:val="20"/>
          <w:color w:val="auto"/>
        </w:rPr>
      </w:pPr>
    </w:p>
    <w:p>
      <w:pPr>
        <w:ind w:firstLine="644"/>
        <w:spacing w:after="0" w:line="271" w:lineRule="auto"/>
        <w:tabs>
          <w:tab w:leader="none" w:pos="1144"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Restricted Subsidiaries (including without limitation in connection with (or in anticipation of) any full or partial “spin-off” or similar transactions);</w:t>
      </w:r>
    </w:p>
    <w:p>
      <w:pPr>
        <w:spacing w:after="0" w:line="157" w:lineRule="exact"/>
        <w:rPr>
          <w:rFonts w:ascii="Times New Roman" w:cs="Times New Roman" w:eastAsia="Times New Roman" w:hAnsi="Times New Roman"/>
          <w:sz w:val="22"/>
          <w:szCs w:val="22"/>
          <w:color w:val="auto"/>
        </w:rPr>
      </w:pPr>
    </w:p>
    <w:p>
      <w:pPr>
        <w:ind w:firstLine="644"/>
        <w:spacing w:after="0" w:line="284" w:lineRule="auto"/>
        <w:tabs>
          <w:tab w:leader="none" w:pos="1213"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a Person (other than an Unrestricted Subsidiary of Parent) that is an Affiliate of Parent solely because Parent owns, directly or through a Restricted Subsidiary, an Equity Interest in, or controls, such Person;</w:t>
      </w:r>
    </w:p>
    <w:p>
      <w:pPr>
        <w:spacing w:after="0" w:line="143" w:lineRule="exact"/>
        <w:rPr>
          <w:rFonts w:ascii="Times New Roman" w:cs="Times New Roman" w:eastAsia="Times New Roman" w:hAnsi="Times New Roman"/>
          <w:sz w:val="22"/>
          <w:szCs w:val="22"/>
          <w:color w:val="auto"/>
        </w:rPr>
      </w:pPr>
    </w:p>
    <w:p>
      <w:pPr>
        <w:jc w:val="both"/>
        <w:ind w:firstLine="644"/>
        <w:spacing w:after="0" w:line="257" w:lineRule="auto"/>
        <w:tabs>
          <w:tab w:leader="none" w:pos="1314"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spacing w:after="0" w:line="172"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10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issuance of Qualifying Equity Interests or any increase in the liquidation preference of preferred stock of</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Parent;</w:t>
      </w:r>
    </w:p>
    <w:p>
      <w:pPr>
        <w:spacing w:after="0" w:line="207" w:lineRule="exact"/>
        <w:rPr>
          <w:rFonts w:ascii="Times New Roman" w:cs="Times New Roman" w:eastAsia="Times New Roman" w:hAnsi="Times New Roman"/>
          <w:sz w:val="21"/>
          <w:szCs w:val="21"/>
          <w:color w:val="auto"/>
        </w:rPr>
      </w:pPr>
    </w:p>
    <w:p>
      <w:pPr>
        <w:jc w:val="both"/>
        <w:ind w:firstLine="644"/>
        <w:spacing w:after="0" w:line="257" w:lineRule="auto"/>
        <w:tabs>
          <w:tab w:leader="none" w:pos="1176"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spacing w:after="0" w:line="172"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and Restricted Payments that do not violate Section 6.01;</w:t>
      </w:r>
    </w:p>
    <w:p>
      <w:pPr>
        <w:spacing w:after="0" w:line="219" w:lineRule="exact"/>
        <w:rPr>
          <w:rFonts w:ascii="Times New Roman" w:cs="Times New Roman" w:eastAsia="Times New Roman" w:hAnsi="Times New Roman"/>
          <w:sz w:val="22"/>
          <w:szCs w:val="22"/>
          <w:color w:val="auto"/>
        </w:rPr>
      </w:pPr>
    </w:p>
    <w:p>
      <w:pPr>
        <w:ind w:firstLine="644"/>
        <w:spacing w:after="0" w:line="284" w:lineRule="auto"/>
        <w:tabs>
          <w:tab w:leader="none" w:pos="1267"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or advances to employees in the Ordinary Course of Business not to exceed $30,000,000 in the aggregate at any one time outstanding;</w:t>
      </w:r>
    </w:p>
    <w:p>
      <w:pPr>
        <w:spacing w:after="0" w:line="143" w:lineRule="exact"/>
        <w:rPr>
          <w:rFonts w:ascii="Times New Roman" w:cs="Times New Roman" w:eastAsia="Times New Roman" w:hAnsi="Times New Roman"/>
          <w:sz w:val="22"/>
          <w:szCs w:val="22"/>
          <w:color w:val="auto"/>
        </w:rPr>
      </w:pPr>
    </w:p>
    <w:p>
      <w:pPr>
        <w:jc w:val="both"/>
        <w:ind w:firstLine="644"/>
        <w:spacing w:after="0" w:line="249" w:lineRule="auto"/>
        <w:tabs>
          <w:tab w:leader="none" w:pos="1201"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w:t>
      </w:r>
    </w:p>
    <w:p>
      <w:pPr>
        <w:spacing w:after="0" w:line="183" w:lineRule="exact"/>
        <w:rPr>
          <w:rFonts w:ascii="Times New Roman" w:cs="Times New Roman" w:eastAsia="Times New Roman" w:hAnsi="Times New Roman"/>
          <w:sz w:val="22"/>
          <w:szCs w:val="22"/>
          <w:color w:val="auto"/>
        </w:rPr>
      </w:pPr>
    </w:p>
    <w:p>
      <w:pPr>
        <w:ind w:right="20" w:firstLine="644"/>
        <w:spacing w:after="0" w:line="271" w:lineRule="auto"/>
        <w:tabs>
          <w:tab w:leader="none" w:pos="1257"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Subsidiaries or transactions between a Receivables Subsidiary and any Person in which the Receivables Subsidiary has an Investment;</w:t>
      </w:r>
    </w:p>
    <w:p>
      <w:pPr>
        <w:spacing w:after="0" w:line="157" w:lineRule="exact"/>
        <w:rPr>
          <w:rFonts w:ascii="Times New Roman" w:cs="Times New Roman" w:eastAsia="Times New Roman" w:hAnsi="Times New Roman"/>
          <w:sz w:val="22"/>
          <w:szCs w:val="22"/>
          <w:color w:val="auto"/>
        </w:rPr>
      </w:pPr>
    </w:p>
    <w:p>
      <w:pPr>
        <w:ind w:left="1220" w:hanging="576"/>
        <w:spacing w:after="0"/>
        <w:tabs>
          <w:tab w:leader="none" w:pos="1220" w:val="left"/>
        </w:tabs>
        <w:numPr>
          <w:ilvl w:val="0"/>
          <w:numId w:val="10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effected as part of a Qualified Receivables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0580"/>
          </w:cols>
          <w:pgMar w:left="980" w:top="1440" w:right="339" w:bottom="1440" w:gutter="0" w:footer="0" w:header="0"/>
        </w:sectPr>
      </w:pPr>
    </w:p>
    <w:bookmarkStart w:id="868" w:name="page869"/>
    <w:bookmarkEnd w:id="868"/>
    <w:p>
      <w:pPr>
        <w:spacing w:after="0" w:line="199" w:lineRule="exact"/>
        <w:rPr>
          <w:sz w:val="20"/>
          <w:szCs w:val="20"/>
          <w:color w:val="auto"/>
        </w:rPr>
      </w:pPr>
    </w:p>
    <w:p>
      <w:pPr>
        <w:ind w:left="660" w:firstLine="644"/>
        <w:spacing w:after="0" w:line="271" w:lineRule="auto"/>
        <w:tabs>
          <w:tab w:leader="none" w:pos="2006" w:val="left"/>
        </w:tabs>
        <w:numPr>
          <w:ilvl w:val="0"/>
          <w:numId w:val="10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by Parent’s Affiliates of Indebtedness of Parent or any of its Restricted Subsidiaries, the majority of which Indebtedness is offered to Persons who are not Affiliates of Parent;</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0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contemplated by the Marketing and Service Agreements;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38" w:val="left"/>
        </w:tabs>
        <w:numPr>
          <w:ilvl w:val="0"/>
          <w:numId w:val="10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Parent or any of its Restricted Subsidiaries with any employee labor unions or other employee groups of Parent or such Restricted Subsidiary provided such transactions are not otherwise prohibited by this Agreement;</w:t>
      </w:r>
    </w:p>
    <w:p>
      <w:pPr>
        <w:spacing w:after="0" w:line="172"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0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captive insurance companies of Parent or any of its Restricted Subsidiaries; and</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2052" w:val="left"/>
        </w:tabs>
        <w:numPr>
          <w:ilvl w:val="0"/>
          <w:numId w:val="10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any of Parent and/or its Subsidiaries or transactions between a Non-Recourse Financing Subsidiary and any Person in which the Non-Recourse Financing Subsidiary has an Investment.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Parent will not, and will not permit any of its Restricted Subsidiaries to, directly or indirectly, create, incur, assume or suffer to exist any Lien of any kind on any property or asset that constitutes Collateral, except Permitted Liens.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Business Activities</w:t>
      </w:r>
      <w:r>
        <w:rPr>
          <w:rFonts w:ascii="Times New Roman" w:cs="Times New Roman" w:eastAsia="Times New Roman" w:hAnsi="Times New Roman"/>
          <w:sz w:val="22"/>
          <w:szCs w:val="22"/>
          <w:color w:val="auto"/>
        </w:rPr>
        <w:t>. Parent will not, and will not permit any of its Restricted Subsidiaries to, engage in any business other than Permitted Businesses, except to such extent as would not be material to Parent and its Restricted Subsidiaries taken as a whole.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Parent will not permit the aggregate amount of Liquidity at the close of any Business Day of to be less than $2,000,000,000.</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6.09.</w:t>
      </w:r>
      <w:r>
        <w:rPr>
          <w:sz w:val="20"/>
          <w:szCs w:val="20"/>
          <w:color w:val="auto"/>
        </w:rPr>
        <w:tab/>
      </w:r>
      <w:r>
        <w:rPr>
          <w:rFonts w:ascii="Times New Roman" w:cs="Times New Roman" w:eastAsia="Times New Roman" w:hAnsi="Times New Roman"/>
          <w:sz w:val="21"/>
          <w:szCs w:val="21"/>
          <w:u w:val="single" w:color="auto"/>
          <w:color w:val="auto"/>
        </w:rPr>
        <w:t>Collateral Coverage Ratio</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884" w:val="left"/>
        </w:tabs>
        <w:numPr>
          <w:ilvl w:val="0"/>
          <w:numId w:val="10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the delivery of each Appraisal of Collateral hereunder pursuant to Sections 5.06(1) or (2) (such day, a “</w:t>
      </w:r>
      <w:r>
        <w:rPr>
          <w:rFonts w:ascii="Times New Roman" w:cs="Times New Roman" w:eastAsia="Times New Roman" w:hAnsi="Times New Roman"/>
          <w:sz w:val="22"/>
          <w:szCs w:val="22"/>
          <w:i w:val="1"/>
          <w:iCs w:val="1"/>
          <w:color w:val="auto"/>
        </w:rPr>
        <w:t>Reference Date</w:t>
      </w:r>
      <w:r>
        <w:rPr>
          <w:rFonts w:ascii="Times New Roman" w:cs="Times New Roman" w:eastAsia="Times New Roman" w:hAnsi="Times New Roman"/>
          <w:sz w:val="22"/>
          <w:szCs w:val="22"/>
          <w:color w:val="auto"/>
        </w:rPr>
        <w:t>,” and the tenth Business Day after a Reference Date, the “</w:t>
      </w:r>
      <w:r>
        <w:rPr>
          <w:rFonts w:ascii="Times New Roman" w:cs="Times New Roman" w:eastAsia="Times New Roman" w:hAnsi="Times New Roman"/>
          <w:sz w:val="22"/>
          <w:szCs w:val="22"/>
          <w:i w:val="1"/>
          <w:iCs w:val="1"/>
          <w:color w:val="auto"/>
        </w:rPr>
        <w:t>Certificate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Delivery Date</w:t>
      </w:r>
      <w:r>
        <w:rPr>
          <w:rFonts w:ascii="Times New Roman" w:cs="Times New Roman" w:eastAsia="Times New Roman" w:hAnsi="Times New Roman"/>
          <w:sz w:val="22"/>
          <w:szCs w:val="22"/>
          <w:color w:val="auto"/>
        </w:rPr>
        <w:t>”), the Borrower will deliver to the Administrative Agent a Collateral Coverage Ratio Certificate (i) calculating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Coverage Ratio with respect to such Reference Date and (ii) for each Certificate Delivery Date, no Core Collateral Failure has occurred and is continuing.</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3" w:val="left"/>
        </w:tabs>
        <w:numPr>
          <w:ilvl w:val="0"/>
          <w:numId w:val="10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(x)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or (y)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40" w:right="339" w:bottom="1440" w:gutter="0" w:footer="0" w:header="0"/>
        </w:sectPr>
      </w:pPr>
    </w:p>
    <w:bookmarkStart w:id="869" w:name="page870"/>
    <w:bookmarkEnd w:id="869"/>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any Reference Date, it is determined that a Core Collateral Failure has occurred, the Borrower shall, no later than forty-five (45) days after the date of such determination, either (A) grant (or cause another Grantor to grant) a security interest in Additional Collateral such that following such grant, the Collateral shall include Core Collateral or (B) prepay the Loans in full in accordance with Section 2.12(h).</w:t>
      </w:r>
    </w:p>
    <w:p>
      <w:pPr>
        <w:spacing w:after="0" w:line="176" w:lineRule="exact"/>
        <w:rPr>
          <w:sz w:val="20"/>
          <w:szCs w:val="20"/>
          <w:color w:val="auto"/>
        </w:rPr>
      </w:pPr>
    </w:p>
    <w:p>
      <w:pPr>
        <w:jc w:val="both"/>
        <w:ind w:firstLine="1304"/>
        <w:spacing w:after="0" w:line="252" w:lineRule="auto"/>
        <w:tabs>
          <w:tab w:leader="none" w:pos="1765" w:val="left"/>
        </w:tabs>
        <w:numPr>
          <w:ilvl w:val="0"/>
          <w:numId w:val="10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the following conditions are satisfied or waived:</w:t>
      </w:r>
    </w:p>
    <w:p>
      <w:pPr>
        <w:spacing w:after="0" w:line="193" w:lineRule="exact"/>
        <w:rPr>
          <w:sz w:val="20"/>
          <w:szCs w:val="20"/>
          <w:color w:val="auto"/>
        </w:rPr>
      </w:pPr>
    </w:p>
    <w:p>
      <w:pPr>
        <w:ind w:left="1600" w:hanging="296"/>
        <w:spacing w:after="0"/>
        <w:tabs>
          <w:tab w:leader="none" w:pos="1600" w:val="left"/>
        </w:tabs>
        <w:numPr>
          <w:ilvl w:val="0"/>
          <w:numId w:val="10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have occurred and be continuing;</w:t>
      </w:r>
    </w:p>
    <w:p>
      <w:pPr>
        <w:spacing w:after="0" w:line="219"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0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19"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1"/>
          <w:numId w:val="10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giving effect to such release, the Collateral Coverage Ratio is not less than 1.6 to 1.0;</w:t>
      </w:r>
    </w:p>
    <w:p>
      <w:pPr>
        <w:spacing w:after="0" w:line="39" w:lineRule="exact"/>
        <w:rPr>
          <w:rFonts w:ascii="Times New Roman" w:cs="Times New Roman" w:eastAsia="Times New Roman" w:hAnsi="Times New Roman"/>
          <w:sz w:val="21"/>
          <w:szCs w:val="21"/>
          <w:color w:val="auto"/>
        </w:rPr>
      </w:pPr>
    </w:p>
    <w:p>
      <w:pPr>
        <w:ind w:left="1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95" w:lineRule="exact"/>
        <w:rPr>
          <w:rFonts w:ascii="Times New Roman" w:cs="Times New Roman" w:eastAsia="Times New Roman" w:hAnsi="Times New Roman"/>
          <w:sz w:val="21"/>
          <w:szCs w:val="21"/>
          <w:color w:val="auto"/>
        </w:rPr>
      </w:pPr>
    </w:p>
    <w:p>
      <w:pPr>
        <w:jc w:val="both"/>
        <w:ind w:left="1960" w:hanging="8"/>
        <w:spacing w:after="0" w:line="250" w:lineRule="auto"/>
        <w:tabs>
          <w:tab w:leader="none" w:pos="2308" w:val="left"/>
        </w:tabs>
        <w:numPr>
          <w:ilvl w:val="1"/>
          <w:numId w:val="10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 grant (or cause another Grantor to grant) a security interest in Additional Collateral and/or (B) prepay or cause to be prepaid the Loans and (if required by its terms) any Pari Passu Senior Secured Debt (on a ratable basis with the Loans) such that immediately following such actions in clauses (A) and/or (B)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w:t>
      </w:r>
    </w:p>
    <w:p>
      <w:pPr>
        <w:spacing w:after="0" w:line="193" w:lineRule="exact"/>
        <w:rPr>
          <w:rFonts w:ascii="Times New Roman" w:cs="Times New Roman" w:eastAsia="Times New Roman" w:hAnsi="Times New Roman"/>
          <w:sz w:val="22"/>
          <w:szCs w:val="22"/>
          <w:color w:val="auto"/>
        </w:rPr>
      </w:pPr>
    </w:p>
    <w:p>
      <w:pPr>
        <w:ind w:left="1300" w:firstLine="4"/>
        <w:spacing w:after="0" w:line="271" w:lineRule="auto"/>
        <w:tabs>
          <w:tab w:leader="none" w:pos="1606" w:val="left"/>
        </w:tabs>
        <w:numPr>
          <w:ilvl w:val="0"/>
          <w:numId w:val="10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Core Collateral Failure shall have occurred as a result of such Borrower Release or immediately after giving effect thereto and any concurrent grant of Additional Collateral; and</w:t>
      </w:r>
    </w:p>
    <w:p>
      <w:pPr>
        <w:spacing w:after="0" w:line="157" w:lineRule="exact"/>
        <w:rPr>
          <w:rFonts w:ascii="Times New Roman" w:cs="Times New Roman" w:eastAsia="Times New Roman" w:hAnsi="Times New Roman"/>
          <w:sz w:val="22"/>
          <w:szCs w:val="22"/>
          <w:color w:val="auto"/>
        </w:rPr>
      </w:pPr>
    </w:p>
    <w:p>
      <w:pPr>
        <w:ind w:left="1300" w:firstLine="4"/>
        <w:spacing w:after="0" w:line="295" w:lineRule="auto"/>
        <w:tabs>
          <w:tab w:leader="none" w:pos="1618" w:val="left"/>
        </w:tabs>
        <w:numPr>
          <w:ilvl w:val="0"/>
          <w:numId w:val="10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deliver an Officer’s Certificate and a Collateral Coverage Ratio Certificate (which may be delivered in a combined certificate) demonstrating compliance with this Section 6.09(c) following such release.</w:t>
      </w:r>
    </w:p>
    <w:p>
      <w:pPr>
        <w:spacing w:after="0" w:line="135" w:lineRule="exact"/>
        <w:rPr>
          <w:sz w:val="20"/>
          <w:szCs w:val="20"/>
          <w:color w:val="auto"/>
        </w:rPr>
      </w:pPr>
    </w:p>
    <w:p>
      <w:pPr>
        <w:jc w:val="both"/>
        <w:ind w:firstLine="349"/>
        <w:spacing w:after="0" w:line="256" w:lineRule="auto"/>
        <w:rPr>
          <w:sz w:val="20"/>
          <w:szCs w:val="20"/>
          <w:color w:val="auto"/>
        </w:rPr>
      </w:pPr>
      <w:r>
        <w:rPr>
          <w:rFonts w:ascii="Times New Roman" w:cs="Times New Roman" w:eastAsia="Times New Roman" w:hAnsi="Times New Roman"/>
          <w:sz w:val="22"/>
          <w:szCs w:val="22"/>
          <w:color w:val="auto"/>
        </w:rPr>
        <w:t>The Administrative Agent will promptly provide any documents reasonably requested by the Borrower or the Collateral Trustee to evidence any release described above, and the Collateral Trust Agreement will provide that the Collateral Trustee agrees to promptly provide any documents or releases reasonably requested by the Borrower to evidence any release described above.</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6.10.</w:t>
      </w:r>
      <w:r>
        <w:rPr>
          <w:sz w:val="20"/>
          <w:szCs w:val="20"/>
          <w:color w:val="auto"/>
        </w:rPr>
        <w:tab/>
      </w:r>
      <w:r>
        <w:rPr>
          <w:rFonts w:ascii="Times New Roman" w:cs="Times New Roman" w:eastAsia="Times New Roman" w:hAnsi="Times New Roman"/>
          <w:sz w:val="21"/>
          <w:szCs w:val="21"/>
          <w:u w:val="single" w:color="auto"/>
          <w:color w:val="auto"/>
        </w:rPr>
        <w:t>Merger, Consolidation, or Sale of Assets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980" w:hanging="676"/>
        <w:spacing w:after="0"/>
        <w:tabs>
          <w:tab w:leader="none" w:pos="1980" w:val="left"/>
        </w:tabs>
        <w:numPr>
          <w:ilvl w:val="0"/>
          <w:numId w:val="10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Parent nor the Borrower (whichever is applicable, the “</w:t>
      </w:r>
      <w:r>
        <w:rPr>
          <w:rFonts w:ascii="Times New Roman" w:cs="Times New Roman" w:eastAsia="Times New Roman" w:hAnsi="Times New Roman"/>
          <w:sz w:val="22"/>
          <w:szCs w:val="22"/>
          <w:i w:val="1"/>
          <w:iCs w:val="1"/>
          <w:color w:val="auto"/>
        </w:rPr>
        <w:t>Subject Company</w:t>
      </w:r>
      <w:r>
        <w:rPr>
          <w:rFonts w:ascii="Times New Roman" w:cs="Times New Roman" w:eastAsia="Times New Roman" w:hAnsi="Times New Roman"/>
          <w:sz w:val="22"/>
          <w:szCs w:val="22"/>
          <w:color w:val="auto"/>
        </w:rPr>
        <w:t>”) shall directly or</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indirectly: (i) consolidate or merge with or into another Person or (ii)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40" w:right="339" w:bottom="1440" w:gutter="0" w:footer="0" w:header="0"/>
        </w:sectPr>
      </w:pPr>
    </w:p>
    <w:bookmarkStart w:id="870" w:name="page871"/>
    <w:bookmarkEnd w:id="870"/>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assign, transfer, convey or otherwise dispose of all or substantially all of the properties or assets of the Subject Company and 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Subsidiaries taken as a whole, in one or more related transactions, to another Person, unless:</w:t>
      </w:r>
    </w:p>
    <w:p>
      <w:pPr>
        <w:spacing w:after="0" w:line="196" w:lineRule="exact"/>
        <w:rPr>
          <w:sz w:val="20"/>
          <w:szCs w:val="20"/>
          <w:color w:val="auto"/>
        </w:rPr>
      </w:pPr>
    </w:p>
    <w:p>
      <w:pPr>
        <w:ind w:left="1780" w:hanging="476"/>
        <w:spacing w:after="0"/>
        <w:tabs>
          <w:tab w:leader="none" w:pos="1780" w:val="left"/>
        </w:tabs>
        <w:numPr>
          <w:ilvl w:val="0"/>
          <w:numId w:val="10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33"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0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Company is the surviving corporation; or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97" w:val="left"/>
        </w:tabs>
        <w:numPr>
          <w:ilvl w:val="1"/>
          <w:numId w:val="10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09" w:val="left"/>
        </w:tabs>
        <w:numPr>
          <w:ilvl w:val="0"/>
          <w:numId w:val="10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such transaction, no Event of Default exists; and</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42" w:val="left"/>
        </w:tabs>
        <w:numPr>
          <w:ilvl w:val="0"/>
          <w:numId w:val="10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Company shall have delivered to the Administrative Agent an Officer’s Certificate stating that such consolidation, merger or transfer complies with this Agreement.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173" w:lineRule="exact"/>
        <w:rPr>
          <w:sz w:val="20"/>
          <w:szCs w:val="20"/>
          <w:color w:val="auto"/>
        </w:rPr>
      </w:pPr>
    </w:p>
    <w:p>
      <w:pPr>
        <w:ind w:right="20" w:firstLine="1304"/>
        <w:spacing w:after="0" w:line="284" w:lineRule="auto"/>
        <w:tabs>
          <w:tab w:leader="none" w:pos="1855" w:val="left"/>
        </w:tabs>
        <w:numPr>
          <w:ilvl w:val="0"/>
          <w:numId w:val="10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6.10(a) will not apply to any sale, assignment, transfer, conveyance, lease or other disposition of assets between or among Parent and/or its Restricted Subsidiaries.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Clauses (3) and (4) of Section 6.10(a) will not apply to any merger, consolidation or transfer of assets:</w:t>
      </w:r>
    </w:p>
    <w:p>
      <w:pPr>
        <w:spacing w:after="0" w:line="220" w:lineRule="exact"/>
        <w:rPr>
          <w:sz w:val="20"/>
          <w:szCs w:val="20"/>
          <w:color w:val="auto"/>
        </w:rPr>
      </w:pPr>
    </w:p>
    <w:p>
      <w:pPr>
        <w:ind w:left="1780" w:hanging="476"/>
        <w:spacing w:after="0"/>
        <w:tabs>
          <w:tab w:leader="none" w:pos="1780" w:val="left"/>
        </w:tabs>
        <w:numPr>
          <w:ilvl w:val="0"/>
          <w:numId w:val="10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or among Parent and any of Parent’s Restricted Subsidiaries;</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or among any of Parent’s Restricted Subsidiaries or by a Restricted Subsidiary that is not a</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or</w:t>
      </w:r>
    </w:p>
    <w:p>
      <w:pPr>
        <w:spacing w:after="0" w:line="20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or into an Affiliate solely for the purpose of reincorporating a Subject Company in another jurisdiction.</w:t>
      </w:r>
    </w:p>
    <w:p>
      <w:pPr>
        <w:spacing w:after="0" w:line="231" w:lineRule="exact"/>
        <w:rPr>
          <w:sz w:val="20"/>
          <w:szCs w:val="20"/>
          <w:color w:val="auto"/>
        </w:rPr>
      </w:pPr>
    </w:p>
    <w:p>
      <w:pPr>
        <w:jc w:val="both"/>
        <w:ind w:firstLine="1304"/>
        <w:spacing w:after="0" w:line="252" w:lineRule="auto"/>
        <w:tabs>
          <w:tab w:leader="none" w:pos="1752" w:val="left"/>
        </w:tabs>
        <w:numPr>
          <w:ilvl w:val="0"/>
          <w:numId w:val="10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440" w:right="339" w:bottom="1440" w:gutter="0" w:footer="0" w:header="0"/>
        </w:sectPr>
      </w:pPr>
    </w:p>
    <w:bookmarkStart w:id="871" w:name="page872"/>
    <w:bookmarkEnd w:id="871"/>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w:t>
      </w:r>
    </w:p>
    <w:p>
      <w:pPr>
        <w:spacing w:after="0" w:line="195" w:lineRule="exact"/>
        <w:rPr>
          <w:sz w:val="20"/>
          <w:szCs w:val="20"/>
          <w:color w:val="auto"/>
        </w:rPr>
      </w:pPr>
    </w:p>
    <w:p>
      <w:pPr>
        <w:ind w:left="130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6.11.</w:t>
      </w:r>
      <w:r>
        <w:rPr>
          <w:sz w:val="20"/>
          <w:szCs w:val="20"/>
          <w:color w:val="auto"/>
        </w:rPr>
        <w:tab/>
      </w:r>
      <w:r>
        <w:rPr>
          <w:rFonts w:ascii="Times New Roman" w:cs="Times New Roman" w:eastAsia="Times New Roman" w:hAnsi="Times New Roman"/>
          <w:sz w:val="21"/>
          <w:szCs w:val="21"/>
          <w:u w:val="single" w:color="auto"/>
          <w:color w:val="auto"/>
        </w:rPr>
        <w:t>Sanctions.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Borrower will not, directly or indirectly, use the proceeds of the Loans or any Letter of Credit issued hereunder, or lend, contribute or otherwise make available such proceeds to any subsidiary, joint venture partner or other Person to fund any activities or business of or with any Person, or in any country or territory, that, at the time of such funding, is the subject of U.S. sanctions administered by the U.S. federal government (including OFAC), in any manner that would result in a violation of U.S. sanctions administered by the U.S. federal government (including OFAC) by any Person (including any Person participating in the Loans, whether as Administrative Agent, arranger, Lender, underwriter, advisor, investor, or otherwise).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In the case of the happening of any of the following events and the continuance thereof beyond the applicable grace period if any (each, an “</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304"/>
        <w:spacing w:after="0" w:line="250" w:lineRule="auto"/>
        <w:tabs>
          <w:tab w:leader="none" w:pos="1826" w:val="left"/>
        </w:tabs>
        <w:numPr>
          <w:ilvl w:val="0"/>
          <w:numId w:val="10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w:t>
      </w:r>
    </w:p>
    <w:p>
      <w:pPr>
        <w:spacing w:after="0" w:line="19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1" w:val="left"/>
        </w:tabs>
        <w:numPr>
          <w:ilvl w:val="0"/>
          <w:numId w:val="10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440" w:right="339" w:bottom="1440" w:gutter="0" w:footer="0" w:header="0"/>
        </w:sectPr>
      </w:pPr>
    </w:p>
    <w:bookmarkStart w:id="872" w:name="page873"/>
    <w:bookmarkEnd w:id="872"/>
    <w:p>
      <w:pPr>
        <w:spacing w:after="0" w:line="199" w:lineRule="exact"/>
        <w:rPr>
          <w:sz w:val="20"/>
          <w:szCs w:val="20"/>
          <w:color w:val="auto"/>
        </w:rPr>
      </w:pPr>
    </w:p>
    <w:p>
      <w:pPr>
        <w:jc w:val="both"/>
        <w:ind w:firstLine="1304"/>
        <w:spacing w:after="0" w:line="257" w:lineRule="auto"/>
        <w:tabs>
          <w:tab w:leader="none" w:pos="1816" w:val="left"/>
        </w:tabs>
        <w:numPr>
          <w:ilvl w:val="0"/>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5" w:val="left"/>
        </w:tabs>
        <w:numPr>
          <w:ilvl w:val="0"/>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86" w:val="left"/>
        </w:tabs>
        <w:numPr>
          <w:ilvl w:val="0"/>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Loan Document ceases to be in full force and effect (except as permitted by the terms of this Agreement or the Loan Documents or other than as a result of the action or inaction of any Agent) for a period of 60 consecutive days after the Borrower receives notice thereof or (B) any of the Collateral Documents ceases to give the Collateral Trustee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w:t>
      </w:r>
    </w:p>
    <w:p>
      <w:pPr>
        <w:spacing w:after="0" w:line="183" w:lineRule="exact"/>
        <w:rPr>
          <w:rFonts w:ascii="Times New Roman" w:cs="Times New Roman" w:eastAsia="Times New Roman" w:hAnsi="Times New Roman"/>
          <w:sz w:val="22"/>
          <w:szCs w:val="22"/>
          <w:color w:val="auto"/>
        </w:rPr>
      </w:pPr>
    </w:p>
    <w:p>
      <w:pPr>
        <w:ind w:firstLine="1304"/>
        <w:spacing w:after="0" w:line="271" w:lineRule="auto"/>
        <w:tabs>
          <w:tab w:leader="none" w:pos="1893" w:val="left"/>
        </w:tabs>
        <w:numPr>
          <w:ilvl w:val="0"/>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any Significant Subsidiary or any group of Restricted Subsidiaries of Parent that, taken together, would constitute a Significant Subsidiary pursuant to or within the meaning of Bankruptcy Law:</w:t>
      </w:r>
    </w:p>
    <w:p>
      <w:pPr>
        <w:spacing w:after="0" w:line="17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all or substantially all of its property,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admits in writing its inability generally to pay its debts; or</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554" w:val="left"/>
        </w:tabs>
        <w:numPr>
          <w:ilvl w:val="1"/>
          <w:numId w:val="10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Parent, the Borrower, any Significant Subsidiary or any group of Restricted Subsidiaries of Parent that, taken together, would constitute a Significant Subsidiary in an involuntary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440" w:right="339" w:bottom="1440" w:gutter="0" w:footer="0" w:header="0"/>
        </w:sectPr>
      </w:pPr>
    </w:p>
    <w:bookmarkStart w:id="873" w:name="page874"/>
    <w:bookmarkEnd w:id="873"/>
    <w:p>
      <w:pPr>
        <w:spacing w:after="0" w:line="198" w:lineRule="exact"/>
        <w:rPr>
          <w:sz w:val="20"/>
          <w:szCs w:val="20"/>
          <w:color w:val="auto"/>
        </w:rPr>
      </w:pPr>
    </w:p>
    <w:p>
      <w:pPr>
        <w:jc w:val="both"/>
        <w:ind w:left="1300" w:firstLine="652"/>
        <w:spacing w:after="0" w:line="256" w:lineRule="auto"/>
        <w:tabs>
          <w:tab w:leader="none" w:pos="2470" w:val="left"/>
        </w:tabs>
        <w:numPr>
          <w:ilvl w:val="0"/>
          <w:numId w:val="10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452" w:val="left"/>
        </w:tabs>
        <w:numPr>
          <w:ilvl w:val="0"/>
          <w:numId w:val="10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liquidation of Parent, the Borrower, any Significant Subsidiary or any group of Restricted Subsidiaries of Parent that, taken together, would constitute a Significant Subsidiary;</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and in each case the order or decree remains unstayed and in effect for sixty (60) consecutive days;</w:t>
      </w:r>
    </w:p>
    <w:p>
      <w:pPr>
        <w:spacing w:after="0" w:line="220" w:lineRule="exact"/>
        <w:rPr>
          <w:sz w:val="20"/>
          <w:szCs w:val="20"/>
          <w:color w:val="auto"/>
        </w:rPr>
      </w:pPr>
    </w:p>
    <w:p>
      <w:pPr>
        <w:jc w:val="both"/>
        <w:ind w:firstLine="1304"/>
        <w:spacing w:after="0" w:line="264" w:lineRule="auto"/>
        <w:tabs>
          <w:tab w:leader="none" w:pos="1779" w:val="left"/>
        </w:tabs>
        <w:numPr>
          <w:ilvl w:val="1"/>
          <w:numId w:val="10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w:t>
      </w:r>
    </w:p>
    <w:p>
      <w:pPr>
        <w:ind w:left="420" w:hanging="412"/>
        <w:spacing w:after="0"/>
        <w:tabs>
          <w:tab w:leader="none" w:pos="420" w:val="left"/>
        </w:tabs>
        <w:numPr>
          <w:ilvl w:val="0"/>
          <w:numId w:val="10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days;</w:t>
      </w:r>
    </w:p>
    <w:p>
      <w:pPr>
        <w:spacing w:after="0" w:line="19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0" w:val="left"/>
        </w:tabs>
        <w:numPr>
          <w:ilvl w:val="1"/>
          <w:numId w:val="10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w:t>
      </w:r>
    </w:p>
    <w:p>
      <w:pPr>
        <w:spacing w:after="0" w:line="183" w:lineRule="exact"/>
        <w:rPr>
          <w:rFonts w:ascii="Times New Roman" w:cs="Times New Roman" w:eastAsia="Times New Roman" w:hAnsi="Times New Roman"/>
          <w:sz w:val="22"/>
          <w:szCs w:val="22"/>
          <w:color w:val="auto"/>
        </w:rPr>
      </w:pPr>
    </w:p>
    <w:p>
      <w:pPr>
        <w:ind w:right="20" w:firstLine="1304"/>
        <w:spacing w:after="0" w:line="271" w:lineRule="auto"/>
        <w:tabs>
          <w:tab w:leader="none" w:pos="1753" w:val="left"/>
        </w:tabs>
        <w:numPr>
          <w:ilvl w:val="1"/>
          <w:numId w:val="10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a Plan of the Borrower or an ERISA Affiliate pursuant to Section 4042 of ERISA and such termination would reasonably be expected to result in a Material Adverse Effect;</w:t>
      </w:r>
    </w:p>
    <w:p>
      <w:pPr>
        <w:spacing w:after="0" w:line="17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w:t>
      </w:r>
    </w:p>
    <w:p>
      <w:pPr>
        <w:spacing w:after="0" w:line="173" w:lineRule="exact"/>
        <w:rPr>
          <w:sz w:val="20"/>
          <w:szCs w:val="20"/>
          <w:color w:val="auto"/>
        </w:rPr>
      </w:pPr>
    </w:p>
    <w:p>
      <w:pPr>
        <w:ind w:left="1720" w:hanging="416"/>
        <w:spacing w:after="0"/>
        <w:tabs>
          <w:tab w:leader="none" w:pos="1720" w:val="left"/>
        </w:tabs>
        <w:numPr>
          <w:ilvl w:val="0"/>
          <w:numId w:val="10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forthwith the Commitments;</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50" w:val="left"/>
        </w:tabs>
        <w:numPr>
          <w:ilvl w:val="0"/>
          <w:numId w:val="10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or any portion thereof then outstanding to be forthwith due and payable, whereupon the principal of the Loans and other Obligations (other than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40" w:right="339" w:bottom="1440" w:gutter="0" w:footer="0" w:header="0"/>
        </w:sectPr>
      </w:pPr>
    </w:p>
    <w:bookmarkStart w:id="874" w:name="page875"/>
    <w:bookmarkEnd w:id="874"/>
    <w:p>
      <w:pPr>
        <w:spacing w:after="0" w:line="19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w:t>
      </w:r>
    </w:p>
    <w:p>
      <w:pPr>
        <w:spacing w:after="0" w:line="176" w:lineRule="exact"/>
        <w:rPr>
          <w:sz w:val="20"/>
          <w:szCs w:val="20"/>
          <w:color w:val="auto"/>
        </w:rPr>
      </w:pPr>
    </w:p>
    <w:p>
      <w:pPr>
        <w:jc w:val="both"/>
        <w:ind w:left="660" w:firstLine="644"/>
        <w:spacing w:after="0" w:line="253" w:lineRule="auto"/>
        <w:tabs>
          <w:tab w:leader="none" w:pos="1910" w:val="left"/>
        </w:tabs>
        <w:numPr>
          <w:ilvl w:val="0"/>
          <w:numId w:val="10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60" w:val="left"/>
        </w:tabs>
        <w:numPr>
          <w:ilvl w:val="0"/>
          <w:numId w:val="10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72" w:val="left"/>
        </w:tabs>
        <w:numPr>
          <w:ilvl w:val="0"/>
          <w:numId w:val="10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and all remedies under the Loan Documents and under applicable law available to the Administrative Agent and the Lenders.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THE AGENTS</w:t>
      </w:r>
    </w:p>
    <w:p>
      <w:pPr>
        <w:spacing w:after="0" w:line="22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Administration by Agents.</w:t>
      </w:r>
    </w:p>
    <w:p>
      <w:pPr>
        <w:spacing w:after="0" w:line="220" w:lineRule="exact"/>
        <w:rPr>
          <w:sz w:val="20"/>
          <w:szCs w:val="20"/>
          <w:color w:val="auto"/>
        </w:rPr>
      </w:pPr>
    </w:p>
    <w:p>
      <w:pPr>
        <w:jc w:val="both"/>
        <w:ind w:firstLine="1304"/>
        <w:spacing w:after="0" w:line="253" w:lineRule="auto"/>
        <w:tabs>
          <w:tab w:leader="none" w:pos="1892" w:val="left"/>
        </w:tabs>
        <w:numPr>
          <w:ilvl w:val="0"/>
          <w:numId w:val="10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w:t>
      </w:r>
    </w:p>
    <w:p>
      <w:pPr>
        <w:spacing w:after="0" w:line="178" w:lineRule="exact"/>
        <w:rPr>
          <w:rFonts w:ascii="Times New Roman" w:cs="Times New Roman" w:eastAsia="Times New Roman" w:hAnsi="Times New Roman"/>
          <w:sz w:val="22"/>
          <w:szCs w:val="22"/>
          <w:color w:val="auto"/>
        </w:rPr>
      </w:pPr>
    </w:p>
    <w:p>
      <w:pPr>
        <w:ind w:right="20" w:firstLine="1304"/>
        <w:spacing w:after="0" w:line="271" w:lineRule="auto"/>
        <w:tabs>
          <w:tab w:leader="none" w:pos="1837" w:val="left"/>
        </w:tabs>
        <w:numPr>
          <w:ilvl w:val="0"/>
          <w:numId w:val="10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authorizes each of the Administrative Agent and the Collateral Trustee, in its sole discretion,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40" w:right="339" w:bottom="1440" w:gutter="0" w:footer="0" w:header="0"/>
        </w:sectPr>
      </w:pPr>
    </w:p>
    <w:bookmarkStart w:id="875" w:name="page876"/>
    <w:bookmarkEnd w:id="875"/>
    <w:p>
      <w:pPr>
        <w:spacing w:after="0" w:line="198" w:lineRule="exact"/>
        <w:rPr>
          <w:sz w:val="20"/>
          <w:szCs w:val="20"/>
          <w:color w:val="auto"/>
        </w:rPr>
      </w:pPr>
    </w:p>
    <w:p>
      <w:pPr>
        <w:jc w:val="both"/>
        <w:ind w:left="660" w:firstLine="644"/>
        <w:spacing w:after="0" w:line="263" w:lineRule="auto"/>
        <w:tabs>
          <w:tab w:leader="none" w:pos="1756" w:val="left"/>
        </w:tabs>
        <w:numPr>
          <w:ilvl w:val="0"/>
          <w:numId w:val="10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Trustee,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 or (z) as otherwise may be expressly provided in the relevant Collateral Documents, to release a Lien granted to the Collateral Trustee, for the benefit of the Secured Parties, on any asset that is part of the Collateral of the Borrower or any other Grantor, as the case may be;</w:t>
      </w:r>
    </w:p>
    <w:p>
      <w:pPr>
        <w:spacing w:after="0" w:line="169"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797" w:val="left"/>
        </w:tabs>
        <w:numPr>
          <w:ilvl w:val="0"/>
          <w:numId w:val="10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Trustee, for the benefit of the Secured Parties;</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07" w:val="left"/>
        </w:tabs>
        <w:numPr>
          <w:ilvl w:val="0"/>
          <w:numId w:val="10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other Loan Documents on terms acceptable to the Administrative Agent or the Collateral Trustee, as applicable, and to perform its respective obligations thereunder;</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84" w:val="left"/>
        </w:tabs>
        <w:numPr>
          <w:ilvl w:val="0"/>
          <w:numId w:val="10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any documents or instruments necessary to release any Guarantor from the guarantees provided herein pursuant to Section 9.05;</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20" w:val="left"/>
        </w:tabs>
        <w:numPr>
          <w:ilvl w:val="0"/>
          <w:numId w:val="10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Collateral Documents or any Intercreditor Agreement (and/or subordination agreements on terms reasonably acceptable to the Collateral Trustee and the Administrative Agent) and in each case to perform its obligations thereunder and to take such action and to exercise the powers, rights and remedies granted to it thereunder and with respect thereto;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9" w:val="left"/>
        </w:tabs>
        <w:numPr>
          <w:ilvl w:val="0"/>
          <w:numId w:val="10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any other agreements in the forms contemplated hereby or otherwise reasonably satisfactory to the Administrative Agent granting Liens to the Collateral Trustee, for the benefit of the Secured Parties, on any assets of the Borrower or any other Grantor to secure the Obligations.</w:t>
      </w:r>
    </w:p>
    <w:p>
      <w:pPr>
        <w:spacing w:after="0" w:line="186" w:lineRule="exact"/>
        <w:rPr>
          <w:sz w:val="20"/>
          <w:szCs w:val="20"/>
          <w:color w:val="auto"/>
        </w:rPr>
      </w:pPr>
    </w:p>
    <w:p>
      <w:pPr>
        <w:jc w:val="both"/>
        <w:ind w:firstLine="1304"/>
        <w:spacing w:after="0" w:line="257" w:lineRule="auto"/>
        <w:tabs>
          <w:tab w:leader="none" w:pos="1826" w:val="left"/>
        </w:tabs>
        <w:numPr>
          <w:ilvl w:val="0"/>
          <w:numId w:val="10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Trustee may appoint the Administrative Agent as its agent for the purposes of holding any Collateral and/or perfecting the Collateral Trustee’s security interest therein and for the purpose of taking such other action with respect to the Collateral as such Agents may from time to time agree.</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6" w:val="left"/>
        </w:tabs>
        <w:numPr>
          <w:ilvl w:val="0"/>
          <w:numId w:val="10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property described in clause (d) of the definition of “Additional Collateral” is to be pledged by the Borrower or any other Grantor as Additional Collateral, the Collateral Trustee will appoint Wilmington Trust Company or another trustee designated by the Borrower and reasonably acceptable to the Collateral Trustee to serve as the security trustee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440" w:right="339" w:bottom="1440" w:gutter="0" w:footer="0" w:header="0"/>
        </w:sectPr>
      </w:pPr>
    </w:p>
    <w:bookmarkStart w:id="876" w:name="page877"/>
    <w:bookmarkEnd w:id="876"/>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applicable Aircraft Security Agreement with respect to such Additional Collateral, and in such event, references herein to the “Collateral Trustee” with respect to such Additional Collateral and such Aircraft Security Agreement, as the context requires, shall be deemed to refer to such security trustee. The Collateral Trustee will cause such trustee to join any Intercreditor Agreements.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Rights of Agents</w:t>
      </w:r>
      <w:r>
        <w:rPr>
          <w:rFonts w:ascii="Times New Roman" w:cs="Times New Roman" w:eastAsia="Times New Roman" w:hAnsi="Times New Roman"/>
          <w:sz w:val="22"/>
          <w:szCs w:val="22"/>
          <w:color w:val="auto"/>
        </w:rPr>
        <w:t>.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Liability of Agents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6" w:lineRule="auto"/>
        <w:tabs>
          <w:tab w:leader="none" w:pos="1798" w:val="left"/>
        </w:tabs>
        <w:numPr>
          <w:ilvl w:val="0"/>
          <w:numId w:val="10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440" w:right="339" w:bottom="1440" w:gutter="0" w:footer="0" w:header="0"/>
        </w:sectPr>
      </w:pPr>
    </w:p>
    <w:bookmarkStart w:id="877" w:name="page878"/>
    <w:bookmarkEnd w:id="877"/>
    <w:p>
      <w:pPr>
        <w:spacing w:after="0" w:line="198" w:lineRule="exact"/>
        <w:rPr>
          <w:sz w:val="20"/>
          <w:szCs w:val="20"/>
          <w:color w:val="auto"/>
        </w:rPr>
      </w:pPr>
    </w:p>
    <w:p>
      <w:pPr>
        <w:jc w:val="both"/>
        <w:ind w:firstLine="1304"/>
        <w:spacing w:after="0" w:line="265" w:lineRule="auto"/>
        <w:tabs>
          <w:tab w:leader="none" w:pos="1874" w:val="left"/>
        </w:tabs>
        <w:numPr>
          <w:ilvl w:val="0"/>
          <w:numId w:val="10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w:t>
      </w:r>
    </w:p>
    <w:p>
      <w:pPr>
        <w:spacing w:after="0" w:line="168"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36" w:val="left"/>
        </w:tabs>
        <w:numPr>
          <w:ilvl w:val="0"/>
          <w:numId w:val="10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perform any and all of its duties and exercise its rights and powers by or through any one or more sub-agents appointed by it (including the Collateral Trustee). The Administrative Agent and any such sub-agent may perform any and all of its duties and exercise its rights and powers through its Related Parties. The exculpatory provisions of Article VIII shall apply to any such sub-agent (including the Collateral Trustee) and to the Related Parties of each Agent and any such sub-agent, and shall apply to their respective activities in connection with the syndication of the credit facilities provided for herein as well as activities as Administrative Agent or Collateral Trustee.</w:t>
      </w:r>
    </w:p>
    <w:p>
      <w:pPr>
        <w:spacing w:after="0" w:line="181" w:lineRule="exact"/>
        <w:rPr>
          <w:rFonts w:ascii="Times New Roman" w:cs="Times New Roman" w:eastAsia="Times New Roman" w:hAnsi="Times New Roman"/>
          <w:sz w:val="22"/>
          <w:szCs w:val="22"/>
          <w:color w:val="auto"/>
        </w:rPr>
      </w:pPr>
    </w:p>
    <w:p>
      <w:pPr>
        <w:jc w:val="both"/>
        <w:ind w:firstLine="1304"/>
        <w:spacing w:after="0" w:line="281" w:lineRule="auto"/>
        <w:tabs>
          <w:tab w:leader="none" w:pos="1755" w:val="left"/>
        </w:tabs>
        <w:numPr>
          <w:ilvl w:val="0"/>
          <w:numId w:val="10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herein to the contrary notwithstanding, none of the Joint Lead Arrangers and Bookrunners listed on the cover page hereof shall have any powers, duties or responsibilities under this Agreement or any of the other Loan Documents, except in its capacity, as applicable, as the Administrative Agent, Collateral Trustee, a Lender or the Issuing Lender.</w:t>
      </w:r>
    </w:p>
    <w:p>
      <w:pPr>
        <w:spacing w:after="0" w:line="150"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62" w:val="left"/>
        </w:tabs>
        <w:numPr>
          <w:ilvl w:val="0"/>
          <w:numId w:val="10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have any obligation whatsoever to the Lenders or to any other Person to assure that the Collateral exists or is owned by the applicable Grantor or is cared for, protected or insured or that the Liens granted to the Collateral Trustee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9" w:val="left"/>
        </w:tabs>
        <w:numPr>
          <w:ilvl w:val="0"/>
          <w:numId w:val="10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assignor of a Loan or seller of a participation hereunder shall be entitled to rely conclusively on a representation of the assignee Lender or Participant in the relevant Assignment and Acceptance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Reimbursement and Indemnification</w:t>
      </w:r>
      <w:r>
        <w:rPr>
          <w:rFonts w:ascii="Times New Roman" w:cs="Times New Roman" w:eastAsia="Times New Roman" w:hAnsi="Times New Roman"/>
          <w:sz w:val="22"/>
          <w:szCs w:val="22"/>
          <w:color w:val="auto"/>
        </w:rPr>
        <w:t>.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1240"/>
          </w:cols>
          <w:pgMar w:left="320" w:top="1440" w:right="339" w:bottom="1440" w:gutter="0" w:footer="0" w:header="0"/>
        </w:sectPr>
      </w:pPr>
    </w:p>
    <w:bookmarkStart w:id="878" w:name="page879"/>
    <w:bookmarkEnd w:id="878"/>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Successor Agents</w:t>
      </w:r>
      <w:r>
        <w:rPr>
          <w:rFonts w:ascii="Times New Roman" w:cs="Times New Roman" w:eastAsia="Times New Roman" w:hAnsi="Times New Roman"/>
          <w:sz w:val="22"/>
          <w:szCs w:val="22"/>
          <w:color w:val="auto"/>
        </w:rPr>
        <w:t>. Subject to the appointment and acceptance of a successor agent as provided in this paragraph, (i) each Agent may be removed by the Borrower or the Required Lenders if such Agent or a controlling affiliate of such Agent is a Defaulting Lender and (ii) any Agent may resign upon ten (10) days’ notice to the Lenders, the Issuing Lenders and the Borrower. Upon any such removal or resignation by any Agent, the Required Lenders shall appoint, with the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 days after the retiring Agent gives notice of its resignation, then the retiring Agent may, with the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Independent Lenders</w:t>
      </w:r>
      <w:r>
        <w:rPr>
          <w:rFonts w:ascii="Times New Roman" w:cs="Times New Roman" w:eastAsia="Times New Roman" w:hAnsi="Times New Roman"/>
          <w:sz w:val="22"/>
          <w:szCs w:val="22"/>
          <w:color w:val="auto"/>
        </w:rPr>
        <w:t>. Each Lender expressly acknowledges that none of the Administrative Agent nor the Joint Lead Arrangers and Bookrunners have made any representation or warranty to it, and that no act by the Administrative Agent or the Joint Lead Arrangers and Bookrunners hereafter taken, including any consent to, and acceptance of any assignment or review of the affairs of any Loan Party of any Affiliate thereof, shall be deemed to constitute any representation or warranty by the Administrative Agent or any Joint Lead Arranger and Bookrunner to any Lender as to any matter, including whether the Administrative Agent or the Joint Lead Arrangers and Bookrunners have disclosed material information in their (or their Related Parties’) possession. Each Lender acknowledges that it has, independently and without reliance upon any Agent or any other Lender and based on such documents and information as it has deemed appropriate,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440" w:right="339" w:bottom="1440" w:gutter="0" w:footer="0" w:header="0"/>
        </w:sectPr>
      </w:pPr>
    </w:p>
    <w:bookmarkStart w:id="879" w:name="page880"/>
    <w:bookmarkEnd w:id="879"/>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w:t>
      </w:r>
    </w:p>
    <w:p>
      <w:pPr>
        <w:spacing w:after="0" w:line="1" w:lineRule="exact"/>
        <w:rPr>
          <w:sz w:val="20"/>
          <w:szCs w:val="20"/>
          <w:color w:val="auto"/>
        </w:rPr>
      </w:pPr>
    </w:p>
    <w:p>
      <w:pPr>
        <w:jc w:val="both"/>
        <w:ind w:firstLine="8"/>
        <w:spacing w:after="0" w:line="245" w:lineRule="auto"/>
        <w:tabs>
          <w:tab w:leader="none" w:pos="318" w:val="left"/>
        </w:tabs>
        <w:numPr>
          <w:ilvl w:val="0"/>
          <w:numId w:val="10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8.07.</w:t>
      </w:r>
      <w:r>
        <w:rPr>
          <w:sz w:val="20"/>
          <w:szCs w:val="20"/>
          <w:color w:val="auto"/>
        </w:rPr>
        <w:tab/>
      </w:r>
      <w:r>
        <w:rPr>
          <w:rFonts w:ascii="Times New Roman" w:cs="Times New Roman" w:eastAsia="Times New Roman" w:hAnsi="Times New Roman"/>
          <w:sz w:val="21"/>
          <w:szCs w:val="21"/>
          <w:u w:val="single" w:color="auto"/>
          <w:color w:val="auto"/>
        </w:rPr>
        <w:t>Advances and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08" w:val="left"/>
        </w:tabs>
        <w:numPr>
          <w:ilvl w:val="0"/>
          <w:numId w:val="10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4" w:val="left"/>
        </w:tabs>
        <w:numPr>
          <w:ilvl w:val="0"/>
          <w:numId w:val="10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received by the Administrative Agent in connection with this Agreement (other than amounts to which the Administrative Agent is entitled pursuant to Sections 2.19, 2.20,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Sharing of Setoffs</w:t>
      </w:r>
      <w:r>
        <w:rPr>
          <w:rFonts w:ascii="Times New Roman" w:cs="Times New Roman" w:eastAsia="Times New Roman" w:hAnsi="Times New Roman"/>
          <w:sz w:val="22"/>
          <w:szCs w:val="22"/>
          <w:color w:val="auto"/>
        </w:rPr>
        <w:t>.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1240"/>
          </w:cols>
          <w:pgMar w:left="320" w:top="1440" w:right="339" w:bottom="1440" w:gutter="0" w:footer="0" w:header="0"/>
        </w:sectPr>
      </w:pPr>
    </w:p>
    <w:bookmarkStart w:id="880" w:name="page881"/>
    <w:bookmarkEnd w:id="880"/>
    <w:p>
      <w:pPr>
        <w:spacing w:after="0" w:line="1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18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8.09.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including any penalties or interest and together with any expenses incurred.</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Appointment by Secured Parties</w:t>
      </w:r>
      <w:r>
        <w:rPr>
          <w:rFonts w:ascii="Times New Roman" w:cs="Times New Roman" w:eastAsia="Times New Roman" w:hAnsi="Times New Roman"/>
          <w:sz w:val="22"/>
          <w:szCs w:val="22"/>
          <w:color w:val="auto"/>
        </w:rPr>
        <w:t xml:space="preserve">. Each Secured Party that is not a party to this Agreement shall be deemed to have appointed each of the Administrative Agent and the Collateral Trustee as its agent under the Loan Documents in accordance with the terms of this Article VIII and to have acknowledged that the provisions of this Article VIII apply to such Secured Party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as though it were a party hereto (and any acceptance by such Secured Party of the benefits of this Agreement or any other Loan Document shall be deemed an acknowledgment of the foregoing).</w:t>
      </w:r>
    </w:p>
    <w:p>
      <w:pPr>
        <w:spacing w:after="0" w:line="19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Delivery of Information</w:t>
      </w:r>
      <w:r>
        <w:rPr>
          <w:rFonts w:ascii="Times New Roman" w:cs="Times New Roman" w:eastAsia="Times New Roman" w:hAnsi="Times New Roman"/>
          <w:sz w:val="22"/>
          <w:szCs w:val="22"/>
          <w:color w:val="auto"/>
        </w:rPr>
        <w:t>.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1240"/>
          </w:cols>
          <w:pgMar w:left="320" w:top="1440" w:right="339" w:bottom="1440" w:gutter="0" w:footer="0" w:header="0"/>
        </w:sectPr>
      </w:pPr>
    </w:p>
    <w:bookmarkStart w:id="881" w:name="page882"/>
    <w:bookmarkEnd w:id="881"/>
    <w:p>
      <w:pPr>
        <w:spacing w:after="0" w:line="19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Erroneous Payments.</w:t>
      </w:r>
    </w:p>
    <w:p>
      <w:pPr>
        <w:spacing w:after="0" w:line="220" w:lineRule="exact"/>
        <w:rPr>
          <w:sz w:val="20"/>
          <w:szCs w:val="20"/>
          <w:color w:val="auto"/>
        </w:rPr>
      </w:pPr>
    </w:p>
    <w:p>
      <w:pPr>
        <w:jc w:val="both"/>
        <w:ind w:firstLine="1304"/>
        <w:spacing w:after="0" w:line="259" w:lineRule="auto"/>
        <w:tabs>
          <w:tab w:leader="none" w:pos="1844" w:val="left"/>
        </w:tabs>
        <w:numPr>
          <w:ilvl w:val="0"/>
          <w:numId w:val="10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(x) notifies a Lender, Issuing Bank or Secured Party, or any Person who has received funds on behalf of a Lender, Issuing Bank or Secured Party (any such Lender, Issuing Bank, Secured Party or other recipient who has received funds on behalf of a Lender, Issuing Bank or Secured Party (and each of their respective successors and assigns), a “</w:t>
      </w:r>
      <w:r>
        <w:rPr>
          <w:rFonts w:ascii="Times New Roman" w:cs="Times New Roman" w:eastAsia="Times New Roman" w:hAnsi="Times New Roman"/>
          <w:sz w:val="21"/>
          <w:szCs w:val="21"/>
          <w:i w:val="1"/>
          <w:iCs w:val="1"/>
          <w:color w:val="auto"/>
        </w:rPr>
        <w:t>Payment Recipient</w:t>
      </w:r>
      <w:r>
        <w:rPr>
          <w:rFonts w:ascii="Times New Roman" w:cs="Times New Roman" w:eastAsia="Times New Roman" w:hAnsi="Times New Roman"/>
          <w:sz w:val="21"/>
          <w:szCs w:val="21"/>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1"/>
          <w:szCs w:val="21"/>
          <w:i w:val="1"/>
          <w:iCs w:val="1"/>
          <w:color w:val="auto"/>
        </w:rPr>
        <w:t>Erroneous Payment</w:t>
      </w:r>
      <w:r>
        <w:rPr>
          <w:rFonts w:ascii="Times New Roman" w:cs="Times New Roman" w:eastAsia="Times New Roman" w:hAnsi="Times New Roman"/>
          <w:sz w:val="21"/>
          <w:szCs w:val="21"/>
          <w:color w:val="auto"/>
        </w:rPr>
        <w:t>”) and (y) demands in writing the return of such Erroneous Payment (or a portion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without limiting any other rights or remedies (whether at law or in equity), the Administrative Agent may not make any such demand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with respect to an Erroneous Payment unless such demand is made within 5 Business Days of the date of receipt of such Erroneous Payment by the applicable Payment Recipient), such Erroneous Payment shall at all times remain the property of the Administrative Agent pending its return or repayment as contemplated below in this Section 8.12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shall be conclusive, absent manifest error.</w:t>
      </w:r>
    </w:p>
    <w:p>
      <w:pPr>
        <w:spacing w:after="0" w:line="185" w:lineRule="exact"/>
        <w:rPr>
          <w:rFonts w:ascii="Times New Roman" w:cs="Times New Roman" w:eastAsia="Times New Roman" w:hAnsi="Times New Roman"/>
          <w:sz w:val="21"/>
          <w:szCs w:val="21"/>
          <w:color w:val="auto"/>
        </w:rPr>
      </w:pPr>
    </w:p>
    <w:p>
      <w:pPr>
        <w:jc w:val="both"/>
        <w:ind w:firstLine="1304"/>
        <w:spacing w:after="0" w:line="247" w:lineRule="auto"/>
        <w:tabs>
          <w:tab w:leader="none" w:pos="1862" w:val="left"/>
        </w:tabs>
        <w:numPr>
          <w:ilvl w:val="0"/>
          <w:numId w:val="10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Issuing Bank, Secured Party or any Person who has received funds on behalf of a Lender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who has received funds on behalf of a Lender or Secured Party, otherwise becomes aware was transmitted, or received, in error or by mistake (in whole or in part), then in each such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1240"/>
          </w:cols>
          <w:pgMar w:left="320" w:top="1440" w:right="339" w:bottom="1440" w:gutter="0" w:footer="0" w:header="0"/>
        </w:sectPr>
      </w:pPr>
    </w:p>
    <w:bookmarkStart w:id="882" w:name="page883"/>
    <w:bookmarkEnd w:id="882"/>
    <w:p>
      <w:pPr>
        <w:spacing w:after="0" w:line="199" w:lineRule="exact"/>
        <w:rPr>
          <w:sz w:val="20"/>
          <w:szCs w:val="20"/>
          <w:color w:val="auto"/>
        </w:rPr>
      </w:pPr>
    </w:p>
    <w:p>
      <w:pPr>
        <w:jc w:val="both"/>
        <w:ind w:firstLine="1304"/>
        <w:spacing w:after="0" w:line="256" w:lineRule="auto"/>
        <w:tabs>
          <w:tab w:leader="none" w:pos="1845" w:val="left"/>
        </w:tabs>
        <w:numPr>
          <w:ilvl w:val="0"/>
          <w:numId w:val="10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acknowledges and agrees that (A)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in each case, with respect to such payment, prepayment or repayment;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83" w:val="left"/>
        </w:tabs>
        <w:numPr>
          <w:ilvl w:val="0"/>
          <w:numId w:val="10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Issuing Bank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notify the Administrative Agent of its receipt of such payment, prepayment or repayment, the details thereof (in reasonable detail) and that it is so notifying the Administrative Agent pursuant to this (b).</w:t>
      </w:r>
    </w:p>
    <w:p>
      <w:pPr>
        <w:spacing w:after="0" w:line="179"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21"/>
          <w:szCs w:val="21"/>
          <w:color w:val="auto"/>
        </w:rPr>
        <w:t>For the avoidance of doubt, the failure to deliver a notice to the Administrative Agent pursuant to this (b) shall not have any effect on a Payment Recipient’s obligations pursuant to (a) or on whether or not an Erroneous Payment has been made.</w:t>
      </w:r>
    </w:p>
    <w:p>
      <w:pPr>
        <w:spacing w:after="0" w:line="135" w:lineRule="exact"/>
        <w:rPr>
          <w:sz w:val="20"/>
          <w:szCs w:val="20"/>
          <w:color w:val="auto"/>
        </w:rPr>
      </w:pPr>
    </w:p>
    <w:p>
      <w:pPr>
        <w:jc w:val="both"/>
        <w:ind w:firstLine="1304"/>
        <w:spacing w:after="0" w:line="253" w:lineRule="auto"/>
        <w:tabs>
          <w:tab w:leader="none" w:pos="1803" w:val="left"/>
        </w:tabs>
        <w:numPr>
          <w:ilvl w:val="0"/>
          <w:numId w:val="10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52" w:val="left"/>
        </w:tabs>
        <w:numPr>
          <w:ilvl w:val="0"/>
          <w:numId w:val="10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22"/>
          <w:szCs w:val="22"/>
          <w:i w:val="1"/>
          <w:iCs w:val="1"/>
          <w:color w:val="auto"/>
        </w:rPr>
        <w:t>Erroneous Payment Subrogation Rights</w:t>
      </w:r>
      <w:r>
        <w:rPr>
          <w:rFonts w:ascii="Times New Roman" w:cs="Times New Roman" w:eastAsia="Times New Roman" w:hAnsi="Times New Roman"/>
          <w:sz w:val="22"/>
          <w:szCs w:val="22"/>
          <w:color w:val="auto"/>
        </w:rPr>
        <w:t xml:space="preserve">”) and (y) an Erroneous Payment shall not pay, prepay, repay, discharge or otherwise satisfy any Obligations owed by the Borrower or any other Loan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8.12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2"/>
          <w:szCs w:val="22"/>
          <w:i w:val="1"/>
          <w:iCs w:val="1"/>
          <w:color w:val="auto"/>
        </w:rPr>
        <w:t xml:space="preserve">provided, further, that for the avoidance of doubt, immediately preceding </w:t>
      </w:r>
      <w:r>
        <w:rPr>
          <w:rFonts w:ascii="Times New Roman" w:cs="Times New Roman" w:eastAsia="Times New Roman" w:hAnsi="Times New Roman"/>
          <w:sz w:val="22"/>
          <w:szCs w:val="22"/>
          <w:i w:val="1"/>
          <w:iCs w:val="1"/>
          <w:u w:val="single" w:color="auto"/>
          <w:color w:val="auto"/>
        </w:rPr>
        <w:t>clauses (x)</w:t>
      </w:r>
      <w:r>
        <w:rPr>
          <w:rFonts w:ascii="Times New Roman" w:cs="Times New Roman" w:eastAsia="Times New Roman" w:hAnsi="Times New Roman"/>
          <w:sz w:val="22"/>
          <w:szCs w:val="22"/>
          <w:i w:val="1"/>
          <w:iCs w:val="1"/>
          <w:color w:val="auto"/>
        </w:rPr>
        <w:t xml:space="preserve"> and </w:t>
      </w:r>
      <w:r>
        <w:rPr>
          <w:rFonts w:ascii="Times New Roman" w:cs="Times New Roman" w:eastAsia="Times New Roman" w:hAnsi="Times New Roman"/>
          <w:sz w:val="22"/>
          <w:szCs w:val="22"/>
          <w:i w:val="1"/>
          <w:iCs w:val="1"/>
          <w:u w:val="single" w:color="auto"/>
          <w:color w:val="auto"/>
        </w:rPr>
        <w:t>(y)</w:t>
      </w:r>
      <w:r>
        <w:rPr>
          <w:rFonts w:ascii="Times New Roman" w:cs="Times New Roman" w:eastAsia="Times New Roman" w:hAnsi="Times New Roman"/>
          <w:sz w:val="22"/>
          <w:szCs w:val="22"/>
          <w:i w:val="1"/>
          <w:iCs w:val="1"/>
          <w:color w:val="auto"/>
        </w:rPr>
        <w:t xml:space="preserve">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making a payment on the Obligations).</w:t>
      </w:r>
    </w:p>
    <w:p>
      <w:pPr>
        <w:spacing w:after="0" w:line="20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2" w:val="left"/>
        </w:tabs>
        <w:numPr>
          <w:ilvl w:val="0"/>
          <w:numId w:val="10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440" w:right="339" w:bottom="1440" w:gutter="0" w:footer="0" w:header="0"/>
        </w:sectPr>
      </w:pPr>
    </w:p>
    <w:bookmarkStart w:id="883" w:name="page884"/>
    <w:bookmarkEnd w:id="88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counterclaim by the Administrative Agent for the return of any Erroneous Payment received, including, without limitation, any defense based on “discharge for value” or any similar doctrine.</w:t>
      </w:r>
    </w:p>
    <w:p>
      <w:pPr>
        <w:spacing w:after="0" w:line="15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Each party’s obligations, agreements and waivers under this Section 8.12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of the Loan Documents.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GUARANTY</w:t>
      </w:r>
    </w:p>
    <w:p>
      <w:pPr>
        <w:spacing w:after="0" w:line="23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2" w:lineRule="auto"/>
        <w:tabs>
          <w:tab w:leader="none" w:pos="1854" w:val="left"/>
        </w:tabs>
        <w:numPr>
          <w:ilvl w:val="0"/>
          <w:numId w:val="10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cs="Times New Roman" w:eastAsia="Times New Roman" w:hAnsi="Times New Roman"/>
          <w:sz w:val="21"/>
          <w:szCs w:val="21"/>
          <w:i w:val="1"/>
          <w:iCs w:val="1"/>
          <w:color w:val="auto"/>
        </w:rPr>
        <w:t>Guaranteed Obligations</w:t>
      </w:r>
      <w:r>
        <w:rPr>
          <w:rFonts w:ascii="Times New Roman" w:cs="Times New Roman" w:eastAsia="Times New Roman" w:hAnsi="Times New Roman"/>
          <w:sz w:val="21"/>
          <w:szCs w:val="21"/>
          <w:color w:val="auto"/>
        </w:rPr>
        <w:t>” and the obligations of each Guarantor in respect thereof, its “</w:t>
      </w:r>
      <w:r>
        <w:rPr>
          <w:rFonts w:ascii="Times New Roman" w:cs="Times New Roman" w:eastAsia="Times New Roman" w:hAnsi="Times New Roman"/>
          <w:sz w:val="21"/>
          <w:szCs w:val="21"/>
          <w:i w:val="1"/>
          <w:iCs w:val="1"/>
          <w:color w:val="auto"/>
        </w:rPr>
        <w:t>Guaranty Obligations</w:t>
      </w:r>
      <w:r>
        <w:rPr>
          <w:rFonts w:ascii="Times New Roman" w:cs="Times New Roman" w:eastAsia="Times New Roman" w:hAnsi="Times New Roman"/>
          <w:sz w:val="21"/>
          <w:szCs w:val="21"/>
          <w:color w:val="auto"/>
        </w:rPr>
        <w:t>”). Each of the Guarantors further agrees that, to the extent permitted by applicable law, the Obligations may be extended or renewed, in whole or in part, without notice to or further assent from such Guarantor,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w:t>
      </w:r>
    </w:p>
    <w:p>
      <w:pPr>
        <w:spacing w:after="0" w:line="172"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55" w:val="left"/>
        </w:tabs>
        <w:numPr>
          <w:ilvl w:val="0"/>
          <w:numId w:val="10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herein or in any other Loan Document to the contrary notwithstanding, (i)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 (ii) the Guaranteed Obligations with respect to any Guarantor shall not include Excluded Swap Obligations.</w:t>
      </w:r>
    </w:p>
    <w:p>
      <w:pPr>
        <w:spacing w:after="0" w:line="19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07" w:val="left"/>
        </w:tabs>
        <w:numPr>
          <w:ilvl w:val="0"/>
          <w:numId w:val="10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other than pursuant to a written agreement in compliance with Section 10.08; (iv) the release, exchange, waiver or foreclosure of any security held by the Collateral Trustee for the Obligations or any of them; (v) by any default, failure or delay, willful or otherwise, in the performance of the Obligations, or by any other act or thing or omission or delay to do any other act or thing which may or might in any manner 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ectPr>
          <w:pgSz w:w="11900" w:h="16838" w:orient="portrait"/>
          <w:cols w:equalWidth="0" w:num="1">
            <w:col w:w="11240"/>
          </w:cols>
          <w:pgMar w:left="320" w:top="1440" w:right="339" w:bottom="1440" w:gutter="0" w:footer="0" w:header="0"/>
        </w:sectPr>
      </w:pPr>
    </w:p>
    <w:bookmarkStart w:id="884" w:name="page885"/>
    <w:bookmarkEnd w:id="884"/>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w:t>
      </w:r>
    </w:p>
    <w:p>
      <w:pPr>
        <w:spacing w:after="0" w:line="186" w:lineRule="exact"/>
        <w:rPr>
          <w:sz w:val="20"/>
          <w:szCs w:val="20"/>
          <w:color w:val="auto"/>
        </w:rPr>
      </w:pPr>
    </w:p>
    <w:p>
      <w:pPr>
        <w:jc w:val="both"/>
        <w:ind w:firstLine="1304"/>
        <w:spacing w:after="0" w:line="265" w:lineRule="auto"/>
        <w:tabs>
          <w:tab w:leader="none" w:pos="1824" w:val="left"/>
        </w:tabs>
        <w:numPr>
          <w:ilvl w:val="0"/>
          <w:numId w:val="10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w:t>
      </w:r>
    </w:p>
    <w:p>
      <w:pPr>
        <w:spacing w:after="0" w:line="178"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87" w:val="left"/>
        </w:tabs>
        <w:numPr>
          <w:ilvl w:val="0"/>
          <w:numId w:val="10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87" w:val="left"/>
        </w:tabs>
        <w:numPr>
          <w:ilvl w:val="0"/>
          <w:numId w:val="10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the Obligations becoming due and payable (by acceleration or otherwise), the Lenders shall be entitled to prompt and complete payment of such Obligations by the Guarantors upon written demand by the Administrative Agent.</w:t>
      </w:r>
    </w:p>
    <w:p>
      <w:pPr>
        <w:spacing w:after="0" w:line="18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Right of Contribution</w:t>
      </w:r>
      <w:r>
        <w:rPr>
          <w:rFonts w:ascii="Times New Roman" w:cs="Times New Roman" w:eastAsia="Times New Roman" w:hAnsi="Times New Roman"/>
          <w:sz w:val="21"/>
          <w:szCs w:val="21"/>
          <w:color w:val="auto"/>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Times New Roman" w:cs="Times New Roman" w:eastAsia="Times New Roman" w:hAnsi="Times New Roman"/>
          <w:sz w:val="21"/>
          <w:szCs w:val="21"/>
          <w:i w:val="1"/>
          <w:iCs w:val="1"/>
          <w:color w:val="auto"/>
        </w:rPr>
        <w:t>Adjusted Net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Worth</w:t>
      </w:r>
      <w:r>
        <w:rPr>
          <w:rFonts w:ascii="Times New Roman" w:cs="Times New Roman" w:eastAsia="Times New Roman" w:hAnsi="Times New Roman"/>
          <w:sz w:val="21"/>
          <w:szCs w:val="21"/>
          <w:color w:val="auto"/>
        </w:rPr>
        <w:t>” of any Guarantor shall mean at any time, the greater of (x) $0 and (y) the amount by which the fair saleable value of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Guarantor’s assets on the date of the respective payment hereunder exceeds its debts and other liabilities (including contingent liabilities, but without giving effect to any of its obligations under this Agreement or any other Loan Documents) on such date.</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Continuation and Reinstatement, etc</w:t>
      </w:r>
      <w:r>
        <w:rPr>
          <w:rFonts w:ascii="Times New Roman" w:cs="Times New Roman" w:eastAsia="Times New Roman" w:hAnsi="Times New Roman"/>
          <w:sz w:val="22"/>
          <w:szCs w:val="22"/>
          <w:color w:val="auto"/>
        </w:rPr>
        <w:t>. Each Guarantor further agrees that its guaranty hereunder shall continue to be effective or be reinstated, as the case may be, if at any time payment, or any part thereof, of any Obligation is rescinded or must otherwise be restored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ectPr>
          <w:pgSz w:w="11900" w:h="16838" w:orient="portrait"/>
          <w:cols w:equalWidth="0" w:num="1">
            <w:col w:w="11240"/>
          </w:cols>
          <w:pgMar w:left="320" w:top="1440" w:right="339" w:bottom="1440" w:gutter="0" w:footer="0" w:header="0"/>
        </w:sectPr>
      </w:pPr>
    </w:p>
    <w:bookmarkStart w:id="885" w:name="page886"/>
    <w:bookmarkEnd w:id="885"/>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Administrative Agent, the Issuing Lenders, any Lender or any other Secured Party upon the bankruptcy or reorganization of the Borrower or a Guarantor, or otherwise.</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9.05.</w:t>
      </w:r>
      <w:r>
        <w:rPr>
          <w:sz w:val="20"/>
          <w:szCs w:val="20"/>
          <w:color w:val="auto"/>
        </w:rPr>
        <w:tab/>
      </w:r>
      <w:r>
        <w:rPr>
          <w:rFonts w:ascii="Times New Roman" w:cs="Times New Roman" w:eastAsia="Times New Roman" w:hAnsi="Times New Roman"/>
          <w:sz w:val="21"/>
          <w:szCs w:val="21"/>
          <w:u w:val="single" w:color="auto"/>
          <w:color w:val="auto"/>
        </w:rPr>
        <w:t>Discharge of Guaranty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812" w:val="left"/>
        </w:tabs>
        <w:numPr>
          <w:ilvl w:val="0"/>
          <w:numId w:val="10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w:t>
      </w:r>
    </w:p>
    <w:p>
      <w:pPr>
        <w:spacing w:after="0" w:line="195"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06" w:val="left"/>
        </w:tabs>
        <w:numPr>
          <w:ilvl w:val="0"/>
          <w:numId w:val="10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Junior Secured Debt shall be irrevocably released and discharged substantially simultaneously with the release of such guarantee hereunder.</w:t>
      </w:r>
    </w:p>
    <w:p>
      <w:pPr>
        <w:spacing w:after="0" w:line="178" w:lineRule="exact"/>
        <w:rPr>
          <w:rFonts w:ascii="Times New Roman" w:cs="Times New Roman" w:eastAsia="Times New Roman" w:hAnsi="Times New Roman"/>
          <w:sz w:val="21"/>
          <w:szCs w:val="21"/>
          <w:color w:val="auto"/>
        </w:rPr>
      </w:pPr>
    </w:p>
    <w:p>
      <w:pPr>
        <w:jc w:val="both"/>
        <w:ind w:firstLine="1304"/>
        <w:spacing w:after="0" w:line="263" w:lineRule="auto"/>
        <w:tabs>
          <w:tab w:leader="none" w:pos="1751" w:val="left"/>
        </w:tabs>
        <w:numPr>
          <w:ilvl w:val="0"/>
          <w:numId w:val="10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use commercially reasonable efforts to execute and deliver, at the Borrower’s expense, such documents as the Borrower or any such Guarantor may reasonably request to evidence the release of the guaranty of such Guarantor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ectPr>
          <w:pgSz w:w="11900" w:h="16838" w:orient="portrait"/>
          <w:cols w:equalWidth="0" w:num="1">
            <w:col w:w="11240"/>
          </w:cols>
          <w:pgMar w:left="320" w:top="1440" w:right="339" w:bottom="1440" w:gutter="0" w:footer="0" w:header="0"/>
        </w:sectPr>
      </w:pPr>
    </w:p>
    <w:bookmarkStart w:id="886" w:name="page887"/>
    <w:bookmarkEnd w:id="886"/>
    <w:p>
      <w:pPr>
        <w:spacing w:after="0" w:line="199" w:lineRule="exact"/>
        <w:rPr>
          <w:sz w:val="20"/>
          <w:szCs w:val="20"/>
          <w:color w:val="auto"/>
        </w:rPr>
      </w:pPr>
    </w:p>
    <w:p>
      <w:pPr>
        <w:jc w:val="both"/>
        <w:ind w:left="-20" w:firstLine="1304"/>
        <w:spacing w:after="0" w:line="253" w:lineRule="auto"/>
        <w:tabs>
          <w:tab w:leader="none" w:pos="1835" w:val="left"/>
        </w:tabs>
        <w:numPr>
          <w:ilvl w:val="0"/>
          <w:numId w:val="10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will be automatically released and relieved of any obligations under its Guarantee of the Guaranteed Obligations upon the first date on which all of the Loans and Obligations then due and owing shall have been satisfied by payment in full in cash, no Letter of Credit shall be outstanding (except for Letters of Credit that have been Cash Collateralized or otherwise provided for in a manner reasonably satisfactory to the Administrative Agent) and the Commitments shall be terminated.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ind w:left="1280"/>
        <w:spacing w:after="0"/>
        <w:tabs>
          <w:tab w:leader="none" w:pos="2980" w:val="left"/>
        </w:tabs>
        <w:rPr>
          <w:sz w:val="20"/>
          <w:szCs w:val="20"/>
          <w:color w:val="auto"/>
        </w:rPr>
      </w:pPr>
      <w:r>
        <w:rPr>
          <w:rFonts w:ascii="Times New Roman" w:cs="Times New Roman" w:eastAsia="Times New Roman" w:hAnsi="Times New Roman"/>
          <w:sz w:val="22"/>
          <w:szCs w:val="22"/>
          <w:color w:val="auto"/>
        </w:rPr>
        <w:t>SECTION 10.01.</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20" w:firstLine="1304"/>
        <w:spacing w:after="0" w:line="252" w:lineRule="auto"/>
        <w:tabs>
          <w:tab w:leader="none" w:pos="1791" w:val="left"/>
        </w:tabs>
        <w:numPr>
          <w:ilvl w:val="0"/>
          <w:numId w:val="10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electronic mail or sent by facsimile, as follows:</w:t>
      </w:r>
    </w:p>
    <w:p>
      <w:pPr>
        <w:spacing w:after="0" w:line="179" w:lineRule="exact"/>
        <w:rPr>
          <w:sz w:val="20"/>
          <w:szCs w:val="20"/>
          <w:color w:val="auto"/>
        </w:rPr>
      </w:pPr>
    </w:p>
    <w:p>
      <w:pPr>
        <w:jc w:val="both"/>
        <w:ind w:left="640" w:firstLine="644"/>
        <w:spacing w:after="0" w:line="253" w:lineRule="auto"/>
        <w:tabs>
          <w:tab w:leader="none" w:pos="1816" w:val="left"/>
        </w:tabs>
        <w:numPr>
          <w:ilvl w:val="0"/>
          <w:numId w:val="10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or any Guarantor, to it at American Airlines, Inc., American Airlines, Inc. 1 Skyview Drive, MD8B361, Fort Worth, Texas 76155; Telephone: ###; Attention: Treasurer and, in respect of notices of proposed assignments of Loans or Commitments, to the Borrower by email at ###; in each case with copies (which shall not constitute notice) to: Latham &amp; Watkins LLP, 140 Scott Drive, Menlo Park. CA 94025, email: ###; Attention: Tony Richmond;</w:t>
      </w:r>
    </w:p>
    <w:p>
      <w:pPr>
        <w:spacing w:after="0" w:line="178" w:lineRule="exact"/>
        <w:rPr>
          <w:rFonts w:ascii="Times New Roman" w:cs="Times New Roman" w:eastAsia="Times New Roman" w:hAnsi="Times New Roman"/>
          <w:sz w:val="22"/>
          <w:szCs w:val="22"/>
          <w:color w:val="auto"/>
        </w:rPr>
      </w:pPr>
    </w:p>
    <w:p>
      <w:pPr>
        <w:ind w:left="640" w:firstLine="644"/>
        <w:spacing w:after="0" w:line="271" w:lineRule="auto"/>
        <w:tabs>
          <w:tab w:leader="none" w:pos="1778" w:val="left"/>
        </w:tabs>
        <w:numPr>
          <w:ilvl w:val="0"/>
          <w:numId w:val="10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to it at Citibank Delaware, One Penns Way, OPS 2/2, New Castle, DE 19720, Attn: Agency Operations, Phone: ###, Fax: ###, Email:</w:t>
      </w:r>
    </w:p>
    <w:p>
      <w:pPr>
        <w:spacing w:after="0" w:line="171" w:lineRule="exact"/>
        <w:rPr>
          <w:rFonts w:ascii="Times New Roman" w:cs="Times New Roman" w:eastAsia="Times New Roman" w:hAnsi="Times New Roman"/>
          <w:sz w:val="22"/>
          <w:szCs w:val="22"/>
          <w:color w:val="auto"/>
        </w:rPr>
      </w:pPr>
    </w:p>
    <w:p>
      <w:pPr>
        <w:ind w:left="2440" w:hanging="508"/>
        <w:spacing w:after="0"/>
        <w:tabs>
          <w:tab w:leader="none" w:pos="2440" w:val="left"/>
        </w:tabs>
        <w:numPr>
          <w:ilvl w:val="1"/>
          <w:numId w:val="10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inquiries only: ###,</w:t>
      </w:r>
    </w:p>
    <w:p>
      <w:pPr>
        <w:spacing w:after="0" w:line="219" w:lineRule="exact"/>
        <w:rPr>
          <w:rFonts w:ascii="Times New Roman" w:cs="Times New Roman" w:eastAsia="Times New Roman" w:hAnsi="Times New Roman"/>
          <w:sz w:val="22"/>
          <w:szCs w:val="22"/>
          <w:color w:val="auto"/>
        </w:rPr>
      </w:pPr>
    </w:p>
    <w:p>
      <w:pPr>
        <w:ind w:left="2440" w:hanging="508"/>
        <w:spacing w:after="0"/>
        <w:tabs>
          <w:tab w:leader="none" w:pos="2440" w:val="left"/>
        </w:tabs>
        <w:numPr>
          <w:ilvl w:val="1"/>
          <w:numId w:val="10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notifications: ###,</w:t>
      </w:r>
    </w:p>
    <w:p>
      <w:pPr>
        <w:spacing w:after="0" w:line="219" w:lineRule="exact"/>
        <w:rPr>
          <w:rFonts w:ascii="Times New Roman" w:cs="Times New Roman" w:eastAsia="Times New Roman" w:hAnsi="Times New Roman"/>
          <w:sz w:val="22"/>
          <w:szCs w:val="22"/>
          <w:color w:val="auto"/>
        </w:rPr>
      </w:pPr>
    </w:p>
    <w:p>
      <w:pPr>
        <w:ind w:left="2440" w:hanging="508"/>
        <w:spacing w:after="0"/>
        <w:tabs>
          <w:tab w:leader="none" w:pos="2440" w:val="left"/>
        </w:tabs>
        <w:numPr>
          <w:ilvl w:val="1"/>
          <w:numId w:val="10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Team Mail (Financial Reporting): ###,</w:t>
      </w:r>
    </w:p>
    <w:p>
      <w:pPr>
        <w:spacing w:after="0" w:line="219" w:lineRule="exact"/>
        <w:rPr>
          <w:rFonts w:ascii="Times New Roman" w:cs="Times New Roman" w:eastAsia="Times New Roman" w:hAnsi="Times New Roman"/>
          <w:sz w:val="22"/>
          <w:szCs w:val="22"/>
          <w:color w:val="auto"/>
        </w:rPr>
      </w:pPr>
    </w:p>
    <w:p>
      <w:pPr>
        <w:ind w:left="2440" w:hanging="508"/>
        <w:spacing w:after="0"/>
        <w:tabs>
          <w:tab w:leader="none" w:pos="2440" w:val="left"/>
        </w:tabs>
        <w:numPr>
          <w:ilvl w:val="1"/>
          <w:numId w:val="10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Investor Relations Team (investor inquiries only): ###;</w:t>
      </w:r>
    </w:p>
    <w:p>
      <w:pPr>
        <w:spacing w:after="0" w:line="219" w:lineRule="exact"/>
        <w:rPr>
          <w:rFonts w:ascii="Times New Roman" w:cs="Times New Roman" w:eastAsia="Times New Roman" w:hAnsi="Times New Roman"/>
          <w:sz w:val="22"/>
          <w:szCs w:val="22"/>
          <w:color w:val="auto"/>
        </w:rPr>
      </w:pPr>
    </w:p>
    <w:p>
      <w:pPr>
        <w:ind w:left="640" w:right="20" w:firstLine="644"/>
        <w:spacing w:after="0" w:line="284" w:lineRule="auto"/>
        <w:tabs>
          <w:tab w:leader="none" w:pos="1960" w:val="left"/>
        </w:tabs>
        <w:numPr>
          <w:ilvl w:val="0"/>
          <w:numId w:val="10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Collateral Trustee, to it at 50 South Sixth Street, Suite 1290, Minneapolis, Minnesota 55402, Attention: American Airlines, Administrator, and by email at ###;</w:t>
      </w:r>
    </w:p>
    <w:p>
      <w:pPr>
        <w:spacing w:after="0" w:line="143" w:lineRule="exact"/>
        <w:rPr>
          <w:rFonts w:ascii="Times New Roman" w:cs="Times New Roman" w:eastAsia="Times New Roman" w:hAnsi="Times New Roman"/>
          <w:sz w:val="22"/>
          <w:szCs w:val="22"/>
          <w:color w:val="auto"/>
        </w:rPr>
      </w:pPr>
    </w:p>
    <w:p>
      <w:pPr>
        <w:jc w:val="both"/>
        <w:ind w:left="640" w:firstLine="644"/>
        <w:spacing w:after="0" w:line="252" w:lineRule="auto"/>
        <w:tabs>
          <w:tab w:leader="none" w:pos="1851" w:val="left"/>
        </w:tabs>
        <w:numPr>
          <w:ilvl w:val="0"/>
          <w:numId w:val="10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ectPr>
          <w:pgSz w:w="11900" w:h="16838" w:orient="portrait"/>
          <w:cols w:equalWidth="0" w:num="1">
            <w:col w:w="11220"/>
          </w:cols>
          <w:pgMar w:left="340" w:top="1440" w:right="339" w:bottom="1440" w:gutter="0" w:footer="0" w:header="0"/>
        </w:sectPr>
      </w:pPr>
    </w:p>
    <w:bookmarkStart w:id="887" w:name="page888"/>
    <w:bookmarkEnd w:id="887"/>
    <w:p>
      <w:pPr>
        <w:spacing w:after="0" w:line="198" w:lineRule="exact"/>
        <w:rPr>
          <w:sz w:val="20"/>
          <w:szCs w:val="20"/>
          <w:color w:val="auto"/>
        </w:rPr>
      </w:pPr>
    </w:p>
    <w:p>
      <w:pPr>
        <w:ind w:left="660" w:right="20" w:firstLine="644"/>
        <w:spacing w:after="0" w:line="271" w:lineRule="auto"/>
        <w:tabs>
          <w:tab w:leader="none" w:pos="1781" w:val="left"/>
        </w:tabs>
        <w:numPr>
          <w:ilvl w:val="0"/>
          <w:numId w:val="10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other Lender, to it at its address (or telecopy number)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or, if subsequently delivered, an Assignment and Acceptance.</w:t>
      </w:r>
    </w:p>
    <w:p>
      <w:pPr>
        <w:spacing w:after="0" w:line="158" w:lineRule="exact"/>
        <w:rPr>
          <w:sz w:val="20"/>
          <w:szCs w:val="20"/>
          <w:color w:val="auto"/>
        </w:rPr>
      </w:pPr>
    </w:p>
    <w:p>
      <w:pPr>
        <w:jc w:val="both"/>
        <w:ind w:firstLine="1304"/>
        <w:spacing w:after="0" w:line="252" w:lineRule="auto"/>
        <w:tabs>
          <w:tab w:leader="none" w:pos="1860" w:val="left"/>
        </w:tabs>
        <w:numPr>
          <w:ilvl w:val="0"/>
          <w:numId w:val="10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approval shall be required for any notice delivered to the Administrative Agent by electronic mail pursuant to Section 2.05(b) or Section 2.13(a).</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10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73"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10.02.</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48" w:val="left"/>
        </w:tabs>
        <w:numPr>
          <w:ilvl w:val="0"/>
          <w:numId w:val="10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w:t>
      </w:r>
    </w:p>
    <w:p>
      <w:pPr>
        <w:spacing w:after="0" w:line="20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3" w:val="left"/>
        </w:tabs>
        <w:numPr>
          <w:ilvl w:val="0"/>
          <w:numId w:val="10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 Commitment and the Loans at the time owing to it), pursuant to an Assignment and Acceptance with the prior written consent (such consent not to be unreasonably withheld or delayed) of:</w:t>
      </w:r>
    </w:p>
    <w:p>
      <w:pPr>
        <w:spacing w:after="0" w:line="181" w:lineRule="exact"/>
        <w:rPr>
          <w:sz w:val="20"/>
          <w:szCs w:val="20"/>
          <w:color w:val="auto"/>
        </w:rPr>
      </w:pPr>
    </w:p>
    <w:p>
      <w:pPr>
        <w:jc w:val="both"/>
        <w:ind w:left="660" w:firstLine="644"/>
        <w:spacing w:after="0" w:line="263" w:lineRule="auto"/>
        <w:tabs>
          <w:tab w:leader="none" w:pos="1916" w:val="left"/>
        </w:tabs>
        <w:numPr>
          <w:ilvl w:val="0"/>
          <w:numId w:val="10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(I) if the assignee is a Lender, an Affiliate of a Lender or an Approved Fund of a Lender, in each case so long as such assignee is an Eligible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ectPr>
          <w:pgSz w:w="11900" w:h="16838" w:orient="portrait"/>
          <w:cols w:equalWidth="0" w:num="1">
            <w:col w:w="11240"/>
          </w:cols>
          <w:pgMar w:left="320" w:top="1440" w:right="339" w:bottom="1440" w:gutter="0" w:footer="0" w:header="0"/>
        </w:sectPr>
      </w:pPr>
    </w:p>
    <w:bookmarkStart w:id="888" w:name="page889"/>
    <w:bookmarkEnd w:id="888"/>
    <w:p>
      <w:pPr>
        <w:spacing w:after="0" w:line="199" w:lineRule="exact"/>
        <w:rPr>
          <w:sz w:val="20"/>
          <w:szCs w:val="20"/>
          <w:color w:val="auto"/>
        </w:rPr>
      </w:pPr>
    </w:p>
    <w:p>
      <w:pPr>
        <w:ind w:left="4" w:right="20" w:hanging="4"/>
        <w:spacing w:after="0" w:line="271" w:lineRule="auto"/>
        <w:tabs>
          <w:tab w:leader="none" w:pos="359" w:val="left"/>
        </w:tabs>
        <w:numPr>
          <w:ilvl w:val="0"/>
          <w:numId w:val="10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Term Loans to the Borrower pursuant to Section 10.02(g) and (III) of Loans made pursuant to Section 2.18(b) or 2.26(a);</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201" w:val="left"/>
        </w:tabs>
        <w:numPr>
          <w:ilvl w:val="1"/>
          <w:numId w:val="10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(a) in the case of the Term Loans; if the assignee is a Lender, an Affiliate of a Lender or an Approved Fund of a Lender, in each case so long as such assignee is an Eligible Assignee and (b) in the case of Revolving Commitments or Revolving Loans, if the assignee is a Revolving Lender, an Affiliate of a Revolving Lender or an Approved Fund of a Revolving Lender, as in each case so long as such assignee is an Eligible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Borrower’s consent will be deemed given with respect to a proposed assignment if no response is received within ten (10) Business Days after having received a written request from such Lender pursuant to this Section 10.02(b)(i)(B); and</w:t>
      </w:r>
    </w:p>
    <w:p>
      <w:pPr>
        <w:spacing w:after="0" w:line="179" w:lineRule="exact"/>
        <w:rPr>
          <w:rFonts w:ascii="Times New Roman" w:cs="Times New Roman" w:eastAsia="Times New Roman" w:hAnsi="Times New Roman"/>
          <w:sz w:val="22"/>
          <w:szCs w:val="22"/>
          <w:color w:val="auto"/>
        </w:rPr>
      </w:pPr>
    </w:p>
    <w:p>
      <w:pPr>
        <w:ind w:left="4" w:right="20" w:firstLine="644"/>
        <w:spacing w:after="0" w:line="271" w:lineRule="auto"/>
        <w:tabs>
          <w:tab w:leader="none" w:pos="1187" w:val="left"/>
        </w:tabs>
        <w:numPr>
          <w:ilvl w:val="1"/>
          <w:numId w:val="10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any Issuing Lender shall be required for an assignment of all or any portion of a Term Loan.</w:t>
      </w:r>
    </w:p>
    <w:p>
      <w:pPr>
        <w:spacing w:after="0" w:line="158" w:lineRule="exact"/>
        <w:rPr>
          <w:sz w:val="20"/>
          <w:szCs w:val="20"/>
          <w:color w:val="auto"/>
        </w:rPr>
      </w:pPr>
    </w:p>
    <w:p>
      <w:pPr>
        <w:ind w:left="644"/>
        <w:spacing w:after="0"/>
        <w:tabs>
          <w:tab w:leader="none" w:pos="1104"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Assignments shall be subject to the following additional conditions:</w:t>
      </w:r>
    </w:p>
    <w:p>
      <w:pPr>
        <w:spacing w:after="0" w:line="233" w:lineRule="exact"/>
        <w:rPr>
          <w:sz w:val="20"/>
          <w:szCs w:val="20"/>
          <w:color w:val="auto"/>
        </w:rPr>
      </w:pPr>
    </w:p>
    <w:p>
      <w:pPr>
        <w:ind w:left="4" w:firstLine="644"/>
        <w:spacing w:after="0" w:line="271" w:lineRule="auto"/>
        <w:tabs>
          <w:tab w:leader="none" w:pos="1255" w:val="left"/>
        </w:tabs>
        <w:numPr>
          <w:ilvl w:val="0"/>
          <w:numId w:val="10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any portion of the Total Revolving Commitment, Revolving Loans, LC Exposure and Term Loans shall be made to an Eligible Assignee;</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158" w:val="left"/>
        </w:tabs>
        <w:numPr>
          <w:ilvl w:val="0"/>
          <w:numId w:val="10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an Affiliate of a Lender or an Approved Fund of a Lender or an assignment of the entire remaining amount of the assigning Lender’s Commitment or Loans, the amount of such Commitment or Loans of the assigning Lender subject to each such assignment (determined as of the date the Assignment and Acceptance with respect to such assignment is delivered to the Administrative Agent) (i) with respect to any Revolving Commitment or Revolving Loans, shall not be less than $5,000,000, and after giving effect to such assignment, the portion of the Loan or Commitment held by the assigning Lender of the same tranche as the assigned portion of the Loan or Commitment shall not be less than $5,000,000 and (ii) with respect to any Term Loan Commitment or Term Loans, shall not be less than $500,000, and after giving effect to such assignment, the portion of the Loan or Commitment held by the assigning Lender of the same tranche as the assigned portion of the Loan or Commitment shall not be less than $500,000, in each case under either clause (i) or (ii) unless the Borrower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with respect to such assignment if an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such assignment (a) with respect to any Revolving Commitment or Revolving Loans, shall be in increments of $500,000 in excess of the minimum amount described in clause (i) above and (b) with respect to any Term Loan Commitment or Term Loans, shall be in increments of $100,000 in excess of the minimum amount described in clause (ii) above.</w:t>
      </w:r>
    </w:p>
    <w:p>
      <w:pPr>
        <w:spacing w:after="0" w:line="182" w:lineRule="exact"/>
        <w:rPr>
          <w:rFonts w:ascii="Times New Roman" w:cs="Times New Roman" w:eastAsia="Times New Roman" w:hAnsi="Times New Roman"/>
          <w:sz w:val="22"/>
          <w:szCs w:val="22"/>
          <w:color w:val="auto"/>
        </w:rPr>
      </w:pPr>
    </w:p>
    <w:p>
      <w:pPr>
        <w:ind w:left="4" w:firstLine="644"/>
        <w:spacing w:after="0" w:line="271" w:lineRule="auto"/>
        <w:tabs>
          <w:tab w:leader="none" w:pos="1182" w:val="left"/>
        </w:tabs>
        <w:numPr>
          <w:ilvl w:val="0"/>
          <w:numId w:val="10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153</w:t>
      </w:r>
    </w:p>
    <w:p>
      <w:pPr>
        <w:sectPr>
          <w:pgSz w:w="11900" w:h="16838" w:orient="portrait"/>
          <w:cols w:equalWidth="0" w:num="1">
            <w:col w:w="10584"/>
          </w:cols>
          <w:pgMar w:left="976" w:top="1440" w:right="339" w:bottom="1440" w:gutter="0" w:footer="0" w:header="0"/>
        </w:sectPr>
      </w:pPr>
    </w:p>
    <w:bookmarkStart w:id="889" w:name="page890"/>
    <w:bookmarkEnd w:id="889"/>
    <w:p>
      <w:pPr>
        <w:spacing w:after="0" w:line="198" w:lineRule="exact"/>
        <w:rPr>
          <w:sz w:val="20"/>
          <w:szCs w:val="20"/>
          <w:color w:val="auto"/>
        </w:rPr>
      </w:pPr>
    </w:p>
    <w:p>
      <w:pPr>
        <w:jc w:val="both"/>
        <w:ind w:left="660" w:firstLine="644"/>
        <w:spacing w:after="0" w:line="253" w:lineRule="auto"/>
        <w:tabs>
          <w:tab w:leader="none" w:pos="1918" w:val="left"/>
        </w:tabs>
        <w:numPr>
          <w:ilvl w:val="0"/>
          <w:numId w:val="10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concurrent assignments to two or more Approved Funds such assignment fee shall be required to be paid only once in respect of and at the time of such assignment;</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13" w:val="left"/>
        </w:tabs>
        <w:numPr>
          <w:ilvl w:val="0"/>
          <w:numId w:val="10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was not a Lender immediately prior to such assignment, shall deliver to the Administrative Agent an administrative questionnaire in a form as the Administrative Agent may require; and</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01" w:val="left"/>
        </w:tabs>
        <w:numPr>
          <w:ilvl w:val="0"/>
          <w:numId w:val="10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any assignment of any Term Loans to the Borrower shall be subject to the requirements of Section 10.02(g).</w:t>
      </w:r>
    </w:p>
    <w:p>
      <w:pPr>
        <w:spacing w:after="0" w:line="14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For the purposes of this Section 10.02(b), the term “</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except to the extent the Borrower, the Administrative Agent and each Issuing Lender have consented to such assignment in writing (in which case such Lender will not be considered a Defaulting Lender, Disqualified Institution or natural person solely for that particular assignment). In connection with any proposed assignment or participation, the Borrower shall promptly provide the list of Disqualified Institutions to the Administrative Agent and such assigning or participating Lender upon reasonable written request.</w:t>
      </w:r>
    </w:p>
    <w:p>
      <w:pPr>
        <w:spacing w:after="0" w:line="198" w:lineRule="exact"/>
        <w:rPr>
          <w:sz w:val="20"/>
          <w:szCs w:val="20"/>
          <w:color w:val="auto"/>
        </w:rPr>
      </w:pPr>
    </w:p>
    <w:p>
      <w:pPr>
        <w:jc w:val="both"/>
        <w:ind w:firstLine="1304"/>
        <w:spacing w:after="0" w:line="247" w:lineRule="auto"/>
        <w:tabs>
          <w:tab w:leader="none" w:pos="1901" w:val="left"/>
        </w:tabs>
        <w:numPr>
          <w:ilvl w:val="0"/>
          <w:numId w:val="10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w:t>
      </w:r>
    </w:p>
    <w:p>
      <w:pPr>
        <w:spacing w:after="0" w:line="19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7" w:val="left"/>
        </w:tabs>
        <w:numPr>
          <w:ilvl w:val="0"/>
          <w:numId w:val="10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solely for this purpose as an agent of the Borrower, shall maintain at its offices a copy of each Assignment and Acceptance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ectPr>
          <w:pgSz w:w="11900" w:h="16838" w:orient="portrait"/>
          <w:cols w:equalWidth="0" w:num="1">
            <w:col w:w="11240"/>
          </w:cols>
          <w:pgMar w:left="320" w:top="1440" w:right="339" w:bottom="1440" w:gutter="0" w:footer="0" w:header="0"/>
        </w:sectPr>
      </w:pPr>
    </w:p>
    <w:bookmarkStart w:id="890" w:name="page891"/>
    <w:bookmarkEnd w:id="890"/>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w:t>
      </w:r>
    </w:p>
    <w:p>
      <w:pPr>
        <w:spacing w:after="0" w:line="176" w:lineRule="exact"/>
        <w:rPr>
          <w:sz w:val="20"/>
          <w:szCs w:val="20"/>
          <w:color w:val="auto"/>
        </w:rPr>
      </w:pPr>
    </w:p>
    <w:p>
      <w:pPr>
        <w:jc w:val="both"/>
        <w:ind w:firstLine="1304"/>
        <w:spacing w:after="0" w:line="251" w:lineRule="auto"/>
        <w:tabs>
          <w:tab w:leader="none" w:pos="1854" w:val="left"/>
        </w:tabs>
        <w:numPr>
          <w:ilvl w:val="0"/>
          <w:numId w:val="10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w:t>
      </w:r>
    </w:p>
    <w:p>
      <w:pPr>
        <w:spacing w:after="0" w:line="18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89" w:val="left"/>
        </w:tabs>
        <w:numPr>
          <w:ilvl w:val="0"/>
          <w:numId w:val="10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93" w:lineRule="exact"/>
        <w:rPr>
          <w:sz w:val="20"/>
          <w:szCs w:val="20"/>
          <w:color w:val="auto"/>
        </w:rPr>
      </w:pPr>
    </w:p>
    <w:p>
      <w:pPr>
        <w:jc w:val="both"/>
        <w:ind w:firstLine="1304"/>
        <w:spacing w:after="0" w:line="249" w:lineRule="auto"/>
        <w:tabs>
          <w:tab w:leader="none" w:pos="1811" w:val="left"/>
        </w:tabs>
        <w:numPr>
          <w:ilvl w:val="0"/>
          <w:numId w:val="10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the assigning Lender or the assignee shall have failed to make any payment required to be made by it pursuant to Section 2.02(d) or (e), 2.04(a) or (b),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ectPr>
          <w:pgSz w:w="11900" w:h="16838" w:orient="portrait"/>
          <w:cols w:equalWidth="0" w:num="1">
            <w:col w:w="11240"/>
          </w:cols>
          <w:pgMar w:left="320" w:top="1440" w:right="339" w:bottom="1440" w:gutter="0" w:footer="0" w:header="0"/>
        </w:sectPr>
      </w:pPr>
    </w:p>
    <w:bookmarkStart w:id="891" w:name="page892"/>
    <w:bookmarkEnd w:id="891"/>
    <w:p>
      <w:pPr>
        <w:spacing w:after="0" w:line="198" w:lineRule="exact"/>
        <w:rPr>
          <w:sz w:val="20"/>
          <w:szCs w:val="20"/>
          <w:color w:val="auto"/>
        </w:rPr>
      </w:pPr>
    </w:p>
    <w:p>
      <w:pPr>
        <w:jc w:val="both"/>
        <w:ind w:firstLine="1304"/>
        <w:spacing w:after="0" w:line="246" w:lineRule="auto"/>
        <w:tabs>
          <w:tab w:leader="none" w:pos="1807" w:val="left"/>
        </w:tabs>
        <w:numPr>
          <w:ilvl w:val="0"/>
          <w:numId w:val="10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may, without the consent of the Borrower, the Administrative Agent or any Issuing Lender, sell participations (other than to any Defaulting Lender, Disqualified Institution or natural person) to one or more banks or other entities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of (and stated interest on) of each Participant’s interest in the Loans or other obligations under this Agreement (the “</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and Section 1.163-5(b) of the proposed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w:t>
      </w:r>
    </w:p>
    <w:p>
      <w:pPr>
        <w:spacing w:after="0" w:line="207" w:lineRule="exact"/>
        <w:rPr>
          <w:sz w:val="20"/>
          <w:szCs w:val="20"/>
          <w:color w:val="auto"/>
        </w:rPr>
      </w:pPr>
    </w:p>
    <w:p>
      <w:pPr>
        <w:jc w:val="both"/>
        <w:ind w:firstLine="1304"/>
        <w:spacing w:after="0" w:line="256" w:lineRule="auto"/>
        <w:tabs>
          <w:tab w:leader="none" w:pos="1908" w:val="left"/>
        </w:tabs>
        <w:numPr>
          <w:ilvl w:val="0"/>
          <w:numId w:val="10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ectPr>
          <w:pgSz w:w="11900" w:h="16838" w:orient="portrait"/>
          <w:cols w:equalWidth="0" w:num="1">
            <w:col w:w="11240"/>
          </w:cols>
          <w:pgMar w:left="320" w:top="1440" w:right="339" w:bottom="1440" w:gutter="0" w:footer="0" w:header="0"/>
        </w:sectPr>
      </w:pPr>
    </w:p>
    <w:bookmarkStart w:id="892" w:name="page893"/>
    <w:bookmarkEnd w:id="892"/>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 (it being understood that the documentation required under Sections 2.16(f)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2.16(g) shall be delivered to the participating Lender).</w:t>
      </w:r>
    </w:p>
    <w:p>
      <w:pPr>
        <w:spacing w:after="0" w:line="207" w:lineRule="exact"/>
        <w:rPr>
          <w:sz w:val="20"/>
          <w:szCs w:val="20"/>
          <w:color w:val="auto"/>
        </w:rPr>
      </w:pPr>
    </w:p>
    <w:p>
      <w:pPr>
        <w:jc w:val="both"/>
        <w:ind w:firstLine="1304"/>
        <w:spacing w:after="0" w:line="253" w:lineRule="auto"/>
        <w:tabs>
          <w:tab w:leader="none" w:pos="1781" w:val="left"/>
        </w:tabs>
        <w:numPr>
          <w:ilvl w:val="0"/>
          <w:numId w:val="10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37" w:val="left"/>
        </w:tabs>
        <w:numPr>
          <w:ilvl w:val="0"/>
          <w:numId w:val="10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5" w:val="left"/>
        </w:tabs>
        <w:numPr>
          <w:ilvl w:val="0"/>
          <w:numId w:val="10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3" w:lineRule="exact"/>
        <w:rPr>
          <w:sz w:val="20"/>
          <w:szCs w:val="20"/>
          <w:color w:val="auto"/>
        </w:rPr>
      </w:pPr>
    </w:p>
    <w:p>
      <w:pPr>
        <w:ind w:left="660" w:right="20" w:firstLine="644"/>
        <w:spacing w:after="0" w:line="284" w:lineRule="auto"/>
        <w:tabs>
          <w:tab w:leader="none" w:pos="1800" w:val="left"/>
        </w:tabs>
        <w:numPr>
          <w:ilvl w:val="0"/>
          <w:numId w:val="10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assigning Lender and the Borrower purchasing such Lender’s Term Loans, as applicable, shall execute and deliver to the Administrative Agent an Assignment and Acceptance;</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44" w:val="left"/>
        </w:tabs>
        <w:numPr>
          <w:ilvl w:val="0"/>
          <w:numId w:val="10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 Loans assigned to the Borrower shall be automatically and permanently cancelled upon the effectiveness of such assignment and will thereafter no longer be outstanding for any purpose hereunder;</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0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has occurred or is continuing;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2015" w:val="left"/>
        </w:tabs>
        <w:numPr>
          <w:ilvl w:val="0"/>
          <w:numId w:val="10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ectPr>
          <w:pgSz w:w="11900" w:h="16838" w:orient="portrait"/>
          <w:cols w:equalWidth="0" w:num="1">
            <w:col w:w="11240"/>
          </w:cols>
          <w:pgMar w:left="320" w:top="1440" w:right="339" w:bottom="1440" w:gutter="0" w:footer="0" w:header="0"/>
        </w:sectPr>
      </w:pPr>
    </w:p>
    <w:bookmarkStart w:id="893" w:name="page894"/>
    <w:bookmarkEnd w:id="893"/>
    <w:p>
      <w:pPr>
        <w:spacing w:after="0" w:line="19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Times New Roman" w:cs="Times New Roman" w:eastAsia="Times New Roman" w:hAnsi="Times New Roman"/>
          <w:sz w:val="22"/>
          <w:szCs w:val="22"/>
          <w:i w:val="1"/>
          <w:iCs w:val="1"/>
          <w:color w:val="auto"/>
        </w:rPr>
        <w:t>Excluded Information</w:t>
      </w:r>
      <w:r>
        <w:rPr>
          <w:rFonts w:ascii="Times New Roman" w:cs="Times New Roman" w:eastAsia="Times New Roman" w:hAnsi="Times New Roman"/>
          <w:sz w:val="22"/>
          <w:szCs w:val="22"/>
          <w:color w:val="auto"/>
        </w:rPr>
        <w:t>”),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189" w:lineRule="exact"/>
        <w:rPr>
          <w:sz w:val="20"/>
          <w:szCs w:val="20"/>
          <w:color w:val="auto"/>
        </w:rPr>
      </w:pPr>
    </w:p>
    <w:p>
      <w:pPr>
        <w:jc w:val="both"/>
        <w:ind w:firstLine="1304"/>
        <w:spacing w:after="0" w:line="251" w:lineRule="auto"/>
        <w:tabs>
          <w:tab w:leader="none" w:pos="1766" w:val="left"/>
        </w:tabs>
        <w:numPr>
          <w:ilvl w:val="0"/>
          <w:numId w:val="10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26" w:val="left"/>
        </w:tabs>
        <w:numPr>
          <w:ilvl w:val="0"/>
          <w:numId w:val="10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24" w:val="left"/>
        </w:tabs>
        <w:numPr>
          <w:ilvl w:val="0"/>
          <w:numId w:val="10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replacement of a Lender pursuant to Section 2.18, 2.26(a), 10.08(b) or other provision hereof (collectively, a “</w:t>
      </w:r>
      <w:r>
        <w:rPr>
          <w:rFonts w:ascii="Times New Roman" w:cs="Times New Roman" w:eastAsia="Times New Roman" w:hAnsi="Times New Roman"/>
          <w:sz w:val="22"/>
          <w:szCs w:val="22"/>
          <w:i w:val="1"/>
          <w:iCs w:val="1"/>
          <w:color w:val="auto"/>
        </w:rPr>
        <w:t>Replaceable Lender</w:t>
      </w:r>
      <w:r>
        <w:rPr>
          <w:rFonts w:ascii="Times New Roman" w:cs="Times New Roman" w:eastAsia="Times New Roman" w:hAnsi="Times New Roman"/>
          <w:sz w:val="22"/>
          <w:szCs w:val="22"/>
          <w:color w:val="auto"/>
        </w:rPr>
        <w:t>”),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ectPr>
          <w:pgSz w:w="11900" w:h="16838" w:orient="portrait"/>
          <w:cols w:equalWidth="0" w:num="1">
            <w:col w:w="11240"/>
          </w:cols>
          <w:pgMar w:left="320" w:top="1440" w:right="339" w:bottom="1440" w:gutter="0" w:footer="0" w:header="0"/>
        </w:sectPr>
      </w:pPr>
    </w:p>
    <w:bookmarkStart w:id="894" w:name="page895"/>
    <w:bookmarkEnd w:id="894"/>
    <w:p>
      <w:pPr>
        <w:spacing w:after="0" w:line="1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Lender, then such Replaceable Lender shall be deemed to have executed and delivered such Assignment and Acceptance without any action on the part of the Replaceable Lender.</w:t>
      </w:r>
    </w:p>
    <w:p>
      <w:pPr>
        <w:spacing w:after="0" w:line="158" w:lineRule="exact"/>
        <w:rPr>
          <w:sz w:val="20"/>
          <w:szCs w:val="20"/>
          <w:color w:val="auto"/>
        </w:rPr>
      </w:pPr>
    </w:p>
    <w:p>
      <w:pPr>
        <w:ind w:left="130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10.03.</w:t>
      </w:r>
      <w:r>
        <w:rPr>
          <w:sz w:val="20"/>
          <w:szCs w:val="20"/>
          <w:color w:val="auto"/>
        </w:rPr>
        <w:tab/>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Agent and each Lender agrees to keep confidential any information</w:t>
      </w:r>
    </w:p>
    <w:p>
      <w:pPr>
        <w:spacing w:after="0" w:line="29" w:lineRule="exact"/>
        <w:rPr>
          <w:sz w:val="20"/>
          <w:szCs w:val="20"/>
          <w:color w:val="auto"/>
        </w:rPr>
      </w:pPr>
    </w:p>
    <w:p>
      <w:pPr>
        <w:ind w:left="300" w:hanging="292"/>
        <w:spacing w:after="0"/>
        <w:tabs>
          <w:tab w:leader="none" w:pos="300" w:val="left"/>
        </w:tabs>
        <w:numPr>
          <w:ilvl w:val="0"/>
          <w:numId w:val="10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or made available by Parent, the Borrower or any of the Guarantors or any of their respective Subsidiaries or</w:t>
      </w:r>
    </w:p>
    <w:p>
      <w:pPr>
        <w:spacing w:after="0" w:line="15" w:lineRule="exact"/>
        <w:rPr>
          <w:rFonts w:ascii="Times New Roman" w:cs="Times New Roman" w:eastAsia="Times New Roman" w:hAnsi="Times New Roman"/>
          <w:sz w:val="22"/>
          <w:szCs w:val="22"/>
          <w:color w:val="auto"/>
        </w:rPr>
      </w:pPr>
    </w:p>
    <w:p>
      <w:pPr>
        <w:jc w:val="both"/>
        <w:ind w:firstLine="8"/>
        <w:spacing w:after="0" w:line="257" w:lineRule="auto"/>
        <w:tabs>
          <w:tab w:leader="none" w:pos="328" w:val="left"/>
        </w:tabs>
        <w:numPr>
          <w:ilvl w:val="0"/>
          <w:numId w:val="10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prevent any Agent or any Lender from disclosing such information (a) to any of its Related Parties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w:t>
      </w:r>
    </w:p>
    <w:p>
      <w:pPr>
        <w:spacing w:after="0" w:line="4" w:lineRule="exact"/>
        <w:rPr>
          <w:rFonts w:ascii="Times New Roman" w:cs="Times New Roman" w:eastAsia="Times New Roman" w:hAnsi="Times New Roman"/>
          <w:sz w:val="21"/>
          <w:szCs w:val="21"/>
          <w:color w:val="auto"/>
        </w:rPr>
      </w:pPr>
    </w:p>
    <w:p>
      <w:pPr>
        <w:jc w:val="both"/>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w:t>
      </w:r>
    </w:p>
    <w:p>
      <w:pPr>
        <w:spacing w:after="0" w:line="6" w:lineRule="exact"/>
        <w:rPr>
          <w:rFonts w:ascii="Times New Roman" w:cs="Times New Roman" w:eastAsia="Times New Roman" w:hAnsi="Times New Roman"/>
          <w:sz w:val="21"/>
          <w:szCs w:val="21"/>
          <w:color w:val="auto"/>
        </w:rPr>
      </w:pPr>
    </w:p>
    <w:p>
      <w:pPr>
        <w:jc w:val="both"/>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w:t>
      </w:r>
    </w:p>
    <w:p>
      <w:pPr>
        <w:spacing w:after="0" w:line="185"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10.04.</w:t>
      </w:r>
      <w:r>
        <w:rPr>
          <w:sz w:val="20"/>
          <w:szCs w:val="20"/>
          <w:color w:val="auto"/>
        </w:rPr>
        <w:tab/>
      </w:r>
      <w:r>
        <w:rPr>
          <w:rFonts w:ascii="Times New Roman" w:cs="Times New Roman" w:eastAsia="Times New Roman" w:hAnsi="Times New Roman"/>
          <w:sz w:val="21"/>
          <w:szCs w:val="21"/>
          <w:u w:val="single" w:color="auto"/>
          <w:color w:val="auto"/>
        </w:rPr>
        <w:t>Expenses; Indemnity; Damage Waiver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8" w:lineRule="auto"/>
        <w:tabs>
          <w:tab w:leader="none" w:pos="1849" w:val="left"/>
        </w:tabs>
        <w:numPr>
          <w:ilvl w:val="0"/>
          <w:numId w:val="1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Borrower shall pay or reimburse: (A) all reasonable fees and reasonable and documented out-of-pocket expenses of each Agent and the Joint Lead Arrangers and Bookrunners (including the reasonable fees, disbursements and other charges of Milbank LLP, special counsel to the Agents) associated with the syndication of the credit facilities provided for herein, and the preparation, execution and delivery of the Loan Documents and (in the case of the Administrative Agent)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ectPr>
          <w:pgSz w:w="11900" w:h="16838" w:orient="portrait"/>
          <w:cols w:equalWidth="0" w:num="1">
            <w:col w:w="11240"/>
          </w:cols>
          <w:pgMar w:left="320" w:top="1440" w:right="339" w:bottom="1440" w:gutter="0" w:footer="0" w:header="0"/>
        </w:sectPr>
      </w:pPr>
    </w:p>
    <w:bookmarkStart w:id="895" w:name="page896"/>
    <w:bookmarkEnd w:id="895"/>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 connection with any enforcement of the Loan Documents (including with respect to enforcement of their respective rights to indemnity hereunder), all fees and documented out-of-pocket expenses of each Agent and any trustee appointed pursuant to Section 8.01(d) (including the reasonable fees, disbursements and other charges of counsel for the Agents and such trustee and one local counsel for each relevant jurisdiction and one regulatory counsel, and, in each case, if necessary in the case of an actual conflict of interest, one additional local counsel in each such applicable jurisdiction or one additional regulatory counsel, as applicable) and each Lender (including the reasonable fees, disbursements and other charges of counsel for such Lender) incurred during the continuance of a Default and (C) all reasonable, documented, out-of-pocket costs, expenses, taxes, assessments and other charges (including the reasonable fees, disbursements and other charges of counsel for the Collateral Trustee) incurred by the Collateral Trustee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 long as no Event of Default shall have occurred and be continuing, the Borrower shall not, in connection with this Section 10.04(a), be responsible hereunder for the reasonable fees and expenses of more than one such firm of separate counsel and one regulatory counsel, in addition to any local counsel.</w:t>
      </w:r>
    </w:p>
    <w:p>
      <w:pPr>
        <w:spacing w:after="0" w:line="191" w:lineRule="exact"/>
        <w:rPr>
          <w:sz w:val="20"/>
          <w:szCs w:val="20"/>
          <w:color w:val="auto"/>
        </w:rPr>
      </w:pPr>
    </w:p>
    <w:p>
      <w:pPr>
        <w:ind w:firstLine="1304"/>
        <w:spacing w:after="0" w:line="271" w:lineRule="auto"/>
        <w:tabs>
          <w:tab w:leader="none" w:pos="1704" w:val="left"/>
        </w:tabs>
        <w:numPr>
          <w:ilvl w:val="0"/>
          <w:numId w:val="1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or reimbursements pursuant to the foregoing clause (a)(i) shall be paid within thirty (30) days of written demand together with back-up documentation supporting such reimbursement request.</w:t>
      </w:r>
    </w:p>
    <w:p>
      <w:pPr>
        <w:spacing w:after="0" w:line="171" w:lineRule="exact"/>
        <w:rPr>
          <w:sz w:val="20"/>
          <w:szCs w:val="20"/>
          <w:color w:val="auto"/>
        </w:rPr>
      </w:pPr>
    </w:p>
    <w:p>
      <w:pPr>
        <w:jc w:val="both"/>
        <w:ind w:firstLine="1304"/>
        <w:spacing w:after="0" w:line="246" w:lineRule="auto"/>
        <w:tabs>
          <w:tab w:leader="none" w:pos="1850" w:val="left"/>
        </w:tabs>
        <w:numPr>
          <w:ilvl w:val="0"/>
          <w:numId w:val="1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each Agent, any trustee appointed pursuant to Section 8.01(d), the Issuing Lenders and each Lender, and each Related Party of any of the foregoing Persons (each such Person being called an “</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against, and hold each Indemnitee harmless from, any and all losses, claims, damages, liabilities and related expenses, including the reasonable fees, charges and disbursements of one firm counsel for all Indemnitees and, if necessary, one firm of local counsel in each appropriate jurisdiction and one regulatory counsel for all Indemnitees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ectPr>
          <w:pgSz w:w="11900" w:h="16838" w:orient="portrait"/>
          <w:cols w:equalWidth="0" w:num="1">
            <w:col w:w="11240"/>
          </w:cols>
          <w:pgMar w:left="320" w:top="1440" w:right="339" w:bottom="1440" w:gutter="0" w:footer="0" w:header="0"/>
        </w:sectPr>
      </w:pPr>
    </w:p>
    <w:bookmarkStart w:id="896" w:name="page897"/>
    <w:bookmarkEnd w:id="896"/>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Parent or any of its Subsidiaries, or any Environmental Liability related in any way to, or asserted against, Parent or any of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the Borrower or its Affiliates (other than claims against any Indemnitee in its capacity or in fulfilling its role as an Agent, trustee Bookrunner or Joint Lead Arranger or any other similar role under the Facilities (excluding its role as a Lender)). This Section 10.04(b) shall not apply with respect to Taxes other than Taxes that represent losses or damages arising from any non-Tax claim. Neither the Borrower nor any Indemnitee shall be liable for any indirect, special, punitive or consequential damages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w:t>
      </w:r>
    </w:p>
    <w:p>
      <w:pPr>
        <w:spacing w:after="0" w:line="180" w:lineRule="exact"/>
        <w:rPr>
          <w:sz w:val="20"/>
          <w:szCs w:val="20"/>
          <w:color w:val="auto"/>
        </w:rPr>
      </w:pPr>
    </w:p>
    <w:p>
      <w:pPr>
        <w:jc w:val="both"/>
        <w:ind w:firstLine="1304"/>
        <w:spacing w:after="0" w:line="259" w:lineRule="auto"/>
        <w:tabs>
          <w:tab w:leader="none" w:pos="1865" w:val="left"/>
        </w:tabs>
        <w:numPr>
          <w:ilvl w:val="1"/>
          <w:numId w:val="1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such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w:t>
      </w:r>
    </w:p>
    <w:p>
      <w:pPr>
        <w:spacing w:after="0" w:line="1" w:lineRule="exact"/>
        <w:rPr>
          <w:rFonts w:ascii="Times New Roman" w:cs="Times New Roman" w:eastAsia="Times New Roman" w:hAnsi="Times New Roman"/>
          <w:sz w:val="21"/>
          <w:szCs w:val="21"/>
          <w:color w:val="auto"/>
        </w:rPr>
      </w:pPr>
    </w:p>
    <w:p>
      <w:pPr>
        <w:jc w:val="both"/>
        <w:ind w:firstLine="8"/>
        <w:spacing w:after="0" w:line="259" w:lineRule="auto"/>
        <w:tabs>
          <w:tab w:leader="none" w:pos="326" w:val="left"/>
        </w:tabs>
        <w:numPr>
          <w:ilvl w:val="0"/>
          <w:numId w:val="1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Borrower shall not, in connection with any one such action or proceeding or separate but substantially similar or related actions or proceedings in the same jurisdiction arising out of the same general allegations or circumstances,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ectPr>
          <w:pgSz w:w="11900" w:h="16838" w:orient="portrait"/>
          <w:cols w:equalWidth="0" w:num="1">
            <w:col w:w="11240"/>
          </w:cols>
          <w:pgMar w:left="320" w:top="1440" w:right="339" w:bottom="1440" w:gutter="0" w:footer="0" w:header="0"/>
        </w:sectPr>
      </w:pPr>
    </w:p>
    <w:bookmarkStart w:id="897" w:name="page898"/>
    <w:bookmarkEnd w:id="897"/>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w:t>
      </w:r>
    </w:p>
    <w:p>
      <w:pPr>
        <w:spacing w:after="0" w:line="186" w:lineRule="exact"/>
        <w:rPr>
          <w:sz w:val="20"/>
          <w:szCs w:val="20"/>
          <w:color w:val="auto"/>
        </w:rPr>
      </w:pPr>
    </w:p>
    <w:p>
      <w:pPr>
        <w:jc w:val="both"/>
        <w:ind w:firstLine="1304"/>
        <w:spacing w:after="0" w:line="251" w:lineRule="auto"/>
        <w:tabs>
          <w:tab w:leader="none" w:pos="1870" w:val="left"/>
        </w:tabs>
        <w:numPr>
          <w:ilvl w:val="0"/>
          <w:numId w:val="1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applicable Issuing Lender in its capacity as such.</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7" w:val="left"/>
        </w:tabs>
        <w:numPr>
          <w:ilvl w:val="0"/>
          <w:numId w:val="1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79"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10.05.</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946" w:val="left"/>
        </w:tabs>
        <w:numPr>
          <w:ilvl w:val="0"/>
          <w:numId w:val="1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AND OBLIGATIONS OF THE PARTIES UNDER THIS AGREEMENT SHALL BE GOVERNED BY, AND CONSTRUED AND INTERPRETED IN ACCORDANCE WITH, THE LAWS OF THE STATE OF NEW YORK.</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58" w:val="left"/>
        </w:tabs>
        <w:numPr>
          <w:ilvl w:val="0"/>
          <w:numId w:val="1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8" w:val="left"/>
        </w:tabs>
        <w:numPr>
          <w:ilvl w:val="0"/>
          <w:numId w:val="1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2" w:val="left"/>
        </w:tabs>
        <w:numPr>
          <w:ilvl w:val="0"/>
          <w:numId w:val="1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consents to service of process in the manner provided for notices in Section 10.01. Nothing in this Agreement will affect the right of any party to this Agreement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ectPr>
          <w:pgSz w:w="11900" w:h="16838" w:orient="portrait"/>
          <w:cols w:equalWidth="0" w:num="1">
            <w:col w:w="11240"/>
          </w:cols>
          <w:pgMar w:left="320" w:top="1440" w:right="339" w:bottom="1440" w:gutter="0" w:footer="0" w:header="0"/>
        </w:sectPr>
      </w:pPr>
    </w:p>
    <w:bookmarkStart w:id="898" w:name="page899"/>
    <w:bookmarkEnd w:id="898"/>
    <w:p>
      <w:pPr>
        <w:spacing w:after="0" w:line="19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u w:val="single" w:color="auto"/>
          <w:color w:val="auto"/>
        </w:rPr>
        <w:t>Extension of Maturity</w:t>
      </w:r>
      <w:r>
        <w:rPr>
          <w:rFonts w:ascii="Times New Roman" w:cs="Times New Roman" w:eastAsia="Times New Roman" w:hAnsi="Times New Roman"/>
          <w:sz w:val="22"/>
          <w:szCs w:val="22"/>
          <w:color w:val="auto"/>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(a) 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Required Class Lenders (as applicable) (or signed by the Administrative Agent with the consent of the Required Lenders or Required Class Lenders, as applicable), and then such waiver or consent shall be effective only in the specific instance and for the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modification or amendment shall without the prior written consent of:</w:t>
      </w:r>
    </w:p>
    <w:p>
      <w:pPr>
        <w:spacing w:after="0" w:line="180" w:lineRule="exact"/>
        <w:rPr>
          <w:sz w:val="20"/>
          <w:szCs w:val="20"/>
          <w:color w:val="auto"/>
        </w:rPr>
      </w:pPr>
    </w:p>
    <w:p>
      <w:pPr>
        <w:jc w:val="both"/>
        <w:ind w:left="660" w:firstLine="644"/>
        <w:spacing w:after="0" w:line="259" w:lineRule="auto"/>
        <w:tabs>
          <w:tab w:leader="none" w:pos="1779" w:val="left"/>
        </w:tabs>
        <w:numPr>
          <w:ilvl w:val="0"/>
          <w:numId w:val="1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or (B) reduce the principal amount of any Loan, any reimbursement obligation in respect of any Letter of Credit, or the rate of interest payable on any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(D) amend or modify the terms of Section 2.17(e) in any manner that would alter the pro rata sharing of payments required thereby or (E) other than in connection with any debtor-in-possession financing or use of the Collateral in any insolvency proceeding, subordinate, or have the effect of subordinating the Obligations (or any portion thereof) or the Liens securing the Obligations (or any portion thereof) to any other Indebtedness, unless such affected Lender has been offered a bona fide opportunity to fund or otherwise provide its pro rata share (based on the amount of obligations under the Facility that are adversely affected thereby held by such Lender) of such other Indebtedness on the same terms (other than bona fide backstop fees, any arrangement or restructuring fees and reimbursement of counsel fees and other expenses in connection with the negotiation of the terms of such transaction; such fees and expenses, as offered to all other providers (or their Affiliates) of such other Indebtedness pursuant to a written offer made to such Lender describing the material terms of the arrangements pursuant to which such other Indebtedness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ectPr>
          <w:pgSz w:w="11900" w:h="16838" w:orient="portrait"/>
          <w:cols w:equalWidth="0" w:num="1">
            <w:col w:w="11240"/>
          </w:cols>
          <w:pgMar w:left="320" w:top="1440" w:right="339" w:bottom="1440" w:gutter="0" w:footer="0" w:header="0"/>
        </w:sectPr>
      </w:pPr>
    </w:p>
    <w:bookmarkStart w:id="899" w:name="page900"/>
    <w:bookmarkEnd w:id="899"/>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to be provided, which offer shall remain open to such Lenders for a period of not less than ten (10) Business Days;</w:t>
      </w:r>
    </w:p>
    <w:p>
      <w:pPr>
        <w:spacing w:after="0" w:line="220" w:lineRule="exact"/>
        <w:rPr>
          <w:sz w:val="20"/>
          <w:szCs w:val="20"/>
          <w:color w:val="auto"/>
        </w:rPr>
      </w:pPr>
    </w:p>
    <w:p>
      <w:pPr>
        <w:jc w:val="both"/>
        <w:ind w:left="660" w:firstLine="644"/>
        <w:spacing w:after="0" w:line="253" w:lineRule="auto"/>
        <w:tabs>
          <w:tab w:leader="none" w:pos="1811" w:val="left"/>
        </w:tabs>
        <w:numPr>
          <w:ilvl w:val="0"/>
          <w:numId w:val="1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Lenders, (A) amend or modify any provision of this Agreement which provides for the unanimous consent or approval of the Lenders, (B) release all or substantially all of the Liens granted to the Collateral Trustee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 and</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854" w:val="left"/>
        </w:tabs>
        <w:numPr>
          <w:ilvl w:val="0"/>
          <w:numId w:val="1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Revolving Lenders, change the definition of the term “Required Revolving Lenders” or the percentage of Lenders which shall be required for Revolving Lenders to take any action hereunder.</w:t>
      </w:r>
    </w:p>
    <w:p>
      <w:pPr>
        <w:spacing w:after="0" w:line="171" w:lineRule="exact"/>
        <w:rPr>
          <w:sz w:val="20"/>
          <w:szCs w:val="20"/>
          <w:color w:val="auto"/>
        </w:rPr>
      </w:pPr>
    </w:p>
    <w:p>
      <w:pPr>
        <w:ind w:firstLine="1304"/>
        <w:spacing w:after="0" w:line="271" w:lineRule="auto"/>
        <w:tabs>
          <w:tab w:leader="none" w:pos="1824" w:val="left"/>
        </w:tabs>
        <w:numPr>
          <w:ilvl w:val="0"/>
          <w:numId w:val="1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or modification shall adversely affect the rights and obligations of the Administrative Agent or any Issuing Lender hereunder without its prior written consent.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3" w:val="left"/>
        </w:tabs>
        <w:numPr>
          <w:ilvl w:val="0"/>
          <w:numId w:val="1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8" w:val="left"/>
        </w:tabs>
        <w:numPr>
          <w:ilvl w:val="0"/>
          <w:numId w:val="1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 (A) may replace any non-consenting Lender with respect to all or a portion of its Loans or Commitments, as applicable, in accordance with Section 10.02;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amendment or modification can be effected as a result of 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non-consenting Lender in whole or in part, without premium or penalty, subject to Sections 2.13(d) and 10.04(b) and reallocate the LC Exposure of such non-consenting Lender under Section 2.26(d) (as if such Lender were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termination of Commitments shall be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ectPr>
          <w:pgSz w:w="11900" w:h="16838" w:orient="portrait"/>
          <w:cols w:equalWidth="0" w:num="1">
            <w:col w:w="11240"/>
          </w:cols>
          <w:pgMar w:left="320" w:top="1440" w:right="339" w:bottom="1440" w:gutter="0" w:footer="0" w:header="0"/>
        </w:sectPr>
      </w:pPr>
    </w:p>
    <w:bookmarkStart w:id="900" w:name="page901"/>
    <w:bookmarkEnd w:id="900"/>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 (iii) 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spacing w:after="0" w:line="180" w:lineRule="exact"/>
        <w:rPr>
          <w:sz w:val="20"/>
          <w:szCs w:val="20"/>
          <w:color w:val="auto"/>
        </w:rPr>
      </w:pPr>
    </w:p>
    <w:p>
      <w:pPr>
        <w:jc w:val="both"/>
        <w:ind w:firstLine="1304"/>
        <w:spacing w:after="0" w:line="259" w:lineRule="auto"/>
        <w:tabs>
          <w:tab w:leader="none" w:pos="1783" w:val="left"/>
        </w:tabs>
        <w:numPr>
          <w:ilvl w:val="0"/>
          <w:numId w:val="1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Times New Roman" w:cs="Times New Roman" w:eastAsia="Times New Roman" w:hAnsi="Times New Roman"/>
          <w:sz w:val="21"/>
          <w:szCs w:val="21"/>
          <w:i w:val="1"/>
          <w:iCs w:val="1"/>
          <w:color w:val="auto"/>
        </w:rPr>
        <w:t>Refinanced Term Loans</w:t>
      </w:r>
      <w:r>
        <w:rPr>
          <w:rFonts w:ascii="Times New Roman" w:cs="Times New Roman" w:eastAsia="Times New Roman" w:hAnsi="Times New Roman"/>
          <w:sz w:val="21"/>
          <w:szCs w:val="21"/>
          <w:color w:val="auto"/>
        </w:rPr>
        <w:t>”) with a replacement term loan tranche (“</w:t>
      </w:r>
      <w:r>
        <w:rPr>
          <w:rFonts w:ascii="Times New Roman" w:cs="Times New Roman" w:eastAsia="Times New Roman" w:hAnsi="Times New Roman"/>
          <w:sz w:val="21"/>
          <w:szCs w:val="21"/>
          <w:i w:val="1"/>
          <w:iCs w:val="1"/>
          <w:color w:val="auto"/>
        </w:rPr>
        <w:t>Replacement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Loans</w:t>
      </w:r>
      <w:r>
        <w:rPr>
          <w:rFonts w:ascii="Times New Roman" w:cs="Times New Roman" w:eastAsia="Times New Roman" w:hAnsi="Times New Roman"/>
          <w:sz w:val="21"/>
          <w:szCs w:val="21"/>
          <w:color w:val="auto"/>
        </w:rPr>
        <w:t>”) or the refinancing, replacement or modification of all or a portion of the outstanding Revolving Loans of any tranche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Refinanced Revolving Loans</w:t>
      </w:r>
      <w:r>
        <w:rPr>
          <w:rFonts w:ascii="Times New Roman" w:cs="Times New Roman" w:eastAsia="Times New Roman" w:hAnsi="Times New Roman"/>
          <w:sz w:val="21"/>
          <w:szCs w:val="21"/>
          <w:color w:val="auto"/>
        </w:rPr>
        <w:t>” and, together with the Refinanced Term Loans, the “</w:t>
      </w:r>
      <w:r>
        <w:rPr>
          <w:rFonts w:ascii="Times New Roman" w:cs="Times New Roman" w:eastAsia="Times New Roman" w:hAnsi="Times New Roman"/>
          <w:sz w:val="21"/>
          <w:szCs w:val="21"/>
          <w:i w:val="1"/>
          <w:iCs w:val="1"/>
          <w:color w:val="auto"/>
        </w:rPr>
        <w:t>Refinanced Loans</w:t>
      </w:r>
      <w:r>
        <w:rPr>
          <w:rFonts w:ascii="Times New Roman" w:cs="Times New Roman" w:eastAsia="Times New Roman" w:hAnsi="Times New Roman"/>
          <w:sz w:val="21"/>
          <w:szCs w:val="21"/>
          <w:color w:val="auto"/>
        </w:rPr>
        <w:t>”) with a replacement revolving loan tranche (“</w:t>
      </w:r>
      <w:r>
        <w:rPr>
          <w:rFonts w:ascii="Times New Roman" w:cs="Times New Roman" w:eastAsia="Times New Roman" w:hAnsi="Times New Roman"/>
          <w:sz w:val="21"/>
          <w:szCs w:val="21"/>
          <w:i w:val="1"/>
          <w:iCs w:val="1"/>
          <w:color w:val="auto"/>
        </w:rPr>
        <w:t>Replacement Revolving Loans</w:t>
      </w:r>
      <w:r>
        <w:rPr>
          <w:rFonts w:ascii="Times New Roman" w:cs="Times New Roman" w:eastAsia="Times New Roman" w:hAnsi="Times New Roman"/>
          <w:sz w:val="21"/>
          <w:szCs w:val="21"/>
          <w:color w:val="auto"/>
        </w:rPr>
        <w:t>” and, together with the “</w:t>
      </w:r>
      <w:r>
        <w:rPr>
          <w:rFonts w:ascii="Times New Roman" w:cs="Times New Roman" w:eastAsia="Times New Roman" w:hAnsi="Times New Roman"/>
          <w:sz w:val="21"/>
          <w:szCs w:val="21"/>
          <w:i w:val="1"/>
          <w:iCs w:val="1"/>
          <w:color w:val="auto"/>
        </w:rPr>
        <w:t>Replacement Term Loans</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i w:val="1"/>
          <w:iCs w:val="1"/>
          <w:color w:val="auto"/>
        </w:rPr>
        <w:t>Replacement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Loans</w:t>
      </w:r>
      <w:r>
        <w:rPr>
          <w:rFonts w:ascii="Times New Roman" w:cs="Times New Roman" w:eastAsia="Times New Roman" w:hAnsi="Times New Roman"/>
          <w:sz w:val="21"/>
          <w:szCs w:val="21"/>
          <w:color w:val="auto"/>
        </w:rPr>
        <w:t>”) hereunder and (y) to include appropriately the Lenders holding such credit facilities in any determination of Required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Lenders, Required Class Lenders, Required Term Lenders in Required Revolving Lenders,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ectPr>
          <w:pgSz w:w="11900" w:h="16838" w:orient="portrait"/>
          <w:cols w:equalWidth="0" w:num="1">
            <w:col w:w="11240"/>
          </w:cols>
          <w:pgMar w:left="320" w:top="1440" w:right="339" w:bottom="1440" w:gutter="0" w:footer="0" w:header="0"/>
        </w:sectPr>
      </w:pPr>
    </w:p>
    <w:bookmarkStart w:id="901" w:name="page902"/>
    <w:bookmarkEnd w:id="901"/>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into amendments to this Agreement and the other Loan 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w:t>
      </w:r>
    </w:p>
    <w:p>
      <w:pPr>
        <w:spacing w:after="0" w:line="176" w:lineRule="exact"/>
        <w:rPr>
          <w:sz w:val="20"/>
          <w:szCs w:val="20"/>
          <w:color w:val="auto"/>
        </w:rPr>
      </w:pPr>
    </w:p>
    <w:p>
      <w:pPr>
        <w:jc w:val="both"/>
        <w:ind w:firstLine="1304"/>
        <w:spacing w:after="0" w:line="249" w:lineRule="auto"/>
        <w:tabs>
          <w:tab w:leader="none" w:pos="1766" w:val="left"/>
        </w:tabs>
        <w:numPr>
          <w:ilvl w:val="0"/>
          <w:numId w:val="1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70" w:val="left"/>
        </w:tabs>
        <w:numPr>
          <w:ilvl w:val="0"/>
          <w:numId w:val="1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Times New Roman" w:cs="Times New Roman" w:eastAsia="Times New Roman" w:hAnsi="Times New Roman"/>
          <w:sz w:val="22"/>
          <w:szCs w:val="22"/>
          <w:i w:val="1"/>
          <w:iCs w:val="1"/>
          <w:color w:val="auto"/>
        </w:rPr>
        <w:t>Non-Extending Lender</w:t>
      </w:r>
      <w:r>
        <w:rPr>
          <w:rFonts w:ascii="Times New Roman" w:cs="Times New Roman" w:eastAsia="Times New Roman" w:hAnsi="Times New Roman"/>
          <w:sz w:val="22"/>
          <w:szCs w:val="22"/>
          <w:color w:val="auto"/>
        </w:rPr>
        <w:t>”)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59" w:val="left"/>
        </w:tabs>
        <w:numPr>
          <w:ilvl w:val="0"/>
          <w:numId w:val="1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the amendment provisions of this Section 10.08 shall not apply to extensions of the Revolving Facility Maturity Date, the Term Loan Maturity Date or the maturity date of any tranche of Revolving Commitments, in each case, made in accordance with Section 2.28.</w:t>
      </w:r>
    </w:p>
    <w:p>
      <w:pPr>
        <w:spacing w:after="0" w:line="17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7" w:val="left"/>
        </w:tabs>
        <w:numPr>
          <w:ilvl w:val="0"/>
          <w:numId w:val="1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Trustee to such collateral trustee.</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8" w:val="left"/>
        </w:tabs>
        <w:numPr>
          <w:ilvl w:val="0"/>
          <w:numId w:val="1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ectPr>
          <w:pgSz w:w="11900" w:h="16838" w:orient="portrait"/>
          <w:cols w:equalWidth="0" w:num="1">
            <w:col w:w="11240"/>
          </w:cols>
          <w:pgMar w:left="320" w:top="1440" w:right="339" w:bottom="1440" w:gutter="0" w:footer="0" w:header="0"/>
        </w:sectPr>
      </w:pPr>
    </w:p>
    <w:bookmarkStart w:id="902" w:name="page903"/>
    <w:bookmarkEnd w:id="902"/>
    <w:p>
      <w:pPr>
        <w:spacing w:after="0" w:line="19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any asset or type or category of asset (including after-acquired assets of that type or category) from the Collateral covered by such Collateral Document to the extent the release thereof is permitted by Section 6.09(c) or constitutes a Permitted Disposition.</w:t>
      </w:r>
    </w:p>
    <w:p>
      <w:pPr>
        <w:spacing w:after="0" w:line="13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used herein are for convenience only and are not to affect the construction of or be taken into consideration in interpreting this Agreement.</w:t>
      </w:r>
    </w:p>
    <w:p>
      <w:pPr>
        <w:spacing w:after="0" w:line="14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Letters of Credit and the Commitments, or the termination of this Agreement or any provision hereof.</w:t>
      </w:r>
    </w:p>
    <w:p>
      <w:pPr>
        <w:spacing w:after="0" w:line="204"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10.12.</w:t>
      </w:r>
      <w:r>
        <w:rPr>
          <w:sz w:val="20"/>
          <w:szCs w:val="20"/>
          <w:color w:val="auto"/>
        </w:rPr>
        <w:tab/>
      </w:r>
      <w:r>
        <w:rPr>
          <w:rFonts w:ascii="Times New Roman" w:cs="Times New Roman" w:eastAsia="Times New Roman" w:hAnsi="Times New Roman"/>
          <w:sz w:val="21"/>
          <w:szCs w:val="21"/>
          <w:u w:val="single" w:color="auto"/>
          <w:color w:val="auto"/>
        </w:rPr>
        <w:t>Execution in Counterparts; Integration; Effectiveness</w:t>
      </w:r>
    </w:p>
    <w:p>
      <w:pPr>
        <w:spacing w:after="0" w:line="22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ectPr>
          <w:pgSz w:w="11900" w:h="16838" w:orient="portrait"/>
          <w:cols w:equalWidth="0" w:num="1">
            <w:col w:w="11240"/>
          </w:cols>
          <w:pgMar w:left="320" w:top="1440" w:right="339" w:bottom="1440" w:gutter="0" w:footer="0" w:header="0"/>
        </w:sectPr>
      </w:pPr>
    </w:p>
    <w:bookmarkStart w:id="903" w:name="page904"/>
    <w:bookmarkEnd w:id="903"/>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Signatures and Records Act, or any other similar state laws based on the Uniform Electronic Transactions Act.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w:t>
      </w:r>
    </w:p>
    <w:p>
      <w:pPr>
        <w:spacing w:after="0" w:line="179"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New Value</w:t>
      </w:r>
      <w:r>
        <w:rPr>
          <w:rFonts w:ascii="Times New Roman" w:cs="Times New Roman" w:eastAsia="Times New Roman" w:hAnsi="Times New Roman"/>
          <w:sz w:val="21"/>
          <w:szCs w:val="21"/>
          <w:color w:val="auto"/>
        </w:rPr>
        <w:t>.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w:t>
      </w:r>
    </w:p>
    <w:p>
      <w:pPr>
        <w:spacing w:after="0" w:line="15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3" w:lineRule="exact"/>
        <w:rPr>
          <w:sz w:val="20"/>
          <w:szCs w:val="20"/>
          <w:color w:val="auto"/>
        </w:rPr>
      </w:pPr>
    </w:p>
    <w:p>
      <w:pPr>
        <w:jc w:val="both"/>
        <w:ind w:firstLine="8"/>
        <w:spacing w:after="0" w:line="245" w:lineRule="auto"/>
        <w:tabs>
          <w:tab w:leader="none" w:pos="344" w:val="left"/>
        </w:tabs>
        <w:numPr>
          <w:ilvl w:val="0"/>
          <w:numId w:val="1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AGREEMENT BY, AMONG OTHER THINGS, THE MUTUAL WAIVERS AND CERTIFICATIONS IN THIS SECTION 10.15.</w:t>
      </w:r>
    </w:p>
    <w:p>
      <w:pPr>
        <w:spacing w:after="0" w:line="20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No Fiduciary Duty</w:t>
      </w:r>
      <w:r>
        <w:rPr>
          <w:rFonts w:ascii="Times New Roman" w:cs="Times New Roman" w:eastAsia="Times New Roman" w:hAnsi="Times New Roman"/>
          <w:sz w:val="22"/>
          <w:szCs w:val="22"/>
          <w:color w:val="auto"/>
        </w:rPr>
        <w:t>. Each Agent, each Lender and their Affiliates (collectively, solely for purposes of this paragraph,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ectPr>
          <w:pgSz w:w="11900" w:h="16838" w:orient="portrait"/>
          <w:cols w:equalWidth="0" w:num="1">
            <w:col w:w="11240"/>
          </w:cols>
          <w:pgMar w:left="320" w:top="1440" w:right="339" w:bottom="1440" w:gutter="0" w:footer="0" w:header="0"/>
        </w:sectPr>
      </w:pPr>
    </w:p>
    <w:bookmarkStart w:id="904" w:name="page905"/>
    <w:bookmarkEnd w:id="904"/>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Lender Action</w:t>
      </w:r>
      <w:r>
        <w:rPr>
          <w:rFonts w:ascii="Times New Roman" w:cs="Times New Roman" w:eastAsia="Times New Roman" w:hAnsi="Times New Roman"/>
          <w:sz w:val="22"/>
          <w:szCs w:val="22"/>
          <w:color w:val="auto"/>
        </w:rPr>
        <w:t>.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w:t>
      </w:r>
    </w:p>
    <w:p>
      <w:pPr>
        <w:spacing w:after="0" w:line="18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Intercreditor Agreements</w:t>
      </w:r>
      <w:r>
        <w:rPr>
          <w:rFonts w:ascii="Times New Roman" w:cs="Times New Roman" w:eastAsia="Times New Roman" w:hAnsi="Times New Roman"/>
          <w:sz w:val="22"/>
          <w:szCs w:val="22"/>
          <w:color w:val="auto"/>
        </w:rPr>
        <w:t>. Notwithstanding anything to the contrary contained in this Agreement, if at any time the Administrative Agent or the Collateral Trustee shall enter into any Intercreditor Agreement, pursuant to and as permitted by the terms of this Agreement, and such Intercreditor Agreement shall remain outstanding, the rights granted to the Secured Parties hereunder and under the other Loan Documents, the Liens and security interest granted to the Collateral Trustee pursuant to this Agreement or any other Loan Document and the exercise of any right or remedy by any Agent hereunder or under any other Loan Document shall be subject to the terms and conditions of such Intercreditor Agreement. In the event of any conflict between the terms of this Agreement, any other Loan Document and such Intercreditor Agreement, the terms of such Intercreditor 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ind w:firstLine="1304"/>
        <w:spacing w:after="0" w:line="271" w:lineRule="auto"/>
        <w:tabs>
          <w:tab w:leader="none" w:pos="1830" w:val="left"/>
        </w:tabs>
        <w:numPr>
          <w:ilvl w:val="0"/>
          <w:numId w:val="1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33" w:lineRule="exact"/>
        <w:rPr>
          <w:sz w:val="20"/>
          <w:szCs w:val="20"/>
          <w:color w:val="auto"/>
        </w:rPr>
      </w:pPr>
    </w:p>
    <w:p>
      <w:pPr>
        <w:ind w:left="1720" w:hanging="416"/>
        <w:spacing w:after="0"/>
        <w:tabs>
          <w:tab w:leader="none" w:pos="1720" w:val="left"/>
        </w:tabs>
        <w:numPr>
          <w:ilvl w:val="0"/>
          <w:numId w:val="1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169</w:t>
      </w:r>
    </w:p>
    <w:p>
      <w:pPr>
        <w:sectPr>
          <w:pgSz w:w="11900" w:h="16838" w:orient="portrait"/>
          <w:cols w:equalWidth="0" w:num="1">
            <w:col w:w="11240"/>
          </w:cols>
          <w:pgMar w:left="320" w:top="1440" w:right="339" w:bottom="1440" w:gutter="0" w:footer="0" w:header="0"/>
        </w:sectPr>
      </w:pPr>
    </w:p>
    <w:bookmarkStart w:id="905" w:name="page906"/>
    <w:bookmarkEnd w:id="905"/>
    <w:p>
      <w:pPr>
        <w:spacing w:after="0" w:line="198" w:lineRule="exact"/>
        <w:rPr>
          <w:sz w:val="20"/>
          <w:szCs w:val="20"/>
          <w:color w:val="auto"/>
        </w:rPr>
      </w:pPr>
    </w:p>
    <w:p>
      <w:pPr>
        <w:jc w:val="both"/>
        <w:ind w:firstLine="1304"/>
        <w:spacing w:after="0" w:line="256" w:lineRule="auto"/>
        <w:tabs>
          <w:tab w:leader="none" w:pos="1891" w:val="left"/>
        </w:tabs>
        <w:numPr>
          <w:ilvl w:val="0"/>
          <w:numId w:val="1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848" w:val="left"/>
        </w:tabs>
        <w:numPr>
          <w:ilvl w:val="0"/>
          <w:numId w:val="1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any Loan Document to the extent necessary to give effect to any Bail-In Action in relation to any such liability.</w:t>
      </w:r>
    </w:p>
    <w:p>
      <w:pPr>
        <w:spacing w:after="0" w:line="158"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10.20.</w:t>
      </w:r>
      <w:r>
        <w:rPr>
          <w:sz w:val="20"/>
          <w:szCs w:val="20"/>
          <w:color w:val="auto"/>
        </w:rPr>
        <w:tab/>
      </w:r>
      <w:r>
        <w:rPr>
          <w:rFonts w:ascii="Times New Roman" w:cs="Times New Roman" w:eastAsia="Times New Roman" w:hAnsi="Times New Roman"/>
          <w:sz w:val="21"/>
          <w:szCs w:val="21"/>
          <w:u w:val="single" w:color="auto"/>
          <w:color w:val="auto"/>
        </w:rPr>
        <w:t>Acknowledgment Regarding Any Supported QFCs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To the extent that the Loan Documents provide support, through a guarantee or otherwise, for Designated Hedging Agreements or any other agreement or instrument that is a QFC (such support, “</w:t>
      </w:r>
      <w:r>
        <w:rPr>
          <w:rFonts w:ascii="Times New Roman" w:cs="Times New Roman" w:eastAsia="Times New Roman" w:hAnsi="Times New Roman"/>
          <w:sz w:val="22"/>
          <w:szCs w:val="22"/>
          <w:i w:val="1"/>
          <w:iCs w:val="1"/>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i w:val="1"/>
          <w:iCs w:val="1"/>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i w:val="1"/>
          <w:iCs w:val="1"/>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10" w:lineRule="exact"/>
        <w:rPr>
          <w:sz w:val="20"/>
          <w:szCs w:val="20"/>
          <w:color w:val="auto"/>
        </w:rPr>
      </w:pPr>
    </w:p>
    <w:p>
      <w:pPr>
        <w:jc w:val="both"/>
        <w:ind w:firstLine="1304"/>
        <w:spacing w:after="0" w:line="259" w:lineRule="auto"/>
        <w:tabs>
          <w:tab w:leader="none" w:pos="1727" w:val="left"/>
        </w:tabs>
        <w:numPr>
          <w:ilvl w:val="0"/>
          <w:numId w:val="1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i w:val="1"/>
          <w:i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0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used in this Section 10.20, the following terms have the following meanings:</w:t>
      </w:r>
    </w:p>
    <w:p>
      <w:pPr>
        <w:spacing w:after="0" w:line="161" w:lineRule="exact"/>
        <w:rPr>
          <w:rFonts w:ascii="Times New Roman" w:cs="Times New Roman" w:eastAsia="Times New Roman" w:hAnsi="Times New Roman"/>
          <w:sz w:val="20"/>
          <w:szCs w:val="20"/>
          <w:color w:val="auto"/>
        </w:rPr>
      </w:pPr>
    </w:p>
    <w:p>
      <w:pPr>
        <w:ind w:left="1300" w:right="20" w:firstLine="652"/>
        <w:spacing w:after="0" w:line="287" w:lineRule="auto"/>
        <w:tabs>
          <w:tab w:leader="none" w:pos="2373" w:val="left"/>
        </w:tabs>
        <w:numPr>
          <w:ilvl w:val="1"/>
          <w:numId w:val="1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83"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1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Entity</w:t>
      </w:r>
      <w:r>
        <w:rPr>
          <w:rFonts w:ascii="Times New Roman" w:cs="Times New Roman" w:eastAsia="Times New Roman" w:hAnsi="Times New Roman"/>
          <w:sz w:val="22"/>
          <w:szCs w:val="22"/>
          <w:color w:val="auto"/>
        </w:rPr>
        <w:t>” means any of the following:</w:t>
      </w:r>
    </w:p>
    <w:p>
      <w:pPr>
        <w:spacing w:after="0" w:line="156" w:lineRule="exact"/>
        <w:rPr>
          <w:rFonts w:ascii="Times New Roman" w:cs="Times New Roman" w:eastAsia="Times New Roman" w:hAnsi="Times New Roman"/>
          <w:sz w:val="20"/>
          <w:szCs w:val="20"/>
          <w:color w:val="auto"/>
        </w:rPr>
      </w:pPr>
    </w:p>
    <w:p>
      <w:pPr>
        <w:ind w:left="3160" w:right="220" w:hanging="560"/>
        <w:spacing w:after="0" w:line="284" w:lineRule="auto"/>
        <w:tabs>
          <w:tab w:leader="none" w:pos="3065" w:val="left"/>
        </w:tabs>
        <w:numPr>
          <w:ilvl w:val="2"/>
          <w:numId w:val="1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170</w:t>
      </w:r>
    </w:p>
    <w:p>
      <w:pPr>
        <w:sectPr>
          <w:pgSz w:w="11900" w:h="16838" w:orient="portrait"/>
          <w:cols w:equalWidth="0" w:num="1">
            <w:col w:w="11240"/>
          </w:cols>
          <w:pgMar w:left="320" w:top="1440" w:right="339" w:bottom="1440" w:gutter="0" w:footer="0" w:header="0"/>
        </w:sectPr>
      </w:pPr>
    </w:p>
    <w:bookmarkStart w:id="906" w:name="page907"/>
    <w:bookmarkEnd w:id="906"/>
    <w:p>
      <w:pPr>
        <w:ind w:left="2040" w:right="300" w:hanging="560"/>
        <w:spacing w:after="0" w:line="284" w:lineRule="auto"/>
        <w:tabs>
          <w:tab w:leader="none" w:pos="1935" w:val="left"/>
        </w:tabs>
        <w:numPr>
          <w:ilvl w:val="1"/>
          <w:numId w:val="1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89" w:lineRule="exact"/>
        <w:rPr>
          <w:rFonts w:ascii="Times New Roman" w:cs="Times New Roman" w:eastAsia="Times New Roman" w:hAnsi="Times New Roman"/>
          <w:sz w:val="20"/>
          <w:szCs w:val="20"/>
          <w:color w:val="auto"/>
        </w:rPr>
      </w:pPr>
    </w:p>
    <w:p>
      <w:pPr>
        <w:ind w:left="2040" w:right="420" w:hanging="560"/>
        <w:spacing w:after="0" w:line="284" w:lineRule="auto"/>
        <w:tabs>
          <w:tab w:leader="none" w:pos="1935" w:val="left"/>
        </w:tabs>
        <w:numPr>
          <w:ilvl w:val="1"/>
          <w:numId w:val="1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72" w:lineRule="exact"/>
        <w:rPr>
          <w:rFonts w:ascii="Times New Roman" w:cs="Times New Roman" w:eastAsia="Times New Roman" w:hAnsi="Times New Roman"/>
          <w:sz w:val="20"/>
          <w:szCs w:val="20"/>
          <w:color w:val="auto"/>
        </w:rPr>
      </w:pPr>
    </w:p>
    <w:p>
      <w:pPr>
        <w:ind w:left="180" w:firstLine="652"/>
        <w:spacing w:after="0" w:line="287" w:lineRule="auto"/>
        <w:tabs>
          <w:tab w:leader="none" w:pos="1484" w:val="left"/>
        </w:tabs>
        <w:numPr>
          <w:ilvl w:val="0"/>
          <w:numId w:val="11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83" w:lineRule="exact"/>
        <w:rPr>
          <w:rFonts w:ascii="Times New Roman" w:cs="Times New Roman" w:eastAsia="Times New Roman" w:hAnsi="Times New Roman"/>
          <w:sz w:val="20"/>
          <w:szCs w:val="20"/>
          <w:color w:val="auto"/>
        </w:rPr>
      </w:pPr>
    </w:p>
    <w:p>
      <w:pPr>
        <w:ind w:left="180" w:right="20" w:firstLine="652"/>
        <w:spacing w:after="0" w:line="287" w:lineRule="auto"/>
        <w:tabs>
          <w:tab w:leader="none" w:pos="1311" w:val="left"/>
        </w:tabs>
        <w:numPr>
          <w:ilvl w:val="0"/>
          <w:numId w:val="11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3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blank intentionally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171</w:t>
      </w:r>
    </w:p>
    <w:p>
      <w:pPr>
        <w:sectPr>
          <w:pgSz w:w="11900" w:h="16838" w:orient="portrait"/>
          <w:cols w:equalWidth="0" w:num="1">
            <w:col w:w="10120"/>
          </w:cols>
          <w:pgMar w:left="1440" w:top="1422" w:right="339" w:bottom="1440" w:gutter="0" w:footer="0" w:header="0"/>
        </w:sectPr>
      </w:pPr>
    </w:p>
    <w:bookmarkStart w:id="907" w:name="page908"/>
    <w:bookmarkEnd w:id="907"/>
    <w:p>
      <w:pPr>
        <w:spacing w:after="0" w:line="19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signatories hereto have caused this Credit and Guaranty Agreement to be executed by their respective officers thereunto duly authorized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274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20"/>
          </w:cols>
          <w:pgMar w:left="320" w:top="1440" w:right="359" w:bottom="1440" w:gutter="0" w:footer="0" w:header="0"/>
        </w:sectPr>
      </w:pPr>
    </w:p>
    <w:bookmarkStart w:id="908" w:name="page909"/>
    <w:bookmarkEnd w:id="908"/>
    <w:p>
      <w:pPr>
        <w:ind w:left="2780"/>
        <w:spacing w:after="0"/>
        <w:rPr>
          <w:sz w:val="20"/>
          <w:szCs w:val="20"/>
          <w:color w:val="auto"/>
        </w:rPr>
      </w:pPr>
      <w:r>
        <w:rPr>
          <w:rFonts w:ascii="Times New Roman" w:cs="Times New Roman" w:eastAsia="Times New Roman" w:hAnsi="Times New Roman"/>
          <w:sz w:val="21"/>
          <w:szCs w:val="21"/>
          <w:color w:val="auto"/>
        </w:rPr>
        <w:t>AMERICAN AIRLINES GROUP INC., as Parent and a Guarantor</w:t>
      </w:r>
    </w:p>
    <w:p>
      <w:pPr>
        <w:spacing w:after="0" w:line="200" w:lineRule="exact"/>
        <w:rPr>
          <w:sz w:val="20"/>
          <w:szCs w:val="20"/>
          <w:color w:val="auto"/>
        </w:rPr>
      </w:pPr>
    </w:p>
    <w:p>
      <w:pPr>
        <w:spacing w:after="0" w:line="3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274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422" w:right="1440" w:bottom="1440" w:gutter="0" w:footer="0" w:header="0"/>
        </w:sectPr>
      </w:pPr>
    </w:p>
    <w:bookmarkStart w:id="909" w:name="page910"/>
    <w:bookmarkEnd w:id="909"/>
    <w:p>
      <w:pPr>
        <w:ind w:left="2780"/>
        <w:spacing w:after="0"/>
        <w:rPr>
          <w:sz w:val="20"/>
          <w:szCs w:val="20"/>
          <w:color w:val="auto"/>
        </w:rPr>
      </w:pPr>
      <w:r>
        <w:rPr>
          <w:rFonts w:ascii="Times New Roman" w:cs="Times New Roman" w:eastAsia="Times New Roman" w:hAnsi="Times New Roman"/>
          <w:sz w:val="21"/>
          <w:szCs w:val="21"/>
          <w:color w:val="auto"/>
        </w:rPr>
        <w:t>CITIBANK, N.A., as Administrative Agent and as Lender</w:t>
      </w: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274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422" w:right="1440" w:bottom="1440" w:gutter="0" w:footer="0" w:header="0"/>
        </w:sectPr>
      </w:pPr>
    </w:p>
    <w:bookmarkStart w:id="910" w:name="page911"/>
    <w:bookmarkEnd w:id="910"/>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Commitments and Lenders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Term Loan Commitments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Revolving Commitments</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LC Commitments</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911" w:name="page912"/>
    <w:bookmarkEnd w:id="91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2024</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17780</wp:posOffset>
            </wp:positionV>
            <wp:extent cx="23831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912" w:name="page913"/>
    <w:bookmarkEnd w:id="91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1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2024</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1"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1" w:right="339" w:bottom="1440" w:gutter="0" w:footer="0" w:header="0"/>
          <w:type w:val="continuous"/>
        </w:sectPr>
      </w:pPr>
    </w:p>
    <w:bookmarkStart w:id="913" w:name="page914"/>
    <w:bookmarkEnd w:id="913"/>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1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2024</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3742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914" w:name="page915"/>
    <w:bookmarkEnd w:id="914"/>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1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2024</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1"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7"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1" w:right="339" w:bottom="1440" w:gutter="0" w:footer="0" w:header="0"/>
          <w:type w:val="continuous"/>
        </w:sectPr>
      </w:pPr>
    </w:p>
    <w:bookmarkStart w:id="915" w:name="page916"/>
    <w:bookmarkEnd w:id="91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June 30, 2024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1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25, 2024</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25, 2024</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916" w:name="page917"/>
    <w:bookmarkEnd w:id="91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June 30, 2024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1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1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25, 2024</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25, 2024</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02A61"/>
    <w:multiLevelType w:val="hybridMultilevel"/>
    <w:lvl w:ilvl="0">
      <w:lvlJc w:val="left"/>
      <w:lvlText w:val="☒"/>
      <w:numFmt w:val="bullet"/>
      <w:start w:val="1"/>
    </w:lvl>
  </w:abstractNum>
  <w:abstractNum w:abstractNumId="1">
    <w:nsid w:val="461BC834"/>
    <w:multiLevelType w:val="hybridMultilevel"/>
    <w:lvl w:ilvl="0">
      <w:lvlJc w:val="left"/>
      <w:lvlText w:val="☐"/>
      <w:numFmt w:val="bullet"/>
      <w:start w:val="1"/>
    </w:lvl>
  </w:abstractNum>
  <w:abstractNum w:abstractNumId="2">
    <w:nsid w:val="13DDA79D"/>
    <w:multiLevelType w:val="hybridMultilevel"/>
    <w:lvl w:ilvl="0">
      <w:lvlJc w:val="left"/>
      <w:lvlText w:val="(%1)"/>
      <w:numFmt w:val="decimal"/>
      <w:start w:val="1"/>
    </w:lvl>
  </w:abstractNum>
  <w:abstractNum w:abstractNumId="3">
    <w:nsid w:val="6A104566"/>
    <w:multiLevelType w:val="hybridMultilevel"/>
    <w:lvl w:ilvl="0">
      <w:lvlJc w:val="left"/>
      <w:lvlText w:val="•"/>
      <w:numFmt w:val="bullet"/>
      <w:start w:val="1"/>
    </w:lvl>
  </w:abstractNum>
  <w:abstractNum w:abstractNumId="4">
    <w:nsid w:val="1C8A8ACF"/>
    <w:multiLevelType w:val="hybridMultilevel"/>
    <w:lvl w:ilvl="0">
      <w:lvlJc w:val="left"/>
      <w:lvlText w:val="•"/>
      <w:numFmt w:val="bullet"/>
      <w:start w:val="1"/>
    </w:lvl>
  </w:abstractNum>
  <w:abstractNum w:abstractNumId="5">
    <w:nsid w:val="E73DFE0"/>
    <w:multiLevelType w:val="hybridMultilevel"/>
    <w:lvl w:ilvl="0">
      <w:lvlJc w:val="left"/>
      <w:lvlText w:val="(%1)"/>
      <w:numFmt w:val="decimal"/>
      <w:start w:val="1"/>
    </w:lvl>
  </w:abstractNum>
  <w:abstractNum w:abstractNumId="6">
    <w:nsid w:val="39F174C7"/>
    <w:multiLevelType w:val="hybridMultilevel"/>
    <w:lvl w:ilvl="0">
      <w:lvlJc w:val="left"/>
      <w:lvlText w:val="(%1)"/>
      <w:numFmt w:val="decimal"/>
      <w:start w:val="1"/>
    </w:lvl>
  </w:abstractNum>
  <w:abstractNum w:abstractNumId="7">
    <w:nsid w:val="6E2E2D53"/>
    <w:multiLevelType w:val="hybridMultilevel"/>
    <w:lvl w:ilvl="0">
      <w:lvlJc w:val="left"/>
      <w:lvlText w:val="%1."/>
      <w:numFmt w:val="decimal"/>
      <w:start w:val="4"/>
    </w:lvl>
  </w:abstractNum>
  <w:abstractNum w:abstractNumId="8">
    <w:nsid w:val="45DC439D"/>
    <w:multiLevelType w:val="hybridMultilevel"/>
    <w:lvl w:ilvl="0">
      <w:lvlJc w:val="left"/>
      <w:lvlText w:val="(%1)"/>
      <w:numFmt w:val="decimal"/>
      <w:start w:val="1"/>
    </w:lvl>
  </w:abstractNum>
  <w:abstractNum w:abstractNumId="9">
    <w:nsid w:val="3B0A3B87"/>
    <w:multiLevelType w:val="hybridMultilevel"/>
    <w:lvl w:ilvl="0">
      <w:lvlJc w:val="left"/>
      <w:lvlText w:val="(%1)"/>
      <w:numFmt w:val="decimal"/>
      <w:start w:val="1"/>
    </w:lvl>
  </w:abstractNum>
  <w:abstractNum w:abstractNumId="10">
    <w:nsid w:val="6DAC7768"/>
    <w:multiLevelType w:val="hybridMultilevel"/>
    <w:lvl w:ilvl="0">
      <w:lvlJc w:val="left"/>
      <w:lvlText w:val="(%1)"/>
      <w:numFmt w:val="decimal"/>
      <w:start w:val="1"/>
    </w:lvl>
  </w:abstractNum>
  <w:abstractNum w:abstractNumId="11">
    <w:nsid w:val="746AE2E4"/>
    <w:multiLevelType w:val="hybridMultilevel"/>
    <w:lvl w:ilvl="0">
      <w:lvlJc w:val="left"/>
      <w:lvlText w:val="(%1)"/>
      <w:numFmt w:val="decimal"/>
      <w:start w:val="1"/>
    </w:lvl>
  </w:abstractNum>
  <w:abstractNum w:abstractNumId="12">
    <w:nsid w:val="317E611D"/>
    <w:multiLevelType w:val="hybridMultilevel"/>
    <w:lvl w:ilvl="0">
      <w:lvlJc w:val="left"/>
      <w:lvlText w:val="(%1)"/>
      <w:numFmt w:val="decimal"/>
      <w:start w:val="1"/>
    </w:lvl>
  </w:abstractNum>
  <w:abstractNum w:abstractNumId="13">
    <w:nsid w:val="7A61D75B"/>
    <w:multiLevelType w:val="hybridMultilevel"/>
    <w:lvl w:ilvl="0">
      <w:lvlJc w:val="left"/>
      <w:lvlText w:val="(%1)"/>
      <w:numFmt w:val="decimal"/>
      <w:start w:val="1"/>
    </w:lvl>
  </w:abstractNum>
  <w:abstractNum w:abstractNumId="14">
    <w:nsid w:val="164A1482"/>
    <w:multiLevelType w:val="hybridMultilevel"/>
    <w:lvl w:ilvl="0">
      <w:lvlJc w:val="left"/>
      <w:lvlText w:val="(%1)"/>
      <w:numFmt w:val="decimal"/>
      <w:start w:val="1"/>
    </w:lvl>
  </w:abstractNum>
  <w:abstractNum w:abstractNumId="15">
    <w:nsid w:val="1806546B"/>
    <w:multiLevelType w:val="hybridMultilevel"/>
    <w:lvl w:ilvl="0">
      <w:lvlJc w:val="left"/>
      <w:lvlText w:val="%1."/>
      <w:numFmt w:val="decimal"/>
      <w:start w:val="1"/>
    </w:lvl>
    <w:lvl w:ilvl="1">
      <w:lvlJc w:val="left"/>
      <w:lvlText w:val="(%2)"/>
      <w:numFmt w:val="lowerLetter"/>
      <w:start w:val="1"/>
    </w:lvl>
  </w:abstractNum>
  <w:abstractNum w:abstractNumId="16">
    <w:nsid w:val="1FA33267"/>
    <w:multiLevelType w:val="hybridMultilevel"/>
    <w:lvl w:ilvl="0">
      <w:lvlJc w:val="left"/>
      <w:lvlText w:val="(%1)"/>
      <w:numFmt w:val="decimal"/>
      <w:start w:val="1"/>
    </w:lvl>
  </w:abstractNum>
  <w:abstractNum w:abstractNumId="17">
    <w:nsid w:val="2E19DD00"/>
    <w:multiLevelType w:val="hybridMultilevel"/>
    <w:lvl w:ilvl="0">
      <w:lvlJc w:val="left"/>
      <w:lvlText w:val="%1."/>
      <w:numFmt w:val="decimal"/>
      <w:start w:val="3"/>
    </w:lvl>
  </w:abstractNum>
  <w:abstractNum w:abstractNumId="18">
    <w:nsid w:val="756D30D0"/>
    <w:multiLevelType w:val="hybridMultilevel"/>
    <w:lvl w:ilvl="0">
      <w:lvlJc w:val="left"/>
      <w:lvlText w:val="(%1)"/>
      <w:numFmt w:val="decimal"/>
      <w:start w:val="1"/>
    </w:lvl>
  </w:abstractNum>
  <w:abstractNum w:abstractNumId="19">
    <w:nsid w:val="505E5E01"/>
    <w:multiLevelType w:val="hybridMultilevel"/>
    <w:lvl w:ilvl="0">
      <w:lvlJc w:val="left"/>
      <w:lvlText w:val="(%1)"/>
      <w:numFmt w:val="decimal"/>
      <w:start w:val="1"/>
    </w:lvl>
  </w:abstractNum>
  <w:abstractNum w:abstractNumId="20">
    <w:nsid w:val="2EFDBCE6"/>
    <w:multiLevelType w:val="hybridMultilevel"/>
    <w:lvl w:ilvl="0">
      <w:lvlJc w:val="left"/>
      <w:lvlText w:val="(%1)"/>
      <w:numFmt w:val="decimal"/>
      <w:start w:val="1"/>
    </w:lvl>
  </w:abstractNum>
  <w:abstractNum w:abstractNumId="21">
    <w:nsid w:val="4EC868C4"/>
    <w:multiLevelType w:val="hybridMultilevel"/>
    <w:lvl w:ilvl="0">
      <w:lvlJc w:val="left"/>
      <w:lvlText w:val="(%1)"/>
      <w:numFmt w:val="decimal"/>
      <w:start w:val="1"/>
    </w:lvl>
  </w:abstractNum>
  <w:abstractNum w:abstractNumId="22">
    <w:nsid w:val="4239DC03"/>
    <w:multiLevelType w:val="hybridMultilevel"/>
    <w:lvl w:ilvl="0">
      <w:lvlJc w:val="left"/>
      <w:lvlText w:val="(%1)"/>
      <w:numFmt w:val="decimal"/>
      <w:start w:val="4"/>
    </w:lvl>
  </w:abstractNum>
  <w:abstractNum w:abstractNumId="23">
    <w:nsid w:val="307C7DAA"/>
    <w:multiLevelType w:val="hybridMultilevel"/>
    <w:lvl w:ilvl="0">
      <w:lvlJc w:val="left"/>
      <w:lvlText w:val="(%1)"/>
      <w:numFmt w:val="decimal"/>
      <w:start w:val="1"/>
    </w:lvl>
  </w:abstractNum>
  <w:abstractNum w:abstractNumId="24">
    <w:nsid w:val="403C23E6"/>
    <w:multiLevelType w:val="hybridMultilevel"/>
    <w:lvl w:ilvl="0">
      <w:lvlJc w:val="left"/>
      <w:lvlText w:val="(%1)"/>
      <w:numFmt w:val="decimal"/>
      <w:start w:val="1"/>
    </w:lvl>
  </w:abstractNum>
  <w:abstractNum w:abstractNumId="25">
    <w:nsid w:val="58D7F9D7"/>
    <w:multiLevelType w:val="hybridMultilevel"/>
    <w:lvl w:ilvl="0">
      <w:lvlJc w:val="left"/>
      <w:lvlText w:val="(%1)"/>
      <w:numFmt w:val="decimal"/>
      <w:start w:val="1"/>
    </w:lvl>
  </w:abstractNum>
  <w:abstractNum w:abstractNumId="26">
    <w:nsid w:val="24DBF76"/>
    <w:multiLevelType w:val="hybridMultilevel"/>
    <w:lvl w:ilvl="0">
      <w:lvlJc w:val="left"/>
      <w:lvlText w:val="(%1)"/>
      <w:numFmt w:val="decimal"/>
      <w:start w:val="1"/>
    </w:lvl>
  </w:abstractNum>
  <w:abstractNum w:abstractNumId="27">
    <w:nsid w:val="53355960"/>
    <w:multiLevelType w:val="hybridMultilevel"/>
    <w:lvl w:ilvl="0">
      <w:lvlJc w:val="left"/>
      <w:lvlText w:val="•"/>
      <w:numFmt w:val="bullet"/>
      <w:start w:val="1"/>
    </w:lvl>
  </w:abstractNum>
  <w:abstractNum w:abstractNumId="28">
    <w:nsid w:val="4F4AC8FF"/>
    <w:multiLevelType w:val="hybridMultilevel"/>
    <w:lvl w:ilvl="0">
      <w:lvlJc w:val="left"/>
      <w:lvlText w:val="(%1)"/>
      <w:numFmt w:val="decimal"/>
      <w:start w:val="1"/>
    </w:lvl>
  </w:abstractNum>
  <w:abstractNum w:abstractNumId="29">
    <w:nsid w:val="58CAE6D9"/>
    <w:multiLevelType w:val="hybridMultilevel"/>
    <w:lvl w:ilvl="0">
      <w:lvlJc w:val="left"/>
      <w:lvlText w:val="(%1)"/>
      <w:numFmt w:val="decimal"/>
      <w:start w:val="1"/>
    </w:lvl>
  </w:abstractNum>
  <w:abstractNum w:abstractNumId="30">
    <w:nsid w:val="42933C4F"/>
    <w:multiLevelType w:val="hybridMultilevel"/>
    <w:lvl w:ilvl="0">
      <w:lvlJc w:val="left"/>
      <w:lvlText w:val="(%1)"/>
      <w:numFmt w:val="lowerLetter"/>
      <w:start w:val="1"/>
    </w:lvl>
  </w:abstractNum>
  <w:abstractNum w:abstractNumId="31">
    <w:nsid w:val="729AF360"/>
    <w:multiLevelType w:val="hybridMultilevel"/>
    <w:lvl w:ilvl="0">
      <w:lvlJc w:val="left"/>
      <w:lvlText w:val="(%1)"/>
      <w:numFmt w:val="decimal"/>
      <w:start w:val="1"/>
    </w:lvl>
  </w:abstractNum>
  <w:abstractNum w:abstractNumId="32">
    <w:nsid w:val="1EE6AF0D"/>
    <w:multiLevelType w:val="hybridMultilevel"/>
    <w:lvl w:ilvl="0">
      <w:lvlJc w:val="left"/>
      <w:lvlText w:val="(%1)"/>
      <w:numFmt w:val="decimal"/>
      <w:start w:val="1"/>
    </w:lvl>
  </w:abstractNum>
  <w:abstractNum w:abstractNumId="33">
    <w:nsid w:val="5670E3ED"/>
    <w:multiLevelType w:val="hybridMultilevel"/>
    <w:lvl w:ilvl="0">
      <w:lvlJc w:val="left"/>
      <w:lvlText w:val="(%1)"/>
      <w:numFmt w:val="decimal"/>
      <w:start w:val="1"/>
    </w:lvl>
  </w:abstractNum>
  <w:abstractNum w:abstractNumId="34">
    <w:nsid w:val="5CAB38C6"/>
    <w:multiLevelType w:val="hybridMultilevel"/>
    <w:lvl w:ilvl="0">
      <w:lvlJc w:val="left"/>
      <w:lvlText w:val="(%1)"/>
      <w:numFmt w:val="decimal"/>
      <w:start w:val="1"/>
    </w:lvl>
  </w:abstractNum>
  <w:abstractNum w:abstractNumId="35">
    <w:nsid w:val="3B7139DD"/>
    <w:multiLevelType w:val="hybridMultilevel"/>
    <w:lvl w:ilvl="0">
      <w:lvlJc w:val="left"/>
      <w:lvlText w:val="(%1)"/>
      <w:numFmt w:val="lowerLetter"/>
      <w:start w:val="1"/>
    </w:lvl>
  </w:abstractNum>
  <w:abstractNum w:abstractNumId="36">
    <w:nsid w:val="64E4C3CD"/>
    <w:multiLevelType w:val="hybridMultilevel"/>
    <w:lvl w:ilvl="0">
      <w:lvlJc w:val="left"/>
      <w:lvlText w:val="(%1)"/>
      <w:numFmt w:val="lowerLetter"/>
      <w:start w:val="3"/>
    </w:lvl>
  </w:abstractNum>
  <w:abstractNum w:abstractNumId="37">
    <w:nsid w:val="169CAD8D"/>
    <w:multiLevelType w:val="hybridMultilevel"/>
    <w:lvl w:ilvl="0">
      <w:lvlJc w:val="left"/>
      <w:lvlText w:val="•"/>
      <w:numFmt w:val="bullet"/>
      <w:start w:val="1"/>
    </w:lvl>
    <w:lvl w:ilvl="1">
      <w:lvlJc w:val="left"/>
      <w:lvlText w:val="◦"/>
      <w:numFmt w:val="bullet"/>
      <w:start w:val="1"/>
    </w:lvl>
  </w:abstractNum>
  <w:abstractNum w:abstractNumId="38">
    <w:nsid w:val="299F6730"/>
    <w:multiLevelType w:val="hybridMultilevel"/>
    <w:lvl w:ilvl="0">
      <w:lvlJc w:val="left"/>
      <w:lvlText w:val="•"/>
      <w:numFmt w:val="bullet"/>
      <w:start w:val="1"/>
    </w:lvl>
  </w:abstractNum>
  <w:abstractNum w:abstractNumId="39">
    <w:nsid w:val="2AC1076A"/>
    <w:multiLevelType w:val="hybridMultilevel"/>
    <w:lvl w:ilvl="0">
      <w:lvlJc w:val="left"/>
      <w:lvlText w:val="•"/>
      <w:numFmt w:val="bullet"/>
      <w:start w:val="1"/>
    </w:lvl>
  </w:abstractNum>
  <w:abstractNum w:abstractNumId="40">
    <w:nsid w:val="51A6E915"/>
    <w:multiLevelType w:val="hybridMultilevel"/>
    <w:lvl w:ilvl="0">
      <w:lvlJc w:val="left"/>
      <w:lvlText w:val="•"/>
      <w:numFmt w:val="bullet"/>
      <w:start w:val="1"/>
    </w:lvl>
  </w:abstractNum>
  <w:abstractNum w:abstractNumId="41">
    <w:nsid w:val="174BDE99"/>
    <w:multiLevelType w:val="hybridMultilevel"/>
    <w:lvl w:ilvl="0">
      <w:lvlJc w:val="left"/>
      <w:lvlText w:val="•"/>
      <w:numFmt w:val="bullet"/>
      <w:start w:val="1"/>
    </w:lvl>
  </w:abstractNum>
  <w:abstractNum w:abstractNumId="42">
    <w:nsid w:val="1F2BEA4E"/>
    <w:multiLevelType w:val="hybridMultilevel"/>
    <w:lvl w:ilvl="0">
      <w:lvlJc w:val="left"/>
      <w:lvlText w:val="•"/>
      <w:numFmt w:val="bullet"/>
      <w:start w:val="1"/>
    </w:lvl>
  </w:abstractNum>
  <w:abstractNum w:abstractNumId="43">
    <w:nsid w:val="3254A32"/>
    <w:multiLevelType w:val="hybridMultilevel"/>
    <w:lvl w:ilvl="0">
      <w:lvlJc w:val="left"/>
      <w:lvlText w:val="•"/>
      <w:numFmt w:val="bullet"/>
      <w:start w:val="1"/>
    </w:lvl>
  </w:abstractNum>
  <w:abstractNum w:abstractNumId="44">
    <w:nsid w:val="11ADB5F4"/>
    <w:multiLevelType w:val="hybridMultilevel"/>
    <w:lvl w:ilvl="0">
      <w:lvlJc w:val="left"/>
      <w:lvlText w:val="*"/>
      <w:numFmt w:val="bullet"/>
      <w:start w:val="1"/>
    </w:lvl>
  </w:abstractNum>
  <w:abstractNum w:abstractNumId="45">
    <w:nsid w:val="3575FED1"/>
    <w:multiLevelType w:val="hybridMultilevel"/>
    <w:lvl w:ilvl="0">
      <w:lvlJc w:val="left"/>
      <w:lvlText w:val="(%1)"/>
      <w:numFmt w:val="lowerLetter"/>
      <w:start w:val="1"/>
    </w:lvl>
  </w:abstractNum>
  <w:abstractNum w:abstractNumId="46">
    <w:nsid w:val="1B2B9E9D"/>
    <w:multiLevelType w:val="hybridMultilevel"/>
    <w:lvl w:ilvl="0">
      <w:lvlJc w:val="left"/>
      <w:lvlText w:val="(%1)"/>
      <w:numFmt w:val="lowerLetter"/>
      <w:start w:val="3"/>
    </w:lvl>
    <w:lvl w:ilvl="1">
      <w:lvlJc w:val="left"/>
      <w:lvlText w:val="(%2)"/>
      <w:numFmt w:val="lowerRoman"/>
      <w:start w:val="1"/>
    </w:lvl>
  </w:abstractNum>
  <w:abstractNum w:abstractNumId="47">
    <w:nsid w:val="3150E85C"/>
    <w:multiLevelType w:val="hybridMultilevel"/>
    <w:lvl w:ilvl="0">
      <w:lvlJc w:val="left"/>
      <w:lvlText w:val="(%1)"/>
      <w:numFmt w:val="lowerLetter"/>
      <w:start w:val="4"/>
    </w:lvl>
  </w:abstractNum>
  <w:abstractNum w:abstractNumId="48">
    <w:nsid w:val="638FDBD1"/>
    <w:multiLevelType w:val="hybridMultilevel"/>
    <w:lvl w:ilvl="0">
      <w:lvlJc w:val="left"/>
      <w:lvlText w:val="(%1)"/>
      <w:numFmt w:val="lowerLetter"/>
      <w:start w:val="6"/>
    </w:lvl>
  </w:abstractNum>
  <w:abstractNum w:abstractNumId="49">
    <w:nsid w:val="1098CF6E"/>
    <w:multiLevelType w:val="hybridMultilevel"/>
    <w:lvl w:ilvl="0">
      <w:lvlJc w:val="left"/>
      <w:lvlText w:val="(%1)"/>
      <w:numFmt w:val="lowerRoman"/>
      <w:start w:val="1"/>
    </w:lvl>
  </w:abstractNum>
  <w:abstractNum w:abstractNumId="50">
    <w:nsid w:val="1AF465D"/>
    <w:multiLevelType w:val="hybridMultilevel"/>
    <w:lvl w:ilvl="0">
      <w:lvlJc w:val="left"/>
      <w:lvlText w:val="(%1)"/>
      <w:numFmt w:val="lowerLetter"/>
      <w:start w:val="1"/>
    </w:lvl>
  </w:abstractNum>
  <w:abstractNum w:abstractNumId="51">
    <w:nsid w:val="128D98B7"/>
    <w:multiLevelType w:val="hybridMultilevel"/>
    <w:lvl w:ilvl="0">
      <w:lvlJc w:val="left"/>
      <w:lvlText w:val="(%1)"/>
      <w:numFmt w:val="lowerLetter"/>
      <w:start w:val="1"/>
    </w:lvl>
  </w:abstractNum>
  <w:abstractNum w:abstractNumId="52">
    <w:nsid w:val="5F613832"/>
    <w:multiLevelType w:val="hybridMultilevel"/>
    <w:lvl w:ilvl="0">
      <w:lvlJc w:val="left"/>
      <w:lvlText w:val="(%1)"/>
      <w:numFmt w:val="lowerLetter"/>
      <w:start w:val="3"/>
    </w:lvl>
    <w:lvl w:ilvl="1">
      <w:lvlJc w:val="left"/>
      <w:lvlText w:val="(%2)"/>
      <w:numFmt w:val="lowerRoman"/>
      <w:start w:val="1"/>
    </w:lvl>
  </w:abstractNum>
  <w:abstractNum w:abstractNumId="53">
    <w:nsid w:val="43E92260"/>
    <w:multiLevelType w:val="hybridMultilevel"/>
    <w:lvl w:ilvl="0">
      <w:lvlJc w:val="left"/>
      <w:lvlText w:val="(%1)"/>
      <w:numFmt w:val="lowerRoman"/>
      <w:start w:val="3"/>
    </w:lvl>
  </w:abstractNum>
  <w:abstractNum w:abstractNumId="54">
    <w:nsid w:val="430A1662"/>
    <w:multiLevelType w:val="hybridMultilevel"/>
    <w:lvl w:ilvl="0">
      <w:lvlJc w:val="left"/>
      <w:lvlText w:val="(%1)"/>
      <w:numFmt w:val="lowerRoman"/>
      <w:start w:val="3"/>
    </w:lvl>
  </w:abstractNum>
  <w:abstractNum w:abstractNumId="55">
    <w:nsid w:val="1F9D5C18"/>
    <w:multiLevelType w:val="hybridMultilevel"/>
    <w:lvl w:ilvl="0">
      <w:lvlJc w:val="left"/>
      <w:lvlText w:val="(%1)"/>
      <w:numFmt w:val="lowerLetter"/>
      <w:start w:val="4"/>
    </w:lvl>
  </w:abstractNum>
  <w:abstractNum w:abstractNumId="56">
    <w:nsid w:val="1CC11C37"/>
    <w:multiLevelType w:val="hybridMultilevel"/>
    <w:lvl w:ilvl="0">
      <w:lvlJc w:val="left"/>
      <w:lvlText w:val="(%1)"/>
      <w:numFmt w:val="lowerLetter"/>
      <w:start w:val="5"/>
    </w:lvl>
  </w:abstractNum>
  <w:abstractNum w:abstractNumId="57">
    <w:nsid w:val="4557D5D8"/>
    <w:multiLevelType w:val="hybridMultilevel"/>
    <w:lvl w:ilvl="0">
      <w:lvlJc w:val="left"/>
      <w:lvlText w:val="(%1)"/>
      <w:numFmt w:val="lowerLetter"/>
      <w:start w:val="1"/>
    </w:lvl>
  </w:abstractNum>
  <w:abstractNum w:abstractNumId="58">
    <w:nsid w:val="72D2B579"/>
    <w:multiLevelType w:val="hybridMultilevel"/>
    <w:lvl w:ilvl="0">
      <w:lvlJc w:val="left"/>
      <w:lvlText w:val="(%1)"/>
      <w:numFmt w:val="lowerLetter"/>
      <w:start w:val="35"/>
    </w:lvl>
  </w:abstractNum>
  <w:abstractNum w:abstractNumId="59">
    <w:nsid w:val="6C0BE536"/>
    <w:multiLevelType w:val="hybridMultilevel"/>
    <w:lvl w:ilvl="0">
      <w:lvlJc w:val="left"/>
      <w:lvlText w:val="%1"/>
      <w:numFmt w:val="lowerLetter"/>
      <w:start w:val="1"/>
    </w:lvl>
    <w:lvl w:ilvl="1">
      <w:lvlJc w:val="left"/>
      <w:lvlText w:val="(%2)"/>
      <w:numFmt w:val="lowerRoman"/>
      <w:start w:val="2"/>
    </w:lvl>
  </w:abstractNum>
  <w:abstractNum w:abstractNumId="60">
    <w:nsid w:val="1E22BCB2"/>
    <w:multiLevelType w:val="hybridMultilevel"/>
    <w:lvl w:ilvl="0">
      <w:lvlJc w:val="left"/>
      <w:lvlText w:val="(%1)"/>
      <w:numFmt w:val="lowerLetter"/>
      <w:start w:val="3"/>
    </w:lvl>
    <w:lvl w:ilvl="1">
      <w:lvlJc w:val="left"/>
      <w:lvlText w:val="(%2)"/>
      <w:numFmt w:val="lowerRoman"/>
      <w:start w:val="1"/>
    </w:lvl>
  </w:abstractNum>
  <w:abstractNum w:abstractNumId="61">
    <w:nsid w:val="3565F1C8"/>
    <w:multiLevelType w:val="hybridMultilevel"/>
    <w:lvl w:ilvl="0">
      <w:lvlJc w:val="left"/>
      <w:lvlText w:val="(%1)"/>
      <w:numFmt w:val="lowerRoman"/>
      <w:start w:val="3"/>
    </w:lvl>
  </w:abstractNum>
  <w:abstractNum w:abstractNumId="62">
    <w:nsid w:val="5EA6D896"/>
    <w:multiLevelType w:val="hybridMultilevel"/>
    <w:lvl w:ilvl="0">
      <w:lvlJc w:val="left"/>
      <w:lvlText w:val="(%1)"/>
      <w:numFmt w:val="lowerLetter"/>
      <w:start w:val="4"/>
    </w:lvl>
  </w:abstractNum>
  <w:abstractNum w:abstractNumId="63">
    <w:nsid w:val="3D096BBF"/>
    <w:multiLevelType w:val="hybridMultilevel"/>
    <w:lvl w:ilvl="0">
      <w:lvlJc w:val="left"/>
      <w:lvlText w:val="(%1)"/>
      <w:numFmt w:val="lowerLetter"/>
      <w:start w:val="1"/>
    </w:lvl>
    <w:lvl w:ilvl="1">
      <w:lvlJc w:val="left"/>
      <w:lvlText w:val="(%2)"/>
      <w:numFmt w:val="lowerRoman"/>
      <w:start w:val="1"/>
    </w:lvl>
  </w:abstractNum>
  <w:abstractNum w:abstractNumId="64">
    <w:nsid w:val="BD6D5B5"/>
    <w:multiLevelType w:val="hybridMultilevel"/>
    <w:lvl w:ilvl="0">
      <w:lvlJc w:val="left"/>
      <w:lvlText w:val="(%1)"/>
      <w:numFmt w:val="lowerLetter"/>
      <w:start w:val="2"/>
    </w:lvl>
  </w:abstractNum>
  <w:abstractNum w:abstractNumId="65">
    <w:nsid w:val="3B52115C"/>
    <w:multiLevelType w:val="hybridMultilevel"/>
    <w:lvl w:ilvl="0">
      <w:lvlJc w:val="left"/>
      <w:lvlText w:val="(%1)"/>
      <w:numFmt w:val="lowerLetter"/>
      <w:start w:val="1"/>
    </w:lvl>
    <w:lvl w:ilvl="1">
      <w:lvlJc w:val="left"/>
      <w:lvlText w:val="(%2)"/>
      <w:numFmt w:val="lowerRoman"/>
      <w:start w:val="1"/>
    </w:lvl>
  </w:abstractNum>
  <w:abstractNum w:abstractNumId="66">
    <w:nsid w:val="787AA59C"/>
    <w:multiLevelType w:val="hybridMultilevel"/>
    <w:lvl w:ilvl="0">
      <w:lvlJc w:val="left"/>
      <w:lvlText w:val="%1"/>
      <w:numFmt w:val="lowerLetter"/>
      <w:start w:val="1"/>
    </w:lvl>
    <w:lvl w:ilvl="1">
      <w:lvlJc w:val="left"/>
      <w:lvlText w:val="(%2)"/>
      <w:numFmt w:val="lowerRoman"/>
      <w:start w:val="3"/>
    </w:lvl>
  </w:abstractNum>
  <w:abstractNum w:abstractNumId="67">
    <w:nsid w:val="70BB9983"/>
    <w:multiLevelType w:val="hybridMultilevel"/>
    <w:lvl w:ilvl="0">
      <w:lvlJc w:val="left"/>
      <w:lvlText w:val="(%1)"/>
      <w:numFmt w:val="lowerLetter"/>
      <w:start w:val="2"/>
    </w:lvl>
    <w:lvl w:ilvl="1">
      <w:lvlJc w:val="left"/>
      <w:lvlText w:val="(%2)"/>
      <w:numFmt w:val="lowerRoman"/>
      <w:start w:val="1"/>
    </w:lvl>
  </w:abstractNum>
  <w:abstractNum w:abstractNumId="68">
    <w:nsid w:val="51EEBEEA"/>
    <w:multiLevelType w:val="hybridMultilevel"/>
    <w:lvl w:ilvl="0">
      <w:lvlJc w:val="left"/>
      <w:lvlText w:val="(%1)"/>
      <w:numFmt w:val="upperLetter"/>
      <w:start w:val="2"/>
    </w:lvl>
  </w:abstractNum>
  <w:abstractNum w:abstractNumId="69">
    <w:nsid w:val="221A0CCD"/>
    <w:multiLevelType w:val="hybridMultilevel"/>
    <w:lvl w:ilvl="0">
      <w:lvlJc w:val="left"/>
      <w:lvlText w:val="(%1)"/>
      <w:numFmt w:val="lowerRoman"/>
      <w:start w:val="1"/>
    </w:lvl>
  </w:abstractNum>
  <w:abstractNum w:abstractNumId="70">
    <w:nsid w:val="1B7CA0ED"/>
    <w:multiLevelType w:val="hybridMultilevel"/>
    <w:lvl w:ilvl="0">
      <w:lvlJc w:val="left"/>
      <w:lvlText w:val="(%1)"/>
      <w:numFmt w:val="lowerRoman"/>
      <w:start w:val="4"/>
    </w:lvl>
    <w:lvl w:ilvl="1">
      <w:lvlJc w:val="left"/>
      <w:lvlText w:val="(%2)"/>
      <w:numFmt w:val="upperLetter"/>
      <w:start w:val="1"/>
    </w:lvl>
  </w:abstractNum>
  <w:abstractNum w:abstractNumId="71">
    <w:nsid w:val="2395A7FF"/>
    <w:multiLevelType w:val="hybridMultilevel"/>
    <w:lvl w:ilvl="0">
      <w:lvlJc w:val="left"/>
      <w:lvlText w:val="(%1)"/>
      <w:numFmt w:val="lowerRoman"/>
      <w:start w:val="5"/>
    </w:lvl>
  </w:abstractNum>
  <w:abstractNum w:abstractNumId="72">
    <w:nsid w:val="3965EB6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3">
    <w:nsid w:val="3AA88B3C"/>
    <w:multiLevelType w:val="hybridMultilevel"/>
    <w:lvl w:ilvl="0">
      <w:lvlJc w:val="left"/>
      <w:lvlText w:val="(%1)"/>
      <w:numFmt w:val="upperLetter"/>
      <w:start w:val="6"/>
    </w:lvl>
  </w:abstractNum>
  <w:abstractNum w:abstractNumId="74">
    <w:nsid w:val="26BAF231"/>
    <w:multiLevelType w:val="hybridMultilevel"/>
    <w:lvl w:ilvl="0">
      <w:lvlJc w:val="left"/>
      <w:lvlText w:val="%1"/>
      <w:numFmt w:val="lowerRoman"/>
      <w:start w:val="1"/>
    </w:lvl>
    <w:lvl w:ilvl="1">
      <w:lvlJc w:val="left"/>
      <w:lvlText w:val="(%2)"/>
      <w:numFmt w:val="upperLetter"/>
      <w:start w:val="13"/>
    </w:lvl>
  </w:abstractNum>
  <w:abstractNum w:abstractNumId="75">
    <w:nsid w:val="4B13A15A"/>
    <w:multiLevelType w:val="hybridMultilevel"/>
    <w:lvl w:ilvl="0">
      <w:lvlJc w:val="left"/>
      <w:lvlText w:val="(%1)"/>
      <w:numFmt w:val="lowerRoman"/>
      <w:start w:val="3"/>
    </w:lvl>
    <w:lvl w:ilvl="1">
      <w:lvlJc w:val="left"/>
      <w:lvlText w:val="(%2)"/>
      <w:numFmt w:val="upperLetter"/>
      <w:start w:val="1"/>
    </w:lvl>
  </w:abstractNum>
  <w:abstractNum w:abstractNumId="76">
    <w:nsid w:val="701E8A0D"/>
    <w:multiLevelType w:val="hybridMultilevel"/>
    <w:lvl w:ilvl="0">
      <w:lvlJc w:val="left"/>
      <w:lvlText w:val="(%1)"/>
      <w:numFmt w:val="lowerRoman"/>
      <w:start w:val="4"/>
    </w:lvl>
    <w:lvl w:ilvl="1">
      <w:lvlJc w:val="left"/>
      <w:lvlText w:val="(%2)"/>
      <w:numFmt w:val="upperLetter"/>
      <w:start w:val="1"/>
    </w:lvl>
  </w:abstractNum>
  <w:abstractNum w:abstractNumId="77">
    <w:nsid w:val="41E690C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8">
    <w:nsid w:val="7C6489B6"/>
    <w:multiLevelType w:val="hybridMultilevel"/>
    <w:lvl w:ilvl="0">
      <w:lvlJc w:val="left"/>
      <w:lvlText w:val="(%1)"/>
      <w:numFmt w:val="upperLetter"/>
      <w:start w:val="2"/>
    </w:lvl>
  </w:abstractNum>
  <w:abstractNum w:abstractNumId="79">
    <w:nsid w:val="53AE65DE"/>
    <w:multiLevelType w:val="hybridMultilevel"/>
    <w:lvl w:ilvl="0">
      <w:lvlJc w:val="left"/>
      <w:lvlText w:val="(%1)"/>
      <w:numFmt w:val="lowerRoman"/>
      <w:start w:val="2"/>
    </w:lvl>
  </w:abstractNum>
  <w:abstractNum w:abstractNumId="80">
    <w:nsid w:val="527F603D"/>
    <w:multiLevelType w:val="hybridMultilevel"/>
    <w:lvl w:ilvl="0">
      <w:lvlJc w:val="left"/>
      <w:lvlText w:val="(%1)"/>
      <w:numFmt w:val="lowerRoman"/>
      <w:start w:val="5"/>
    </w:lvl>
  </w:abstractNum>
  <w:abstractNum w:abstractNumId="81">
    <w:nsid w:val="7E13D013"/>
    <w:multiLevelType w:val="hybridMultilevel"/>
    <w:lvl w:ilvl="0">
      <w:lvlJc w:val="left"/>
      <w:lvlText w:val="(%1)"/>
      <w:numFmt w:val="lowerLetter"/>
      <w:start w:val="2"/>
    </w:lvl>
  </w:abstractNum>
  <w:abstractNum w:abstractNumId="82">
    <w:nsid w:val="663BFE95"/>
    <w:multiLevelType w:val="hybridMultilevel"/>
    <w:lvl w:ilvl="0">
      <w:lvlJc w:val="left"/>
      <w:lvlText w:val="%1"/>
      <w:numFmt w:val="lowerLetter"/>
      <w:start w:val="1"/>
    </w:lvl>
    <w:lvl w:ilvl="1">
      <w:lvlJc w:val="left"/>
      <w:lvlText w:val="(%2)"/>
      <w:numFmt w:val="decimal"/>
      <w:start w:val="1"/>
    </w:lvl>
  </w:abstractNum>
  <w:abstractNum w:abstractNumId="83">
    <w:nsid w:val="31E0986F"/>
    <w:multiLevelType w:val="hybridMultilevel"/>
    <w:lvl w:ilvl="0">
      <w:lvlJc w:val="left"/>
      <w:lvlText w:val="(%1)"/>
      <w:numFmt w:val="lowerLetter"/>
      <w:start w:val="2"/>
    </w:lvl>
    <w:lvl w:ilvl="1">
      <w:lvlJc w:val="left"/>
      <w:lvlText w:val="%2"/>
      <w:numFmt w:val="decimal"/>
      <w:start w:val="1"/>
    </w:lvl>
  </w:abstractNum>
  <w:abstractNum w:abstractNumId="84">
    <w:nsid w:val="41FCF274"/>
    <w:multiLevelType w:val="hybridMultilevel"/>
    <w:lvl w:ilvl="0">
      <w:lvlJc w:val="left"/>
      <w:lvlText w:val="(%1)"/>
      <w:numFmt w:val="lowerLetter"/>
      <w:start w:val="2"/>
    </w:lvl>
    <w:lvl w:ilvl="1">
      <w:lvlJc w:val="left"/>
      <w:lvlText w:val="*"/>
      <w:numFmt w:val="bullet"/>
      <w:start w:val="1"/>
    </w:lvl>
  </w:abstractNum>
  <w:abstractNum w:abstractNumId="85">
    <w:nsid w:val="294614F7"/>
    <w:multiLevelType w:val="hybridMultilevel"/>
    <w:lvl w:ilvl="0">
      <w:lvlJc w:val="left"/>
      <w:lvlText w:val="(%1)"/>
      <w:numFmt w:val="lowerLetter"/>
      <w:start w:val="1"/>
    </w:lvl>
  </w:abstractNum>
  <w:abstractNum w:abstractNumId="86">
    <w:nsid w:val="517DF487"/>
    <w:multiLevelType w:val="hybridMultilevel"/>
    <w:lvl w:ilvl="0">
      <w:lvlJc w:val="left"/>
      <w:lvlText w:val="(%1)"/>
      <w:numFmt w:val="lowerLetter"/>
      <w:start w:val="1"/>
    </w:lvl>
  </w:abstractNum>
  <w:abstractNum w:abstractNumId="87">
    <w:nsid w:val="5EBE0EAB"/>
    <w:multiLevelType w:val="hybridMultilevel"/>
    <w:lvl w:ilvl="0">
      <w:lvlJc w:val="left"/>
      <w:lvlText w:val="(%1)"/>
      <w:numFmt w:val="lowerLetter"/>
      <w:start w:val="2"/>
    </w:lvl>
  </w:abstractNum>
  <w:abstractNum w:abstractNumId="88">
    <w:nsid w:val="6E9DEAD0"/>
    <w:multiLevelType w:val="hybridMultilevel"/>
    <w:lvl w:ilvl="0">
      <w:lvlJc w:val="left"/>
      <w:lvlText w:val="(%1)"/>
      <w:numFmt w:val="lowerLetter"/>
      <w:start w:val="1"/>
    </w:lvl>
  </w:abstractNum>
  <w:abstractNum w:abstractNumId="89">
    <w:nsid w:val="4450AA00"/>
    <w:multiLevelType w:val="hybridMultilevel"/>
    <w:lvl w:ilvl="0">
      <w:lvlJc w:val="left"/>
      <w:lvlText w:val="(%1)"/>
      <w:numFmt w:val="lowerLetter"/>
      <w:start w:val="6"/>
    </w:lvl>
  </w:abstractNum>
  <w:abstractNum w:abstractNumId="90">
    <w:nsid w:val="4AC9F3E2"/>
    <w:multiLevelType w:val="hybridMultilevel"/>
    <w:lvl w:ilvl="0">
      <w:lvlJc w:val="left"/>
      <w:lvlText w:val="(%1)"/>
      <w:numFmt w:val="lowerLetter"/>
      <w:start w:val="1"/>
    </w:lvl>
  </w:abstractNum>
  <w:abstractNum w:abstractNumId="91">
    <w:nsid w:val="CC0A782"/>
    <w:multiLevelType w:val="hybridMultilevel"/>
    <w:lvl w:ilvl="0">
      <w:lvlJc w:val="left"/>
      <w:lvlText w:val="(%1)"/>
      <w:numFmt w:val="lowerLetter"/>
      <w:start w:val="1"/>
    </w:lvl>
  </w:abstractNum>
  <w:abstractNum w:abstractNumId="92">
    <w:nsid w:val="79B69BC9"/>
    <w:multiLevelType w:val="hybridMultilevel"/>
    <w:lvl w:ilvl="0">
      <w:lvlJc w:val="left"/>
      <w:lvlText w:val="(%1)"/>
      <w:numFmt w:val="decimal"/>
      <w:start w:val="1"/>
    </w:lvl>
  </w:abstractNum>
  <w:abstractNum w:abstractNumId="93">
    <w:nsid w:val="2970CC78"/>
    <w:multiLevelType w:val="hybridMultilevel"/>
    <w:lvl w:ilvl="0">
      <w:lvlJc w:val="left"/>
      <w:lvlText w:val="(%1)"/>
      <w:numFmt w:val="decimal"/>
      <w:start w:val="2"/>
    </w:lvl>
  </w:abstractNum>
  <w:abstractNum w:abstractNumId="94">
    <w:nsid w:val="49CA1341"/>
    <w:multiLevelType w:val="hybridMultilevel"/>
    <w:lvl w:ilvl="0">
      <w:lvlJc w:val="left"/>
      <w:lvlText w:val="(%1)"/>
      <w:numFmt w:val="upperLetter"/>
      <w:start w:val="2"/>
    </w:lvl>
  </w:abstractNum>
  <w:abstractNum w:abstractNumId="95">
    <w:nsid w:val="58D717E"/>
    <w:multiLevelType w:val="hybridMultilevel"/>
    <w:lvl w:ilvl="0">
      <w:lvlJc w:val="left"/>
      <w:lvlText w:val="(%1)"/>
      <w:numFmt w:val="lowerLetter"/>
      <w:start w:val="1"/>
    </w:lvl>
  </w:abstractNum>
  <w:abstractNum w:abstractNumId="96">
    <w:nsid w:val="64C2DDD5"/>
    <w:multiLevelType w:val="hybridMultilevel"/>
    <w:lvl w:ilvl="0">
      <w:lvlJc w:val="left"/>
      <w:lvlText w:val="(%1)"/>
      <w:numFmt w:val="lowerLetter"/>
      <w:start w:val="1"/>
    </w:lvl>
  </w:abstractNum>
  <w:abstractNum w:abstractNumId="97">
    <w:nsid w:val="4244B8DE"/>
    <w:multiLevelType w:val="hybridMultilevel"/>
    <w:lvl w:ilvl="0">
      <w:lvlJc w:val="left"/>
      <w:lvlText w:val="(%1)"/>
      <w:numFmt w:val="decimal"/>
      <w:start w:val="3"/>
    </w:lvl>
  </w:abstractNum>
  <w:abstractNum w:abstractNumId="98">
    <w:nsid w:val="76490B01"/>
    <w:multiLevelType w:val="hybridMultilevel"/>
    <w:lvl w:ilvl="0">
      <w:lvlJc w:val="left"/>
      <w:lvlText w:val="(%1)"/>
      <w:numFmt w:val="decimal"/>
      <w:start w:val="1"/>
    </w:lvl>
  </w:abstractNum>
  <w:abstractNum w:abstractNumId="99">
    <w:nsid w:val="36B19CBF"/>
    <w:multiLevelType w:val="hybridMultilevel"/>
    <w:lvl w:ilvl="0">
      <w:lvlJc w:val="left"/>
      <w:lvlText w:val="(%1)"/>
      <w:numFmt w:val="decimal"/>
      <w:start w:val="1"/>
    </w:lvl>
  </w:abstractNum>
  <w:abstractNum w:abstractNumId="100">
    <w:nsid w:val="645EC5AB"/>
    <w:multiLevelType w:val="hybridMultilevel"/>
    <w:lvl w:ilvl="0">
      <w:lvlJc w:val="left"/>
      <w:lvlText w:val="(%1)"/>
      <w:numFmt w:val="decimal"/>
      <w:start w:val="1"/>
    </w:lvl>
  </w:abstractNum>
  <w:abstractNum w:abstractNumId="101">
    <w:nsid w:val="11C5ABEF"/>
    <w:multiLevelType w:val="hybridMultilevel"/>
    <w:lvl w:ilvl="0">
      <w:lvlJc w:val="left"/>
      <w:lvlText w:val="(%1)"/>
      <w:numFmt w:val="decimal"/>
      <w:start w:val="7"/>
    </w:lvl>
  </w:abstractNum>
  <w:abstractNum w:abstractNumId="102">
    <w:nsid w:val="5A4744BE"/>
    <w:multiLevelType w:val="hybridMultilevel"/>
    <w:lvl w:ilvl="0">
      <w:lvlJc w:val="left"/>
      <w:lvlText w:val="(%1)"/>
      <w:numFmt w:val="decimal"/>
      <w:start w:val="1"/>
    </w:lvl>
  </w:abstractNum>
  <w:abstractNum w:abstractNumId="103">
    <w:nsid w:val="1DC4B111"/>
    <w:multiLevelType w:val="hybridMultilevel"/>
    <w:lvl w:ilvl="0">
      <w:lvlJc w:val="left"/>
      <w:lvlText w:val="(%1)"/>
      <w:numFmt w:val="decimal"/>
      <w:start w:val="1"/>
    </w:lvl>
  </w:abstractNum>
  <w:abstractNum w:abstractNumId="104">
    <w:nsid w:val="4C6E372B"/>
    <w:multiLevelType w:val="hybridMultilevel"/>
    <w:lvl w:ilvl="0">
      <w:lvlJc w:val="left"/>
      <w:lvlText w:val="(%1)"/>
      <w:numFmt w:val="decimal"/>
      <w:start w:val="6"/>
    </w:lvl>
  </w:abstractNum>
  <w:abstractNum w:abstractNumId="105">
    <w:nsid w:val="10236EF"/>
    <w:multiLevelType w:val="hybridMultilevel"/>
    <w:lvl w:ilvl="0">
      <w:lvlJc w:val="left"/>
      <w:lvlText w:val="%1"/>
      <w:numFmt w:val="lowerLetter"/>
      <w:start w:val="1"/>
    </w:lvl>
    <w:lvl w:ilvl="1">
      <w:lvlJc w:val="left"/>
      <w:lvlText w:val="(%2)"/>
      <w:numFmt w:val="decimal"/>
      <w:start w:val="1"/>
    </w:lvl>
  </w:abstractNum>
  <w:abstractNum w:abstractNumId="106">
    <w:nsid w:val="68D8526B"/>
    <w:multiLevelType w:val="hybridMultilevel"/>
    <w:lvl w:ilvl="0">
      <w:lvlJc w:val="left"/>
      <w:lvlText w:val="(%1)"/>
      <w:numFmt w:val="lowerLetter"/>
      <w:start w:val="3"/>
    </w:lvl>
    <w:lvl w:ilvl="1">
      <w:lvlJc w:val="left"/>
      <w:lvlText w:val="(%2)"/>
      <w:numFmt w:val="decimal"/>
      <w:start w:val="2"/>
    </w:lvl>
  </w:abstractNum>
  <w:abstractNum w:abstractNumId="107">
    <w:nsid w:val="3C8CC138"/>
    <w:multiLevelType w:val="hybridMultilevel"/>
    <w:lvl w:ilvl="0">
      <w:lvlJc w:val="left"/>
      <w:lvlText w:val="(%1)"/>
      <w:numFmt w:val="decimal"/>
      <w:start w:val="6"/>
    </w:lvl>
  </w:abstractNum>
  <w:abstractNum w:abstractNumId="108">
    <w:nsid w:val="42E8C7BE"/>
    <w:multiLevelType w:val="hybridMultilevel"/>
    <w:lvl w:ilvl="0">
      <w:lvlJc w:val="left"/>
      <w:lvlText w:val="(%1)"/>
      <w:numFmt w:val="lowerRoman"/>
      <w:start w:val="2"/>
    </w:lvl>
  </w:abstractNum>
  <w:abstractNum w:abstractNumId="109">
    <w:nsid w:val="653CDC22"/>
    <w:multiLevelType w:val="hybridMultilevel"/>
    <w:lvl w:ilvl="0">
      <w:lvlJc w:val="left"/>
      <w:lvlText w:val="(%1)"/>
      <w:numFmt w:val="lowerLetter"/>
      <w:start w:val="1"/>
    </w:lvl>
  </w:abstractNum>
  <w:abstractNum w:abstractNumId="110">
    <w:nsid w:val="103B2716"/>
    <w:multiLevelType w:val="hybridMultilevel"/>
    <w:lvl w:ilvl="0">
      <w:lvlJc w:val="left"/>
      <w:lvlText w:val="(%1)"/>
      <w:numFmt w:val="lowerLetter"/>
      <w:start w:val="6"/>
    </w:lvl>
  </w:abstractNum>
  <w:abstractNum w:abstractNumId="111">
    <w:nsid w:val="156827FB"/>
    <w:multiLevelType w:val="hybridMultilevel"/>
    <w:lvl w:ilvl="0">
      <w:lvlJc w:val="left"/>
      <w:lvlText w:val="(%1)"/>
      <w:numFmt w:val="decimal"/>
      <w:start w:val="1"/>
    </w:lvl>
  </w:abstractNum>
  <w:abstractNum w:abstractNumId="112">
    <w:nsid w:val="6350AC35"/>
    <w:multiLevelType w:val="hybridMultilevel"/>
    <w:lvl w:ilvl="0">
      <w:lvlJc w:val="left"/>
      <w:lvlText w:val="(%1)"/>
      <w:numFmt w:val="lowerRoman"/>
      <w:start w:val="1"/>
    </w:lvl>
  </w:abstractNum>
  <w:abstractNum w:abstractNumId="113">
    <w:nsid w:val="767725AB"/>
    <w:multiLevelType w:val="hybridMultilevel"/>
    <w:lvl w:ilvl="0">
      <w:lvlJc w:val="left"/>
      <w:lvlText w:val="(%1)"/>
      <w:numFmt w:val="decimal"/>
      <w:start w:val="1"/>
    </w:lvl>
  </w:abstractNum>
  <w:abstractNum w:abstractNumId="114">
    <w:nsid w:val="4748C06A"/>
    <w:multiLevelType w:val="hybridMultilevel"/>
    <w:lvl w:ilvl="0">
      <w:lvlJc w:val="left"/>
      <w:lvlText w:val="(%1)"/>
      <w:numFmt w:val="lowerLetter"/>
      <w:start w:val="2"/>
    </w:lvl>
  </w:abstractNum>
  <w:abstractNum w:abstractNumId="115">
    <w:nsid w:val="254D9EA9"/>
    <w:multiLevelType w:val="hybridMultilevel"/>
    <w:lvl w:ilvl="0">
      <w:lvlJc w:val="left"/>
      <w:lvlText w:val="(%1)"/>
      <w:numFmt w:val="decimal"/>
      <w:start w:val="1"/>
    </w:lvl>
  </w:abstractNum>
  <w:abstractNum w:abstractNumId="116">
    <w:nsid w:val="1FBD3AA3"/>
    <w:multiLevelType w:val="hybridMultilevel"/>
    <w:lvl w:ilvl="0">
      <w:lvlJc w:val="left"/>
      <w:lvlText w:val="(%1)"/>
      <w:numFmt w:val="decimal"/>
      <w:start w:val="1"/>
    </w:lvl>
  </w:abstractNum>
  <w:abstractNum w:abstractNumId="117">
    <w:nsid w:val="18C6B4F2"/>
    <w:multiLevelType w:val="hybridMultilevel"/>
    <w:lvl w:ilvl="0">
      <w:lvlJc w:val="left"/>
      <w:lvlText w:val="(%1)"/>
      <w:numFmt w:val="decimal"/>
      <w:start w:val="1"/>
    </w:lvl>
  </w:abstractNum>
  <w:abstractNum w:abstractNumId="118">
    <w:nsid w:val="40BAD55"/>
    <w:multiLevelType w:val="hybridMultilevel"/>
    <w:lvl w:ilvl="0">
      <w:lvlJc w:val="left"/>
      <w:lvlText w:val="(%1)"/>
      <w:numFmt w:val="lowerLetter"/>
      <w:start w:val="2"/>
    </w:lvl>
  </w:abstractNum>
  <w:abstractNum w:abstractNumId="119">
    <w:nsid w:val="E5B2573"/>
    <w:multiLevelType w:val="hybridMultilevel"/>
    <w:lvl w:ilvl="0">
      <w:lvlJc w:val="left"/>
      <w:lvlText w:val="(%1)"/>
      <w:numFmt w:val="lowerRoman"/>
      <w:start w:val="4"/>
    </w:lvl>
  </w:abstractNum>
  <w:abstractNum w:abstractNumId="120">
    <w:nsid w:val="5D175EF2"/>
    <w:multiLevelType w:val="hybridMultilevel"/>
    <w:lvl w:ilvl="0">
      <w:lvlJc w:val="left"/>
      <w:lvlText w:val="(%1)"/>
      <w:numFmt w:val="decimal"/>
      <w:start w:val="1"/>
    </w:lvl>
  </w:abstractNum>
  <w:abstractNum w:abstractNumId="121">
    <w:nsid w:val="4ED5A137"/>
    <w:multiLevelType w:val="hybridMultilevel"/>
    <w:lvl w:ilvl="0">
      <w:lvlJc w:val="left"/>
      <w:lvlText w:val="(%1)"/>
      <w:numFmt w:val="decimal"/>
      <w:start w:val="6"/>
    </w:lvl>
  </w:abstractNum>
  <w:abstractNum w:abstractNumId="122">
    <w:nsid w:val="1B1BCCF5"/>
    <w:multiLevelType w:val="hybridMultilevel"/>
    <w:lvl w:ilvl="0">
      <w:lvlJc w:val="left"/>
      <w:lvlText w:val="(%1)"/>
      <w:numFmt w:val="decimal"/>
      <w:start w:val="9"/>
    </w:lvl>
  </w:abstractNum>
  <w:abstractNum w:abstractNumId="123">
    <w:nsid w:val="56CDFABB"/>
    <w:multiLevelType w:val="hybridMultilevel"/>
    <w:lvl w:ilvl="0">
      <w:lvlJc w:val="left"/>
      <w:lvlText w:val="(%1)"/>
      <w:numFmt w:val="decimal"/>
      <w:start w:val="1"/>
    </w:lvl>
    <w:lvl w:ilvl="1">
      <w:lvlJc w:val="left"/>
      <w:lvlText w:val="(%2)"/>
      <w:numFmt w:val="upperLetter"/>
      <w:start w:val="1"/>
    </w:lvl>
  </w:abstractNum>
  <w:abstractNum w:abstractNumId="124">
    <w:nsid w:val="78466DAF"/>
    <w:multiLevelType w:val="hybridMultilevel"/>
    <w:lvl w:ilvl="0">
      <w:lvlJc w:val="left"/>
      <w:lvlText w:val="%1"/>
      <w:numFmt w:val="upperLetter"/>
      <w:start w:val="1"/>
    </w:lvl>
    <w:lvl w:ilvl="1">
      <w:lvlJc w:val="left"/>
      <w:lvlText w:val="(%2)"/>
      <w:numFmt w:val="decimal"/>
      <w:start w:val="5"/>
    </w:lvl>
  </w:abstractNum>
  <w:abstractNum w:abstractNumId="125">
    <w:nsid w:val="64E5E036"/>
    <w:multiLevelType w:val="hybridMultilevel"/>
    <w:lvl w:ilvl="0">
      <w:lvlJc w:val="left"/>
      <w:lvlText w:val="(%1)"/>
      <w:numFmt w:val="upperLetter"/>
      <w:start w:val="1"/>
    </w:lvl>
    <w:lvl w:ilvl="1">
      <w:lvlJc w:val="left"/>
      <w:lvlText w:val="(%2)"/>
      <w:numFmt w:val="decimal"/>
      <w:start w:val="12"/>
    </w:lvl>
  </w:abstractNum>
  <w:abstractNum w:abstractNumId="126">
    <w:nsid w:val="5C5B6C3A"/>
    <w:multiLevelType w:val="hybridMultilevel"/>
    <w:lvl w:ilvl="0">
      <w:lvlJc w:val="left"/>
      <w:lvlText w:val="(%1)"/>
      <w:numFmt w:val="decimal"/>
      <w:start w:val="13"/>
    </w:lvl>
  </w:abstractNum>
  <w:abstractNum w:abstractNumId="127">
    <w:nsid w:val="5D094B84"/>
    <w:multiLevelType w:val="hybridMultilevel"/>
    <w:lvl w:ilvl="0">
      <w:lvlJc w:val="left"/>
      <w:lvlText w:val="(%1)"/>
      <w:numFmt w:val="decimal"/>
      <w:start w:val="23"/>
    </w:lvl>
  </w:abstractNum>
  <w:abstractNum w:abstractNumId="128">
    <w:nsid w:val="272A9914"/>
    <w:multiLevelType w:val="hybridMultilevel"/>
    <w:lvl w:ilvl="0">
      <w:lvlJc w:val="left"/>
      <w:lvlText w:val="(%1)"/>
      <w:numFmt w:val="decimal"/>
      <w:start w:val="33"/>
    </w:lvl>
  </w:abstractNum>
  <w:abstractNum w:abstractNumId="129">
    <w:nsid w:val="52A4773B"/>
    <w:multiLevelType w:val="hybridMultilevel"/>
    <w:lvl w:ilvl="0">
      <w:lvlJc w:val="left"/>
      <w:lvlText w:val="%1"/>
      <w:numFmt w:val="lowerRoman"/>
      <w:start w:val="1"/>
    </w:lvl>
    <w:lvl w:ilvl="1">
      <w:lvlJc w:val="left"/>
      <w:lvlText w:val="(%2)"/>
      <w:numFmt w:val="decimal"/>
      <w:start w:val="1"/>
    </w:lvl>
  </w:abstractNum>
  <w:abstractNum w:abstractNumId="130">
    <w:nsid w:val="13BAE843"/>
    <w:multiLevelType w:val="hybridMultilevel"/>
    <w:lvl w:ilvl="0">
      <w:lvlJc w:val="left"/>
      <w:lvlText w:val="(%1)"/>
      <w:numFmt w:val="lowerRoman"/>
      <w:start w:val="10"/>
    </w:lvl>
    <w:lvl w:ilvl="1">
      <w:lvlJc w:val="left"/>
      <w:lvlText w:val="(%2)"/>
      <w:numFmt w:val="decimal"/>
      <w:start w:val="3"/>
    </w:lvl>
  </w:abstractNum>
  <w:abstractNum w:abstractNumId="131">
    <w:nsid w:val="B895EBF"/>
    <w:multiLevelType w:val="hybridMultilevel"/>
    <w:lvl w:ilvl="0">
      <w:lvlJc w:val="left"/>
      <w:lvlText w:val="%1"/>
      <w:numFmt w:val="upperLetter"/>
      <w:start w:val="1"/>
    </w:lvl>
    <w:lvl w:ilvl="1">
      <w:lvlJc w:val="left"/>
      <w:lvlText w:val="(%2)"/>
      <w:numFmt w:val="decimal"/>
      <w:start w:val="9"/>
    </w:lvl>
  </w:abstractNum>
  <w:abstractNum w:abstractNumId="132">
    <w:nsid w:val="646A232A"/>
    <w:multiLevelType w:val="hybridMultilevel"/>
    <w:lvl w:ilvl="0">
      <w:lvlJc w:val="left"/>
      <w:lvlText w:val="(%1)"/>
      <w:numFmt w:val="upperLetter"/>
      <w:start w:val="2"/>
    </w:lvl>
    <w:lvl w:ilvl="1">
      <w:lvlJc w:val="left"/>
      <w:lvlText w:val="(%2)"/>
      <w:numFmt w:val="decimal"/>
      <w:start w:val="11"/>
    </w:lvl>
  </w:abstractNum>
  <w:abstractNum w:abstractNumId="133">
    <w:nsid w:val="6E022D01"/>
    <w:multiLevelType w:val="hybridMultilevel"/>
    <w:lvl w:ilvl="0">
      <w:lvlJc w:val="left"/>
      <w:lvlText w:val="(%1)"/>
      <w:numFmt w:val="decimal"/>
      <w:start w:val="17"/>
    </w:lvl>
  </w:abstractNum>
  <w:abstractNum w:abstractNumId="134">
    <w:nsid w:val="294E0FD0"/>
    <w:multiLevelType w:val="hybridMultilevel"/>
    <w:lvl w:ilvl="0">
      <w:lvlJc w:val="left"/>
      <w:lvlText w:val="(%1)"/>
      <w:numFmt w:val="decimal"/>
      <w:start w:val="1"/>
    </w:lvl>
  </w:abstractNum>
  <w:abstractNum w:abstractNumId="135">
    <w:nsid w:val="30D85A55"/>
    <w:multiLevelType w:val="hybridMultilevel"/>
    <w:lvl w:ilvl="0">
      <w:lvlJc w:val="left"/>
      <w:lvlText w:val="(%1)"/>
      <w:numFmt w:val="decimal"/>
      <w:start w:val="3"/>
    </w:lvl>
  </w:abstractNum>
  <w:abstractNum w:abstractNumId="136">
    <w:nsid w:val="6F0463F1"/>
    <w:multiLevelType w:val="hybridMultilevel"/>
    <w:lvl w:ilvl="0">
      <w:lvlJc w:val="left"/>
      <w:lvlText w:val="(%1)"/>
      <w:numFmt w:val="lowerRoman"/>
      <w:start w:val="2"/>
    </w:lvl>
  </w:abstractNum>
  <w:abstractNum w:abstractNumId="137">
    <w:nsid w:val="1226623C"/>
    <w:multiLevelType w:val="hybridMultilevel"/>
    <w:lvl w:ilvl="0">
      <w:lvlJc w:val="left"/>
      <w:lvlText w:val="•"/>
      <w:numFmt w:val="bullet"/>
      <w:start w:val="1"/>
    </w:lvl>
  </w:abstractNum>
  <w:abstractNum w:abstractNumId="138">
    <w:nsid w:val="6D651B8D"/>
    <w:multiLevelType w:val="hybridMultilevel"/>
    <w:lvl w:ilvl="0">
      <w:lvlJc w:val="left"/>
      <w:lvlText w:val="%1"/>
      <w:numFmt w:val="upperLetter"/>
      <w:start w:val="1"/>
    </w:lvl>
    <w:lvl w:ilvl="1">
      <w:lvlJc w:val="left"/>
      <w:lvlText w:val="(%2)"/>
      <w:numFmt w:val="decimal"/>
      <w:start w:val="1"/>
    </w:lvl>
  </w:abstractNum>
  <w:abstractNum w:abstractNumId="139">
    <w:nsid w:val="31ED2BAF"/>
    <w:multiLevelType w:val="hybridMultilevel"/>
    <w:lvl w:ilvl="0">
      <w:lvlJc w:val="left"/>
      <w:lvlText w:val="(%1)"/>
      <w:numFmt w:val="upperLetter"/>
      <w:start w:val="2"/>
    </w:lvl>
    <w:lvl w:ilvl="1">
      <w:lvlJc w:val="left"/>
      <w:lvlText w:val="%2"/>
      <w:numFmt w:val="decimal"/>
      <w:start w:val="1"/>
    </w:lvl>
  </w:abstractNum>
  <w:abstractNum w:abstractNumId="140">
    <w:nsid w:val="77633E5E"/>
    <w:multiLevelType w:val="hybridMultilevel"/>
    <w:lvl w:ilvl="0">
      <w:lvlJc w:val="left"/>
      <w:lvlText w:val="(%1)"/>
      <w:numFmt w:val="lowerLetter"/>
      <w:start w:val="1"/>
    </w:lvl>
  </w:abstractNum>
  <w:abstractNum w:abstractNumId="141">
    <w:nsid w:val="7DA042A3"/>
    <w:multiLevelType w:val="hybridMultilevel"/>
    <w:lvl w:ilvl="0">
      <w:lvlJc w:val="left"/>
      <w:lvlText w:val="(%1)"/>
      <w:numFmt w:val="decimal"/>
      <w:start w:val="1"/>
    </w:lvl>
  </w:abstractNum>
  <w:abstractNum w:abstractNumId="142">
    <w:nsid w:val="475553AB"/>
    <w:multiLevelType w:val="hybridMultilevel"/>
    <w:lvl w:ilvl="0">
      <w:lvlJc w:val="left"/>
      <w:lvlText w:val="(%1)"/>
      <w:numFmt w:val="decimal"/>
      <w:start w:val="1"/>
    </w:lvl>
  </w:abstractNum>
  <w:abstractNum w:abstractNumId="143">
    <w:nsid w:val="5AB3EA93"/>
    <w:multiLevelType w:val="hybridMultilevel"/>
    <w:lvl w:ilvl="0">
      <w:lvlJc w:val="left"/>
      <w:lvlText w:val="(%1)"/>
      <w:numFmt w:val="lowerLetter"/>
      <w:start w:val="3"/>
    </w:lvl>
  </w:abstractNum>
  <w:abstractNum w:abstractNumId="144">
    <w:nsid w:val="7417684F"/>
    <w:multiLevelType w:val="hybridMultilevel"/>
    <w:lvl w:ilvl="0">
      <w:lvlJc w:val="left"/>
      <w:lvlText w:val="(%1)"/>
      <w:numFmt w:val="lowerLetter"/>
      <w:start w:val="1"/>
    </w:lvl>
  </w:abstractNum>
  <w:abstractNum w:abstractNumId="145">
    <w:nsid w:val="E9E1415"/>
    <w:multiLevelType w:val="hybridMultilevel"/>
    <w:lvl w:ilvl="0">
      <w:lvlJc w:val="left"/>
      <w:lvlText w:val="(%1)"/>
      <w:numFmt w:val="lowerLetter"/>
      <w:start w:val="1"/>
    </w:lvl>
  </w:abstractNum>
  <w:abstractNum w:abstractNumId="146">
    <w:nsid w:val="1893D"/>
    <w:multiLevelType w:val="hybridMultilevel"/>
    <w:lvl w:ilvl="0">
      <w:lvlJc w:val="left"/>
      <w:lvlText w:val="•"/>
      <w:numFmt w:val="bullet"/>
      <w:start w:val="1"/>
    </w:lvl>
    <w:lvl w:ilvl="1">
      <w:lvlJc w:val="left"/>
      <w:lvlText w:val="(%2)"/>
      <w:numFmt w:val="lowerRoman"/>
      <w:start w:val="1"/>
    </w:lvl>
  </w:abstractNum>
  <w:abstractNum w:abstractNumId="147">
    <w:nsid w:val="13D4A2F2"/>
    <w:multiLevelType w:val="hybridMultilevel"/>
    <w:lvl w:ilvl="0">
      <w:lvlJc w:val="left"/>
      <w:lvlText w:val="(%1)"/>
      <w:numFmt w:val="lowerLetter"/>
      <w:start w:val="2"/>
    </w:lvl>
  </w:abstractNum>
  <w:abstractNum w:abstractNumId="148">
    <w:nsid w:val="2764C907"/>
    <w:multiLevelType w:val="hybridMultilevel"/>
    <w:lvl w:ilvl="0">
      <w:lvlJc w:val="left"/>
      <w:lvlText w:val="(%1)"/>
      <w:numFmt w:val="lowerLetter"/>
      <w:start w:val="1"/>
    </w:lvl>
  </w:abstractNum>
  <w:abstractNum w:abstractNumId="149">
    <w:nsid w:val="40D3692"/>
    <w:multiLevelType w:val="hybridMultilevel"/>
    <w:lvl w:ilvl="0">
      <w:lvlJc w:val="left"/>
      <w:lvlText w:val="%1"/>
      <w:numFmt w:val="decimal"/>
      <w:start w:val="1"/>
    </w:lvl>
    <w:lvl w:ilvl="1">
      <w:lvlJc w:val="left"/>
      <w:lvlText w:val="(%2)"/>
      <w:numFmt w:val="lowerLetter"/>
      <w:start w:val="2"/>
    </w:lvl>
  </w:abstractNum>
  <w:abstractNum w:abstractNumId="150">
    <w:nsid w:val="222FC865"/>
    <w:multiLevelType w:val="hybridMultilevel"/>
    <w:lvl w:ilvl="0">
      <w:lvlJc w:val="left"/>
      <w:lvlText w:val="(%1)"/>
      <w:numFmt w:val="decimal"/>
      <w:start w:val="4"/>
    </w:lvl>
    <w:lvl w:ilvl="1">
      <w:lvlJc w:val="left"/>
      <w:lvlText w:val="(%2)"/>
      <w:numFmt w:val="lowerLetter"/>
      <w:start w:val="3"/>
    </w:lvl>
  </w:abstractNum>
  <w:abstractNum w:abstractNumId="151">
    <w:nsid w:val="47C27FA"/>
    <w:multiLevelType w:val="hybridMultilevel"/>
    <w:lvl w:ilvl="0">
      <w:lvlJc w:val="left"/>
      <w:lvlText w:val="(%1)"/>
      <w:numFmt w:val="lowerLetter"/>
      <w:start w:val="4"/>
    </w:lvl>
  </w:abstractNum>
  <w:abstractNum w:abstractNumId="152">
    <w:nsid w:val="52E2D7C9"/>
    <w:multiLevelType w:val="hybridMultilevel"/>
    <w:lvl w:ilvl="0">
      <w:lvlJc w:val="left"/>
      <w:lvlText w:val="(%1)"/>
      <w:numFmt w:val="lowerRoman"/>
      <w:start w:val="1"/>
    </w:lvl>
  </w:abstractNum>
  <w:abstractNum w:abstractNumId="153">
    <w:nsid w:val="3D4B955A"/>
    <w:multiLevelType w:val="hybridMultilevel"/>
    <w:lvl w:ilvl="0">
      <w:lvlJc w:val="left"/>
      <w:lvlText w:val="(%1)"/>
      <w:numFmt w:val="lowerLetter"/>
      <w:start w:val="6"/>
    </w:lvl>
  </w:abstractNum>
  <w:abstractNum w:abstractNumId="154">
    <w:nsid w:val="5B4A22B5"/>
    <w:multiLevelType w:val="hybridMultilevel"/>
    <w:lvl w:ilvl="0">
      <w:lvlJc w:val="left"/>
      <w:lvlText w:val="(%1)"/>
      <w:numFmt w:val="lowerLetter"/>
      <w:start w:val="7"/>
    </w:lvl>
  </w:abstractNum>
  <w:abstractNum w:abstractNumId="155">
    <w:nsid w:val="4B294578"/>
    <w:multiLevelType w:val="hybridMultilevel"/>
    <w:lvl w:ilvl="0">
      <w:lvlJc w:val="left"/>
      <w:lvlText w:val="%1"/>
      <w:numFmt w:val="upperLetter"/>
      <w:start w:val="1"/>
    </w:lvl>
    <w:lvl w:ilvl="1">
      <w:lvlJc w:val="left"/>
      <w:lvlText w:val="(%2)"/>
      <w:numFmt w:val="lowerLetter"/>
      <w:start w:val="10"/>
    </w:lvl>
  </w:abstractNum>
  <w:abstractNum w:abstractNumId="156">
    <w:nsid w:val="22317590"/>
    <w:multiLevelType w:val="hybridMultilevel"/>
    <w:lvl w:ilvl="0">
      <w:lvlJc w:val="left"/>
      <w:lvlText w:val="(%1)"/>
      <w:numFmt w:val="upperLetter"/>
      <w:start w:val="1"/>
    </w:lvl>
    <w:lvl w:ilvl="1">
      <w:lvlJc w:val="left"/>
      <w:lvlText w:val="%2"/>
      <w:numFmt w:val="lowerLetter"/>
      <w:start w:val="1"/>
    </w:lvl>
  </w:abstractNum>
  <w:abstractNum w:abstractNumId="157">
    <w:nsid w:val="37A58EEF"/>
    <w:multiLevelType w:val="hybridMultilevel"/>
    <w:lvl w:ilvl="0">
      <w:lvlJc w:val="left"/>
      <w:lvlText w:val="(%1)"/>
      <w:numFmt w:val="lowerLetter"/>
      <w:start w:val="11"/>
    </w:lvl>
  </w:abstractNum>
  <w:abstractNum w:abstractNumId="158">
    <w:nsid w:val="283290FD"/>
    <w:multiLevelType w:val="hybridMultilevel"/>
    <w:lvl w:ilvl="0">
      <w:lvlJc w:val="left"/>
      <w:lvlText w:val="%1"/>
      <w:numFmt w:val="lowerLetter"/>
      <w:start w:val="1"/>
    </w:lvl>
    <w:lvl w:ilvl="1">
      <w:lvlJc w:val="left"/>
      <w:lvlText w:val="(%2)"/>
      <w:numFmt w:val="lowerLetter"/>
      <w:start w:val="1"/>
    </w:lvl>
  </w:abstractNum>
  <w:abstractNum w:abstractNumId="159">
    <w:nsid w:val="495C0EA5"/>
    <w:multiLevelType w:val="hybridMultilevel"/>
    <w:lvl w:ilvl="0">
      <w:lvlJc w:val="left"/>
      <w:lvlText w:val="(%1)"/>
      <w:numFmt w:val="lowerLetter"/>
      <w:start w:val="9"/>
    </w:lvl>
    <w:lvl w:ilvl="1">
      <w:lvlJc w:val="left"/>
      <w:lvlText w:val="(%2)"/>
      <w:numFmt w:val="lowerLetter"/>
      <w:start w:val="9"/>
    </w:lvl>
  </w:abstractNum>
  <w:abstractNum w:abstractNumId="160">
    <w:nsid w:val="A4A062B"/>
    <w:multiLevelType w:val="hybridMultilevel"/>
    <w:lvl w:ilvl="0">
      <w:lvlJc w:val="left"/>
      <w:lvlText w:val="(%1)"/>
      <w:numFmt w:val="lowerRoman"/>
      <w:start w:val="2"/>
    </w:lvl>
  </w:abstractNum>
  <w:abstractNum w:abstractNumId="161">
    <w:nsid w:val="3BED7940"/>
    <w:multiLevelType w:val="hybridMultilevel"/>
    <w:lvl w:ilvl="0">
      <w:lvlJc w:val="left"/>
      <w:lvlText w:val="(%1)"/>
      <w:numFmt w:val="lowerRoman"/>
      <w:start w:val="4"/>
    </w:lvl>
  </w:abstractNum>
  <w:abstractNum w:abstractNumId="162">
    <w:nsid w:val="54E56D64"/>
    <w:multiLevelType w:val="hybridMultilevel"/>
    <w:lvl w:ilvl="0">
      <w:lvlJc w:val="left"/>
      <w:lvlText w:val="(%1)"/>
      <w:numFmt w:val="lowerLetter"/>
      <w:start w:val="2"/>
    </w:lvl>
  </w:abstractNum>
  <w:abstractNum w:abstractNumId="163">
    <w:nsid w:val="6EB42955"/>
    <w:multiLevelType w:val="hybridMultilevel"/>
    <w:lvl w:ilvl="0">
      <w:lvlJc w:val="left"/>
      <w:lvlText w:val="(%1)"/>
      <w:numFmt w:val="lowerRoman"/>
      <w:start w:val="1"/>
    </w:lvl>
  </w:abstractNum>
  <w:abstractNum w:abstractNumId="164">
    <w:nsid w:val="29EFA642"/>
    <w:multiLevelType w:val="hybridMultilevel"/>
    <w:lvl w:ilvl="0">
      <w:lvlJc w:val="left"/>
      <w:lvlText w:val="(%1)"/>
      <w:numFmt w:val="lowerLetter"/>
      <w:start w:val="1"/>
    </w:lvl>
  </w:abstractNum>
  <w:abstractNum w:abstractNumId="165">
    <w:nsid w:val="7E337D35"/>
    <w:multiLevelType w:val="hybridMultilevel"/>
    <w:lvl w:ilvl="0">
      <w:lvlJc w:val="left"/>
      <w:lvlText w:val="(%1)"/>
      <w:numFmt w:val="lowerLetter"/>
      <w:start w:val="1"/>
    </w:lvl>
  </w:abstractNum>
  <w:abstractNum w:abstractNumId="166">
    <w:nsid w:val="1F8C83AB"/>
    <w:multiLevelType w:val="hybridMultilevel"/>
    <w:lvl w:ilvl="0">
      <w:lvlJc w:val="left"/>
      <w:lvlText w:val="(%1)"/>
      <w:numFmt w:val="lowerRoman"/>
      <w:start w:val="1"/>
    </w:lvl>
  </w:abstractNum>
  <w:abstractNum w:abstractNumId="167">
    <w:nsid w:val="18F40A33"/>
    <w:multiLevelType w:val="hybridMultilevel"/>
    <w:lvl w:ilvl="0">
      <w:lvlJc w:val="left"/>
      <w:lvlText w:val="(%1)"/>
      <w:numFmt w:val="lowerLetter"/>
      <w:start w:val="4"/>
    </w:lvl>
  </w:abstractNum>
  <w:abstractNum w:abstractNumId="168">
    <w:nsid w:val="1059DF71"/>
    <w:multiLevelType w:val="hybridMultilevel"/>
    <w:lvl w:ilvl="0">
      <w:lvlJc w:val="left"/>
      <w:lvlText w:val="(%1)"/>
      <w:numFmt w:val="lowerLetter"/>
      <w:start w:val="1"/>
    </w:lvl>
  </w:abstractNum>
  <w:abstractNum w:abstractNumId="169">
    <w:nsid w:val="CF19F38"/>
    <w:multiLevelType w:val="hybridMultilevel"/>
    <w:lvl w:ilvl="0">
      <w:lvlJc w:val="left"/>
      <w:lvlText w:val="(%1)"/>
      <w:numFmt w:val="lowerLetter"/>
      <w:start w:val="4"/>
    </w:lvl>
  </w:abstractNum>
  <w:abstractNum w:abstractNumId="170">
    <w:nsid w:val="4AE135E2"/>
    <w:multiLevelType w:val="hybridMultilevel"/>
    <w:lvl w:ilvl="0">
      <w:lvlJc w:val="left"/>
      <w:lvlText w:val="(%1)"/>
      <w:numFmt w:val="lowerLetter"/>
      <w:start w:val="1"/>
    </w:lvl>
  </w:abstractNum>
  <w:abstractNum w:abstractNumId="171">
    <w:nsid w:val="7BD1DCF"/>
    <w:multiLevelType w:val="hybridMultilevel"/>
    <w:lvl w:ilvl="0">
      <w:lvlJc w:val="left"/>
      <w:lvlText w:val="(%1)"/>
      <w:numFmt w:val="lowerLetter"/>
      <w:start w:val="3"/>
    </w:lvl>
  </w:abstractNum>
  <w:abstractNum w:abstractNumId="172">
    <w:nsid w:val="A91E1DC"/>
    <w:multiLevelType w:val="hybridMultilevel"/>
    <w:lvl w:ilvl="0">
      <w:lvlJc w:val="left"/>
      <w:lvlText w:val="(%1)"/>
      <w:numFmt w:val="lowerLetter"/>
      <w:start w:val="1"/>
    </w:lvl>
  </w:abstractNum>
  <w:abstractNum w:abstractNumId="173">
    <w:nsid w:val="1236898D"/>
    <w:multiLevelType w:val="hybridMultilevel"/>
    <w:lvl w:ilvl="0">
      <w:lvlJc w:val="left"/>
      <w:lvlText w:val="(%1)"/>
      <w:numFmt w:val="lowerLetter"/>
      <w:start w:val="1"/>
    </w:lvl>
  </w:abstractNum>
  <w:abstractNum w:abstractNumId="174">
    <w:nsid w:val="62710862"/>
    <w:multiLevelType w:val="hybridMultilevel"/>
    <w:lvl w:ilvl="0">
      <w:lvlJc w:val="left"/>
      <w:lvlText w:val="(%1)"/>
      <w:numFmt w:val="lowerLetter"/>
      <w:start w:val="2"/>
    </w:lvl>
  </w:abstractNum>
  <w:abstractNum w:abstractNumId="175">
    <w:nsid w:val="7EA94A2B"/>
    <w:multiLevelType w:val="hybridMultilevel"/>
    <w:lvl w:ilvl="0">
      <w:lvlJc w:val="left"/>
      <w:lvlText w:val="(%1)"/>
      <w:numFmt w:val="lowerLetter"/>
      <w:start w:val="7"/>
    </w:lvl>
  </w:abstractNum>
  <w:abstractNum w:abstractNumId="176">
    <w:nsid w:val="20D49DA3"/>
    <w:multiLevelType w:val="hybridMultilevel"/>
    <w:lvl w:ilvl="0">
      <w:lvlJc w:val="left"/>
      <w:lvlText w:val="(%1)"/>
      <w:numFmt w:val="lowerLetter"/>
      <w:start w:val="1"/>
    </w:lvl>
  </w:abstractNum>
  <w:abstractNum w:abstractNumId="177">
    <w:nsid w:val="6272919F"/>
    <w:multiLevelType w:val="hybridMultilevel"/>
    <w:lvl w:ilvl="0">
      <w:lvlJc w:val="left"/>
      <w:lvlText w:val="(%1)"/>
      <w:numFmt w:val="lowerLetter"/>
      <w:start w:val="2"/>
    </w:lvl>
  </w:abstractNum>
  <w:abstractNum w:abstractNumId="178">
    <w:nsid w:val="127DED1D"/>
    <w:multiLevelType w:val="hybridMultilevel"/>
    <w:lvl w:ilvl="0">
      <w:lvlJc w:val="left"/>
      <w:lvlText w:val="(%1)"/>
      <w:numFmt w:val="lowerRoman"/>
      <w:start w:val="1"/>
    </w:lvl>
  </w:abstractNum>
  <w:abstractNum w:abstractNumId="179">
    <w:nsid w:val="483966AA"/>
    <w:multiLevelType w:val="hybridMultilevel"/>
    <w:lvl w:ilvl="0">
      <w:lvlJc w:val="left"/>
      <w:lvlText w:val="(%1)"/>
      <w:numFmt w:val="lowerLetter"/>
      <w:start w:val="2"/>
    </w:lvl>
  </w:abstractNum>
  <w:abstractNum w:abstractNumId="180">
    <w:nsid w:val="667FC831"/>
    <w:multiLevelType w:val="hybridMultilevel"/>
    <w:lvl w:ilvl="0">
      <w:lvlJc w:val="left"/>
      <w:lvlText w:val="(%1)"/>
      <w:numFmt w:val="lowerLetter"/>
      <w:start w:val="3"/>
    </w:lvl>
  </w:abstractNum>
  <w:abstractNum w:abstractNumId="181">
    <w:nsid w:val="34ADB582"/>
    <w:multiLevelType w:val="hybridMultilevel"/>
    <w:lvl w:ilvl="0">
      <w:lvlJc w:val="left"/>
      <w:lvlText w:val="(%1)"/>
      <w:numFmt w:val="lowerLetter"/>
      <w:start w:val="7"/>
    </w:lvl>
  </w:abstractNum>
  <w:abstractNum w:abstractNumId="182">
    <w:nsid w:val="4CB58EA4"/>
    <w:multiLevelType w:val="hybridMultilevel"/>
    <w:lvl w:ilvl="0">
      <w:lvlJc w:val="left"/>
      <w:lvlText w:val="%1"/>
      <w:numFmt w:val="lowerLetter"/>
      <w:start w:val="1"/>
    </w:lvl>
    <w:lvl w:ilvl="1">
      <w:lvlJc w:val="left"/>
      <w:lvlText w:val="(%2)"/>
      <w:numFmt w:val="lowerLetter"/>
      <w:start w:val="1"/>
    </w:lvl>
  </w:abstractNum>
  <w:abstractNum w:abstractNumId="183">
    <w:nsid w:val="39629FFA"/>
    <w:multiLevelType w:val="hybridMultilevel"/>
    <w:lvl w:ilvl="0">
      <w:lvlJc w:val="left"/>
      <w:lvlText w:val="(%1)"/>
      <w:numFmt w:val="lowerLetter"/>
      <w:start w:val="9"/>
    </w:lvl>
    <w:lvl w:ilvl="1">
      <w:lvlJc w:val="left"/>
      <w:lvlText w:val="%2"/>
      <w:numFmt w:val="lowerLetter"/>
      <w:start w:val="1"/>
    </w:lvl>
  </w:abstractNum>
  <w:abstractNum w:abstractNumId="184">
    <w:nsid w:val="71F94ADC"/>
    <w:multiLevelType w:val="hybridMultilevel"/>
    <w:lvl w:ilvl="0">
      <w:lvlJc w:val="left"/>
      <w:lvlText w:val="(%1)"/>
      <w:numFmt w:val="lowerLetter"/>
      <w:start w:val="2"/>
    </w:lvl>
  </w:abstractNum>
  <w:abstractNum w:abstractNumId="185">
    <w:nsid w:val="27FFB15A"/>
    <w:multiLevelType w:val="hybridMultilevel"/>
    <w:lvl w:ilvl="0">
      <w:lvlJc w:val="left"/>
      <w:lvlText w:val="(%1)"/>
      <w:numFmt w:val="lowerLetter"/>
      <w:start w:val="7"/>
    </w:lvl>
  </w:abstractNum>
  <w:abstractNum w:abstractNumId="186">
    <w:nsid w:val="48BE573"/>
    <w:multiLevelType w:val="hybridMultilevel"/>
    <w:lvl w:ilvl="0">
      <w:lvlJc w:val="left"/>
      <w:lvlText w:val="(%1)"/>
      <w:numFmt w:val="lowerRoman"/>
      <w:start w:val="1"/>
    </w:lvl>
  </w:abstractNum>
  <w:abstractNum w:abstractNumId="187">
    <w:nsid w:val="142AC06C"/>
    <w:multiLevelType w:val="hybridMultilevel"/>
    <w:lvl w:ilvl="0">
      <w:lvlJc w:val="left"/>
      <w:lvlText w:val="(%1)"/>
      <w:numFmt w:val="upperLetter"/>
      <w:start w:val="4"/>
    </w:lvl>
    <w:lvl w:ilvl="1">
      <w:lvlJc w:val="left"/>
      <w:lvlText w:val="(%2)"/>
      <w:numFmt w:val="lowerRoman"/>
      <w:start w:val="5"/>
    </w:lvl>
  </w:abstractNum>
  <w:abstractNum w:abstractNumId="188">
    <w:nsid w:val="5FA54049"/>
    <w:multiLevelType w:val="hybridMultilevel"/>
    <w:lvl w:ilvl="0">
      <w:lvlJc w:val="left"/>
      <w:lvlText w:val="(%1)"/>
      <w:numFmt w:val="decimal"/>
      <w:start w:val="2"/>
    </w:lvl>
  </w:abstractNum>
  <w:abstractNum w:abstractNumId="189">
    <w:nsid w:val="2CBE7670"/>
    <w:multiLevelType w:val="hybridMultilevel"/>
    <w:lvl w:ilvl="0">
      <w:lvlJc w:val="left"/>
      <w:lvlText w:val="(%1)"/>
      <w:numFmt w:val="decimal"/>
      <w:start w:val="3"/>
    </w:lvl>
  </w:abstractNum>
  <w:abstractNum w:abstractNumId="190">
    <w:nsid w:val="5D86CF11"/>
    <w:multiLevelType w:val="hybridMultilevel"/>
    <w:lvl w:ilvl="0">
      <w:lvlJc w:val="left"/>
      <w:lvlText w:val="(%1)"/>
      <w:numFmt w:val="lowerLetter"/>
      <w:start w:val="8"/>
    </w:lvl>
  </w:abstractNum>
  <w:abstractNum w:abstractNumId="191">
    <w:nsid w:val="69EF4674"/>
    <w:multiLevelType w:val="hybridMultilevel"/>
    <w:lvl w:ilvl="0">
      <w:lvlJc w:val="left"/>
      <w:lvlText w:val="(%1)"/>
      <w:numFmt w:val="lowerLetter"/>
      <w:start w:val="1"/>
    </w:lvl>
  </w:abstractNum>
  <w:abstractNum w:abstractNumId="192">
    <w:nsid w:val="68ABEFB0"/>
    <w:multiLevelType w:val="hybridMultilevel"/>
    <w:lvl w:ilvl="0">
      <w:lvlJc w:val="left"/>
      <w:lvlText w:val="(%1)"/>
      <w:numFmt w:val="lowerLetter"/>
      <w:start w:val="3"/>
    </w:lvl>
  </w:abstractNum>
  <w:abstractNum w:abstractNumId="193">
    <w:nsid w:val="326C3C76"/>
    <w:multiLevelType w:val="hybridMultilevel"/>
    <w:lvl w:ilvl="0">
      <w:lvlJc w:val="left"/>
      <w:lvlText w:val="(%1)"/>
      <w:numFmt w:val="lowerRoman"/>
      <w:start w:val="1"/>
    </w:lvl>
  </w:abstractNum>
  <w:abstractNum w:abstractNumId="194">
    <w:nsid w:val="58A36FCA"/>
    <w:multiLevelType w:val="hybridMultilevel"/>
    <w:lvl w:ilvl="0">
      <w:lvlJc w:val="left"/>
      <w:lvlText w:val="(%1)"/>
      <w:numFmt w:val="lowerRoman"/>
      <w:start w:val="2"/>
    </w:lvl>
  </w:abstractNum>
  <w:abstractNum w:abstractNumId="195">
    <w:nsid w:val="129B95F2"/>
    <w:multiLevelType w:val="hybridMultilevel"/>
    <w:lvl w:ilvl="0">
      <w:lvlJc w:val="left"/>
      <w:lvlText w:val="%1"/>
      <w:numFmt w:val="lowerLetter"/>
      <w:start w:val="1"/>
    </w:lvl>
    <w:lvl w:ilvl="1">
      <w:lvlJc w:val="left"/>
      <w:lvlText w:val="(%2)"/>
      <w:numFmt w:val="lowerLetter"/>
      <w:start w:val="1"/>
    </w:lvl>
  </w:abstractNum>
  <w:abstractNum w:abstractNumId="196">
    <w:nsid w:val="309FB9AB"/>
    <w:multiLevelType w:val="hybridMultilevel"/>
    <w:lvl w:ilvl="0">
      <w:lvlJc w:val="left"/>
      <w:lvlText w:val="(%1)"/>
      <w:numFmt w:val="lowerLetter"/>
      <w:start w:val="9"/>
    </w:lvl>
    <w:lvl w:ilvl="1">
      <w:lvlJc w:val="left"/>
      <w:lvlText w:val="(%2)"/>
      <w:numFmt w:val="lowerLetter"/>
      <w:start w:val="2"/>
    </w:lvl>
  </w:abstractNum>
  <w:abstractNum w:abstractNumId="197">
    <w:nsid w:val="782FF375"/>
    <w:multiLevelType w:val="hybridMultilevel"/>
    <w:lvl w:ilvl="0">
      <w:lvlJc w:val="left"/>
      <w:lvlText w:val="(%1)"/>
      <w:numFmt w:val="lowerLetter"/>
      <w:start w:val="9"/>
    </w:lvl>
    <w:lvl w:ilvl="1">
      <w:lvlJc w:val="left"/>
      <w:lvlText w:val="%2"/>
      <w:numFmt w:val="lowerLetter"/>
      <w:start w:val="1"/>
    </w:lvl>
  </w:abstractNum>
  <w:abstractNum w:abstractNumId="198">
    <w:nsid w:val="2B8FA025"/>
    <w:multiLevelType w:val="hybridMultilevel"/>
    <w:lvl w:ilvl="0">
      <w:lvlJc w:val="left"/>
      <w:lvlText w:val="(%1)"/>
      <w:numFmt w:val="lowerLetter"/>
      <w:start w:val="1"/>
    </w:lvl>
  </w:abstractNum>
  <w:abstractNum w:abstractNumId="199">
    <w:nsid w:val="40F9991C"/>
    <w:multiLevelType w:val="hybridMultilevel"/>
    <w:lvl w:ilvl="0">
      <w:lvlJc w:val="left"/>
      <w:lvlText w:val="(%1)"/>
      <w:numFmt w:val="lowerLetter"/>
      <w:start w:val="1"/>
    </w:lvl>
  </w:abstractNum>
  <w:abstractNum w:abstractNumId="200">
    <w:nsid w:val="52192AD"/>
    <w:multiLevelType w:val="hybridMultilevel"/>
    <w:lvl w:ilvl="0">
      <w:lvlJc w:val="left"/>
      <w:lvlText w:val="(%1)"/>
      <w:numFmt w:val="upperLetter"/>
      <w:start w:val="3"/>
    </w:lvl>
    <w:lvl w:ilvl="1">
      <w:lvlJc w:val="left"/>
      <w:lvlText w:val="(%2)"/>
      <w:numFmt w:val="lowerLetter"/>
      <w:start w:val="3"/>
    </w:lvl>
  </w:abstractNum>
  <w:abstractNum w:abstractNumId="201">
    <w:nsid w:val="7670D608"/>
    <w:multiLevelType w:val="hybridMultilevel"/>
    <w:lvl w:ilvl="0">
      <w:lvlJc w:val="left"/>
      <w:lvlText w:val="(%1)"/>
      <w:numFmt w:val="lowerRoman"/>
      <w:start w:val="1"/>
    </w:lvl>
  </w:abstractNum>
  <w:abstractNum w:abstractNumId="202">
    <w:nsid w:val="48B6B6EB"/>
    <w:multiLevelType w:val="hybridMultilevel"/>
    <w:lvl w:ilvl="0">
      <w:lvlJc w:val="left"/>
      <w:lvlText w:val="(%1)"/>
      <w:numFmt w:val="lowerRoman"/>
      <w:start w:val="2"/>
    </w:lvl>
  </w:abstractNum>
  <w:abstractNum w:abstractNumId="203">
    <w:nsid w:val="FB37489"/>
    <w:multiLevelType w:val="hybridMultilevel"/>
    <w:lvl w:ilvl="0">
      <w:lvlJc w:val="left"/>
      <w:lvlText w:val="(%1)"/>
      <w:numFmt w:val="lowerLetter"/>
      <w:start w:val="5"/>
    </w:lvl>
  </w:abstractNum>
  <w:abstractNum w:abstractNumId="204">
    <w:nsid w:val="8A75F95"/>
    <w:multiLevelType w:val="hybridMultilevel"/>
    <w:lvl w:ilvl="0">
      <w:lvlJc w:val="left"/>
      <w:lvlText w:val="(%1)"/>
      <w:numFmt w:val="lowerRoman"/>
      <w:start w:val="1"/>
    </w:lvl>
  </w:abstractNum>
  <w:abstractNum w:abstractNumId="205">
    <w:nsid w:val="2B27BF4D"/>
    <w:multiLevelType w:val="hybridMultilevel"/>
    <w:lvl w:ilvl="0">
      <w:lvlJc w:val="left"/>
      <w:lvlText w:val="(%1)"/>
      <w:numFmt w:val="lowerLetter"/>
      <w:start w:val="6"/>
    </w:lvl>
  </w:abstractNum>
  <w:abstractNum w:abstractNumId="206">
    <w:nsid w:val="E5CBEB4"/>
    <w:multiLevelType w:val="hybridMultilevel"/>
    <w:lvl w:ilvl="0">
      <w:lvlJc w:val="left"/>
      <w:lvlText w:val="(%1)"/>
      <w:numFmt w:val="lowerLetter"/>
      <w:start w:val="8"/>
    </w:lvl>
  </w:abstractNum>
  <w:abstractNum w:abstractNumId="207">
    <w:nsid w:val="297BFD38"/>
    <w:multiLevelType w:val="hybridMultilevel"/>
    <w:lvl w:ilvl="0">
      <w:lvlJc w:val="left"/>
      <w:lvlText w:val="(%1)"/>
      <w:numFmt w:val="lowerLetter"/>
      <w:start w:val="10"/>
    </w:lvl>
  </w:abstractNum>
  <w:abstractNum w:abstractNumId="208">
    <w:nsid w:val="D9A50ED"/>
    <w:multiLevelType w:val="hybridMultilevel"/>
    <w:lvl w:ilvl="0">
      <w:lvlJc w:val="left"/>
      <w:lvlText w:val="%1"/>
      <w:numFmt w:val="lowerLetter"/>
      <w:start w:val="1"/>
    </w:lvl>
    <w:lvl w:ilvl="1">
      <w:lvlJc w:val="left"/>
      <w:lvlText w:val="(%2)"/>
      <w:numFmt w:val="lowerLetter"/>
      <w:start w:val="1"/>
    </w:lvl>
  </w:abstractNum>
  <w:abstractNum w:abstractNumId="209">
    <w:nsid w:val="20DAABD1"/>
    <w:multiLevelType w:val="hybridMultilevel"/>
    <w:lvl w:ilvl="0">
      <w:lvlJc w:val="left"/>
      <w:lvlText w:val="(%1)"/>
      <w:numFmt w:val="lowerLetter"/>
      <w:start w:val="35"/>
    </w:lvl>
    <w:lvl w:ilvl="1">
      <w:lvlJc w:val="left"/>
      <w:lvlText w:val="(%2)"/>
      <w:numFmt w:val="lowerLetter"/>
      <w:start w:val="2"/>
    </w:lvl>
  </w:abstractNum>
  <w:abstractNum w:abstractNumId="210">
    <w:nsid w:val="71B563E3"/>
    <w:multiLevelType w:val="hybridMultilevel"/>
    <w:lvl w:ilvl="0">
      <w:lvlJc w:val="left"/>
      <w:lvlText w:val="%1"/>
      <w:numFmt w:val="decimal"/>
      <w:start w:val="1"/>
    </w:lvl>
    <w:lvl w:ilvl="1">
      <w:lvlJc w:val="left"/>
      <w:lvlText w:val="(%2)"/>
      <w:numFmt w:val="lowerRoman"/>
      <w:start w:val="1"/>
    </w:lvl>
  </w:abstractNum>
  <w:abstractNum w:abstractNumId="211">
    <w:nsid w:val="741A191E"/>
    <w:multiLevelType w:val="hybridMultilevel"/>
    <w:lvl w:ilvl="0">
      <w:lvlJc w:val="left"/>
      <w:lvlText w:val="(%1)"/>
      <w:numFmt w:val="decimal"/>
      <w:start w:val="3"/>
    </w:lvl>
    <w:lvl w:ilvl="1">
      <w:lvlJc w:val="left"/>
      <w:lvlText w:val="%2"/>
      <w:numFmt w:val="lowerRoman"/>
      <w:start w:val="1"/>
    </w:lvl>
  </w:abstractNum>
  <w:abstractNum w:abstractNumId="212">
    <w:nsid w:val="55886153"/>
    <w:multiLevelType w:val="hybridMultilevel"/>
    <w:lvl w:ilvl="0">
      <w:lvlJc w:val="left"/>
      <w:lvlText w:val="(%1)"/>
      <w:numFmt w:val="lowerLetter"/>
      <w:start w:val="3"/>
    </w:lvl>
  </w:abstractNum>
  <w:abstractNum w:abstractNumId="213">
    <w:nsid w:val="3E6AF287"/>
    <w:multiLevelType w:val="hybridMultilevel"/>
    <w:lvl w:ilvl="0">
      <w:lvlJc w:val="left"/>
      <w:lvlText w:val="(%1)"/>
      <w:numFmt w:val="lowerRoman"/>
      <w:start w:val="1"/>
    </w:lvl>
  </w:abstractNum>
  <w:abstractNum w:abstractNumId="214">
    <w:nsid w:val="2D7CB919"/>
    <w:multiLevelType w:val="hybridMultilevel"/>
    <w:lvl w:ilvl="0">
      <w:lvlJc w:val="left"/>
      <w:lvlText w:val="(%1)"/>
      <w:numFmt w:val="lowerRoman"/>
      <w:start w:val="5"/>
    </w:lvl>
  </w:abstractNum>
  <w:abstractNum w:abstractNumId="215">
    <w:nsid w:val="4781AC2F"/>
    <w:multiLevelType w:val="hybridMultilevel"/>
    <w:lvl w:ilvl="0">
      <w:lvlJc w:val="left"/>
      <w:lvlText w:val="(%1)"/>
      <w:numFmt w:val="lowerLetter"/>
      <w:start w:val="4"/>
    </w:lvl>
  </w:abstractNum>
  <w:abstractNum w:abstractNumId="216">
    <w:nsid w:val="666AA3E1"/>
    <w:multiLevelType w:val="hybridMultilevel"/>
    <w:lvl w:ilvl="0">
      <w:lvlJc w:val="left"/>
      <w:lvlText w:val="(%1)"/>
      <w:numFmt w:val="lowerLetter"/>
      <w:start w:val="5"/>
    </w:lvl>
  </w:abstractNum>
  <w:abstractNum w:abstractNumId="217">
    <w:nsid w:val="32089E8C"/>
    <w:multiLevelType w:val="hybridMultilevel"/>
    <w:lvl w:ilvl="0">
      <w:lvlJc w:val="left"/>
      <w:lvlText w:val="(%1)"/>
      <w:numFmt w:val="lowerLetter"/>
      <w:start w:val="1"/>
    </w:lvl>
  </w:abstractNum>
  <w:abstractNum w:abstractNumId="218">
    <w:nsid w:val="5BAC6C9C"/>
    <w:multiLevelType w:val="hybridMultilevel"/>
    <w:lvl w:ilvl="0">
      <w:lvlJc w:val="left"/>
      <w:lvlText w:val="(%1)"/>
      <w:numFmt w:val="lowerRoman"/>
      <w:start w:val="1"/>
    </w:lvl>
  </w:abstractNum>
  <w:abstractNum w:abstractNumId="219">
    <w:nsid w:val="460FE42B"/>
    <w:multiLevelType w:val="hybridMultilevel"/>
    <w:lvl w:ilvl="0">
      <w:lvlJc w:val="left"/>
      <w:lvlText w:val="(%1)"/>
      <w:numFmt w:val="lowerRoman"/>
      <w:start w:val="5"/>
    </w:lvl>
  </w:abstractNum>
  <w:abstractNum w:abstractNumId="220">
    <w:nsid w:val="5EC714FC"/>
    <w:multiLevelType w:val="hybridMultilevel"/>
    <w:lvl w:ilvl="0">
      <w:lvlJc w:val="left"/>
      <w:lvlText w:val="(%1)"/>
      <w:numFmt w:val="lowerLetter"/>
      <w:start w:val="2"/>
    </w:lvl>
  </w:abstractNum>
  <w:abstractNum w:abstractNumId="221">
    <w:nsid w:val="39333BAD"/>
    <w:multiLevelType w:val="hybridMultilevel"/>
    <w:lvl w:ilvl="0">
      <w:lvlJc w:val="left"/>
      <w:lvlText w:val="(%1)"/>
      <w:numFmt w:val="lowerRoman"/>
      <w:start w:val="1"/>
    </w:lvl>
  </w:abstractNum>
  <w:abstractNum w:abstractNumId="222">
    <w:nsid w:val="2FFF2A9F"/>
    <w:multiLevelType w:val="hybridMultilevel"/>
    <w:lvl w:ilvl="0">
      <w:lvlJc w:val="left"/>
      <w:lvlText w:val="(%1)"/>
      <w:numFmt w:val="lowerRoman"/>
      <w:start w:val="3"/>
    </w:lvl>
  </w:abstractNum>
  <w:abstractNum w:abstractNumId="223">
    <w:nsid w:val="477304AC"/>
    <w:multiLevelType w:val="hybridMultilevel"/>
    <w:lvl w:ilvl="0">
      <w:lvlJc w:val="left"/>
      <w:lvlText w:val="(%1)"/>
      <w:numFmt w:val="lowerRoman"/>
      <w:start w:val="5"/>
    </w:lvl>
  </w:abstractNum>
  <w:abstractNum w:abstractNumId="224">
    <w:nsid w:val="6B9F7823"/>
    <w:multiLevelType w:val="hybridMultilevel"/>
    <w:lvl w:ilvl="0">
      <w:lvlJc w:val="left"/>
      <w:lvlText w:val="(%1)"/>
      <w:numFmt w:val="lowerLetter"/>
      <w:start w:val="3"/>
    </w:lvl>
  </w:abstractNum>
  <w:abstractNum w:abstractNumId="225">
    <w:nsid w:val="8A29A69"/>
    <w:multiLevelType w:val="hybridMultilevel"/>
    <w:lvl w:ilvl="0">
      <w:lvlJc w:val="left"/>
      <w:lvlText w:val="(%1)"/>
      <w:numFmt w:val="lowerLetter"/>
      <w:start w:val="5"/>
    </w:lvl>
  </w:abstractNum>
  <w:abstractNum w:abstractNumId="226">
    <w:nsid w:val="5A0E9A9F"/>
    <w:multiLevelType w:val="hybridMultilevel"/>
    <w:lvl w:ilvl="0">
      <w:lvlJc w:val="left"/>
      <w:lvlText w:val="(%1)"/>
      <w:numFmt w:val="lowerLetter"/>
      <w:start w:val="1"/>
    </w:lvl>
  </w:abstractNum>
  <w:abstractNum w:abstractNumId="227">
    <w:nsid w:val="1C3F31CE"/>
    <w:multiLevelType w:val="hybridMultilevel"/>
    <w:lvl w:ilvl="0">
      <w:lvlJc w:val="left"/>
      <w:lvlText w:val="(%1)"/>
      <w:numFmt w:val="lowerLetter"/>
      <w:start w:val="1"/>
    </w:lvl>
  </w:abstractNum>
  <w:abstractNum w:abstractNumId="228">
    <w:nsid w:val="D28DDE"/>
    <w:multiLevelType w:val="hybridMultilevel"/>
    <w:lvl w:ilvl="0">
      <w:lvlJc w:val="left"/>
      <w:lvlText w:val="(%1)"/>
      <w:numFmt w:val="lowerLetter"/>
      <w:start w:val="2"/>
    </w:lvl>
  </w:abstractNum>
  <w:abstractNum w:abstractNumId="229">
    <w:nsid w:val="59E3AC4"/>
    <w:multiLevelType w:val="hybridMultilevel"/>
    <w:lvl w:ilvl="0">
      <w:lvlJc w:val="left"/>
      <w:lvlText w:val="(%1)"/>
      <w:numFmt w:val="lowerLetter"/>
      <w:start w:val="1"/>
    </w:lvl>
  </w:abstractNum>
  <w:abstractNum w:abstractNumId="230">
    <w:nsid w:val="5D38CAEA"/>
    <w:multiLevelType w:val="hybridMultilevel"/>
    <w:lvl w:ilvl="0">
      <w:lvlJc w:val="left"/>
      <w:lvlText w:val="(%1)"/>
      <w:numFmt w:val="lowerLetter"/>
      <w:start w:val="1"/>
    </w:lvl>
  </w:abstractNum>
  <w:abstractNum w:abstractNumId="231">
    <w:nsid w:val="5F4208C"/>
    <w:multiLevelType w:val="hybridMultilevel"/>
    <w:lvl w:ilvl="0">
      <w:lvlJc w:val="left"/>
      <w:lvlText w:val="(%1)"/>
      <w:numFmt w:val="lowerLetter"/>
      <w:start w:val="1"/>
    </w:lvl>
  </w:abstractNum>
  <w:abstractNum w:abstractNumId="232">
    <w:nsid w:val="7C0F10CC"/>
    <w:multiLevelType w:val="hybridMultilevel"/>
    <w:lvl w:ilvl="0">
      <w:lvlJc w:val="left"/>
      <w:lvlText w:val="(%1)"/>
      <w:numFmt w:val="lowerLetter"/>
      <w:start w:val="1"/>
    </w:lvl>
  </w:abstractNum>
  <w:abstractNum w:abstractNumId="233">
    <w:nsid w:val="25EF81D5"/>
    <w:multiLevelType w:val="hybridMultilevel"/>
    <w:lvl w:ilvl="0">
      <w:lvlJc w:val="left"/>
      <w:lvlText w:val="(%1)"/>
      <w:numFmt w:val="lowerLetter"/>
      <w:start w:val="4"/>
    </w:lvl>
  </w:abstractNum>
  <w:abstractNum w:abstractNumId="234">
    <w:nsid w:val="15A79515"/>
    <w:multiLevelType w:val="hybridMultilevel"/>
    <w:lvl w:ilvl="0">
      <w:lvlJc w:val="left"/>
      <w:lvlText w:val="(%1)"/>
      <w:numFmt w:val="lowerLetter"/>
      <w:start w:val="1"/>
    </w:lvl>
  </w:abstractNum>
  <w:abstractNum w:abstractNumId="235">
    <w:nsid w:val="4B67062"/>
    <w:multiLevelType w:val="hybridMultilevel"/>
    <w:lvl w:ilvl="0">
      <w:lvlJc w:val="left"/>
      <w:lvlText w:val="(%1)"/>
      <w:numFmt w:val="lowerLetter"/>
      <w:start w:val="2"/>
    </w:lvl>
  </w:abstractNum>
  <w:abstractNum w:abstractNumId="236">
    <w:nsid w:val="51174123"/>
    <w:multiLevelType w:val="hybridMultilevel"/>
    <w:lvl w:ilvl="0">
      <w:lvlJc w:val="left"/>
      <w:lvlText w:val="(%1)"/>
      <w:numFmt w:val="lowerLetter"/>
      <w:start w:val="7"/>
    </w:lvl>
  </w:abstractNum>
  <w:abstractNum w:abstractNumId="237">
    <w:nsid w:val="240453CA"/>
    <w:multiLevelType w:val="hybridMultilevel"/>
    <w:lvl w:ilvl="0">
      <w:lvlJc w:val="left"/>
      <w:lvlText w:val="(%1)"/>
      <w:numFmt w:val="lowerRoman"/>
      <w:start w:val="3"/>
    </w:lvl>
  </w:abstractNum>
  <w:abstractNum w:abstractNumId="238">
    <w:nsid w:val="2E326D9A"/>
    <w:multiLevelType w:val="hybridMultilevel"/>
    <w:lvl w:ilvl="0">
      <w:lvlJc w:val="left"/>
      <w:lvlText w:val="(%1)"/>
      <w:numFmt w:val="decimal"/>
      <w:start w:val="1"/>
    </w:lvl>
  </w:abstractNum>
  <w:abstractNum w:abstractNumId="239">
    <w:nsid w:val="5EB19210"/>
    <w:multiLevelType w:val="hybridMultilevel"/>
    <w:lvl w:ilvl="0">
      <w:lvlJc w:val="left"/>
      <w:lvlText w:val="(%1)"/>
      <w:numFmt w:val="lowerLetter"/>
      <w:start w:val="1"/>
    </w:lvl>
  </w:abstractNum>
  <w:abstractNum w:abstractNumId="240">
    <w:nsid w:val="44DEFF9B"/>
    <w:multiLevelType w:val="hybridMultilevel"/>
    <w:lvl w:ilvl="0">
      <w:lvlJc w:val="left"/>
      <w:lvlText w:val="(%1)"/>
      <w:numFmt w:val="decimal"/>
      <w:start w:val="1"/>
    </w:lvl>
  </w:abstractNum>
  <w:abstractNum w:abstractNumId="241">
    <w:nsid w:val="1FE7D17D"/>
    <w:multiLevelType w:val="hybridMultilevel"/>
    <w:lvl w:ilvl="0">
      <w:lvlJc w:val="left"/>
      <w:lvlText w:val="(%1)"/>
      <w:numFmt w:val="decimal"/>
      <w:start w:val="1"/>
    </w:lvl>
  </w:abstractNum>
  <w:abstractNum w:abstractNumId="242">
    <w:nsid w:val="52CBAB2E"/>
    <w:multiLevelType w:val="hybridMultilevel"/>
    <w:lvl w:ilvl="0">
      <w:lvlJc w:val="left"/>
      <w:lvlText w:val="(%1)"/>
      <w:numFmt w:val="decimal"/>
      <w:start w:val="6"/>
    </w:lvl>
  </w:abstractNum>
  <w:abstractNum w:abstractNumId="243">
    <w:nsid w:val="1A6760EF"/>
    <w:multiLevelType w:val="hybridMultilevel"/>
    <w:lvl w:ilvl="0">
      <w:lvlJc w:val="left"/>
      <w:lvlText w:val="(%1)"/>
      <w:numFmt w:val="lowerLetter"/>
      <w:start w:val="2"/>
    </w:lvl>
  </w:abstractNum>
  <w:abstractNum w:abstractNumId="244">
    <w:nsid w:val="5E52C405"/>
    <w:multiLevelType w:val="hybridMultilevel"/>
    <w:lvl w:ilvl="0">
      <w:lvlJc w:val="left"/>
      <w:lvlText w:val="(%1)"/>
      <w:numFmt w:val="lowerLetter"/>
      <w:start w:val="1"/>
    </w:lvl>
  </w:abstractNum>
  <w:abstractNum w:abstractNumId="245">
    <w:nsid w:val="486447"/>
    <w:multiLevelType w:val="hybridMultilevel"/>
    <w:lvl w:ilvl="0">
      <w:lvlJc w:val="left"/>
      <w:lvlText w:val="(%1)"/>
      <w:numFmt w:val="lowerLetter"/>
      <w:start w:val="3"/>
    </w:lvl>
  </w:abstractNum>
  <w:abstractNum w:abstractNumId="246">
    <w:nsid w:val="61E90D1E"/>
    <w:multiLevelType w:val="hybridMultilevel"/>
    <w:lvl w:ilvl="0">
      <w:lvlJc w:val="left"/>
      <w:lvlText w:val="(%1)"/>
      <w:numFmt w:val="lowerLetter"/>
      <w:start w:val="1"/>
    </w:lvl>
  </w:abstractNum>
  <w:abstractNum w:abstractNumId="247">
    <w:nsid w:val="44BD67E6"/>
    <w:multiLevelType w:val="hybridMultilevel"/>
    <w:lvl w:ilvl="0">
      <w:lvlJc w:val="left"/>
      <w:lvlText w:val="(%1)"/>
      <w:numFmt w:val="lowerLetter"/>
      <w:start w:val="1"/>
    </w:lvl>
  </w:abstractNum>
  <w:abstractNum w:abstractNumId="248">
    <w:nsid w:val="325102D3"/>
    <w:multiLevelType w:val="hybridMultilevel"/>
    <w:lvl w:ilvl="0">
      <w:lvlJc w:val="left"/>
      <w:lvlText w:val="(%1)"/>
      <w:numFmt w:val="lowerLetter"/>
      <w:start w:val="3"/>
    </w:lvl>
  </w:abstractNum>
  <w:abstractNum w:abstractNumId="249">
    <w:nsid w:val="3D9579BA"/>
    <w:multiLevelType w:val="hybridMultilevel"/>
    <w:lvl w:ilvl="0">
      <w:lvlJc w:val="left"/>
      <w:lvlText w:val="%1"/>
      <w:numFmt w:val="lowerRoman"/>
      <w:start w:val="1"/>
    </w:lvl>
    <w:lvl w:ilvl="1">
      <w:lvlJc w:val="left"/>
      <w:lvlText w:val="(%2)"/>
      <w:numFmt w:val="lowerRoman"/>
      <w:start w:val="1"/>
    </w:lvl>
  </w:abstractNum>
  <w:abstractNum w:abstractNumId="250">
    <w:nsid w:val="ACD4C11"/>
    <w:multiLevelType w:val="hybridMultilevel"/>
    <w:lvl w:ilvl="0">
      <w:lvlJc w:val="left"/>
      <w:lvlText w:val="(%1)"/>
      <w:numFmt w:val="lowerRoman"/>
      <w:start w:val="4"/>
    </w:lvl>
    <w:lvl w:ilvl="1">
      <w:lvlJc w:val="left"/>
      <w:lvlText w:val="%2"/>
      <w:numFmt w:val="lowerRoman"/>
      <w:start w:val="1"/>
    </w:lvl>
  </w:abstractNum>
  <w:abstractNum w:abstractNumId="251">
    <w:nsid w:val="111817CF"/>
    <w:multiLevelType w:val="hybridMultilevel"/>
    <w:lvl w:ilvl="0">
      <w:lvlJc w:val="left"/>
      <w:lvlText w:val="(%1)"/>
      <w:numFmt w:val="lowerLetter"/>
      <w:start w:val="24"/>
    </w:lvl>
    <w:lvl w:ilvl="1">
      <w:lvlJc w:val="left"/>
      <w:lvlText w:val="(%2)"/>
      <w:numFmt w:val="upperLetter"/>
      <w:start w:val="1"/>
    </w:lvl>
  </w:abstractNum>
  <w:abstractNum w:abstractNumId="252">
    <w:nsid w:val="76C8B568"/>
    <w:multiLevelType w:val="hybridMultilevel"/>
    <w:lvl w:ilvl="0">
      <w:lvlJc w:val="left"/>
      <w:lvlText w:val="(%1)"/>
      <w:numFmt w:val="upperLetter"/>
      <w:start w:val="2"/>
    </w:lvl>
  </w:abstractNum>
  <w:abstractNum w:abstractNumId="253">
    <w:nsid w:val="3ACC76B1"/>
    <w:multiLevelType w:val="hybridMultilevel"/>
    <w:lvl w:ilvl="0">
      <w:lvlJc w:val="left"/>
      <w:lvlText w:val="(%1)"/>
      <w:numFmt w:val="upperLetter"/>
      <w:start w:val="5"/>
    </w:lvl>
  </w:abstractNum>
  <w:abstractNum w:abstractNumId="254">
    <w:nsid w:val="588B1C7C"/>
    <w:multiLevelType w:val="hybridMultilevel"/>
    <w:lvl w:ilvl="0">
      <w:lvlJc w:val="left"/>
      <w:lvlText w:val="(%1)"/>
      <w:numFmt w:val="decimal"/>
      <w:start w:val="1"/>
    </w:lvl>
  </w:abstractNum>
  <w:abstractNum w:abstractNumId="255">
    <w:nsid w:val="62682D8B"/>
    <w:multiLevelType w:val="hybridMultilevel"/>
    <w:lvl w:ilvl="0">
      <w:lvlJc w:val="left"/>
      <w:lvlText w:val="(%1)"/>
      <w:numFmt w:val="decimal"/>
      <w:start w:val="5"/>
    </w:lvl>
  </w:abstractNum>
  <w:abstractNum w:abstractNumId="256">
    <w:nsid w:val="436F111A"/>
    <w:multiLevelType w:val="hybridMultilevel"/>
    <w:lvl w:ilvl="0">
      <w:lvlJc w:val="left"/>
      <w:lvlText w:val="%1"/>
      <w:numFmt w:val="lowerRoman"/>
      <w:start w:val="1"/>
    </w:lvl>
    <w:lvl w:ilvl="1">
      <w:lvlJc w:val="left"/>
      <w:lvlText w:val="(%2)"/>
      <w:numFmt w:val="decimal"/>
      <w:start w:val="10"/>
    </w:lvl>
  </w:abstractNum>
  <w:abstractNum w:abstractNumId="257">
    <w:nsid w:val="3299B71B"/>
    <w:multiLevelType w:val="hybridMultilevel"/>
    <w:lvl w:ilvl="0">
      <w:lvlJc w:val="left"/>
      <w:lvlText w:val="(%1)"/>
      <w:numFmt w:val="lowerRoman"/>
      <w:start w:val="2"/>
    </w:lvl>
    <w:lvl w:ilvl="1">
      <w:lvlJc w:val="left"/>
      <w:lvlText w:val="%2"/>
      <w:numFmt w:val="decimal"/>
      <w:start w:val="1"/>
    </w:lvl>
  </w:abstractNum>
  <w:abstractNum w:abstractNumId="258">
    <w:nsid w:val="7EA75F5A"/>
    <w:multiLevelType w:val="hybridMultilevel"/>
    <w:lvl w:ilvl="0">
      <w:lvlJc w:val="left"/>
      <w:lvlText w:val="(%1)"/>
      <w:numFmt w:val="decimal"/>
      <w:start w:val="18"/>
    </w:lvl>
  </w:abstractNum>
  <w:abstractNum w:abstractNumId="259">
    <w:nsid w:val="44419EF9"/>
    <w:multiLevelType w:val="hybridMultilevel"/>
    <w:lvl w:ilvl="0">
      <w:lvlJc w:val="left"/>
      <w:lvlText w:val="(%1)"/>
      <w:numFmt w:val="lowerLetter"/>
      <w:start w:val="1"/>
    </w:lvl>
  </w:abstractNum>
  <w:abstractNum w:abstractNumId="260">
    <w:nsid w:val="3837F1DF"/>
    <w:multiLevelType w:val="hybridMultilevel"/>
    <w:lvl w:ilvl="0">
      <w:lvlJc w:val="left"/>
      <w:lvlText w:val="(%1)"/>
      <w:numFmt w:val="decimal"/>
      <w:start w:val="1"/>
    </w:lvl>
  </w:abstractNum>
  <w:abstractNum w:abstractNumId="261">
    <w:nsid w:val="5BE02A44"/>
    <w:multiLevelType w:val="hybridMultilevel"/>
    <w:lvl w:ilvl="0">
      <w:lvlJc w:val="left"/>
      <w:lvlText w:val="(%1)"/>
      <w:numFmt w:val="lowerLetter"/>
      <w:start w:val="2"/>
    </w:lvl>
  </w:abstractNum>
  <w:abstractNum w:abstractNumId="262">
    <w:nsid w:val="4A35BF85"/>
    <w:multiLevelType w:val="hybridMultilevel"/>
    <w:lvl w:ilvl="0">
      <w:lvlJc w:val="left"/>
      <w:lvlText w:val="(%1)"/>
      <w:numFmt w:val="decimal"/>
      <w:start w:val="1"/>
    </w:lvl>
  </w:abstractNum>
  <w:abstractNum w:abstractNumId="263">
    <w:nsid w:val="344702AC"/>
    <w:multiLevelType w:val="hybridMultilevel"/>
    <w:lvl w:ilvl="0">
      <w:lvlJc w:val="left"/>
      <w:lvlText w:val="(%1)"/>
      <w:numFmt w:val="upperLetter"/>
      <w:start w:val="1"/>
    </w:lvl>
    <w:lvl w:ilvl="1">
      <w:lvlJc w:val="left"/>
      <w:lvlText w:val="(%2)"/>
      <w:numFmt w:val="decimal"/>
      <w:start w:val="10"/>
    </w:lvl>
  </w:abstractNum>
  <w:abstractNum w:abstractNumId="264">
    <w:nsid w:val="1CFAC1A"/>
    <w:multiLevelType w:val="hybridMultilevel"/>
    <w:lvl w:ilvl="0">
      <w:lvlJc w:val="left"/>
      <w:lvlText w:val="(%1)"/>
      <w:numFmt w:val="lowerRoman"/>
      <w:start w:val="10"/>
    </w:lvl>
  </w:abstractNum>
  <w:abstractNum w:abstractNumId="265">
    <w:nsid w:val="5FDD549A"/>
    <w:multiLevelType w:val="hybridMultilevel"/>
    <w:lvl w:ilvl="0">
      <w:lvlJc w:val="left"/>
      <w:lvlText w:val="(%1)"/>
      <w:numFmt w:val="lowerLetter"/>
      <w:start w:val="1"/>
    </w:lvl>
  </w:abstractNum>
  <w:abstractNum w:abstractNumId="266">
    <w:nsid w:val="38FD730E"/>
    <w:multiLevelType w:val="hybridMultilevel"/>
    <w:lvl w:ilvl="0">
      <w:lvlJc w:val="left"/>
      <w:lvlText w:val="(%1)"/>
      <w:numFmt w:val="decimal"/>
      <w:start w:val="1"/>
    </w:lvl>
    <w:lvl w:ilvl="1">
      <w:lvlJc w:val="left"/>
      <w:lvlText w:val="(%2)"/>
      <w:numFmt w:val="upperLetter"/>
      <w:start w:val="1"/>
    </w:lvl>
  </w:abstractNum>
  <w:abstractNum w:abstractNumId="267">
    <w:nsid w:val="52E6ED3D"/>
    <w:multiLevelType w:val="hybridMultilevel"/>
    <w:lvl w:ilvl="0">
      <w:lvlJc w:val="left"/>
      <w:lvlText w:val="(%1)"/>
      <w:numFmt w:val="lowerLetter"/>
      <w:start w:val="2"/>
    </w:lvl>
  </w:abstractNum>
  <w:abstractNum w:abstractNumId="268">
    <w:nsid w:val="3E1A864"/>
    <w:multiLevelType w:val="hybridMultilevel"/>
    <w:lvl w:ilvl="0">
      <w:lvlJc w:val="left"/>
      <w:lvlText w:val="(%1)"/>
      <w:numFmt w:val="decimal"/>
      <w:start w:val="1"/>
    </w:lvl>
  </w:abstractNum>
  <w:abstractNum w:abstractNumId="269">
    <w:nsid w:val="672FE0A8"/>
    <w:multiLevelType w:val="hybridMultilevel"/>
    <w:lvl w:ilvl="0">
      <w:lvlJc w:val="left"/>
      <w:lvlText w:val="(%1)"/>
      <w:numFmt w:val="decimal"/>
      <w:start w:val="2"/>
    </w:lvl>
  </w:abstractNum>
  <w:abstractNum w:abstractNumId="270">
    <w:nsid w:val="31987F4D"/>
    <w:multiLevelType w:val="hybridMultilevel"/>
    <w:lvl w:ilvl="0">
      <w:lvlJc w:val="left"/>
      <w:lvlText w:val="(%1)"/>
      <w:numFmt w:val="decimal"/>
      <w:start w:val="10"/>
    </w:lvl>
  </w:abstractNum>
  <w:abstractNum w:abstractNumId="271">
    <w:nsid w:val="48C0A800"/>
    <w:multiLevelType w:val="hybridMultilevel"/>
    <w:lvl w:ilvl="0">
      <w:lvlJc w:val="left"/>
      <w:lvlText w:val="(%1)"/>
      <w:numFmt w:val="lowerLetter"/>
      <w:start w:val="1"/>
    </w:lvl>
  </w:abstractNum>
  <w:abstractNum w:abstractNumId="272">
    <w:nsid w:val="717B226"/>
    <w:multiLevelType w:val="hybridMultilevel"/>
    <w:lvl w:ilvl="0">
      <w:lvlJc w:val="left"/>
      <w:lvlText w:val="%1"/>
      <w:numFmt w:val="decimal"/>
      <w:start w:val="1"/>
    </w:lvl>
    <w:lvl w:ilvl="1">
      <w:lvlJc w:val="left"/>
      <w:lvlText w:val="(%2)"/>
      <w:numFmt w:val="lowerLetter"/>
      <w:start w:val="2"/>
    </w:lvl>
  </w:abstractNum>
  <w:abstractNum w:abstractNumId="273">
    <w:nsid w:val="4642A7B"/>
    <w:multiLevelType w:val="hybridMultilevel"/>
    <w:lvl w:ilvl="0">
      <w:lvlJc w:val="left"/>
      <w:lvlText w:val="(%1)"/>
      <w:numFmt w:val="decimal"/>
      <w:start w:val="45"/>
    </w:lvl>
    <w:lvl w:ilvl="1">
      <w:lvlJc w:val="left"/>
      <w:lvlText w:val="(%2)"/>
      <w:numFmt w:val="lowerLetter"/>
      <w:start w:val="3"/>
    </w:lvl>
  </w:abstractNum>
  <w:abstractNum w:abstractNumId="274">
    <w:nsid w:val="632808EF"/>
    <w:multiLevelType w:val="hybridMultilevel"/>
    <w:lvl w:ilvl="0">
      <w:lvlJc w:val="left"/>
      <w:lvlText w:val="(%1)"/>
      <w:numFmt w:val="lowerLetter"/>
      <w:start w:val="1"/>
    </w:lvl>
  </w:abstractNum>
  <w:abstractNum w:abstractNumId="275">
    <w:nsid w:val="656A762B"/>
    <w:multiLevelType w:val="hybridMultilevel"/>
    <w:lvl w:ilvl="0">
      <w:lvlJc w:val="left"/>
      <w:lvlText w:val="(%1)"/>
      <w:numFmt w:val="decimal"/>
      <w:start w:val="1"/>
    </w:lvl>
    <w:lvl w:ilvl="1">
      <w:lvlJc w:val="left"/>
      <w:lvlText w:val="(%2)"/>
      <w:numFmt w:val="upperLetter"/>
      <w:start w:val="1"/>
    </w:lvl>
  </w:abstractNum>
  <w:abstractNum w:abstractNumId="276">
    <w:nsid w:val="4AC8EC3"/>
    <w:multiLevelType w:val="hybridMultilevel"/>
    <w:lvl w:ilvl="0">
      <w:lvlJc w:val="left"/>
      <w:lvlText w:val="(%1)"/>
      <w:numFmt w:val="lowerLetter"/>
      <w:start w:val="2"/>
    </w:lvl>
  </w:abstractNum>
  <w:abstractNum w:abstractNumId="277">
    <w:nsid w:val="4511160D"/>
    <w:multiLevelType w:val="hybridMultilevel"/>
    <w:lvl w:ilvl="0">
      <w:lvlJc w:val="left"/>
      <w:lvlText w:val="(%1)"/>
      <w:numFmt w:val="decimal"/>
      <w:start w:val="2"/>
    </w:lvl>
  </w:abstractNum>
  <w:abstractNum w:abstractNumId="278">
    <w:nsid w:val="2A27DE11"/>
    <w:multiLevelType w:val="hybridMultilevel"/>
    <w:lvl w:ilvl="0">
      <w:lvlJc w:val="left"/>
      <w:lvlText w:val="(%1)"/>
      <w:numFmt w:val="lowerLetter"/>
      <w:start w:val="3"/>
    </w:lvl>
  </w:abstractNum>
  <w:abstractNum w:abstractNumId="279">
    <w:nsid w:val="36FD9196"/>
    <w:multiLevelType w:val="hybridMultilevel"/>
    <w:lvl w:ilvl="0">
      <w:lvlJc w:val="left"/>
      <w:lvlText w:val="(%1)"/>
      <w:numFmt w:val="lowerLetter"/>
      <w:start w:val="1"/>
    </w:lvl>
  </w:abstractNum>
  <w:abstractNum w:abstractNumId="280">
    <w:nsid w:val="2A68FC8"/>
    <w:multiLevelType w:val="hybridMultilevel"/>
    <w:lvl w:ilvl="0">
      <w:lvlJc w:val="left"/>
      <w:lvlText w:val="(%1)"/>
      <w:numFmt w:val="lowerLetter"/>
      <w:start w:val="6"/>
    </w:lvl>
    <w:lvl w:ilvl="1">
      <w:lvlJc w:val="left"/>
      <w:lvlText w:val="(%2)"/>
      <w:numFmt w:val="decimal"/>
      <w:start w:val="1"/>
    </w:lvl>
  </w:abstractNum>
  <w:abstractNum w:abstractNumId="281">
    <w:nsid w:val="34F52A23"/>
    <w:multiLevelType w:val="hybridMultilevel"/>
    <w:lvl w:ilvl="0">
      <w:lvlJc w:val="left"/>
      <w:lvlText w:val="(%1)"/>
      <w:numFmt w:val="decimal"/>
      <w:start w:val="3"/>
    </w:lvl>
  </w:abstractNum>
  <w:abstractNum w:abstractNumId="282">
    <w:nsid w:val="4815A966"/>
    <w:multiLevelType w:val="hybridMultilevel"/>
    <w:lvl w:ilvl="0">
      <w:lvlJc w:val="left"/>
      <w:lvlText w:val="(%1)"/>
      <w:numFmt w:val="lowerLetter"/>
      <w:start w:val="8"/>
    </w:lvl>
  </w:abstractNum>
  <w:abstractNum w:abstractNumId="283">
    <w:nsid w:val="796F4530"/>
    <w:multiLevelType w:val="hybridMultilevel"/>
    <w:lvl w:ilvl="0">
      <w:lvlJc w:val="left"/>
      <w:lvlText w:val="(%1)"/>
      <w:numFmt w:val="lowerRoman"/>
      <w:start w:val="2"/>
    </w:lvl>
  </w:abstractNum>
  <w:abstractNum w:abstractNumId="284">
    <w:nsid w:val="6FC1A0D4"/>
    <w:multiLevelType w:val="hybridMultilevel"/>
    <w:lvl w:ilvl="0">
      <w:lvlJc w:val="left"/>
      <w:lvlText w:val="(%1)"/>
      <w:numFmt w:val="lowerLetter"/>
      <w:start w:val="1"/>
    </w:lvl>
  </w:abstractNum>
  <w:abstractNum w:abstractNumId="285">
    <w:nsid w:val="20A0C5E2"/>
    <w:multiLevelType w:val="hybridMultilevel"/>
    <w:lvl w:ilvl="0">
      <w:lvlJc w:val="left"/>
      <w:lvlText w:val="(%1)"/>
      <w:numFmt w:val="lowerLetter"/>
      <w:start w:val="2"/>
    </w:lvl>
  </w:abstractNum>
  <w:abstractNum w:abstractNumId="286">
    <w:nsid w:val="5BD772BB"/>
    <w:multiLevelType w:val="hybridMultilevel"/>
    <w:lvl w:ilvl="0">
      <w:lvlJc w:val="left"/>
      <w:lvlText w:val="(%1)"/>
      <w:numFmt w:val="lowerRoman"/>
      <w:start w:val="1"/>
    </w:lvl>
  </w:abstractNum>
  <w:abstractNum w:abstractNumId="287">
    <w:nsid w:val="3330B1EE"/>
    <w:multiLevelType w:val="hybridMultilevel"/>
    <w:lvl w:ilvl="0">
      <w:lvlJc w:val="left"/>
      <w:lvlText w:val="(%1)"/>
      <w:numFmt w:val="lowerRoman"/>
      <w:start w:val="6"/>
    </w:lvl>
  </w:abstractNum>
  <w:abstractNum w:abstractNumId="288">
    <w:nsid w:val="533A7CFD"/>
    <w:multiLevelType w:val="hybridMultilevel"/>
    <w:lvl w:ilvl="0">
      <w:lvlJc w:val="left"/>
      <w:lvlText w:val="(%1)"/>
      <w:numFmt w:val="lowerLetter"/>
      <w:start w:val="3"/>
    </w:lvl>
  </w:abstractNum>
  <w:abstractNum w:abstractNumId="289">
    <w:nsid w:val="5A7ED215"/>
    <w:multiLevelType w:val="hybridMultilevel"/>
    <w:lvl w:ilvl="0">
      <w:lvlJc w:val="left"/>
      <w:lvlText w:val="(%1)"/>
      <w:numFmt w:val="lowerLetter"/>
      <w:start w:val="1"/>
    </w:lvl>
  </w:abstractNum>
  <w:abstractNum w:abstractNumId="290">
    <w:nsid w:val="777250E7"/>
    <w:multiLevelType w:val="hybridMultilevel"/>
    <w:lvl w:ilvl="0">
      <w:lvlJc w:val="left"/>
      <w:lvlText w:val="(%1)"/>
      <w:numFmt w:val="lowerLetter"/>
      <w:start w:val="2"/>
    </w:lvl>
  </w:abstractNum>
  <w:abstractNum w:abstractNumId="291">
    <w:nsid w:val="B726EDC"/>
    <w:multiLevelType w:val="hybridMultilevel"/>
    <w:lvl w:ilvl="0">
      <w:lvlJc w:val="left"/>
      <w:lvlText w:val="(%1)"/>
      <w:numFmt w:val="lowerLetter"/>
      <w:start w:val="4"/>
    </w:lvl>
  </w:abstractNum>
  <w:abstractNum w:abstractNumId="292">
    <w:nsid w:val="365EFC5A"/>
    <w:multiLevelType w:val="hybridMultilevel"/>
    <w:lvl w:ilvl="0">
      <w:lvlJc w:val="left"/>
      <w:lvlText w:val="(%1)"/>
      <w:numFmt w:val="lowerLetter"/>
      <w:start w:val="1"/>
    </w:lvl>
  </w:abstractNum>
  <w:abstractNum w:abstractNumId="293">
    <w:nsid w:val="41A8106C"/>
    <w:multiLevelType w:val="hybridMultilevel"/>
    <w:lvl w:ilvl="0">
      <w:lvlJc w:val="left"/>
      <w:lvlText w:val="(%1)"/>
      <w:numFmt w:val="lowerLetter"/>
      <w:start w:val="1"/>
    </w:lvl>
  </w:abstractNum>
  <w:abstractNum w:abstractNumId="294">
    <w:nsid w:val="3FB97188"/>
    <w:multiLevelType w:val="hybridMultilevel"/>
    <w:lvl w:ilvl="0">
      <w:lvlJc w:val="left"/>
      <w:lvlText w:val="(%1)"/>
      <w:numFmt w:val="lowerLetter"/>
      <w:start w:val="2"/>
    </w:lvl>
  </w:abstractNum>
  <w:abstractNum w:abstractNumId="295">
    <w:nsid w:val="382EA874"/>
    <w:multiLevelType w:val="hybridMultilevel"/>
    <w:lvl w:ilvl="0">
      <w:lvlJc w:val="left"/>
      <w:lvlText w:val="(%1)"/>
      <w:numFmt w:val="lowerLetter"/>
      <w:start w:val="5"/>
    </w:lvl>
  </w:abstractNum>
  <w:abstractNum w:abstractNumId="296">
    <w:nsid w:val="21856507"/>
    <w:multiLevelType w:val="hybridMultilevel"/>
    <w:lvl w:ilvl="0">
      <w:lvlJc w:val="left"/>
      <w:lvlText w:val="(%1)"/>
      <w:numFmt w:val="lowerLetter"/>
      <w:start w:val="1"/>
    </w:lvl>
  </w:abstractNum>
  <w:abstractNum w:abstractNumId="297">
    <w:nsid w:val="78B6E496"/>
    <w:multiLevelType w:val="hybridMultilevel"/>
    <w:lvl w:ilvl="0">
      <w:lvlJc w:val="left"/>
      <w:lvlText w:val="(%1)"/>
      <w:numFmt w:val="lowerLetter"/>
      <w:start w:val="9"/>
    </w:lvl>
    <w:lvl w:ilvl="1">
      <w:lvlJc w:val="left"/>
      <w:lvlText w:val="(%2)"/>
      <w:numFmt w:val="lowerLetter"/>
      <w:start w:val="4"/>
    </w:lvl>
  </w:abstractNum>
  <w:abstractNum w:abstractNumId="298">
    <w:nsid w:val="B1595B1"/>
    <w:multiLevelType w:val="hybridMultilevel"/>
    <w:lvl w:ilvl="0">
      <w:lvlJc w:val="left"/>
      <w:lvlText w:val="(%1)"/>
      <w:numFmt w:val="lowerLetter"/>
      <w:start w:val="1"/>
    </w:lvl>
  </w:abstractNum>
  <w:abstractNum w:abstractNumId="299">
    <w:nsid w:val="25670D6B"/>
    <w:multiLevelType w:val="hybridMultilevel"/>
    <w:lvl w:ilvl="0">
      <w:lvlJc w:val="left"/>
      <w:lvlText w:val="(%1)"/>
      <w:numFmt w:val="lowerLetter"/>
      <w:start w:val="2"/>
    </w:lvl>
  </w:abstractNum>
  <w:abstractNum w:abstractNumId="300">
    <w:nsid w:val="5FE6C53F"/>
    <w:multiLevelType w:val="hybridMultilevel"/>
    <w:lvl w:ilvl="0">
      <w:lvlJc w:val="left"/>
      <w:lvlText w:val="(%1)"/>
      <w:numFmt w:val="lowerLetter"/>
      <w:start w:val="1"/>
    </w:lvl>
  </w:abstractNum>
  <w:abstractNum w:abstractNumId="301">
    <w:nsid w:val="3CAE14FE"/>
    <w:multiLevelType w:val="hybridMultilevel"/>
    <w:lvl w:ilvl="0">
      <w:lvlJc w:val="left"/>
      <w:lvlText w:val="(%1)"/>
      <w:numFmt w:val="lowerRoman"/>
      <w:start w:val="1"/>
    </w:lvl>
  </w:abstractNum>
  <w:abstractNum w:abstractNumId="302">
    <w:nsid w:val="6E27B56B"/>
    <w:multiLevelType w:val="hybridMultilevel"/>
    <w:lvl w:ilvl="0">
      <w:lvlJc w:val="left"/>
      <w:lvlText w:val="(%1)"/>
      <w:numFmt w:val="lowerRoman"/>
      <w:start w:val="4"/>
    </w:lvl>
  </w:abstractNum>
  <w:abstractNum w:abstractNumId="303">
    <w:nsid w:val="66FE7765"/>
    <w:multiLevelType w:val="hybridMultilevel"/>
    <w:lvl w:ilvl="0">
      <w:lvlJc w:val="left"/>
      <w:lvlText w:val="(%1)"/>
      <w:numFmt w:val="lowerLetter"/>
      <w:start w:val="2"/>
    </w:lvl>
  </w:abstractNum>
  <w:abstractNum w:abstractNumId="304">
    <w:nsid w:val="41123F79"/>
    <w:multiLevelType w:val="hybridMultilevel"/>
    <w:lvl w:ilvl="0">
      <w:lvlJc w:val="left"/>
      <w:lvlText w:val="(%1)"/>
      <w:numFmt w:val="lowerLetter"/>
      <w:start w:val="3"/>
    </w:lvl>
  </w:abstractNum>
  <w:abstractNum w:abstractNumId="305">
    <w:nsid w:val="514FBE5A"/>
    <w:multiLevelType w:val="hybridMultilevel"/>
    <w:lvl w:ilvl="0">
      <w:lvlJc w:val="left"/>
      <w:lvlText w:val="(%1)"/>
      <w:numFmt w:val="lowerLetter"/>
      <w:start w:val="1"/>
    </w:lvl>
  </w:abstractNum>
  <w:abstractNum w:abstractNumId="306">
    <w:nsid w:val="4C68ED90"/>
    <w:multiLevelType w:val="hybridMultilevel"/>
    <w:lvl w:ilvl="0">
      <w:lvlJc w:val="left"/>
      <w:lvlText w:val="(%1)"/>
      <w:numFmt w:val="upperLetter"/>
      <w:start w:val="1"/>
    </w:lvl>
  </w:abstractNum>
  <w:abstractNum w:abstractNumId="307">
    <w:nsid w:val="45BECE3C"/>
    <w:multiLevelType w:val="hybridMultilevel"/>
    <w:lvl w:ilvl="0">
      <w:lvlJc w:val="left"/>
      <w:lvlText w:val="(%1)"/>
      <w:numFmt w:val="upperLetter"/>
      <w:start w:val="2"/>
    </w:lvl>
  </w:abstractNum>
  <w:abstractNum w:abstractNumId="308">
    <w:nsid w:val="1660D468"/>
    <w:multiLevelType w:val="hybridMultilevel"/>
    <w:lvl w:ilvl="0">
      <w:lvlJc w:val="left"/>
      <w:lvlText w:val="(%1)"/>
      <w:numFmt w:val="upperLetter"/>
      <w:start w:val="1"/>
    </w:lvl>
  </w:abstractNum>
  <w:abstractNum w:abstractNumId="309">
    <w:nsid w:val="7690CBA1"/>
    <w:multiLevelType w:val="hybridMultilevel"/>
    <w:lvl w:ilvl="0">
      <w:lvlJc w:val="left"/>
      <w:lvlText w:val="(%1)"/>
      <w:numFmt w:val="upperLetter"/>
      <w:start w:val="4"/>
    </w:lvl>
  </w:abstractNum>
  <w:abstractNum w:abstractNumId="310">
    <w:nsid w:val="7CBC5FD3"/>
    <w:multiLevelType w:val="hybridMultilevel"/>
    <w:lvl w:ilvl="0">
      <w:lvlJc w:val="left"/>
      <w:lvlText w:val="(%1)"/>
      <w:numFmt w:val="lowerRoman"/>
      <w:start w:val="3"/>
    </w:lvl>
  </w:abstractNum>
  <w:abstractNum w:abstractNumId="311">
    <w:nsid w:val="19076430"/>
    <w:multiLevelType w:val="hybridMultilevel"/>
    <w:lvl w:ilvl="0">
      <w:lvlJc w:val="left"/>
      <w:lvlText w:val="(%1)"/>
      <w:numFmt w:val="lowerRoman"/>
      <w:start w:val="4"/>
    </w:lvl>
  </w:abstractNum>
  <w:abstractNum w:abstractNumId="312">
    <w:nsid w:val="2B85F5C4"/>
    <w:multiLevelType w:val="hybridMultilevel"/>
    <w:lvl w:ilvl="0">
      <w:lvlJc w:val="left"/>
      <w:lvlText w:val="(%1)"/>
      <w:numFmt w:val="lowerLetter"/>
      <w:start w:val="3"/>
    </w:lvl>
  </w:abstractNum>
  <w:abstractNum w:abstractNumId="313">
    <w:nsid w:val="44D20939"/>
    <w:multiLevelType w:val="hybridMultilevel"/>
    <w:lvl w:ilvl="0">
      <w:lvlJc w:val="left"/>
      <w:lvlText w:val="(%1)"/>
      <w:numFmt w:val="lowerLetter"/>
      <w:start w:val="4"/>
    </w:lvl>
  </w:abstractNum>
  <w:abstractNum w:abstractNumId="314">
    <w:nsid w:val="1276A960"/>
    <w:multiLevelType w:val="hybridMultilevel"/>
    <w:lvl w:ilvl="0">
      <w:lvlJc w:val="left"/>
      <w:lvlText w:val="(%1)"/>
      <w:numFmt w:val="lowerRoman"/>
      <w:start w:val="2"/>
    </w:lvl>
  </w:abstractNum>
  <w:abstractNum w:abstractNumId="315">
    <w:nsid w:val="1B479698"/>
    <w:multiLevelType w:val="hybridMultilevel"/>
    <w:lvl w:ilvl="0">
      <w:lvlJc w:val="left"/>
      <w:lvlText w:val="(%1)"/>
      <w:numFmt w:val="lowerLetter"/>
      <w:start w:val="5"/>
    </w:lvl>
  </w:abstractNum>
  <w:abstractNum w:abstractNumId="316">
    <w:nsid w:val="6572CF1B"/>
    <w:multiLevelType w:val="hybridMultilevel"/>
    <w:lvl w:ilvl="0">
      <w:lvlJc w:val="left"/>
      <w:lvlText w:val="(%1)"/>
      <w:numFmt w:val="lowerLetter"/>
      <w:start w:val="7"/>
    </w:lvl>
  </w:abstractNum>
  <w:abstractNum w:abstractNumId="317">
    <w:nsid w:val="6E4E1C1B"/>
    <w:multiLevelType w:val="hybridMultilevel"/>
    <w:lvl w:ilvl="0">
      <w:lvlJc w:val="left"/>
      <w:lvlText w:val="(%1)"/>
      <w:numFmt w:val="lowerRoman"/>
      <w:start w:val="1"/>
    </w:lvl>
  </w:abstractNum>
  <w:abstractNum w:abstractNumId="318">
    <w:nsid w:val="4E784887"/>
    <w:multiLevelType w:val="hybridMultilevel"/>
    <w:lvl w:ilvl="0">
      <w:lvlJc w:val="left"/>
      <w:lvlText w:val="(%1)"/>
      <w:numFmt w:val="lowerLetter"/>
      <w:start w:val="8"/>
    </w:lvl>
  </w:abstractNum>
  <w:abstractNum w:abstractNumId="319">
    <w:nsid w:val="38AD4C18"/>
    <w:multiLevelType w:val="hybridMultilevel"/>
    <w:lvl w:ilvl="0">
      <w:lvlJc w:val="left"/>
      <w:lvlText w:val="(%1)"/>
      <w:numFmt w:val="lowerRoman"/>
      <w:start w:val="1"/>
    </w:lvl>
  </w:abstractNum>
  <w:abstractNum w:abstractNumId="320">
    <w:nsid w:val="48CCEE31"/>
    <w:multiLevelType w:val="hybridMultilevel"/>
    <w:lvl w:ilvl="0">
      <w:lvlJc w:val="left"/>
      <w:lvlText w:val="(%1)"/>
      <w:numFmt w:val="lowerLetter"/>
      <w:start w:val="3"/>
    </w:lvl>
  </w:abstractNum>
  <w:abstractNum w:abstractNumId="321">
    <w:nsid w:val="45EA996E"/>
    <w:multiLevelType w:val="hybridMultilevel"/>
    <w:lvl w:ilvl="0">
      <w:lvlJc w:val="left"/>
      <w:lvlText w:val="(%1)"/>
      <w:numFmt w:val="lowerLetter"/>
      <w:start w:val="1"/>
    </w:lvl>
  </w:abstractNum>
  <w:abstractNum w:abstractNumId="322">
    <w:nsid w:val="441FBAF4"/>
    <w:multiLevelType w:val="hybridMultilevel"/>
    <w:lvl w:ilvl="0">
      <w:lvlJc w:val="left"/>
      <w:lvlText w:val="(%1)"/>
      <w:numFmt w:val="lowerRoman"/>
      <w:start w:val="2"/>
    </w:lvl>
  </w:abstractNum>
  <w:abstractNum w:abstractNumId="323">
    <w:nsid w:val="7F2BEA8B"/>
    <w:multiLevelType w:val="hybridMultilevel"/>
    <w:lvl w:ilvl="0">
      <w:lvlJc w:val="left"/>
      <w:lvlText w:val="(%1)"/>
      <w:numFmt w:val="lowerLetter"/>
      <w:start w:val="2"/>
    </w:lvl>
  </w:abstractNum>
  <w:abstractNum w:abstractNumId="324">
    <w:nsid w:val="792A9DB"/>
    <w:multiLevelType w:val="hybridMultilevel"/>
    <w:lvl w:ilvl="0">
      <w:lvlJc w:val="left"/>
      <w:lvlText w:val="%1"/>
      <w:numFmt w:val="lowerLetter"/>
      <w:start w:val="1"/>
    </w:lvl>
    <w:lvl w:ilvl="1">
      <w:lvlJc w:val="left"/>
      <w:lvlText w:val="(%2)"/>
      <w:numFmt w:val="lowerLetter"/>
      <w:start w:val="3"/>
    </w:lvl>
  </w:abstractNum>
  <w:abstractNum w:abstractNumId="325">
    <w:nsid w:val="3D92C7D"/>
    <w:multiLevelType w:val="hybridMultilevel"/>
    <w:lvl w:ilvl="0">
      <w:lvlJc w:val="left"/>
      <w:lvlText w:val="(%1)"/>
      <w:numFmt w:val="lowerLetter"/>
      <w:start w:val="35"/>
    </w:lvl>
    <w:lvl w:ilvl="1">
      <w:lvlJc w:val="left"/>
      <w:lvlText w:val="%2"/>
      <w:numFmt w:val="lowerLetter"/>
      <w:start w:val="1"/>
    </w:lvl>
  </w:abstractNum>
  <w:abstractNum w:abstractNumId="326">
    <w:nsid w:val="375A92FF"/>
    <w:multiLevelType w:val="hybridMultilevel"/>
    <w:lvl w:ilvl="0">
      <w:lvlJc w:val="left"/>
      <w:lvlText w:val="(%1)"/>
      <w:numFmt w:val="lowerLetter"/>
      <w:start w:val="4"/>
    </w:lvl>
  </w:abstractNum>
  <w:abstractNum w:abstractNumId="327">
    <w:nsid w:val="29180EE2"/>
    <w:multiLevelType w:val="hybridMultilevel"/>
    <w:lvl w:ilvl="0">
      <w:lvlJc w:val="left"/>
      <w:lvlText w:val="(%1)"/>
      <w:numFmt w:val="lowerLetter"/>
      <w:start w:val="1"/>
    </w:lvl>
  </w:abstractNum>
  <w:abstractNum w:abstractNumId="328">
    <w:nsid w:val="7C901113"/>
    <w:multiLevelType w:val="hybridMultilevel"/>
    <w:lvl w:ilvl="0">
      <w:lvlJc w:val="left"/>
      <w:lvlText w:val="(%1)"/>
      <w:numFmt w:val="lowerLetter"/>
      <w:start w:val="3"/>
    </w:lvl>
  </w:abstractNum>
  <w:abstractNum w:abstractNumId="329">
    <w:nsid w:val="427028B0"/>
    <w:multiLevelType w:val="hybridMultilevel"/>
    <w:lvl w:ilvl="0">
      <w:lvlJc w:val="left"/>
      <w:lvlText w:val="(%1)"/>
      <w:numFmt w:val="lowerLetter"/>
      <w:start w:val="1"/>
    </w:lvl>
  </w:abstractNum>
  <w:abstractNum w:abstractNumId="330">
    <w:nsid w:val="4E7F1C4D"/>
    <w:multiLevelType w:val="hybridMultilevel"/>
    <w:lvl w:ilvl="0">
      <w:lvlJc w:val="left"/>
      <w:lvlText w:val="(%1)"/>
      <w:numFmt w:val="lowerRoman"/>
      <w:start w:val="1"/>
    </w:lvl>
  </w:abstractNum>
  <w:abstractNum w:abstractNumId="331">
    <w:nsid w:val="5C76D652"/>
    <w:multiLevelType w:val="hybridMultilevel"/>
    <w:lvl w:ilvl="0">
      <w:lvlJc w:val="left"/>
      <w:lvlText w:val="(%1)"/>
      <w:numFmt w:val="lowerLetter"/>
      <w:start w:val="2"/>
    </w:lvl>
  </w:abstractNum>
  <w:abstractNum w:abstractNumId="332">
    <w:nsid w:val="7F1E3DAE"/>
    <w:multiLevelType w:val="hybridMultilevel"/>
    <w:lvl w:ilvl="0">
      <w:lvlJc w:val="left"/>
      <w:lvlText w:val="(%1)"/>
      <w:numFmt w:val="lowerLetter"/>
      <w:start w:val="5"/>
    </w:lvl>
  </w:abstractNum>
  <w:abstractNum w:abstractNumId="333">
    <w:nsid w:val="3CA6D1B9"/>
    <w:multiLevelType w:val="hybridMultilevel"/>
    <w:lvl w:ilvl="0">
      <w:lvlJc w:val="left"/>
      <w:lvlText w:val="(%1)"/>
      <w:numFmt w:val="lowerLetter"/>
      <w:start w:val="6"/>
    </w:lvl>
  </w:abstractNum>
  <w:abstractNum w:abstractNumId="334">
    <w:nsid w:val="43754DB7"/>
    <w:multiLevelType w:val="hybridMultilevel"/>
    <w:lvl w:ilvl="0">
      <w:lvlJc w:val="left"/>
      <w:lvlText w:val="(%1)"/>
      <w:numFmt w:val="lowerLetter"/>
      <w:start w:val="10"/>
    </w:lvl>
  </w:abstractNum>
  <w:abstractNum w:abstractNumId="335">
    <w:nsid w:val="40307D27"/>
    <w:multiLevelType w:val="hybridMultilevel"/>
    <w:lvl w:ilvl="0">
      <w:lvlJc w:val="left"/>
      <w:lvlText w:val="(%1)"/>
      <w:numFmt w:val="upperLetter"/>
      <w:start w:val="2"/>
    </w:lvl>
  </w:abstractNum>
  <w:abstractNum w:abstractNumId="336">
    <w:nsid w:val="DF69013"/>
    <w:multiLevelType w:val="hybridMultilevel"/>
    <w:lvl w:ilvl="0">
      <w:lvlJc w:val="left"/>
      <w:lvlText w:val="(%1)"/>
      <w:numFmt w:val="lowerLetter"/>
      <w:start w:val="1"/>
    </w:lvl>
  </w:abstractNum>
  <w:abstractNum w:abstractNumId="337">
    <w:nsid w:val="FDE3B47"/>
    <w:multiLevelType w:val="hybridMultilevel"/>
    <w:lvl w:ilvl="0">
      <w:lvlJc w:val="left"/>
      <w:lvlText w:val="(%1)"/>
      <w:numFmt w:val="lowerRoman"/>
      <w:start w:val="1"/>
    </w:lvl>
  </w:abstractNum>
  <w:abstractNum w:abstractNumId="338">
    <w:nsid w:val="5EF4B64"/>
    <w:multiLevelType w:val="hybridMultilevel"/>
    <w:lvl w:ilvl="0">
      <w:lvlJc w:val="left"/>
      <w:lvlText w:val="(%1)"/>
      <w:numFmt w:val="lowerLetter"/>
      <w:start w:val="1"/>
    </w:lvl>
  </w:abstractNum>
  <w:abstractNum w:abstractNumId="339">
    <w:nsid w:val="2457647B"/>
    <w:multiLevelType w:val="hybridMultilevel"/>
    <w:lvl w:ilvl="0">
      <w:lvlJc w:val="left"/>
      <w:lvlText w:val="(%1)"/>
      <w:numFmt w:val="lowerLetter"/>
      <w:start w:val="2"/>
    </w:lvl>
  </w:abstractNum>
  <w:abstractNum w:abstractNumId="340">
    <w:nsid w:val="66F06E9"/>
    <w:multiLevelType w:val="hybridMultilevel"/>
    <w:lvl w:ilvl="0">
      <w:lvlJc w:val="left"/>
      <w:lvlText w:val="(%1)"/>
      <w:numFmt w:val="decimal"/>
      <w:start w:val="1"/>
    </w:lvl>
  </w:abstractNum>
  <w:abstractNum w:abstractNumId="341">
    <w:nsid w:val="2ABAB37"/>
    <w:multiLevelType w:val="hybridMultilevel"/>
    <w:lvl w:ilvl="0">
      <w:lvlJc w:val="left"/>
      <w:lvlText w:val="(%1)"/>
      <w:numFmt w:val="lowerLetter"/>
      <w:start w:val="1"/>
    </w:lvl>
  </w:abstractNum>
  <w:abstractNum w:abstractNumId="342">
    <w:nsid w:val="3D5EC8AB"/>
    <w:multiLevelType w:val="hybridMultilevel"/>
    <w:lvl w:ilvl="0">
      <w:lvlJc w:val="left"/>
      <w:lvlText w:val="(%1)"/>
      <w:numFmt w:val="lowerLetter"/>
      <w:start w:val="1"/>
    </w:lvl>
  </w:abstractNum>
  <w:abstractNum w:abstractNumId="343">
    <w:nsid w:val="31F4FCAD"/>
    <w:multiLevelType w:val="hybridMultilevel"/>
    <w:lvl w:ilvl="0">
      <w:lvlJc w:val="left"/>
      <w:lvlText w:val="(%1)"/>
      <w:numFmt w:val="lowerLetter"/>
      <w:start w:val="2"/>
    </w:lvl>
  </w:abstractNum>
  <w:abstractNum w:abstractNumId="344">
    <w:nsid w:val="477DB470"/>
    <w:multiLevelType w:val="hybridMultilevel"/>
    <w:lvl w:ilvl="0">
      <w:lvlJc w:val="left"/>
      <w:lvlText w:val="(%1)"/>
      <w:numFmt w:val="lowerLetter"/>
      <w:start w:val="1"/>
    </w:lvl>
  </w:abstractNum>
  <w:abstractNum w:abstractNumId="345">
    <w:nsid w:val="4FD5720B"/>
    <w:multiLevelType w:val="hybridMultilevel"/>
    <w:lvl w:ilvl="0">
      <w:lvlJc w:val="left"/>
      <w:lvlText w:val="(%1)"/>
      <w:numFmt w:val="lowerLetter"/>
      <w:start w:val="6"/>
    </w:lvl>
  </w:abstractNum>
  <w:abstractNum w:abstractNumId="346">
    <w:nsid w:val="4D3C9346"/>
    <w:multiLevelType w:val="hybridMultilevel"/>
    <w:lvl w:ilvl="0">
      <w:lvlJc w:val="left"/>
      <w:lvlText w:val="(%1)"/>
      <w:numFmt w:val="lowerLetter"/>
      <w:start w:val="1"/>
    </w:lvl>
  </w:abstractNum>
  <w:abstractNum w:abstractNumId="347">
    <w:nsid w:val="2CF0838B"/>
    <w:multiLevelType w:val="hybridMultilevel"/>
    <w:lvl w:ilvl="0">
      <w:lvlJc w:val="left"/>
      <w:lvlText w:val="(%1)"/>
      <w:numFmt w:val="lowerLetter"/>
      <w:start w:val="1"/>
    </w:lvl>
  </w:abstractNum>
  <w:abstractNum w:abstractNumId="348">
    <w:nsid w:val="3E238E27"/>
    <w:multiLevelType w:val="hybridMultilevel"/>
    <w:lvl w:ilvl="0">
      <w:lvlJc w:val="left"/>
      <w:lvlText w:val="(%1)"/>
      <w:numFmt w:val="decimal"/>
      <w:start w:val="1"/>
    </w:lvl>
  </w:abstractNum>
  <w:abstractNum w:abstractNumId="349">
    <w:nsid w:val="1BB4DBCD"/>
    <w:multiLevelType w:val="hybridMultilevel"/>
    <w:lvl w:ilvl="0">
      <w:lvlJc w:val="left"/>
      <w:lvlText w:val="(%1)"/>
      <w:numFmt w:val="decimal"/>
      <w:start w:val="2"/>
    </w:lvl>
  </w:abstractNum>
  <w:abstractNum w:abstractNumId="350">
    <w:nsid w:val="659DCFA3"/>
    <w:multiLevelType w:val="hybridMultilevel"/>
    <w:lvl w:ilvl="0">
      <w:lvlJc w:val="left"/>
      <w:lvlText w:val="(%1)"/>
      <w:numFmt w:val="upperLetter"/>
      <w:start w:val="2"/>
    </w:lvl>
  </w:abstractNum>
  <w:abstractNum w:abstractNumId="351">
    <w:nsid w:val="6F07C58"/>
    <w:multiLevelType w:val="hybridMultilevel"/>
    <w:lvl w:ilvl="0">
      <w:lvlJc w:val="left"/>
      <w:lvlText w:val="(%1)"/>
      <w:numFmt w:val="decimal"/>
      <w:start w:val="3"/>
    </w:lvl>
  </w:abstractNum>
  <w:abstractNum w:abstractNumId="352">
    <w:nsid w:val="619F753B"/>
    <w:multiLevelType w:val="hybridMultilevel"/>
    <w:lvl w:ilvl="0">
      <w:lvlJc w:val="left"/>
      <w:lvlText w:val="(%1)"/>
      <w:numFmt w:val="decimal"/>
      <w:start w:val="1"/>
    </w:lvl>
  </w:abstractNum>
  <w:abstractNum w:abstractNumId="353">
    <w:nsid w:val="29BD8A97"/>
    <w:multiLevelType w:val="hybridMultilevel"/>
    <w:lvl w:ilvl="0">
      <w:lvlJc w:val="left"/>
      <w:lvlText w:val="(%1)"/>
      <w:numFmt w:val="decimal"/>
      <w:start w:val="1"/>
    </w:lvl>
  </w:abstractNum>
  <w:abstractNum w:abstractNumId="354">
    <w:nsid w:val="61C66E3"/>
    <w:multiLevelType w:val="hybridMultilevel"/>
    <w:lvl w:ilvl="0">
      <w:lvlJc w:val="left"/>
      <w:lvlText w:val="(%1)"/>
      <w:numFmt w:val="decimal"/>
      <w:start w:val="1"/>
    </w:lvl>
  </w:abstractNum>
  <w:abstractNum w:abstractNumId="355">
    <w:nsid w:val="69321F16"/>
    <w:multiLevelType w:val="hybridMultilevel"/>
    <w:lvl w:ilvl="0">
      <w:lvlJc w:val="left"/>
      <w:lvlText w:val="(%1)"/>
      <w:numFmt w:val="decimal"/>
      <w:start w:val="4"/>
    </w:lvl>
  </w:abstractNum>
  <w:abstractNum w:abstractNumId="356">
    <w:nsid w:val="2D96B714"/>
    <w:multiLevelType w:val="hybridMultilevel"/>
    <w:lvl w:ilvl="0">
      <w:lvlJc w:val="left"/>
      <w:lvlText w:val="(%1)"/>
      <w:numFmt w:val="decimal"/>
      <w:start w:val="13"/>
    </w:lvl>
  </w:abstractNum>
  <w:abstractNum w:abstractNumId="357">
    <w:nsid w:val="3D76F9E2"/>
    <w:multiLevelType w:val="hybridMultilevel"/>
    <w:lvl w:ilvl="0">
      <w:lvlJc w:val="left"/>
      <w:lvlText w:val="(%1)"/>
      <w:numFmt w:val="decimal"/>
      <w:start w:val="1"/>
    </w:lvl>
  </w:abstractNum>
  <w:abstractNum w:abstractNumId="358">
    <w:nsid w:val="124A2DF8"/>
    <w:multiLevelType w:val="hybridMultilevel"/>
    <w:lvl w:ilvl="0">
      <w:lvlJc w:val="left"/>
      <w:lvlText w:val="(%1)"/>
      <w:numFmt w:val="decimal"/>
      <w:start w:val="1"/>
    </w:lvl>
  </w:abstractNum>
  <w:abstractNum w:abstractNumId="359">
    <w:nsid w:val="2A26C828"/>
    <w:multiLevelType w:val="hybridMultilevel"/>
    <w:lvl w:ilvl="0">
      <w:lvlJc w:val="left"/>
      <w:lvlText w:val="(%1)"/>
      <w:numFmt w:val="decimal"/>
      <w:start w:val="4"/>
    </w:lvl>
  </w:abstractNum>
  <w:abstractNum w:abstractNumId="360">
    <w:nsid w:val="7FE72292"/>
    <w:multiLevelType w:val="hybridMultilevel"/>
    <w:lvl w:ilvl="0">
      <w:lvlJc w:val="left"/>
      <w:lvlText w:val="(%1)"/>
      <w:numFmt w:val="decimal"/>
      <w:start w:val="1"/>
    </w:lvl>
  </w:abstractNum>
  <w:abstractNum w:abstractNumId="361">
    <w:nsid w:val="60C94A46"/>
    <w:multiLevelType w:val="hybridMultilevel"/>
    <w:lvl w:ilvl="0">
      <w:lvlJc w:val="left"/>
      <w:lvlText w:val="(%1)"/>
      <w:numFmt w:val="decimal"/>
      <w:start w:val="6"/>
    </w:lvl>
  </w:abstractNum>
  <w:abstractNum w:abstractNumId="362">
    <w:nsid w:val="69D9E7A"/>
    <w:multiLevelType w:val="hybridMultilevel"/>
    <w:lvl w:ilvl="0">
      <w:lvlJc w:val="left"/>
      <w:lvlText w:val="(%1)"/>
      <w:numFmt w:val="lowerLetter"/>
      <w:start w:val="1"/>
    </w:lvl>
  </w:abstractNum>
  <w:abstractNum w:abstractNumId="363">
    <w:nsid w:val="7F056040"/>
    <w:multiLevelType w:val="hybridMultilevel"/>
    <w:lvl w:ilvl="0">
      <w:lvlJc w:val="left"/>
      <w:lvlText w:val="(%1)"/>
      <w:numFmt w:val="lowerLetter"/>
      <w:start w:val="8"/>
    </w:lvl>
  </w:abstractNum>
  <w:abstractNum w:abstractNumId="364">
    <w:nsid w:val="1D701BFF"/>
    <w:multiLevelType w:val="hybridMultilevel"/>
    <w:lvl w:ilvl="0">
      <w:lvlJc w:val="left"/>
      <w:lvlText w:val="(%1)"/>
      <w:numFmt w:val="lowerRoman"/>
      <w:start w:val="1"/>
    </w:lvl>
  </w:abstractNum>
  <w:abstractNum w:abstractNumId="365">
    <w:nsid w:val="4A12EC32"/>
    <w:multiLevelType w:val="hybridMultilevel"/>
    <w:lvl w:ilvl="0">
      <w:lvlJc w:val="left"/>
      <w:lvlText w:val="(%1)"/>
      <w:numFmt w:val="lowerRoman"/>
      <w:start w:val="2"/>
    </w:lvl>
  </w:abstractNum>
  <w:abstractNum w:abstractNumId="366">
    <w:nsid w:val="3F35DD67"/>
    <w:multiLevelType w:val="hybridMultilevel"/>
    <w:lvl w:ilvl="0">
      <w:lvlJc w:val="left"/>
      <w:lvlText w:val="(%1)"/>
      <w:numFmt w:val="lowerRoman"/>
      <w:start w:val="2"/>
    </w:lvl>
  </w:abstractNum>
  <w:abstractNum w:abstractNumId="367">
    <w:nsid w:val="2B66AC12"/>
    <w:multiLevelType w:val="hybridMultilevel"/>
    <w:lvl w:ilvl="0">
      <w:lvlJc w:val="left"/>
      <w:lvlText w:val="(%1)"/>
      <w:numFmt w:val="lowerLetter"/>
      <w:start w:val="1"/>
    </w:lvl>
  </w:abstractNum>
  <w:abstractNum w:abstractNumId="368">
    <w:nsid w:val="59F12779"/>
    <w:multiLevelType w:val="hybridMultilevel"/>
    <w:lvl w:ilvl="0">
      <w:lvlJc w:val="left"/>
      <w:lvlText w:val="(%1)"/>
      <w:numFmt w:val="decimal"/>
      <w:start w:val="1"/>
    </w:lvl>
  </w:abstractNum>
  <w:abstractNum w:abstractNumId="369">
    <w:nsid w:val="452528CB"/>
    <w:multiLevelType w:val="hybridMultilevel"/>
    <w:lvl w:ilvl="0">
      <w:lvlJc w:val="left"/>
      <w:lvlText w:val="(%1)"/>
      <w:numFmt w:val="decimal"/>
      <w:start w:val="1"/>
    </w:lvl>
  </w:abstractNum>
  <w:abstractNum w:abstractNumId="370">
    <w:nsid w:val="4FBE108E"/>
    <w:multiLevelType w:val="hybridMultilevel"/>
    <w:lvl w:ilvl="0">
      <w:lvlJc w:val="left"/>
      <w:lvlText w:val="(%1)"/>
      <w:numFmt w:val="decimal"/>
      <w:start w:val="1"/>
    </w:lvl>
  </w:abstractNum>
  <w:abstractNum w:abstractNumId="371">
    <w:nsid w:val="60602E62"/>
    <w:multiLevelType w:val="hybridMultilevel"/>
    <w:lvl w:ilvl="0">
      <w:lvlJc w:val="left"/>
      <w:lvlText w:val="(%1)"/>
      <w:numFmt w:val="decimal"/>
      <w:start w:val="1"/>
    </w:lvl>
  </w:abstractNum>
  <w:abstractNum w:abstractNumId="372">
    <w:nsid w:val="47D0D402"/>
    <w:multiLevelType w:val="hybridMultilevel"/>
    <w:lvl w:ilvl="0">
      <w:lvlJc w:val="left"/>
      <w:lvlText w:val="(%1)"/>
      <w:numFmt w:val="decimal"/>
      <w:start w:val="1"/>
    </w:lvl>
  </w:abstractNum>
  <w:abstractNum w:abstractNumId="373">
    <w:nsid w:val="D1CD939"/>
    <w:multiLevelType w:val="hybridMultilevel"/>
    <w:lvl w:ilvl="0">
      <w:lvlJc w:val="left"/>
      <w:lvlText w:val="(%1)"/>
      <w:numFmt w:val="decimal"/>
      <w:start w:val="2"/>
    </w:lvl>
  </w:abstractNum>
  <w:abstractNum w:abstractNumId="374">
    <w:nsid w:val="12552B10"/>
    <w:multiLevelType w:val="hybridMultilevel"/>
    <w:lvl w:ilvl="0">
      <w:lvlJc w:val="left"/>
      <w:lvlText w:val="(%1)"/>
      <w:numFmt w:val="lowerLetter"/>
      <w:start w:val="2"/>
    </w:lvl>
  </w:abstractNum>
  <w:abstractNum w:abstractNumId="375">
    <w:nsid w:val="F4E8872"/>
    <w:multiLevelType w:val="hybridMultilevel"/>
    <w:lvl w:ilvl="0">
      <w:lvlJc w:val="left"/>
      <w:lvlText w:val="(%1)"/>
      <w:numFmt w:val="lowerRoman"/>
      <w:start w:val="4"/>
    </w:lvl>
  </w:abstractNum>
  <w:abstractNum w:abstractNumId="376">
    <w:nsid w:val="5CF24B45"/>
    <w:multiLevelType w:val="hybridMultilevel"/>
    <w:lvl w:ilvl="0">
      <w:lvlJc w:val="left"/>
      <w:lvlText w:val="1"/>
      <w:numFmt w:val="bullet"/>
      <w:start w:val="1"/>
    </w:lvl>
  </w:abstractNum>
  <w:abstractNum w:abstractNumId="377">
    <w:nsid w:val="5F91BE56"/>
    <w:multiLevelType w:val="hybridMultilevel"/>
    <w:lvl w:ilvl="0">
      <w:lvlJc w:val="left"/>
      <w:lvlText w:val="(%1)"/>
      <w:numFmt w:val="decimal"/>
      <w:start w:val="1"/>
    </w:lvl>
  </w:abstractNum>
  <w:abstractNum w:abstractNumId="378">
    <w:nsid w:val="3C3F0BFD"/>
    <w:multiLevelType w:val="hybridMultilevel"/>
    <w:lvl w:ilvl="0">
      <w:lvlJc w:val="left"/>
      <w:lvlText w:val="(%1)"/>
      <w:numFmt w:val="decimal"/>
      <w:start w:val="3"/>
    </w:lvl>
  </w:abstractNum>
  <w:abstractNum w:abstractNumId="379">
    <w:nsid w:val="1B15D96C"/>
    <w:multiLevelType w:val="hybridMultilevel"/>
    <w:lvl w:ilvl="0">
      <w:lvlJc w:val="left"/>
      <w:lvlText w:val="(%1)"/>
      <w:numFmt w:val="decimal"/>
      <w:start w:val="7"/>
    </w:lvl>
  </w:abstractNum>
  <w:abstractNum w:abstractNumId="380">
    <w:nsid w:val="7B469A23"/>
    <w:multiLevelType w:val="hybridMultilevel"/>
    <w:lvl w:ilvl="0">
      <w:lvlJc w:val="left"/>
      <w:lvlText w:val="(%1)"/>
      <w:numFmt w:val="decimal"/>
      <w:start w:val="1"/>
    </w:lvl>
    <w:lvl w:ilvl="1">
      <w:lvlJc w:val="left"/>
      <w:lvlText w:val="(%2)"/>
      <w:numFmt w:val="upperLetter"/>
      <w:start w:val="1"/>
    </w:lvl>
  </w:abstractNum>
  <w:abstractNum w:abstractNumId="381">
    <w:nsid w:val="21DCDBA0"/>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2"/>
    </w:lvl>
  </w:abstractNum>
  <w:abstractNum w:abstractNumId="382">
    <w:nsid w:val="220655C4"/>
    <w:multiLevelType w:val="hybridMultilevel"/>
    <w:lvl w:ilvl="0">
      <w:lvlJc w:val="left"/>
      <w:lvlText w:val="%1"/>
      <w:numFmt w:val="upperLetter"/>
      <w:start w:val="1"/>
    </w:lvl>
    <w:lvl w:ilvl="1">
      <w:lvlJc w:val="left"/>
      <w:lvlText w:val="(%2)"/>
      <w:numFmt w:val="decimal"/>
      <w:start w:val="4"/>
    </w:lvl>
    <w:lvl w:ilvl="2">
      <w:lvlJc w:val="left"/>
      <w:lvlText w:val="%3"/>
      <w:numFmt w:val="upperLetter"/>
      <w:start w:val="1"/>
    </w:lvl>
  </w:abstractNum>
  <w:abstractNum w:abstractNumId="383">
    <w:nsid w:val="5CE60F5E"/>
    <w:multiLevelType w:val="hybridMultilevel"/>
    <w:lvl w:ilvl="0">
      <w:lvlJc w:val="left"/>
      <w:lvlText w:val="(%1)"/>
      <w:numFmt w:val="upperLetter"/>
      <w:start w:val="1"/>
    </w:lvl>
    <w:lvl w:ilvl="1">
      <w:lvlJc w:val="left"/>
      <w:lvlText w:val="(%2)"/>
      <w:numFmt w:val="decimal"/>
      <w:start w:val="12"/>
    </w:lvl>
    <w:lvl w:ilvl="2">
      <w:lvlJc w:val="left"/>
      <w:lvlText w:val="%3"/>
      <w:numFmt w:val="upperLetter"/>
      <w:start w:val="1"/>
    </w:lvl>
  </w:abstractNum>
  <w:abstractNum w:abstractNumId="384">
    <w:nsid w:val="4B9A6638"/>
    <w:multiLevelType w:val="hybridMultilevel"/>
    <w:lvl w:ilvl="0">
      <w:lvlJc w:val="left"/>
      <w:lvlText w:val="(%1)"/>
      <w:numFmt w:val="decimal"/>
      <w:start w:val="13"/>
    </w:lvl>
  </w:abstractNum>
  <w:abstractNum w:abstractNumId="385">
    <w:nsid w:val="2822BCA7"/>
    <w:multiLevelType w:val="hybridMultilevel"/>
    <w:lvl w:ilvl="0">
      <w:lvlJc w:val="left"/>
      <w:lvlText w:val="(%1)"/>
      <w:numFmt w:val="decimal"/>
      <w:start w:val="23"/>
    </w:lvl>
  </w:abstractNum>
  <w:abstractNum w:abstractNumId="386">
    <w:nsid w:val="46182E75"/>
    <w:multiLevelType w:val="hybridMultilevel"/>
    <w:lvl w:ilvl="0">
      <w:lvlJc w:val="left"/>
      <w:lvlText w:val="(%1)"/>
      <w:numFmt w:val="decimal"/>
      <w:start w:val="1"/>
    </w:lvl>
  </w:abstractNum>
  <w:abstractNum w:abstractNumId="387">
    <w:nsid w:val="79311D4C"/>
    <w:multiLevelType w:val="hybridMultilevel"/>
    <w:lvl w:ilvl="0">
      <w:lvlJc w:val="left"/>
      <w:lvlText w:val="(%1)"/>
      <w:numFmt w:val="decimal"/>
      <w:start w:val="11"/>
    </w:lvl>
  </w:abstractNum>
  <w:abstractNum w:abstractNumId="388">
    <w:nsid w:val="6599B689"/>
    <w:multiLevelType w:val="hybridMultilevel"/>
    <w:lvl w:ilvl="0">
      <w:lvlJc w:val="left"/>
      <w:lvlText w:val="(%1)"/>
      <w:numFmt w:val="decimal"/>
      <w:start w:val="23"/>
    </w:lvl>
  </w:abstractNum>
  <w:abstractNum w:abstractNumId="389">
    <w:nsid w:val="58625C6D"/>
    <w:multiLevelType w:val="hybridMultilevel"/>
    <w:lvl w:ilvl="0">
      <w:lvlJc w:val="left"/>
      <w:lvlText w:val="(%1)"/>
      <w:numFmt w:val="decimal"/>
      <w:start w:val="1"/>
    </w:lvl>
  </w:abstractNum>
  <w:abstractNum w:abstractNumId="390">
    <w:nsid w:val="2357E574"/>
    <w:multiLevelType w:val="hybridMultilevel"/>
    <w:lvl w:ilvl="0">
      <w:lvlJc w:val="left"/>
      <w:lvlText w:val="(%1)"/>
      <w:numFmt w:val="decimal"/>
      <w:start w:val="3"/>
    </w:lvl>
  </w:abstractNum>
  <w:abstractNum w:abstractNumId="391">
    <w:nsid w:val="6580D91B"/>
    <w:multiLevelType w:val="hybridMultilevel"/>
    <w:lvl w:ilvl="0">
      <w:lvlJc w:val="left"/>
      <w:lvlText w:val="(%1)"/>
      <w:numFmt w:val="decimal"/>
      <w:start w:val="3"/>
    </w:lvl>
  </w:abstractNum>
  <w:abstractNum w:abstractNumId="392">
    <w:nsid w:val="392BA6B3"/>
    <w:multiLevelType w:val="hybridMultilevel"/>
    <w:lvl w:ilvl="0">
      <w:lvlJc w:val="left"/>
      <w:lvlText w:val="(%1)"/>
      <w:numFmt w:val="lowerRoman"/>
      <w:start w:val="2"/>
    </w:lvl>
  </w:abstractNum>
  <w:abstractNum w:abstractNumId="393">
    <w:nsid w:val="29F583EF"/>
    <w:multiLevelType w:val="hybridMultilevel"/>
    <w:lvl w:ilvl="0">
      <w:lvlJc w:val="left"/>
      <w:lvlText w:val="(%1)"/>
      <w:numFmt w:val="decimal"/>
      <w:start w:val="3"/>
    </w:lvl>
  </w:abstractNum>
  <w:abstractNum w:abstractNumId="394">
    <w:nsid w:val="6486395B"/>
    <w:multiLevelType w:val="hybridMultilevel"/>
    <w:lvl w:ilvl="0">
      <w:lvlJc w:val="left"/>
      <w:lvlText w:val="%1"/>
      <w:numFmt w:val="upperLetter"/>
      <w:start w:val="1"/>
    </w:lvl>
    <w:lvl w:ilvl="1">
      <w:lvlJc w:val="left"/>
      <w:lvlText w:val="(%2)"/>
      <w:numFmt w:val="decimal"/>
      <w:start w:val="1"/>
    </w:lvl>
  </w:abstractNum>
  <w:abstractNum w:abstractNumId="395">
    <w:nsid w:val="569BC2B2"/>
    <w:multiLevelType w:val="hybridMultilevel"/>
    <w:lvl w:ilvl="0">
      <w:lvlJc w:val="left"/>
      <w:lvlText w:val="(%1)"/>
      <w:numFmt w:val="upperLetter"/>
      <w:start w:val="2"/>
    </w:lvl>
    <w:lvl w:ilvl="1">
      <w:lvlJc w:val="left"/>
      <w:lvlText w:val="%2"/>
      <w:numFmt w:val="decimal"/>
      <w:start w:val="1"/>
    </w:lvl>
  </w:abstractNum>
  <w:abstractNum w:abstractNumId="396">
    <w:nsid w:val="74087021"/>
    <w:multiLevelType w:val="hybridMultilevel"/>
    <w:lvl w:ilvl="0">
      <w:lvlJc w:val="left"/>
      <w:lvlText w:val="(%1)"/>
      <w:numFmt w:val="lowerRoman"/>
      <w:start w:val="1"/>
    </w:lvl>
  </w:abstractNum>
  <w:abstractNum w:abstractNumId="397">
    <w:nsid w:val="23BC16C2"/>
    <w:multiLevelType w:val="hybridMultilevel"/>
    <w:lvl w:ilvl="0">
      <w:lvlJc w:val="left"/>
      <w:lvlText w:val="(%1)"/>
      <w:numFmt w:val="lowerLetter"/>
      <w:start w:val="1"/>
    </w:lvl>
  </w:abstractNum>
  <w:abstractNum w:abstractNumId="398">
    <w:nsid w:val="2026EC5"/>
    <w:multiLevelType w:val="hybridMultilevel"/>
    <w:lvl w:ilvl="0">
      <w:lvlJc w:val="left"/>
      <w:lvlText w:val="(%1)"/>
      <w:numFmt w:val="decimal"/>
      <w:start w:val="1"/>
    </w:lvl>
  </w:abstractNum>
  <w:abstractNum w:abstractNumId="399">
    <w:nsid w:val="4DF9979A"/>
    <w:multiLevelType w:val="hybridMultilevel"/>
    <w:lvl w:ilvl="0">
      <w:lvlJc w:val="left"/>
      <w:lvlText w:val="(%1)"/>
      <w:numFmt w:val="decimal"/>
      <w:start w:val="1"/>
    </w:lvl>
  </w:abstractNum>
  <w:abstractNum w:abstractNumId="400">
    <w:nsid w:val="68E13F8E"/>
    <w:multiLevelType w:val="hybridMultilevel"/>
    <w:lvl w:ilvl="0">
      <w:lvlJc w:val="left"/>
      <w:lvlText w:val="(%1)"/>
      <w:numFmt w:val="lowerLetter"/>
      <w:start w:val="3"/>
    </w:lvl>
  </w:abstractNum>
  <w:abstractNum w:abstractNumId="401">
    <w:nsid w:val="51C07F53"/>
    <w:multiLevelType w:val="hybridMultilevel"/>
    <w:lvl w:ilvl="0">
      <w:lvlJc w:val="left"/>
      <w:lvlText w:val="(%1)"/>
      <w:numFmt w:val="lowerLetter"/>
      <w:start w:val="1"/>
    </w:lvl>
  </w:abstractNum>
  <w:abstractNum w:abstractNumId="402">
    <w:nsid w:val="2E59C5FD"/>
    <w:multiLevelType w:val="hybridMultilevel"/>
    <w:lvl w:ilvl="0">
      <w:lvlJc w:val="left"/>
      <w:lvlText w:val="(%1)"/>
      <w:numFmt w:val="lowerLetter"/>
      <w:start w:val="1"/>
    </w:lvl>
  </w:abstractNum>
  <w:abstractNum w:abstractNumId="403">
    <w:nsid w:val="30B21390"/>
    <w:multiLevelType w:val="hybridMultilevel"/>
    <w:lvl w:ilvl="0">
      <w:lvlJc w:val="left"/>
      <w:lvlText w:val="(%1)"/>
      <w:numFmt w:val="lowerRoman"/>
      <w:start w:val="1"/>
    </w:lvl>
  </w:abstractNum>
  <w:abstractNum w:abstractNumId="404">
    <w:nsid w:val="5EDD588C"/>
    <w:multiLevelType w:val="hybridMultilevel"/>
    <w:lvl w:ilvl="0">
      <w:lvlJc w:val="left"/>
      <w:lvlText w:val="(%1)"/>
      <w:numFmt w:val="lowerLetter"/>
      <w:start w:val="2"/>
    </w:lvl>
  </w:abstractNum>
  <w:abstractNum w:abstractNumId="405">
    <w:nsid w:val="40AEF10D"/>
    <w:multiLevelType w:val="hybridMultilevel"/>
    <w:lvl w:ilvl="0">
      <w:lvlJc w:val="left"/>
      <w:lvlText w:val="(%1)"/>
      <w:numFmt w:val="lowerLetter"/>
      <w:start w:val="3"/>
    </w:lvl>
  </w:abstractNum>
  <w:abstractNum w:abstractNumId="406">
    <w:nsid w:val="40009C03"/>
    <w:multiLevelType w:val="hybridMultilevel"/>
    <w:lvl w:ilvl="0">
      <w:lvlJc w:val="left"/>
      <w:lvlText w:val="(%1)"/>
      <w:numFmt w:val="lowerLetter"/>
      <w:start w:val="1"/>
    </w:lvl>
  </w:abstractNum>
  <w:abstractNum w:abstractNumId="407">
    <w:nsid w:val="3BCFA3D1"/>
    <w:multiLevelType w:val="hybridMultilevel"/>
    <w:lvl w:ilvl="0">
      <w:lvlJc w:val="left"/>
      <w:lvlText w:val="(%1)"/>
      <w:numFmt w:val="decimal"/>
      <w:start w:val="2"/>
    </w:lvl>
    <w:lvl w:ilvl="1">
      <w:lvlJc w:val="left"/>
      <w:lvlText w:val="%2"/>
      <w:numFmt w:val="lowerLetter"/>
      <w:start w:val="1"/>
    </w:lvl>
  </w:abstractNum>
  <w:abstractNum w:abstractNumId="408">
    <w:nsid w:val="2040AF63"/>
    <w:multiLevelType w:val="hybridMultilevel"/>
    <w:lvl w:ilvl="0">
      <w:lvlJc w:val="left"/>
      <w:lvlText w:val="(%1)"/>
      <w:numFmt w:val="decimal"/>
      <w:start w:val="4"/>
    </w:lvl>
    <w:lvl w:ilvl="1">
      <w:lvlJc w:val="left"/>
      <w:lvlText w:val="(%2)"/>
      <w:numFmt w:val="lowerLetter"/>
      <w:start w:val="3"/>
    </w:lvl>
  </w:abstractNum>
  <w:abstractNum w:abstractNumId="409">
    <w:nsid w:val="7C3FA800"/>
    <w:multiLevelType w:val="hybridMultilevel"/>
    <w:lvl w:ilvl="0">
      <w:lvlJc w:val="left"/>
      <w:lvlText w:val="(%1)"/>
      <w:numFmt w:val="lowerLetter"/>
      <w:start w:val="5"/>
    </w:lvl>
  </w:abstractNum>
  <w:abstractNum w:abstractNumId="410">
    <w:nsid w:val="56E57D3D"/>
    <w:multiLevelType w:val="hybridMultilevel"/>
    <w:lvl w:ilvl="0">
      <w:lvlJc w:val="left"/>
      <w:lvlText w:val="(%1)"/>
      <w:numFmt w:val="lowerRoman"/>
      <w:start w:val="1"/>
    </w:lvl>
  </w:abstractNum>
  <w:abstractNum w:abstractNumId="411">
    <w:nsid w:val="1B874986"/>
    <w:multiLevelType w:val="hybridMultilevel"/>
    <w:lvl w:ilvl="0">
      <w:lvlJc w:val="left"/>
      <w:lvlText w:val="(%1)"/>
      <w:numFmt w:val="lowerLetter"/>
      <w:start w:val="6"/>
    </w:lvl>
  </w:abstractNum>
  <w:abstractNum w:abstractNumId="412">
    <w:nsid w:val="1E1C83A1"/>
    <w:multiLevelType w:val="hybridMultilevel"/>
    <w:lvl w:ilvl="0">
      <w:lvlJc w:val="left"/>
      <w:lvlText w:val="(%1)"/>
      <w:numFmt w:val="lowerLetter"/>
      <w:start w:val="7"/>
    </w:lvl>
  </w:abstractNum>
  <w:abstractNum w:abstractNumId="413">
    <w:nsid w:val="78EBD301"/>
    <w:multiLevelType w:val="hybridMultilevel"/>
    <w:lvl w:ilvl="0">
      <w:lvlJc w:val="left"/>
      <w:lvlText w:val="%1"/>
      <w:numFmt w:val="upperLetter"/>
      <w:start w:val="1"/>
    </w:lvl>
    <w:lvl w:ilvl="1">
      <w:lvlJc w:val="left"/>
      <w:lvlText w:val="(%2)"/>
      <w:numFmt w:val="lowerLetter"/>
      <w:start w:val="9"/>
    </w:lvl>
  </w:abstractNum>
  <w:abstractNum w:abstractNumId="414">
    <w:nsid w:val="786D58E4"/>
    <w:multiLevelType w:val="hybridMultilevel"/>
    <w:lvl w:ilvl="0">
      <w:lvlJc w:val="left"/>
      <w:lvlText w:val="(%1)"/>
      <w:numFmt w:val="upperLetter"/>
      <w:start w:val="1"/>
    </w:lvl>
    <w:lvl w:ilvl="1">
      <w:lvlJc w:val="left"/>
      <w:lvlText w:val="%2"/>
      <w:numFmt w:val="lowerLetter"/>
      <w:start w:val="1"/>
    </w:lvl>
  </w:abstractNum>
  <w:abstractNum w:abstractNumId="415">
    <w:nsid w:val="69B6E9D9"/>
    <w:multiLevelType w:val="hybridMultilevel"/>
    <w:lvl w:ilvl="0">
      <w:lvlJc w:val="left"/>
      <w:lvlText w:val="(%1)"/>
      <w:numFmt w:val="lowerLetter"/>
      <w:start w:val="11"/>
    </w:lvl>
  </w:abstractNum>
  <w:abstractNum w:abstractNumId="416">
    <w:nsid w:val="210E8FA8"/>
    <w:multiLevelType w:val="hybridMultilevel"/>
    <w:lvl w:ilvl="0">
      <w:lvlJc w:val="left"/>
      <w:lvlText w:val="%1"/>
      <w:numFmt w:val="lowerLetter"/>
      <w:start w:val="1"/>
    </w:lvl>
    <w:lvl w:ilvl="1">
      <w:lvlJc w:val="left"/>
      <w:lvlText w:val="(%2)"/>
      <w:numFmt w:val="lowerLetter"/>
      <w:start w:val="1"/>
    </w:lvl>
  </w:abstractNum>
  <w:abstractNum w:abstractNumId="417">
    <w:nsid w:val="3E858759"/>
    <w:multiLevelType w:val="hybridMultilevel"/>
    <w:lvl w:ilvl="0">
      <w:lvlJc w:val="left"/>
      <w:lvlText w:val="(%1)"/>
      <w:numFmt w:val="lowerLetter"/>
      <w:start w:val="9"/>
    </w:lvl>
    <w:lvl w:ilvl="1">
      <w:lvlJc w:val="left"/>
      <w:lvlText w:val="(%2)"/>
      <w:numFmt w:val="lowerLetter"/>
      <w:start w:val="9"/>
    </w:lvl>
  </w:abstractNum>
  <w:abstractNum w:abstractNumId="418">
    <w:nsid w:val="62E80725"/>
    <w:multiLevelType w:val="hybridMultilevel"/>
    <w:lvl w:ilvl="0">
      <w:lvlJc w:val="left"/>
      <w:lvlText w:val="(%1)"/>
      <w:numFmt w:val="lowerRoman"/>
      <w:start w:val="2"/>
    </w:lvl>
  </w:abstractNum>
  <w:abstractNum w:abstractNumId="419">
    <w:nsid w:val="6A84631"/>
    <w:multiLevelType w:val="hybridMultilevel"/>
    <w:lvl w:ilvl="0">
      <w:lvlJc w:val="left"/>
      <w:lvlText w:val="(%1)"/>
      <w:numFmt w:val="lowerLetter"/>
      <w:start w:val="2"/>
    </w:lvl>
  </w:abstractNum>
  <w:abstractNum w:abstractNumId="420">
    <w:nsid w:val="16E7E3C7"/>
    <w:multiLevelType w:val="hybridMultilevel"/>
    <w:lvl w:ilvl="0">
      <w:lvlJc w:val="left"/>
      <w:lvlText w:val="(%1)"/>
      <w:numFmt w:val="lowerRoman"/>
      <w:start w:val="1"/>
    </w:lvl>
  </w:abstractNum>
  <w:abstractNum w:abstractNumId="421">
    <w:nsid w:val="63FEC9A"/>
    <w:multiLevelType w:val="hybridMultilevel"/>
    <w:lvl w:ilvl="0">
      <w:lvlJc w:val="left"/>
      <w:lvlText w:val="(%1)"/>
      <w:numFmt w:val="lowerLetter"/>
      <w:start w:val="1"/>
    </w:lvl>
  </w:abstractNum>
  <w:abstractNum w:abstractNumId="422">
    <w:nsid w:val="6C291F4C"/>
    <w:multiLevelType w:val="hybridMultilevel"/>
    <w:lvl w:ilvl="0">
      <w:lvlJc w:val="left"/>
      <w:lvlText w:val="(%1)"/>
      <w:numFmt w:val="lowerLetter"/>
      <w:start w:val="3"/>
    </w:lvl>
  </w:abstractNum>
  <w:abstractNum w:abstractNumId="423">
    <w:nsid w:val="50138A7A"/>
    <w:multiLevelType w:val="hybridMultilevel"/>
    <w:lvl w:ilvl="0">
      <w:lvlJc w:val="left"/>
      <w:lvlText w:val="(%1)"/>
      <w:numFmt w:val="lowerLetter"/>
      <w:start w:val="1"/>
    </w:lvl>
  </w:abstractNum>
  <w:abstractNum w:abstractNumId="424">
    <w:nsid w:val="30357089"/>
    <w:multiLevelType w:val="hybridMultilevel"/>
    <w:lvl w:ilvl="0">
      <w:lvlJc w:val="left"/>
      <w:lvlText w:val="(%1)"/>
      <w:numFmt w:val="lowerRoman"/>
      <w:start w:val="1"/>
    </w:lvl>
  </w:abstractNum>
  <w:abstractNum w:abstractNumId="425">
    <w:nsid w:val="50AF58A7"/>
    <w:multiLevelType w:val="hybridMultilevel"/>
    <w:lvl w:ilvl="0">
      <w:lvlJc w:val="left"/>
      <w:lvlText w:val="(%1)"/>
      <w:numFmt w:val="lowerRoman"/>
      <w:start w:val="3"/>
    </w:lvl>
  </w:abstractNum>
  <w:abstractNum w:abstractNumId="426">
    <w:nsid w:val="26AF4D2D"/>
    <w:multiLevelType w:val="hybridMultilevel"/>
    <w:lvl w:ilvl="0">
      <w:lvlJc w:val="left"/>
      <w:lvlText w:val="(%1)"/>
      <w:numFmt w:val="lowerLetter"/>
      <w:start w:val="4"/>
    </w:lvl>
  </w:abstractNum>
  <w:abstractNum w:abstractNumId="427">
    <w:nsid w:val="243DE0AA"/>
    <w:multiLevelType w:val="hybridMultilevel"/>
    <w:lvl w:ilvl="0">
      <w:lvlJc w:val="left"/>
      <w:lvlText w:val="(%1)"/>
      <w:numFmt w:val="lowerLetter"/>
      <w:start w:val="1"/>
    </w:lvl>
  </w:abstractNum>
  <w:abstractNum w:abstractNumId="428">
    <w:nsid w:val="746B6F6A"/>
    <w:multiLevelType w:val="hybridMultilevel"/>
    <w:lvl w:ilvl="0">
      <w:lvlJc w:val="left"/>
      <w:lvlText w:val="(%1)"/>
      <w:numFmt w:val="lowerLetter"/>
      <w:start w:val="1"/>
    </w:lvl>
  </w:abstractNum>
  <w:abstractNum w:abstractNumId="429">
    <w:nsid w:val="28B1BBF2"/>
    <w:multiLevelType w:val="hybridMultilevel"/>
    <w:lvl w:ilvl="0">
      <w:lvlJc w:val="left"/>
      <w:lvlText w:val="(%1)"/>
      <w:numFmt w:val="lowerLetter"/>
      <w:start w:val="3"/>
    </w:lvl>
  </w:abstractNum>
  <w:abstractNum w:abstractNumId="430">
    <w:nsid w:val="72377844"/>
    <w:multiLevelType w:val="hybridMultilevel"/>
    <w:lvl w:ilvl="0">
      <w:lvlJc w:val="left"/>
      <w:lvlText w:val="(%1)"/>
      <w:numFmt w:val="lowerLetter"/>
      <w:start w:val="1"/>
    </w:lvl>
  </w:abstractNum>
  <w:abstractNum w:abstractNumId="431">
    <w:nsid w:val="5D4CAEF8"/>
    <w:multiLevelType w:val="hybridMultilevel"/>
    <w:lvl w:ilvl="0">
      <w:lvlJc w:val="left"/>
      <w:lvlText w:val="%1"/>
      <w:numFmt w:val="lowerLetter"/>
      <w:start w:val="1"/>
    </w:lvl>
    <w:lvl w:ilvl="1">
      <w:lvlJc w:val="left"/>
      <w:lvlText w:val="(%2)"/>
      <w:numFmt w:val="lowerLetter"/>
      <w:start w:val="4"/>
    </w:lvl>
  </w:abstractNum>
  <w:abstractNum w:abstractNumId="432">
    <w:nsid w:val="7A723B45"/>
    <w:multiLevelType w:val="hybridMultilevel"/>
    <w:lvl w:ilvl="0">
      <w:lvlJc w:val="left"/>
      <w:lvlText w:val="(%1)"/>
      <w:numFmt w:val="lowerLetter"/>
      <w:start w:val="9"/>
    </w:lvl>
    <w:lvl w:ilvl="1">
      <w:lvlJc w:val="left"/>
      <w:lvlText w:val="(%2)"/>
      <w:numFmt w:val="lowerLetter"/>
      <w:start w:val="9"/>
    </w:lvl>
  </w:abstractNum>
  <w:abstractNum w:abstractNumId="433">
    <w:nsid w:val="20913E41"/>
    <w:multiLevelType w:val="hybridMultilevel"/>
    <w:lvl w:ilvl="0">
      <w:lvlJc w:val="left"/>
      <w:lvlText w:val="(%1)"/>
      <w:numFmt w:val="lowerLetter"/>
      <w:start w:val="1"/>
    </w:lvl>
  </w:abstractNum>
  <w:abstractNum w:abstractNumId="434">
    <w:nsid w:val="DFEC288"/>
    <w:multiLevelType w:val="hybridMultilevel"/>
    <w:lvl w:ilvl="0">
      <w:lvlJc w:val="left"/>
      <w:lvlText w:val="(%1)"/>
      <w:numFmt w:val="lowerLetter"/>
      <w:start w:val="4"/>
    </w:lvl>
  </w:abstractNum>
  <w:abstractNum w:abstractNumId="435">
    <w:nsid w:val="594F93D1"/>
    <w:multiLevelType w:val="hybridMultilevel"/>
    <w:lvl w:ilvl="0">
      <w:lvlJc w:val="left"/>
      <w:lvlText w:val="(%1)"/>
      <w:numFmt w:val="lowerRoman"/>
      <w:start w:val="1"/>
    </w:lvl>
  </w:abstractNum>
  <w:abstractNum w:abstractNumId="436">
    <w:nsid w:val="61402F4E"/>
    <w:multiLevelType w:val="hybridMultilevel"/>
    <w:lvl w:ilvl="0">
      <w:lvlJc w:val="left"/>
      <w:lvlText w:val="(%1)"/>
      <w:numFmt w:val="lowerLetter"/>
      <w:start w:val="2"/>
    </w:lvl>
  </w:abstractNum>
  <w:abstractNum w:abstractNumId="437">
    <w:nsid w:val="4DFF5E8B"/>
    <w:multiLevelType w:val="hybridMultilevel"/>
    <w:lvl w:ilvl="0">
      <w:lvlJc w:val="left"/>
      <w:lvlText w:val="(%1)"/>
      <w:numFmt w:val="lowerLetter"/>
      <w:start w:val="7"/>
    </w:lvl>
  </w:abstractNum>
  <w:abstractNum w:abstractNumId="438">
    <w:nsid w:val="151F37A3"/>
    <w:multiLevelType w:val="hybridMultilevel"/>
    <w:lvl w:ilvl="0">
      <w:lvlJc w:val="left"/>
      <w:lvlText w:val="(%1)"/>
      <w:numFmt w:val="lowerLetter"/>
      <w:start w:val="1"/>
    </w:lvl>
  </w:abstractNum>
  <w:abstractNum w:abstractNumId="439">
    <w:nsid w:val="180DEB1"/>
    <w:multiLevelType w:val="hybridMultilevel"/>
    <w:lvl w:ilvl="0">
      <w:lvlJc w:val="left"/>
      <w:lvlText w:val="(%1)"/>
      <w:numFmt w:val="lowerLetter"/>
      <w:start w:val="4"/>
    </w:lvl>
  </w:abstractNum>
  <w:abstractNum w:abstractNumId="440">
    <w:nsid w:val="4A3F068C"/>
    <w:multiLevelType w:val="hybridMultilevel"/>
    <w:lvl w:ilvl="0">
      <w:lvlJc w:val="left"/>
      <w:lvlText w:val="(%1)"/>
      <w:numFmt w:val="lowerRoman"/>
      <w:start w:val="1"/>
    </w:lvl>
  </w:abstractNum>
  <w:abstractNum w:abstractNumId="441">
    <w:nsid w:val="6C04B4E0"/>
    <w:multiLevelType w:val="hybridMultilevel"/>
    <w:lvl w:ilvl="0">
      <w:lvlJc w:val="left"/>
      <w:lvlText w:val="(%1)"/>
      <w:numFmt w:val="lowerRoman"/>
      <w:start w:val="3"/>
    </w:lvl>
  </w:abstractNum>
  <w:abstractNum w:abstractNumId="442">
    <w:nsid w:val="1D082837"/>
    <w:multiLevelType w:val="hybridMultilevel"/>
    <w:lvl w:ilvl="0">
      <w:lvlJc w:val="left"/>
      <w:lvlText w:val="(%1)"/>
      <w:numFmt w:val="upperLetter"/>
      <w:start w:val="4"/>
    </w:lvl>
    <w:lvl w:ilvl="1">
      <w:lvlJc w:val="left"/>
      <w:lvlText w:val="(%2)"/>
      <w:numFmt w:val="lowerRoman"/>
      <w:start w:val="5"/>
    </w:lvl>
  </w:abstractNum>
  <w:abstractNum w:abstractNumId="443">
    <w:nsid w:val="685B8A2D"/>
    <w:multiLevelType w:val="hybridMultilevel"/>
    <w:lvl w:ilvl="0">
      <w:lvlJc w:val="left"/>
      <w:lvlText w:val="(%1)"/>
      <w:numFmt w:val="decimal"/>
      <w:start w:val="2"/>
    </w:lvl>
  </w:abstractNum>
  <w:abstractNum w:abstractNumId="444">
    <w:nsid w:val="64F087E2"/>
    <w:multiLevelType w:val="hybridMultilevel"/>
    <w:lvl w:ilvl="0">
      <w:lvlJc w:val="left"/>
      <w:lvlText w:val="(%1)"/>
      <w:numFmt w:val="lowerLetter"/>
      <w:start w:val="8"/>
    </w:lvl>
  </w:abstractNum>
  <w:abstractNum w:abstractNumId="445">
    <w:nsid w:val="1575811C"/>
    <w:multiLevelType w:val="hybridMultilevel"/>
    <w:lvl w:ilvl="0">
      <w:lvlJc w:val="left"/>
      <w:lvlText w:val="(%1)"/>
      <w:numFmt w:val="lowerLetter"/>
      <w:start w:val="1"/>
    </w:lvl>
  </w:abstractNum>
  <w:abstractNum w:abstractNumId="446">
    <w:nsid w:val="52127406"/>
    <w:multiLevelType w:val="hybridMultilevel"/>
    <w:lvl w:ilvl="0">
      <w:lvlJc w:val="left"/>
      <w:lvlText w:val="%1"/>
      <w:numFmt w:val="lowerLetter"/>
      <w:start w:val="1"/>
    </w:lvl>
    <w:lvl w:ilvl="1">
      <w:lvlJc w:val="left"/>
      <w:lvlText w:val="(%2)"/>
      <w:numFmt w:val="lowerLetter"/>
      <w:start w:val="2"/>
    </w:lvl>
  </w:abstractNum>
  <w:abstractNum w:abstractNumId="447">
    <w:nsid w:val="5FF178A"/>
    <w:multiLevelType w:val="hybridMultilevel"/>
    <w:lvl w:ilvl="0">
      <w:lvlJc w:val="left"/>
      <w:lvlText w:val="(%1)"/>
      <w:numFmt w:val="lowerLetter"/>
      <w:start w:val="61"/>
    </w:lvl>
    <w:lvl w:ilvl="1">
      <w:lvlJc w:val="left"/>
      <w:lvlText w:val="(%2)"/>
      <w:numFmt w:val="lowerLetter"/>
      <w:start w:val="3"/>
    </w:lvl>
  </w:abstractNum>
  <w:abstractNum w:abstractNumId="448">
    <w:nsid w:val="53FB0875"/>
    <w:multiLevelType w:val="hybridMultilevel"/>
    <w:lvl w:ilvl="0">
      <w:lvlJc w:val="left"/>
      <w:lvlText w:val="(%1)"/>
      <w:numFmt w:val="lowerLetter"/>
      <w:start w:val="5"/>
    </w:lvl>
  </w:abstractNum>
  <w:abstractNum w:abstractNumId="449">
    <w:nsid w:val="34FA7B2B"/>
    <w:multiLevelType w:val="hybridMultilevel"/>
    <w:lvl w:ilvl="0">
      <w:lvlJc w:val="left"/>
      <w:lvlText w:val="(%1)"/>
      <w:numFmt w:val="lowerRoman"/>
      <w:start w:val="1"/>
    </w:lvl>
  </w:abstractNum>
  <w:abstractNum w:abstractNumId="450">
    <w:nsid w:val="CA75DBC"/>
    <w:multiLevelType w:val="hybridMultilevel"/>
    <w:lvl w:ilvl="0">
      <w:lvlJc w:val="left"/>
      <w:lvlText w:val="%1"/>
      <w:numFmt w:val="lowerLetter"/>
      <w:start w:val="1"/>
    </w:lvl>
    <w:lvl w:ilvl="1">
      <w:lvlJc w:val="left"/>
      <w:lvlText w:val="(%2)"/>
      <w:numFmt w:val="lowerLetter"/>
      <w:start w:val="1"/>
    </w:lvl>
  </w:abstractNum>
  <w:abstractNum w:abstractNumId="451">
    <w:nsid w:val="6AE2EC3C"/>
    <w:multiLevelType w:val="hybridMultilevel"/>
    <w:lvl w:ilvl="0">
      <w:lvlJc w:val="left"/>
      <w:lvlText w:val="(%1)"/>
      <w:numFmt w:val="lowerLetter"/>
      <w:start w:val="9"/>
    </w:lvl>
    <w:lvl w:ilvl="1">
      <w:lvlJc w:val="left"/>
      <w:lvlText w:val="(%2)"/>
      <w:numFmt w:val="lowerLetter"/>
      <w:start w:val="2"/>
    </w:lvl>
  </w:abstractNum>
  <w:abstractNum w:abstractNumId="452">
    <w:nsid w:val="3B3A67C5"/>
    <w:multiLevelType w:val="hybridMultilevel"/>
    <w:lvl w:ilvl="0">
      <w:lvlJc w:val="left"/>
      <w:lvlText w:val="(%1)"/>
      <w:numFmt w:val="lowerLetter"/>
      <w:start w:val="9"/>
    </w:lvl>
    <w:lvl w:ilvl="1">
      <w:lvlJc w:val="left"/>
      <w:lvlText w:val="%2"/>
      <w:numFmt w:val="lowerLetter"/>
      <w:start w:val="1"/>
    </w:lvl>
  </w:abstractNum>
  <w:abstractNum w:abstractNumId="453">
    <w:nsid w:val="78D07D08"/>
    <w:multiLevelType w:val="hybridMultilevel"/>
    <w:lvl w:ilvl="0">
      <w:lvlJc w:val="left"/>
      <w:lvlText w:val="(%1)"/>
      <w:numFmt w:val="lowerLetter"/>
      <w:start w:val="1"/>
    </w:lvl>
  </w:abstractNum>
  <w:abstractNum w:abstractNumId="454">
    <w:nsid w:val="3AF676B7"/>
    <w:multiLevelType w:val="hybridMultilevel"/>
    <w:lvl w:ilvl="0">
      <w:lvlJc w:val="left"/>
      <w:lvlText w:val="%1"/>
      <w:numFmt w:val="upperLetter"/>
      <w:start w:val="1"/>
    </w:lvl>
    <w:lvl w:ilvl="1">
      <w:lvlJc w:val="left"/>
      <w:lvlText w:val="(%2)"/>
      <w:numFmt w:val="lowerLetter"/>
      <w:start w:val="1"/>
    </w:lvl>
  </w:abstractNum>
  <w:abstractNum w:abstractNumId="455">
    <w:nsid w:val="6B6FD84E"/>
    <w:multiLevelType w:val="hybridMultilevel"/>
    <w:lvl w:ilvl="0">
      <w:lvlJc w:val="left"/>
      <w:lvlText w:val="(%1)"/>
      <w:numFmt w:val="upperLetter"/>
      <w:start w:val="3"/>
    </w:lvl>
    <w:lvl w:ilvl="1">
      <w:lvlJc w:val="left"/>
      <w:lvlText w:val="(%2)"/>
      <w:numFmt w:val="lowerLetter"/>
      <w:start w:val="3"/>
    </w:lvl>
  </w:abstractNum>
  <w:abstractNum w:abstractNumId="456">
    <w:nsid w:val="497FD5B0"/>
    <w:multiLevelType w:val="hybridMultilevel"/>
    <w:lvl w:ilvl="0">
      <w:lvlJc w:val="left"/>
      <w:lvlText w:val="(%1)"/>
      <w:numFmt w:val="lowerRoman"/>
      <w:start w:val="1"/>
    </w:lvl>
  </w:abstractNum>
  <w:abstractNum w:abstractNumId="457">
    <w:nsid w:val="61A5C3E4"/>
    <w:multiLevelType w:val="hybridMultilevel"/>
    <w:lvl w:ilvl="0">
      <w:lvlJc w:val="left"/>
      <w:lvlText w:val="(%1)"/>
      <w:numFmt w:val="lowerLetter"/>
      <w:start w:val="5"/>
    </w:lvl>
  </w:abstractNum>
  <w:abstractNum w:abstractNumId="458">
    <w:nsid w:val="FADB8F8"/>
    <w:multiLevelType w:val="hybridMultilevel"/>
    <w:lvl w:ilvl="0">
      <w:lvlJc w:val="left"/>
      <w:lvlText w:val="(%1)"/>
      <w:numFmt w:val="lowerRoman"/>
      <w:start w:val="1"/>
    </w:lvl>
  </w:abstractNum>
  <w:abstractNum w:abstractNumId="459">
    <w:nsid w:val="3DEB451A"/>
    <w:multiLevelType w:val="hybridMultilevel"/>
    <w:lvl w:ilvl="0">
      <w:lvlJc w:val="left"/>
      <w:lvlText w:val="(%1)"/>
      <w:numFmt w:val="lowerRoman"/>
      <w:start w:val="3"/>
    </w:lvl>
  </w:abstractNum>
  <w:abstractNum w:abstractNumId="460">
    <w:nsid w:val="A577FD6"/>
    <w:multiLevelType w:val="hybridMultilevel"/>
    <w:lvl w:ilvl="0">
      <w:lvlJc w:val="left"/>
      <w:lvlText w:val="(%1)"/>
      <w:numFmt w:val="lowerLetter"/>
      <w:start w:val="6"/>
    </w:lvl>
  </w:abstractNum>
  <w:abstractNum w:abstractNumId="461">
    <w:nsid w:val="1E5313D"/>
    <w:multiLevelType w:val="hybridMultilevel"/>
    <w:lvl w:ilvl="0">
      <w:lvlJc w:val="left"/>
      <w:lvlText w:val="(%1)"/>
      <w:numFmt w:val="lowerLetter"/>
      <w:start w:val="8"/>
    </w:lvl>
  </w:abstractNum>
  <w:abstractNum w:abstractNumId="462">
    <w:nsid w:val="1B37F412"/>
    <w:multiLevelType w:val="hybridMultilevel"/>
    <w:lvl w:ilvl="0">
      <w:lvlJc w:val="left"/>
      <w:lvlText w:val="(%1)"/>
      <w:numFmt w:val="lowerLetter"/>
      <w:start w:val="10"/>
    </w:lvl>
  </w:abstractNum>
  <w:abstractNum w:abstractNumId="463">
    <w:nsid w:val="4C9BB1B"/>
    <w:multiLevelType w:val="hybridMultilevel"/>
    <w:lvl w:ilvl="0">
      <w:lvlJc w:val="left"/>
      <w:lvlText w:val="%1"/>
      <w:numFmt w:val="lowerLetter"/>
      <w:start w:val="1"/>
    </w:lvl>
    <w:lvl w:ilvl="1">
      <w:lvlJc w:val="left"/>
      <w:lvlText w:val="(%2)"/>
      <w:numFmt w:val="lowerLetter"/>
      <w:start w:val="1"/>
    </w:lvl>
  </w:abstractNum>
  <w:abstractNum w:abstractNumId="464">
    <w:nsid w:val="22766F7E"/>
    <w:multiLevelType w:val="hybridMultilevel"/>
    <w:lvl w:ilvl="0">
      <w:lvlJc w:val="left"/>
      <w:lvlText w:val="(%1)"/>
      <w:numFmt w:val="lowerLetter"/>
      <w:start w:val="35"/>
    </w:lvl>
    <w:lvl w:ilvl="1">
      <w:lvlJc w:val="left"/>
      <w:lvlText w:val="(%2)"/>
      <w:numFmt w:val="lowerLetter"/>
      <w:start w:val="2"/>
    </w:lvl>
  </w:abstractNum>
  <w:abstractNum w:abstractNumId="465">
    <w:nsid w:val="2936B69A"/>
    <w:multiLevelType w:val="hybridMultilevel"/>
    <w:lvl w:ilvl="0">
      <w:lvlJc w:val="left"/>
      <w:lvlText w:val="(%1)"/>
      <w:numFmt w:val="lowerRoman"/>
      <w:start w:val="1"/>
    </w:lvl>
  </w:abstractNum>
  <w:abstractNum w:abstractNumId="466">
    <w:nsid w:val="5E194EEC"/>
    <w:multiLevelType w:val="hybridMultilevel"/>
    <w:lvl w:ilvl="0">
      <w:lvlJc w:val="left"/>
      <w:lvlText w:val="%1"/>
      <w:numFmt w:val="decimal"/>
      <w:start w:val="1"/>
    </w:lvl>
    <w:lvl w:ilvl="1">
      <w:lvlJc w:val="left"/>
      <w:lvlText w:val="(%2)"/>
      <w:numFmt w:val="lowerLetter"/>
      <w:start w:val="61"/>
    </w:lvl>
  </w:abstractNum>
  <w:abstractNum w:abstractNumId="467">
    <w:nsid w:val="3B69ECD"/>
    <w:multiLevelType w:val="hybridMultilevel"/>
    <w:lvl w:ilvl="0">
      <w:lvlJc w:val="left"/>
      <w:lvlText w:val="(%1)"/>
      <w:numFmt w:val="decimal"/>
      <w:start w:val="3"/>
    </w:lvl>
    <w:lvl w:ilvl="1">
      <w:lvlJc w:val="left"/>
      <w:lvlText w:val="(%2)"/>
      <w:numFmt w:val="lowerLetter"/>
      <w:start w:val="3"/>
    </w:lvl>
  </w:abstractNum>
  <w:abstractNum w:abstractNumId="468">
    <w:nsid w:val="77361526"/>
    <w:multiLevelType w:val="hybridMultilevel"/>
    <w:lvl w:ilvl="0">
      <w:lvlJc w:val="left"/>
      <w:lvlText w:val="(%1)"/>
      <w:numFmt w:val="lowerRoman"/>
      <w:start w:val="1"/>
    </w:lvl>
  </w:abstractNum>
  <w:abstractNum w:abstractNumId="469">
    <w:nsid w:val="7338868F"/>
    <w:multiLevelType w:val="hybridMultilevel"/>
    <w:lvl w:ilvl="0">
      <w:lvlJc w:val="left"/>
      <w:lvlText w:val="2"/>
      <w:numFmt w:val="bullet"/>
      <w:start w:val="1"/>
    </w:lvl>
  </w:abstractNum>
  <w:abstractNum w:abstractNumId="470">
    <w:nsid w:val="5377D7E"/>
    <w:multiLevelType w:val="hybridMultilevel"/>
    <w:lvl w:ilvl="0">
      <w:lvlJc w:val="left"/>
      <w:lvlText w:val="(%1)"/>
      <w:numFmt w:val="lowerRoman"/>
      <w:start w:val="6"/>
    </w:lvl>
  </w:abstractNum>
  <w:abstractNum w:abstractNumId="471">
    <w:nsid w:val="41751BB2"/>
    <w:multiLevelType w:val="hybridMultilevel"/>
    <w:lvl w:ilvl="0">
      <w:lvlJc w:val="left"/>
      <w:lvlText w:val="(%1)"/>
      <w:numFmt w:val="lowerLetter"/>
      <w:start w:val="4"/>
    </w:lvl>
  </w:abstractNum>
  <w:abstractNum w:abstractNumId="472">
    <w:nsid w:val="5F3D3B70"/>
    <w:multiLevelType w:val="hybridMultilevel"/>
    <w:lvl w:ilvl="0">
      <w:lvlJc w:val="left"/>
      <w:lvlText w:val="(%1)"/>
      <w:numFmt w:val="lowerLetter"/>
      <w:start w:val="1"/>
    </w:lvl>
  </w:abstractNum>
  <w:abstractNum w:abstractNumId="473">
    <w:nsid w:val="223FA5B6"/>
    <w:multiLevelType w:val="hybridMultilevel"/>
    <w:lvl w:ilvl="0">
      <w:lvlJc w:val="left"/>
      <w:lvlText w:val="(%1)"/>
      <w:numFmt w:val="lowerRoman"/>
      <w:start w:val="1"/>
    </w:lvl>
  </w:abstractNum>
  <w:abstractNum w:abstractNumId="474">
    <w:nsid w:val="29D0A5DF"/>
    <w:multiLevelType w:val="hybridMultilevel"/>
    <w:lvl w:ilvl="0">
      <w:lvlJc w:val="left"/>
      <w:lvlText w:val="(%1)"/>
      <w:numFmt w:val="lowerRoman"/>
      <w:start w:val="3"/>
    </w:lvl>
  </w:abstractNum>
  <w:abstractNum w:abstractNumId="475">
    <w:nsid w:val="442DC352"/>
    <w:multiLevelType w:val="hybridMultilevel"/>
    <w:lvl w:ilvl="0">
      <w:lvlJc w:val="left"/>
      <w:lvlText w:val="(%1)"/>
      <w:numFmt w:val="lowerLetter"/>
      <w:start w:val="2"/>
    </w:lvl>
  </w:abstractNum>
  <w:abstractNum w:abstractNumId="476">
    <w:nsid w:val="37B526D2"/>
    <w:multiLevelType w:val="hybridMultilevel"/>
    <w:lvl w:ilvl="0">
      <w:lvlJc w:val="left"/>
      <w:lvlText w:val="(%1)"/>
      <w:numFmt w:val="lowerRoman"/>
      <w:start w:val="1"/>
    </w:lvl>
  </w:abstractNum>
  <w:abstractNum w:abstractNumId="477">
    <w:nsid w:val="7BE319E5"/>
    <w:multiLevelType w:val="hybridMultilevel"/>
    <w:lvl w:ilvl="0">
      <w:lvlJc w:val="left"/>
      <w:lvlText w:val="(%1)"/>
      <w:numFmt w:val="upperLetter"/>
      <w:start w:val="3"/>
    </w:lvl>
    <w:lvl w:ilvl="1">
      <w:lvlJc w:val="left"/>
      <w:lvlText w:val="(%2)"/>
      <w:numFmt w:val="lowerRoman"/>
      <w:start w:val="3"/>
    </w:lvl>
  </w:abstractNum>
  <w:abstractNum w:abstractNumId="478">
    <w:nsid w:val="4A2CDADC"/>
    <w:multiLevelType w:val="hybridMultilevel"/>
    <w:lvl w:ilvl="0">
      <w:lvlJc w:val="left"/>
      <w:lvlText w:val="(%1)"/>
      <w:numFmt w:val="lowerRoman"/>
      <w:start w:val="5"/>
    </w:lvl>
  </w:abstractNum>
  <w:abstractNum w:abstractNumId="479">
    <w:nsid w:val="BB02F47"/>
    <w:multiLevelType w:val="hybridMultilevel"/>
    <w:lvl w:ilvl="0">
      <w:lvlJc w:val="left"/>
      <w:lvlText w:val="%1"/>
      <w:numFmt w:val="upperLetter"/>
      <w:start w:val="1"/>
    </w:lvl>
    <w:lvl w:ilvl="1">
      <w:lvlJc w:val="left"/>
      <w:lvlText w:val="(%2)"/>
      <w:numFmt w:val="lowerLetter"/>
      <w:start w:val="3"/>
    </w:lvl>
  </w:abstractNum>
  <w:abstractNum w:abstractNumId="480">
    <w:nsid w:val="30DD9510"/>
    <w:multiLevelType w:val="hybridMultilevel"/>
    <w:lvl w:ilvl="0">
      <w:lvlJc w:val="left"/>
      <w:lvlText w:val="(%1)"/>
      <w:numFmt w:val="upperLetter"/>
      <w:start w:val="2"/>
    </w:lvl>
    <w:lvl w:ilvl="1">
      <w:lvlJc w:val="left"/>
      <w:lvlText w:val="%2"/>
      <w:numFmt w:val="lowerLetter"/>
      <w:start w:val="1"/>
    </w:lvl>
  </w:abstractNum>
  <w:abstractNum w:abstractNumId="481">
    <w:nsid w:val="56D43898"/>
    <w:multiLevelType w:val="hybridMultilevel"/>
    <w:lvl w:ilvl="0">
      <w:lvlJc w:val="left"/>
      <w:lvlText w:val="(%1)"/>
      <w:numFmt w:val="lowerLetter"/>
      <w:start w:val="5"/>
    </w:lvl>
  </w:abstractNum>
  <w:abstractNum w:abstractNumId="482">
    <w:nsid w:val="76931B84"/>
    <w:multiLevelType w:val="hybridMultilevel"/>
    <w:lvl w:ilvl="0">
      <w:lvlJc w:val="left"/>
      <w:lvlText w:val="(%1)"/>
      <w:numFmt w:val="lowerLetter"/>
      <w:start w:val="1"/>
    </w:lvl>
  </w:abstractNum>
  <w:abstractNum w:abstractNumId="483">
    <w:nsid w:val="6C17FCD6"/>
    <w:multiLevelType w:val="hybridMultilevel"/>
    <w:lvl w:ilvl="0">
      <w:lvlJc w:val="left"/>
      <w:lvlText w:val="(%1)"/>
      <w:numFmt w:val="lowerLetter"/>
      <w:start w:val="2"/>
    </w:lvl>
  </w:abstractNum>
  <w:abstractNum w:abstractNumId="484">
    <w:nsid w:val="4FA4B5A1"/>
    <w:multiLevelType w:val="hybridMultilevel"/>
    <w:lvl w:ilvl="0">
      <w:lvlJc w:val="left"/>
      <w:lvlText w:val="(%1)"/>
      <w:numFmt w:val="lowerLetter"/>
      <w:start w:val="1"/>
    </w:lvl>
  </w:abstractNum>
  <w:abstractNum w:abstractNumId="485">
    <w:nsid w:val="3189923B"/>
    <w:multiLevelType w:val="hybridMultilevel"/>
    <w:lvl w:ilvl="0">
      <w:lvlJc w:val="left"/>
      <w:lvlText w:val="(%1)"/>
      <w:numFmt w:val="lowerLetter"/>
      <w:start w:val="1"/>
    </w:lvl>
  </w:abstractNum>
  <w:abstractNum w:abstractNumId="486">
    <w:nsid w:val="5787D524"/>
    <w:multiLevelType w:val="hybridMultilevel"/>
    <w:lvl w:ilvl="0">
      <w:lvlJc w:val="left"/>
      <w:lvlText w:val="(%1)"/>
      <w:numFmt w:val="lowerLetter"/>
      <w:start w:val="1"/>
    </w:lvl>
  </w:abstractNum>
  <w:abstractNum w:abstractNumId="487">
    <w:nsid w:val="19248B51"/>
    <w:multiLevelType w:val="hybridMultilevel"/>
    <w:lvl w:ilvl="0">
      <w:lvlJc w:val="left"/>
      <w:lvlText w:val="(%1)"/>
      <w:numFmt w:val="lowerLetter"/>
      <w:start w:val="2"/>
    </w:lvl>
  </w:abstractNum>
  <w:abstractNum w:abstractNumId="488">
    <w:nsid w:val="132F561F"/>
    <w:multiLevelType w:val="hybridMultilevel"/>
    <w:lvl w:ilvl="0">
      <w:lvlJc w:val="left"/>
      <w:lvlText w:val="(%1)"/>
      <w:numFmt w:val="lowerLetter"/>
      <w:start w:val="1"/>
    </w:lvl>
  </w:abstractNum>
  <w:abstractNum w:abstractNumId="489">
    <w:nsid w:val="67358E1D"/>
    <w:multiLevelType w:val="hybridMultilevel"/>
    <w:lvl w:ilvl="0">
      <w:lvlJc w:val="left"/>
      <w:lvlText w:val="(%1)"/>
      <w:numFmt w:val="lowerLetter"/>
      <w:start w:val="2"/>
    </w:lvl>
  </w:abstractNum>
  <w:abstractNum w:abstractNumId="490">
    <w:nsid w:val="570FD06B"/>
    <w:multiLevelType w:val="hybridMultilevel"/>
    <w:lvl w:ilvl="0">
      <w:lvlJc w:val="left"/>
      <w:lvlText w:val="(%1)"/>
      <w:numFmt w:val="lowerLetter"/>
      <w:start w:val="1"/>
    </w:lvl>
  </w:abstractNum>
  <w:abstractNum w:abstractNumId="491">
    <w:nsid w:val="1D86D5F5"/>
    <w:multiLevelType w:val="hybridMultilevel"/>
    <w:lvl w:ilvl="0">
      <w:lvlJc w:val="left"/>
      <w:lvlText w:val="(%1)"/>
      <w:numFmt w:val="lowerRoman"/>
      <w:start w:val="1"/>
    </w:lvl>
  </w:abstractNum>
  <w:abstractNum w:abstractNumId="492">
    <w:nsid w:val="691ABF5A"/>
    <w:multiLevelType w:val="hybridMultilevel"/>
    <w:lvl w:ilvl="0">
      <w:lvlJc w:val="left"/>
      <w:lvlText w:val="(%1)"/>
      <w:numFmt w:val="lowerLetter"/>
      <w:start w:val="2"/>
    </w:lvl>
  </w:abstractNum>
  <w:abstractNum w:abstractNumId="493">
    <w:nsid w:val="7247C47D"/>
    <w:multiLevelType w:val="hybridMultilevel"/>
    <w:lvl w:ilvl="0">
      <w:lvlJc w:val="left"/>
      <w:lvlText w:val="(%1)"/>
      <w:numFmt w:val="lowerLetter"/>
      <w:start w:val="4"/>
    </w:lvl>
  </w:abstractNum>
  <w:abstractNum w:abstractNumId="494">
    <w:nsid w:val="22509110"/>
    <w:multiLevelType w:val="hybridMultilevel"/>
    <w:lvl w:ilvl="0">
      <w:lvlJc w:val="left"/>
      <w:lvlText w:val="(%1)"/>
      <w:numFmt w:val="lowerRoman"/>
      <w:start w:val="1"/>
    </w:lvl>
  </w:abstractNum>
  <w:abstractNum w:abstractNumId="495">
    <w:nsid w:val="B912ED8"/>
    <w:multiLevelType w:val="hybridMultilevel"/>
    <w:lvl w:ilvl="0">
      <w:lvlJc w:val="left"/>
      <w:lvlText w:val="(%1)"/>
      <w:numFmt w:val="lowerLetter"/>
      <w:start w:val="6"/>
    </w:lvl>
  </w:abstractNum>
  <w:abstractNum w:abstractNumId="496">
    <w:nsid w:val="1B7E7B17"/>
    <w:multiLevelType w:val="hybridMultilevel"/>
    <w:lvl w:ilvl="0">
      <w:lvlJc w:val="left"/>
      <w:lvlText w:val="(%1)"/>
      <w:numFmt w:val="lowerLetter"/>
      <w:start w:val="10"/>
    </w:lvl>
  </w:abstractNum>
  <w:abstractNum w:abstractNumId="497">
    <w:nsid w:val="69DFFC"/>
    <w:multiLevelType w:val="hybridMultilevel"/>
    <w:lvl w:ilvl="0">
      <w:lvlJc w:val="left"/>
      <w:lvlText w:val="(%1)"/>
      <w:numFmt w:val="lowerLetter"/>
      <w:start w:val="1"/>
    </w:lvl>
  </w:abstractNum>
  <w:abstractNum w:abstractNumId="498">
    <w:nsid w:val="F47CDA5"/>
    <w:multiLevelType w:val="hybridMultilevel"/>
    <w:lvl w:ilvl="0">
      <w:lvlJc w:val="left"/>
      <w:lvlText w:val="(%1)"/>
      <w:numFmt w:val="lowerLetter"/>
      <w:start w:val="1"/>
    </w:lvl>
  </w:abstractNum>
  <w:abstractNum w:abstractNumId="499">
    <w:nsid w:val="12B4903D"/>
    <w:multiLevelType w:val="hybridMultilevel"/>
    <w:lvl w:ilvl="0">
      <w:lvlJc w:val="left"/>
      <w:lvlText w:val="(%1)"/>
      <w:numFmt w:val="lowerLetter"/>
      <w:start w:val="4"/>
    </w:lvl>
  </w:abstractNum>
  <w:abstractNum w:abstractNumId="500">
    <w:nsid w:val="73A2668C"/>
    <w:multiLevelType w:val="hybridMultilevel"/>
    <w:lvl w:ilvl="0">
      <w:lvlJc w:val="left"/>
      <w:lvlText w:val="(%1)"/>
      <w:numFmt w:val="lowerRoman"/>
      <w:start w:val="3"/>
    </w:lvl>
  </w:abstractNum>
  <w:abstractNum w:abstractNumId="501">
    <w:nsid w:val="147F4B24"/>
    <w:multiLevelType w:val="hybridMultilevel"/>
    <w:lvl w:ilvl="0">
      <w:lvlJc w:val="left"/>
      <w:lvlText w:val="(%1)"/>
      <w:numFmt w:val="decimal"/>
      <w:start w:val="1"/>
    </w:lvl>
  </w:abstractNum>
  <w:abstractNum w:abstractNumId="502">
    <w:nsid w:val="5429ABEF"/>
    <w:multiLevelType w:val="hybridMultilevel"/>
    <w:lvl w:ilvl="0">
      <w:lvlJc w:val="left"/>
      <w:lvlText w:val="(%1)"/>
      <w:numFmt w:val="lowerLetter"/>
      <w:start w:val="1"/>
    </w:lvl>
  </w:abstractNum>
  <w:abstractNum w:abstractNumId="503">
    <w:nsid w:val="52DFA1FC"/>
    <w:multiLevelType w:val="hybridMultilevel"/>
    <w:lvl w:ilvl="0">
      <w:lvlJc w:val="left"/>
      <w:lvlText w:val="(%1)"/>
      <w:numFmt w:val="decimal"/>
      <w:start w:val="1"/>
    </w:lvl>
  </w:abstractNum>
  <w:abstractNum w:abstractNumId="504">
    <w:nsid w:val="36BEF0DA"/>
    <w:multiLevelType w:val="hybridMultilevel"/>
    <w:lvl w:ilvl="0">
      <w:lvlJc w:val="left"/>
      <w:lvlText w:val="(%1)"/>
      <w:numFmt w:val="decimal"/>
      <w:start w:val="1"/>
    </w:lvl>
  </w:abstractNum>
  <w:abstractNum w:abstractNumId="505">
    <w:nsid w:val="7DFA51CE"/>
    <w:multiLevelType w:val="hybridMultilevel"/>
    <w:lvl w:ilvl="0">
      <w:lvlJc w:val="left"/>
      <w:lvlText w:val="(%1)"/>
      <w:numFmt w:val="decimal"/>
      <w:start w:val="8"/>
    </w:lvl>
  </w:abstractNum>
  <w:abstractNum w:abstractNumId="506">
    <w:nsid w:val="170D654E"/>
    <w:multiLevelType w:val="hybridMultilevel"/>
    <w:lvl w:ilvl="0">
      <w:lvlJc w:val="left"/>
      <w:lvlText w:val="(%1)"/>
      <w:numFmt w:val="lowerLetter"/>
      <w:start w:val="2"/>
    </w:lvl>
  </w:abstractNum>
  <w:abstractNum w:abstractNumId="507">
    <w:nsid w:val="6E7417AC"/>
    <w:multiLevelType w:val="hybridMultilevel"/>
    <w:lvl w:ilvl="0">
      <w:lvlJc w:val="left"/>
      <w:lvlText w:val="(%1)"/>
      <w:numFmt w:val="lowerLetter"/>
      <w:start w:val="1"/>
    </w:lvl>
  </w:abstractNum>
  <w:abstractNum w:abstractNumId="508">
    <w:nsid w:val="79DD6BB3"/>
    <w:multiLevelType w:val="hybridMultilevel"/>
    <w:lvl w:ilvl="0">
      <w:lvlJc w:val="left"/>
      <w:lvlText w:val="(%1)"/>
      <w:numFmt w:val="lowerLetter"/>
      <w:start w:val="2"/>
    </w:lvl>
  </w:abstractNum>
  <w:abstractNum w:abstractNumId="509">
    <w:nsid w:val="613A402A"/>
    <w:multiLevelType w:val="hybridMultilevel"/>
    <w:lvl w:ilvl="0">
      <w:lvlJc w:val="left"/>
      <w:lvlText w:val="(%1)"/>
      <w:numFmt w:val="lowerLetter"/>
      <w:start w:val="1"/>
    </w:lvl>
  </w:abstractNum>
  <w:abstractNum w:abstractNumId="510">
    <w:nsid w:val="7A2446F3"/>
    <w:multiLevelType w:val="hybridMultilevel"/>
    <w:lvl w:ilvl="0">
      <w:lvlJc w:val="left"/>
      <w:lvlText w:val="(%1)"/>
      <w:numFmt w:val="lowerLetter"/>
      <w:start w:val="1"/>
    </w:lvl>
  </w:abstractNum>
  <w:abstractNum w:abstractNumId="511">
    <w:nsid w:val="2ABB00C4"/>
    <w:multiLevelType w:val="hybridMultilevel"/>
    <w:lvl w:ilvl="0">
      <w:lvlJc w:val="left"/>
      <w:lvlText w:val="(%1)"/>
      <w:numFmt w:val="lowerLetter"/>
      <w:start w:val="4"/>
    </w:lvl>
  </w:abstractNum>
  <w:abstractNum w:abstractNumId="512">
    <w:nsid w:val="380E78C3"/>
    <w:multiLevelType w:val="hybridMultilevel"/>
    <w:lvl w:ilvl="0">
      <w:lvlJc w:val="left"/>
      <w:lvlText w:val="(%1)"/>
      <w:numFmt w:val="lowerRoman"/>
      <w:start w:val="1"/>
    </w:lvl>
  </w:abstractNum>
  <w:abstractNum w:abstractNumId="513">
    <w:nsid w:val="70B76277"/>
    <w:multiLevelType w:val="hybridMultilevel"/>
    <w:lvl w:ilvl="0">
      <w:lvlJc w:val="left"/>
      <w:lvlText w:val="%1"/>
      <w:numFmt w:val="lowerRoman"/>
      <w:start w:val="1"/>
    </w:lvl>
    <w:lvl w:ilvl="1">
      <w:lvlJc w:val="left"/>
      <w:lvlText w:val="(%2)"/>
      <w:numFmt w:val="lowerRoman"/>
      <w:start w:val="2"/>
    </w:lvl>
  </w:abstractNum>
  <w:abstractNum w:abstractNumId="514">
    <w:nsid w:val="16D2FD9A"/>
    <w:multiLevelType w:val="hybridMultilevel"/>
    <w:lvl w:ilvl="0">
      <w:lvlJc w:val="left"/>
      <w:lvlText w:val="(%1)"/>
      <w:numFmt w:val="lowerRoman"/>
      <w:start w:val="4"/>
    </w:lvl>
    <w:lvl w:ilvl="1">
      <w:lvlJc w:val="left"/>
      <w:lvlText w:val="%2"/>
      <w:numFmt w:val="lowerRoman"/>
      <w:start w:val="1"/>
    </w:lvl>
  </w:abstractNum>
  <w:abstractNum w:abstractNumId="515">
    <w:nsid w:val="7B32E64"/>
    <w:multiLevelType w:val="hybridMultilevel"/>
    <w:lvl w:ilvl="0">
      <w:lvlJc w:val="left"/>
      <w:lvlText w:val="(%1)"/>
      <w:numFmt w:val="lowerLetter"/>
      <w:start w:val="24"/>
    </w:lvl>
    <w:lvl w:ilvl="1">
      <w:lvlJc w:val="left"/>
      <w:lvlText w:val="(%2)"/>
      <w:numFmt w:val="upperLetter"/>
      <w:start w:val="1"/>
    </w:lvl>
  </w:abstractNum>
  <w:abstractNum w:abstractNumId="516">
    <w:nsid w:val="2240F4B2"/>
    <w:multiLevelType w:val="hybridMultilevel"/>
    <w:lvl w:ilvl="0">
      <w:lvlJc w:val="left"/>
      <w:lvlText w:val="3"/>
      <w:numFmt w:val="bullet"/>
      <w:start w:val="1"/>
    </w:lvl>
  </w:abstractNum>
  <w:abstractNum w:abstractNumId="517">
    <w:nsid w:val="6E5AD2BE"/>
    <w:multiLevelType w:val="hybridMultilevel"/>
    <w:lvl w:ilvl="0">
      <w:lvlJc w:val="left"/>
      <w:lvlText w:val="(%1)"/>
      <w:numFmt w:val="upperLetter"/>
      <w:start w:val="4"/>
    </w:lvl>
  </w:abstractNum>
  <w:abstractNum w:abstractNumId="518">
    <w:nsid w:val="20D7B9B5"/>
    <w:multiLevelType w:val="hybridMultilevel"/>
    <w:lvl w:ilvl="0">
      <w:lvlJc w:val="left"/>
      <w:lvlText w:val="(%1)"/>
      <w:numFmt w:val="decimal"/>
      <w:start w:val="1"/>
    </w:lvl>
  </w:abstractNum>
  <w:abstractNum w:abstractNumId="519">
    <w:nsid w:val="35704AD1"/>
    <w:multiLevelType w:val="hybridMultilevel"/>
    <w:lvl w:ilvl="0">
      <w:lvlJc w:val="left"/>
      <w:lvlText w:val="(%1)"/>
      <w:numFmt w:val="decimal"/>
      <w:start w:val="2"/>
    </w:lvl>
  </w:abstractNum>
  <w:abstractNum w:abstractNumId="520">
    <w:nsid w:val="559060DB"/>
    <w:multiLevelType w:val="hybridMultilevel"/>
    <w:lvl w:ilvl="0">
      <w:lvlJc w:val="left"/>
      <w:lvlText w:val="(%1)"/>
      <w:numFmt w:val="decimal"/>
      <w:start w:val="7"/>
    </w:lvl>
  </w:abstractNum>
  <w:abstractNum w:abstractNumId="521">
    <w:nsid w:val="77E78A20"/>
    <w:multiLevelType w:val="hybridMultilevel"/>
    <w:lvl w:ilvl="0">
      <w:lvlJc w:val="left"/>
      <w:lvlText w:val="%1"/>
      <w:numFmt w:val="lowerRoman"/>
      <w:start w:val="1"/>
    </w:lvl>
    <w:lvl w:ilvl="1">
      <w:lvlJc w:val="left"/>
      <w:lvlText w:val="(%2)"/>
      <w:numFmt w:val="decimal"/>
      <w:start w:val="17"/>
    </w:lvl>
  </w:abstractNum>
  <w:abstractNum w:abstractNumId="522">
    <w:nsid w:val="52F720C6"/>
    <w:multiLevelType w:val="hybridMultilevel"/>
    <w:lvl w:ilvl="0">
      <w:lvlJc w:val="left"/>
      <w:lvlText w:val="(%1)"/>
      <w:numFmt w:val="lowerRoman"/>
      <w:start w:val="2"/>
    </w:lvl>
    <w:lvl w:ilvl="1">
      <w:lvlJc w:val="left"/>
      <w:lvlText w:val="(%2)"/>
      <w:numFmt w:val="decimal"/>
      <w:start w:val="18"/>
    </w:lvl>
  </w:abstractNum>
  <w:abstractNum w:abstractNumId="523">
    <w:nsid w:val="3EAB2035"/>
    <w:multiLevelType w:val="hybridMultilevel"/>
    <w:lvl w:ilvl="0">
      <w:lvlJc w:val="left"/>
      <w:lvlText w:val="(%1)"/>
      <w:numFmt w:val="lowerLetter"/>
      <w:start w:val="1"/>
    </w:lvl>
  </w:abstractNum>
  <w:abstractNum w:abstractNumId="524">
    <w:nsid w:val="6A2F4E9D"/>
    <w:multiLevelType w:val="hybridMultilevel"/>
    <w:lvl w:ilvl="0">
      <w:lvlJc w:val="left"/>
      <w:lvlText w:val="(%1)"/>
      <w:numFmt w:val="decimal"/>
      <w:start w:val="1"/>
    </w:lvl>
  </w:abstractNum>
  <w:abstractNum w:abstractNumId="525">
    <w:nsid w:val="7547B1D6"/>
    <w:multiLevelType w:val="hybridMultilevel"/>
    <w:lvl w:ilvl="0">
      <w:lvlJc w:val="left"/>
      <w:lvlText w:val="(%1)"/>
      <w:numFmt w:val="lowerLetter"/>
      <w:start w:val="2"/>
    </w:lvl>
  </w:abstractNum>
  <w:abstractNum w:abstractNumId="526">
    <w:nsid w:val="4A3C4F0E"/>
    <w:multiLevelType w:val="hybridMultilevel"/>
    <w:lvl w:ilvl="0">
      <w:lvlJc w:val="left"/>
      <w:lvlText w:val="(%1)"/>
      <w:numFmt w:val="decimal"/>
      <w:start w:val="1"/>
    </w:lvl>
  </w:abstractNum>
  <w:abstractNum w:abstractNumId="527">
    <w:nsid w:val="5ADC9B4"/>
    <w:multiLevelType w:val="hybridMultilevel"/>
    <w:lvl w:ilvl="0">
      <w:lvlJc w:val="left"/>
      <w:lvlText w:val="(%1)"/>
      <w:numFmt w:val="decimal"/>
      <w:start w:val="4"/>
    </w:lvl>
  </w:abstractNum>
  <w:abstractNum w:abstractNumId="528">
    <w:nsid w:val="75B191D3"/>
    <w:multiLevelType w:val="hybridMultilevel"/>
    <w:lvl w:ilvl="0">
      <w:lvlJc w:val="left"/>
      <w:lvlText w:val="(%1)"/>
      <w:numFmt w:val="decimal"/>
      <w:start w:val="14"/>
    </w:lvl>
  </w:abstractNum>
  <w:abstractNum w:abstractNumId="529">
    <w:nsid w:val="59841CB3"/>
    <w:multiLevelType w:val="hybridMultilevel"/>
    <w:lvl w:ilvl="0">
      <w:lvlJc w:val="left"/>
      <w:lvlText w:val="(%1)"/>
      <w:numFmt w:val="lowerRoman"/>
      <w:start w:val="10"/>
    </w:lvl>
  </w:abstractNum>
  <w:abstractNum w:abstractNumId="530">
    <w:nsid w:val="186259F2"/>
    <w:multiLevelType w:val="hybridMultilevel"/>
    <w:lvl w:ilvl="0">
      <w:lvlJc w:val="left"/>
      <w:lvlText w:val="(%1)"/>
      <w:numFmt w:val="lowerLetter"/>
      <w:start w:val="1"/>
    </w:lvl>
  </w:abstractNum>
  <w:abstractNum w:abstractNumId="531">
    <w:nsid w:val="6953F85F"/>
    <w:multiLevelType w:val="hybridMultilevel"/>
    <w:lvl w:ilvl="0">
      <w:lvlJc w:val="left"/>
      <w:lvlText w:val="(%1)"/>
      <w:numFmt w:val="decimal"/>
      <w:start w:val="1"/>
    </w:lvl>
    <w:lvl w:ilvl="1">
      <w:lvlJc w:val="left"/>
      <w:lvlText w:val="(%2)"/>
      <w:numFmt w:val="upperLetter"/>
      <w:start w:val="1"/>
    </w:lvl>
  </w:abstractNum>
  <w:abstractNum w:abstractNumId="532">
    <w:nsid w:val="6E0367D7"/>
    <w:multiLevelType w:val="hybridMultilevel"/>
    <w:lvl w:ilvl="0">
      <w:lvlJc w:val="left"/>
      <w:lvlText w:val="(%1)"/>
      <w:numFmt w:val="lowerLetter"/>
      <w:start w:val="2"/>
    </w:lvl>
  </w:abstractNum>
  <w:abstractNum w:abstractNumId="533">
    <w:nsid w:val="6C8C05E1"/>
    <w:multiLevelType w:val="hybridMultilevel"/>
    <w:lvl w:ilvl="0">
      <w:lvlJc w:val="left"/>
      <w:lvlText w:val="(%1)"/>
      <w:numFmt w:val="decimal"/>
      <w:start w:val="1"/>
    </w:lvl>
  </w:abstractNum>
  <w:abstractNum w:abstractNumId="534">
    <w:nsid w:val="3C339A5B"/>
    <w:multiLevelType w:val="hybridMultilevel"/>
    <w:lvl w:ilvl="0">
      <w:lvlJc w:val="left"/>
      <w:lvlText w:val="(%1)"/>
      <w:numFmt w:val="decimal"/>
      <w:start w:val="3"/>
    </w:lvl>
  </w:abstractNum>
  <w:abstractNum w:abstractNumId="535">
    <w:nsid w:val="24C258B1"/>
    <w:multiLevelType w:val="hybridMultilevel"/>
    <w:lvl w:ilvl="0">
      <w:lvlJc w:val="left"/>
      <w:lvlText w:val="(%1)"/>
      <w:numFmt w:val="decimal"/>
      <w:start w:val="14"/>
    </w:lvl>
  </w:abstractNum>
  <w:abstractNum w:abstractNumId="536">
    <w:nsid w:val="6A8657B0"/>
    <w:multiLevelType w:val="hybridMultilevel"/>
    <w:lvl w:ilvl="0">
      <w:lvlJc w:val="left"/>
      <w:lvlText w:val="%1"/>
      <w:numFmt w:val="decimal"/>
      <w:start w:val="1"/>
    </w:lvl>
    <w:lvl w:ilvl="1">
      <w:lvlJc w:val="left"/>
      <w:lvlText w:val="(%2)"/>
      <w:numFmt w:val="lowerLetter"/>
      <w:start w:val="1"/>
    </w:lvl>
  </w:abstractNum>
  <w:abstractNum w:abstractNumId="537">
    <w:nsid w:val="5340FFA9"/>
    <w:multiLevelType w:val="hybridMultilevel"/>
    <w:lvl w:ilvl="0">
      <w:lvlJc w:val="left"/>
      <w:lvlText w:val="(%1)"/>
      <w:numFmt w:val="decimal"/>
      <w:start w:val="45"/>
    </w:lvl>
    <w:lvl w:ilvl="1">
      <w:lvlJc w:val="left"/>
      <w:lvlText w:val="%2"/>
      <w:numFmt w:val="lowerLetter"/>
      <w:start w:val="1"/>
    </w:lvl>
  </w:abstractNum>
  <w:abstractNum w:abstractNumId="538">
    <w:nsid w:val="1336705D"/>
    <w:multiLevelType w:val="hybridMultilevel"/>
    <w:lvl w:ilvl="0">
      <w:lvlJc w:val="left"/>
      <w:lvlText w:val="4"/>
      <w:numFmt w:val="bullet"/>
      <w:start w:val="1"/>
    </w:lvl>
  </w:abstractNum>
  <w:abstractNum w:abstractNumId="539">
    <w:nsid w:val="6463C363"/>
    <w:multiLevelType w:val="hybridMultilevel"/>
    <w:lvl w:ilvl="0">
      <w:lvlJc w:val="left"/>
      <w:lvlText w:val="(%1)"/>
      <w:numFmt w:val="lowerLetter"/>
      <w:start w:val="3"/>
    </w:lvl>
  </w:abstractNum>
  <w:abstractNum w:abstractNumId="540">
    <w:nsid w:val="347B3FD3"/>
    <w:multiLevelType w:val="hybridMultilevel"/>
    <w:lvl w:ilvl="0">
      <w:lvlJc w:val="left"/>
      <w:lvlText w:val="(%1)"/>
      <w:numFmt w:val="lowerLetter"/>
      <w:start w:val="1"/>
    </w:lvl>
  </w:abstractNum>
  <w:abstractNum w:abstractNumId="541">
    <w:nsid w:val="D5AB751"/>
    <w:multiLevelType w:val="hybridMultilevel"/>
    <w:lvl w:ilvl="0">
      <w:lvlJc w:val="left"/>
      <w:lvlText w:val="(%1)"/>
      <w:numFmt w:val="decimal"/>
      <w:start w:val="1"/>
    </w:lvl>
    <w:lvl w:ilvl="1">
      <w:lvlJc w:val="left"/>
      <w:lvlText w:val="(%2)"/>
      <w:numFmt w:val="upperLetter"/>
      <w:start w:val="1"/>
    </w:lvl>
  </w:abstractNum>
  <w:abstractNum w:abstractNumId="542">
    <w:nsid w:val="F1EC427"/>
    <w:multiLevelType w:val="hybridMultilevel"/>
    <w:lvl w:ilvl="0">
      <w:lvlJc w:val="left"/>
      <w:lvlText w:val="(%1)"/>
      <w:numFmt w:val="decimal"/>
      <w:start w:val="4"/>
    </w:lvl>
  </w:abstractNum>
  <w:abstractNum w:abstractNumId="543">
    <w:nsid w:val="6C89B896"/>
    <w:multiLevelType w:val="hybridMultilevel"/>
    <w:lvl w:ilvl="0">
      <w:lvlJc w:val="left"/>
      <w:lvlText w:val="(%1)"/>
      <w:numFmt w:val="lowerLetter"/>
      <w:start w:val="2"/>
    </w:lvl>
  </w:abstractNum>
  <w:abstractNum w:abstractNumId="544">
    <w:nsid w:val="7E1219C8"/>
    <w:multiLevelType w:val="hybridMultilevel"/>
    <w:lvl w:ilvl="0">
      <w:lvlJc w:val="left"/>
      <w:lvlText w:val="(%1)"/>
      <w:numFmt w:val="decimal"/>
      <w:start w:val="1"/>
    </w:lvl>
  </w:abstractNum>
  <w:abstractNum w:abstractNumId="545">
    <w:nsid w:val="25F1C1C1"/>
    <w:multiLevelType w:val="hybridMultilevel"/>
    <w:lvl w:ilvl="0">
      <w:lvlJc w:val="left"/>
      <w:lvlText w:val="(%1)"/>
      <w:numFmt w:val="lowerLetter"/>
      <w:start w:val="3"/>
    </w:lvl>
  </w:abstractNum>
  <w:abstractNum w:abstractNumId="546">
    <w:nsid w:val="743CE6FA"/>
    <w:multiLevelType w:val="hybridMultilevel"/>
    <w:lvl w:ilvl="0">
      <w:lvlJc w:val="left"/>
      <w:lvlText w:val="(%1)"/>
      <w:numFmt w:val="lowerLetter"/>
      <w:start w:val="1"/>
    </w:lvl>
  </w:abstractNum>
  <w:abstractNum w:abstractNumId="547">
    <w:nsid w:val="20530E7B"/>
    <w:multiLevelType w:val="hybridMultilevel"/>
    <w:lvl w:ilvl="0">
      <w:lvlJc w:val="left"/>
      <w:lvlText w:val="(%1)"/>
      <w:numFmt w:val="lowerLetter"/>
      <w:start w:val="5"/>
    </w:lvl>
    <w:lvl w:ilvl="1">
      <w:lvlJc w:val="left"/>
      <w:lvlText w:val="(%2)"/>
      <w:numFmt w:val="decimal"/>
      <w:start w:val="1"/>
    </w:lvl>
  </w:abstractNum>
  <w:abstractNum w:abstractNumId="548">
    <w:nsid w:val="144C9480"/>
    <w:multiLevelType w:val="hybridMultilevel"/>
    <w:lvl w:ilvl="0">
      <w:lvlJc w:val="left"/>
      <w:lvlText w:val="%1"/>
      <w:numFmt w:val="decimal"/>
      <w:start w:val="1"/>
    </w:lvl>
    <w:lvl w:ilvl="1">
      <w:lvlJc w:val="left"/>
      <w:lvlText w:val="(%2)"/>
      <w:numFmt w:val="lowerLetter"/>
      <w:start w:val="8"/>
    </w:lvl>
  </w:abstractNum>
  <w:abstractNum w:abstractNumId="549">
    <w:nsid w:val="1514A0AF"/>
    <w:multiLevelType w:val="hybridMultilevel"/>
    <w:lvl w:ilvl="0">
      <w:lvlJc w:val="left"/>
      <w:lvlText w:val="(%1)"/>
      <w:numFmt w:val="decimal"/>
      <w:start w:val="60"/>
    </w:lvl>
    <w:lvl w:ilvl="1">
      <w:lvlJc w:val="left"/>
      <w:lvlText w:val="(%2)"/>
      <w:numFmt w:val="lowerLetter"/>
      <w:start w:val="9"/>
    </w:lvl>
  </w:abstractNum>
  <w:abstractNum w:abstractNumId="550">
    <w:nsid w:val="55C3594C"/>
    <w:multiLevelType w:val="hybridMultilevel"/>
    <w:lvl w:ilvl="0">
      <w:lvlJc w:val="left"/>
      <w:lvlText w:val="(%1)"/>
      <w:numFmt w:val="lowerRoman"/>
      <w:start w:val="1"/>
    </w:lvl>
  </w:abstractNum>
  <w:abstractNum w:abstractNumId="551">
    <w:nsid w:val="69DCF55B"/>
    <w:multiLevelType w:val="hybridMultilevel"/>
    <w:lvl w:ilvl="0">
      <w:lvlJc w:val="left"/>
      <w:lvlText w:val="(%1)"/>
      <w:numFmt w:val="lowerRoman"/>
      <w:start w:val="4"/>
    </w:lvl>
  </w:abstractNum>
  <w:abstractNum w:abstractNumId="552">
    <w:nsid w:val="CFC2ACF"/>
    <w:multiLevelType w:val="hybridMultilevel"/>
    <w:lvl w:ilvl="0">
      <w:lvlJc w:val="left"/>
      <w:lvlText w:val="(%1)"/>
      <w:numFmt w:val="lowerLetter"/>
      <w:start w:val="1"/>
    </w:lvl>
  </w:abstractNum>
  <w:abstractNum w:abstractNumId="553">
    <w:nsid w:val="28BA7A13"/>
    <w:multiLevelType w:val="hybridMultilevel"/>
    <w:lvl w:ilvl="0">
      <w:lvlJc w:val="left"/>
      <w:lvlText w:val="(%1)"/>
      <w:numFmt w:val="lowerRoman"/>
      <w:start w:val="1"/>
    </w:lvl>
  </w:abstractNum>
  <w:abstractNum w:abstractNumId="554">
    <w:nsid w:val="28881591"/>
    <w:multiLevelType w:val="hybridMultilevel"/>
    <w:lvl w:ilvl="0">
      <w:lvlJc w:val="left"/>
      <w:lvlText w:val="(%1)"/>
      <w:numFmt w:val="lowerRoman"/>
      <w:start w:val="2"/>
    </w:lvl>
  </w:abstractNum>
  <w:abstractNum w:abstractNumId="555">
    <w:nsid w:val="772B796C"/>
    <w:multiLevelType w:val="hybridMultilevel"/>
    <w:lvl w:ilvl="0">
      <w:lvlJc w:val="left"/>
      <w:lvlText w:val="(%1)"/>
      <w:numFmt w:val="lowerLetter"/>
      <w:start w:val="3"/>
    </w:lvl>
  </w:abstractNum>
  <w:abstractNum w:abstractNumId="556">
    <w:nsid w:val="1E022BE9"/>
    <w:multiLevelType w:val="hybridMultilevel"/>
    <w:lvl w:ilvl="0">
      <w:lvlJc w:val="left"/>
      <w:lvlText w:val="(%1)"/>
      <w:numFmt w:val="lowerLetter"/>
      <w:start w:val="1"/>
    </w:lvl>
  </w:abstractNum>
  <w:abstractNum w:abstractNumId="557">
    <w:nsid w:val="72C4649F"/>
    <w:multiLevelType w:val="hybridMultilevel"/>
    <w:lvl w:ilvl="0">
      <w:lvlJc w:val="left"/>
      <w:lvlText w:val="(%1)"/>
      <w:numFmt w:val="lowerLetter"/>
      <w:start w:val="3"/>
    </w:lvl>
  </w:abstractNum>
  <w:abstractNum w:abstractNumId="558">
    <w:nsid w:val="7CD94321"/>
    <w:multiLevelType w:val="hybridMultilevel"/>
    <w:lvl w:ilvl="0">
      <w:lvlJc w:val="left"/>
      <w:lvlText w:val="(%1)"/>
      <w:numFmt w:val="lowerLetter"/>
      <w:start w:val="1"/>
    </w:lvl>
  </w:abstractNum>
  <w:abstractNum w:abstractNumId="559">
    <w:nsid w:val="13B3BDBC"/>
    <w:multiLevelType w:val="hybridMultilevel"/>
    <w:lvl w:ilvl="0">
      <w:lvlJc w:val="left"/>
      <w:lvlText w:val="(%1)"/>
      <w:numFmt w:val="lowerLetter"/>
      <w:start w:val="1"/>
    </w:lvl>
  </w:abstractNum>
  <w:abstractNum w:abstractNumId="560">
    <w:nsid w:val="4C488152"/>
    <w:multiLevelType w:val="hybridMultilevel"/>
    <w:lvl w:ilvl="0">
      <w:lvlJc w:val="left"/>
      <w:lvlText w:val="(%1)"/>
      <w:numFmt w:val="lowerLetter"/>
      <w:start w:val="1"/>
    </w:lvl>
    <w:lvl w:ilvl="1">
      <w:lvlJc w:val="left"/>
      <w:lvlText w:val="(%2)"/>
      <w:numFmt w:val="lowerRoman"/>
    </w:lvl>
    <w:lvl w:ilvl="2">
      <w:lvlJc w:val="left"/>
      <w:lvlText w:val="(%3)"/>
      <w:numFmt w:val="lowerLetter"/>
      <w:start w:val="2"/>
    </w:lvl>
  </w:abstractNum>
  <w:abstractNum w:abstractNumId="561">
    <w:nsid w:val="153B9D13"/>
    <w:multiLevelType w:val="hybridMultilevel"/>
    <w:lvl w:ilvl="0">
      <w:lvlJc w:val="left"/>
      <w:lvlText w:val="(%1)"/>
      <w:numFmt w:val="lowerLetter"/>
      <w:start w:val="3"/>
    </w:lvl>
    <w:lvl w:ilvl="1">
      <w:lvlJc w:val="left"/>
      <w:lvlText w:val="(%2)"/>
      <w:numFmt w:val="lowerLetter"/>
      <w:start w:val="35"/>
    </w:lvl>
  </w:abstractNum>
  <w:abstractNum w:abstractNumId="562">
    <w:nsid w:val="7D07B61B"/>
    <w:multiLevelType w:val="hybridMultilevel"/>
    <w:lvl w:ilvl="0">
      <w:lvlJc w:val="left"/>
      <w:lvlText w:val="(%1)"/>
      <w:numFmt w:val="lowerLetter"/>
      <w:start w:val="5"/>
    </w:lvl>
  </w:abstractNum>
  <w:abstractNum w:abstractNumId="563">
    <w:nsid w:val="3A4BE92A"/>
    <w:multiLevelType w:val="hybridMultilevel"/>
    <w:lvl w:ilvl="0">
      <w:lvlJc w:val="left"/>
      <w:lvlText w:val="(%1)"/>
      <w:numFmt w:val="lowerLetter"/>
      <w:start w:val="1"/>
    </w:lvl>
  </w:abstractNum>
  <w:abstractNum w:abstractNumId="564">
    <w:nsid w:val="1C7A2F4"/>
    <w:multiLevelType w:val="hybridMultilevel"/>
    <w:lvl w:ilvl="0">
      <w:lvlJc w:val="left"/>
      <w:lvlText w:val="(%1)"/>
      <w:numFmt w:val="lowerLetter"/>
      <w:start w:val="4"/>
    </w:lvl>
  </w:abstractNum>
  <w:abstractNum w:abstractNumId="565">
    <w:nsid w:val="393B5076"/>
    <w:multiLevelType w:val="hybridMultilevel"/>
    <w:lvl w:ilvl="0">
      <w:lvlJc w:val="left"/>
      <w:lvlText w:val="(%1)"/>
      <w:numFmt w:val="lowerLetter"/>
      <w:start w:val="1"/>
    </w:lvl>
  </w:abstractNum>
  <w:abstractNum w:abstractNumId="566">
    <w:nsid w:val="5F0E41DB"/>
    <w:multiLevelType w:val="hybridMultilevel"/>
    <w:lvl w:ilvl="0">
      <w:lvlJc w:val="left"/>
      <w:lvlText w:val="(%1)"/>
      <w:numFmt w:val="lowerLetter"/>
      <w:start w:val="1"/>
    </w:lvl>
  </w:abstractNum>
  <w:abstractNum w:abstractNumId="567">
    <w:nsid w:val="6C4DFAA4"/>
    <w:multiLevelType w:val="hybridMultilevel"/>
    <w:lvl w:ilvl="0">
      <w:lvlJc w:val="left"/>
      <w:lvlText w:val="(%1)"/>
      <w:numFmt w:val="lowerRoman"/>
      <w:start w:val="1"/>
    </w:lvl>
  </w:abstractNum>
  <w:abstractNum w:abstractNumId="568">
    <w:nsid w:val="C7C501F"/>
    <w:multiLevelType w:val="hybridMultilevel"/>
    <w:lvl w:ilvl="0">
      <w:lvlJc w:val="left"/>
      <w:lvlText w:val="(%1)"/>
      <w:numFmt w:val="lowerLetter"/>
      <w:start w:val="2"/>
    </w:lvl>
  </w:abstractNum>
  <w:abstractNum w:abstractNumId="569">
    <w:nsid w:val="7244B239"/>
    <w:multiLevelType w:val="hybridMultilevel"/>
    <w:lvl w:ilvl="0">
      <w:lvlJc w:val="left"/>
      <w:lvlText w:val="(%1)"/>
      <w:numFmt w:val="lowerLetter"/>
      <w:start w:val="3"/>
    </w:lvl>
  </w:abstractNum>
  <w:abstractNum w:abstractNumId="570">
    <w:nsid w:val="50B1BE08"/>
    <w:multiLevelType w:val="hybridMultilevel"/>
    <w:lvl w:ilvl="0">
      <w:lvlJc w:val="left"/>
      <w:lvlText w:val="(%1)"/>
      <w:numFmt w:val="lowerLetter"/>
      <w:start w:val="1"/>
    </w:lvl>
  </w:abstractNum>
  <w:abstractNum w:abstractNumId="571">
    <w:nsid w:val="40F78FF3"/>
    <w:multiLevelType w:val="hybridMultilevel"/>
    <w:lvl w:ilvl="0">
      <w:lvlJc w:val="left"/>
      <w:lvlText w:val="(%1)"/>
      <w:numFmt w:val="upperLetter"/>
      <w:start w:val="1"/>
    </w:lvl>
  </w:abstractNum>
  <w:abstractNum w:abstractNumId="572">
    <w:nsid w:val="7F9F698A"/>
    <w:multiLevelType w:val="hybridMultilevel"/>
    <w:lvl w:ilvl="0">
      <w:lvlJc w:val="left"/>
      <w:lvlText w:val="(%1)"/>
      <w:numFmt w:val="upperLetter"/>
      <w:start w:val="3"/>
    </w:lvl>
  </w:abstractNum>
  <w:abstractNum w:abstractNumId="573">
    <w:nsid w:val="5FD0822F"/>
    <w:multiLevelType w:val="hybridMultilevel"/>
    <w:lvl w:ilvl="0">
      <w:lvlJc w:val="left"/>
      <w:lvlText w:val="(%1)"/>
      <w:numFmt w:val="upperLetter"/>
      <w:start w:val="1"/>
    </w:lvl>
  </w:abstractNum>
  <w:abstractNum w:abstractNumId="574">
    <w:nsid w:val="2D814889"/>
    <w:multiLevelType w:val="hybridMultilevel"/>
    <w:lvl w:ilvl="0">
      <w:lvlJc w:val="left"/>
      <w:lvlText w:val="(%1)"/>
      <w:numFmt w:val="lowerRoman"/>
      <w:start w:val="3"/>
    </w:lvl>
  </w:abstractNum>
  <w:abstractNum w:abstractNumId="575">
    <w:nsid w:val="7DB18352"/>
    <w:multiLevelType w:val="hybridMultilevel"/>
    <w:lvl w:ilvl="0">
      <w:lvlJc w:val="left"/>
      <w:lvlText w:val="(%1)"/>
      <w:numFmt w:val="lowerLetter"/>
      <w:start w:val="3"/>
    </w:lvl>
  </w:abstractNum>
  <w:abstractNum w:abstractNumId="576">
    <w:nsid w:val="5C243F1"/>
    <w:multiLevelType w:val="hybridMultilevel"/>
    <w:lvl w:ilvl="0">
      <w:lvlJc w:val="left"/>
      <w:lvlText w:val="(%1)"/>
      <w:numFmt w:val="lowerRoman"/>
      <w:start w:val="2"/>
    </w:lvl>
  </w:abstractNum>
  <w:abstractNum w:abstractNumId="577">
    <w:nsid w:val="21BE2F84"/>
    <w:multiLevelType w:val="hybridMultilevel"/>
    <w:lvl w:ilvl="0">
      <w:lvlJc w:val="left"/>
      <w:lvlText w:val="(%1)"/>
      <w:numFmt w:val="lowerLetter"/>
      <w:start w:val="5"/>
    </w:lvl>
  </w:abstractNum>
  <w:abstractNum w:abstractNumId="578">
    <w:nsid w:val="1E0491CD"/>
    <w:multiLevelType w:val="hybridMultilevel"/>
    <w:lvl w:ilvl="0">
      <w:lvlJc w:val="left"/>
      <w:lvlText w:val="(%1)"/>
      <w:numFmt w:val="lowerRoman"/>
      <w:start w:val="1"/>
    </w:lvl>
  </w:abstractNum>
  <w:abstractNum w:abstractNumId="579">
    <w:nsid w:val="1A0ED871"/>
    <w:multiLevelType w:val="hybridMultilevel"/>
    <w:lvl w:ilvl="0">
      <w:lvlJc w:val="left"/>
      <w:lvlText w:val="(%1)"/>
      <w:numFmt w:val="lowerLetter"/>
      <w:start w:val="8"/>
    </w:lvl>
  </w:abstractNum>
  <w:abstractNum w:abstractNumId="580">
    <w:nsid w:val="36D2D033"/>
    <w:multiLevelType w:val="hybridMultilevel"/>
    <w:lvl w:ilvl="0">
      <w:lvlJc w:val="left"/>
      <w:lvlText w:val="(%1)"/>
      <w:numFmt w:val="lowerLetter"/>
      <w:start w:val="35"/>
    </w:lvl>
    <w:lvl w:ilvl="1">
      <w:lvlJc w:val="left"/>
      <w:lvlText w:val="(%2)"/>
      <w:numFmt w:val="lowerLetter"/>
      <w:start w:val="10"/>
    </w:lvl>
  </w:abstractNum>
  <w:abstractNum w:abstractNumId="581">
    <w:nsid w:val="73C7EB1A"/>
    <w:multiLevelType w:val="hybridMultilevel"/>
    <w:lvl w:ilvl="0">
      <w:lvlJc w:val="left"/>
      <w:lvlText w:val="(%1)"/>
      <w:numFmt w:val="lowerRoman"/>
      <w:start w:val="1"/>
    </w:lvl>
  </w:abstractNum>
  <w:abstractNum w:abstractNumId="582">
    <w:nsid w:val="3EBCDCC"/>
    <w:multiLevelType w:val="hybridMultilevel"/>
    <w:lvl w:ilvl="0">
      <w:lvlJc w:val="left"/>
      <w:lvlText w:val="(%1)"/>
      <w:numFmt w:val="lowerLetter"/>
      <w:start w:val="3"/>
    </w:lvl>
  </w:abstractNum>
  <w:abstractNum w:abstractNumId="583">
    <w:nsid w:val="43CEFB03"/>
    <w:multiLevelType w:val="hybridMultilevel"/>
    <w:lvl w:ilvl="0">
      <w:lvlJc w:val="left"/>
      <w:lvlText w:val="%1"/>
      <w:numFmt w:val="upperLetter"/>
      <w:start w:val="1"/>
    </w:lvl>
    <w:lvl w:ilvl="1">
      <w:lvlJc w:val="left"/>
      <w:lvlText w:val="(%2)"/>
      <w:numFmt w:val="lowerLetter"/>
      <w:start w:val="1"/>
    </w:lvl>
  </w:abstractNum>
  <w:abstractNum w:abstractNumId="584">
    <w:nsid w:val="1C82652D"/>
    <w:multiLevelType w:val="hybridMultilevel"/>
    <w:lvl w:ilvl="0">
      <w:lvlJc w:val="left"/>
      <w:lvlText w:val="(%1)"/>
      <w:numFmt w:val="upperLetter"/>
      <w:start w:val="3"/>
    </w:lvl>
    <w:lvl w:ilvl="1">
      <w:lvlJc w:val="left"/>
      <w:lvlText w:val="(%2)"/>
      <w:numFmt w:val="lowerLetter"/>
      <w:start w:val="35"/>
    </w:lvl>
  </w:abstractNum>
  <w:abstractNum w:abstractNumId="585">
    <w:nsid w:val="2C73E35D"/>
    <w:multiLevelType w:val="hybridMultilevel"/>
    <w:lvl w:ilvl="0">
      <w:lvlJc w:val="left"/>
      <w:lvlText w:val="(%1)"/>
      <w:numFmt w:val="lowerLetter"/>
      <w:start w:val="2"/>
    </w:lvl>
  </w:abstractNum>
  <w:abstractNum w:abstractNumId="586">
    <w:nsid w:val="3AFA746F"/>
    <w:multiLevelType w:val="hybridMultilevel"/>
    <w:lvl w:ilvl="0">
      <w:lvlJc w:val="left"/>
      <w:lvlText w:val="(%1)"/>
      <w:numFmt w:val="lowerLetter"/>
      <w:start w:val="35"/>
    </w:lvl>
    <w:lvl w:ilvl="1">
      <w:lvlJc w:val="left"/>
      <w:lvlText w:val="(%2)"/>
      <w:numFmt w:val="lowerLetter"/>
      <w:start w:val="4"/>
    </w:lvl>
  </w:abstractNum>
  <w:abstractNum w:abstractNumId="587">
    <w:nsid w:val="3A849116"/>
    <w:multiLevelType w:val="hybridMultilevel"/>
    <w:lvl w:ilvl="0">
      <w:lvlJc w:val="left"/>
      <w:lvlText w:val="(%1)"/>
      <w:numFmt w:val="lowerLetter"/>
      <w:start w:val="1"/>
    </w:lvl>
  </w:abstractNum>
  <w:abstractNum w:abstractNumId="588">
    <w:nsid w:val="1F3847FC"/>
    <w:multiLevelType w:val="hybridMultilevel"/>
    <w:lvl w:ilvl="0">
      <w:lvlJc w:val="left"/>
      <w:lvlText w:val="(%1)"/>
      <w:numFmt w:val="lowerLetter"/>
      <w:start w:val="3"/>
    </w:lvl>
  </w:abstractNum>
  <w:abstractNum w:abstractNumId="589">
    <w:nsid w:val="37D3B790"/>
    <w:multiLevelType w:val="hybridMultilevel"/>
    <w:lvl w:ilvl="0">
      <w:lvlJc w:val="left"/>
      <w:lvlText w:val="(%1)"/>
      <w:numFmt w:val="lowerLetter"/>
      <w:start w:val="1"/>
    </w:lvl>
  </w:abstractNum>
  <w:abstractNum w:abstractNumId="590">
    <w:nsid w:val="4E384ED3"/>
    <w:multiLevelType w:val="hybridMultilevel"/>
    <w:lvl w:ilvl="0">
      <w:lvlJc w:val="left"/>
      <w:lvlText w:val="(%1)"/>
      <w:numFmt w:val="lowerRoman"/>
      <w:start w:val="1"/>
    </w:lvl>
  </w:abstractNum>
  <w:abstractNum w:abstractNumId="591">
    <w:nsid w:val="6B80C94F"/>
    <w:multiLevelType w:val="hybridMultilevel"/>
    <w:lvl w:ilvl="0">
      <w:lvlJc w:val="left"/>
      <w:lvlText w:val="(%1)"/>
      <w:numFmt w:val="upperLetter"/>
      <w:start w:val="5"/>
    </w:lvl>
    <w:lvl w:ilvl="1">
      <w:lvlJc w:val="left"/>
      <w:lvlText w:val="(%2)"/>
      <w:numFmt w:val="lowerRoman"/>
      <w:start w:val="2"/>
    </w:lvl>
  </w:abstractNum>
  <w:abstractNum w:abstractNumId="592">
    <w:nsid w:val="4D0F54A3"/>
    <w:multiLevelType w:val="hybridMultilevel"/>
    <w:lvl w:ilvl="0">
      <w:lvlJc w:val="left"/>
      <w:lvlText w:val="(%1)"/>
      <w:numFmt w:val="lowerLetter"/>
      <w:start w:val="2"/>
    </w:lvl>
  </w:abstractNum>
  <w:abstractNum w:abstractNumId="593">
    <w:nsid w:val="4B4004EE"/>
    <w:multiLevelType w:val="hybridMultilevel"/>
    <w:lvl w:ilvl="0">
      <w:lvlJc w:val="left"/>
      <w:lvlText w:val="(%1)"/>
      <w:numFmt w:val="lowerLetter"/>
      <w:start w:val="4"/>
    </w:lvl>
  </w:abstractNum>
  <w:abstractNum w:abstractNumId="594">
    <w:nsid w:val="25CCB279"/>
    <w:multiLevelType w:val="hybridMultilevel"/>
    <w:lvl w:ilvl="0">
      <w:lvlJc w:val="left"/>
      <w:lvlText w:val="(%1)"/>
      <w:numFmt w:val="lowerRoman"/>
      <w:start w:val="3"/>
    </w:lvl>
  </w:abstractNum>
  <w:abstractNum w:abstractNumId="595">
    <w:nsid w:val="4ED6F798"/>
    <w:multiLevelType w:val="hybridMultilevel"/>
    <w:lvl w:ilvl="0">
      <w:lvlJc w:val="left"/>
      <w:lvlText w:val="(%1)"/>
      <w:numFmt w:val="lowerLetter"/>
      <w:start w:val="5"/>
    </w:lvl>
  </w:abstractNum>
  <w:abstractNum w:abstractNumId="596">
    <w:nsid w:val="47B5565"/>
    <w:multiLevelType w:val="hybridMultilevel"/>
    <w:lvl w:ilvl="0">
      <w:lvlJc w:val="left"/>
      <w:lvlText w:val="(%1)"/>
      <w:numFmt w:val="lowerLetter"/>
      <w:start w:val="8"/>
    </w:lvl>
  </w:abstractNum>
  <w:abstractNum w:abstractNumId="597">
    <w:nsid w:val="4DAF454"/>
    <w:multiLevelType w:val="hybridMultilevel"/>
    <w:lvl w:ilvl="0">
      <w:lvlJc w:val="left"/>
      <w:lvlText w:val="(%1)"/>
      <w:numFmt w:val="upperLetter"/>
      <w:start w:val="2"/>
    </w:lvl>
  </w:abstractNum>
  <w:abstractNum w:abstractNumId="598">
    <w:nsid w:val="3B24F23C"/>
    <w:multiLevelType w:val="hybridMultilevel"/>
    <w:lvl w:ilvl="0">
      <w:lvlJc w:val="left"/>
      <w:lvlText w:val="(%1)"/>
      <w:numFmt w:val="lowerLetter"/>
      <w:start w:val="1"/>
    </w:lvl>
    <w:lvl w:ilvl="1">
      <w:lvlJc w:val="left"/>
      <w:lvlText w:val="(%2)"/>
      <w:numFmt w:val="lowerRoman"/>
      <w:start w:val="1"/>
    </w:lvl>
  </w:abstractNum>
  <w:abstractNum w:abstractNumId="599">
    <w:nsid w:val="10F7A584"/>
    <w:multiLevelType w:val="hybridMultilevel"/>
    <w:lvl w:ilvl="0">
      <w:lvlJc w:val="left"/>
      <w:lvlText w:val="(%1)"/>
      <w:numFmt w:val="lowerLetter"/>
      <w:start w:val="1"/>
    </w:lvl>
  </w:abstractNum>
  <w:abstractNum w:abstractNumId="600">
    <w:nsid w:val="771FA68D"/>
    <w:multiLevelType w:val="hybridMultilevel"/>
    <w:lvl w:ilvl="0">
      <w:lvlJc w:val="left"/>
      <w:lvlText w:val="(%1)"/>
      <w:numFmt w:val="decimal"/>
      <w:start w:val="1"/>
    </w:lvl>
  </w:abstractNum>
  <w:abstractNum w:abstractNumId="601">
    <w:nsid w:val="BD6B044"/>
    <w:multiLevelType w:val="hybridMultilevel"/>
    <w:lvl w:ilvl="0">
      <w:lvlJc w:val="left"/>
      <w:lvlText w:val="(%1)"/>
      <w:numFmt w:val="lowerLetter"/>
      <w:start w:val="1"/>
    </w:lvl>
  </w:abstractNum>
  <w:abstractNum w:abstractNumId="602">
    <w:nsid w:val="51EF3577"/>
    <w:multiLevelType w:val="hybridMultilevel"/>
    <w:lvl w:ilvl="0">
      <w:lvlJc w:val="left"/>
      <w:lvlText w:val="(%1)"/>
      <w:numFmt w:val="lowerLetter"/>
      <w:start w:val="1"/>
    </w:lvl>
  </w:abstractNum>
  <w:abstractNum w:abstractNumId="603">
    <w:nsid w:val="76BF1017"/>
    <w:multiLevelType w:val="hybridMultilevel"/>
    <w:lvl w:ilvl="0">
      <w:lvlJc w:val="left"/>
      <w:lvlText w:val="(%1)"/>
      <w:numFmt w:val="lowerLetter"/>
      <w:start w:val="4"/>
    </w:lvl>
  </w:abstractNum>
  <w:abstractNum w:abstractNumId="604">
    <w:nsid w:val="6BA73274"/>
    <w:multiLevelType w:val="hybridMultilevel"/>
    <w:lvl w:ilvl="0">
      <w:lvlJc w:val="left"/>
      <w:lvlText w:val="(%1)"/>
      <w:numFmt w:val="lowerLetter"/>
      <w:start w:val="9"/>
    </w:lvl>
  </w:abstractNum>
  <w:abstractNum w:abstractNumId="605">
    <w:nsid w:val="7F707E01"/>
    <w:multiLevelType w:val="hybridMultilevel"/>
    <w:lvl w:ilvl="0">
      <w:lvlJc w:val="left"/>
      <w:lvlText w:val="(%1)"/>
      <w:numFmt w:val="lowerRoman"/>
      <w:start w:val="2"/>
    </w:lvl>
  </w:abstractNum>
  <w:abstractNum w:abstractNumId="606">
    <w:nsid w:val="7470936A"/>
    <w:multiLevelType w:val="hybridMultilevel"/>
    <w:lvl w:ilvl="0">
      <w:lvlJc w:val="left"/>
      <w:lvlText w:val="(%1)"/>
      <w:numFmt w:val="lowerLetter"/>
      <w:start w:val="1"/>
    </w:lvl>
  </w:abstractNum>
  <w:abstractNum w:abstractNumId="607">
    <w:nsid w:val="71697665"/>
    <w:multiLevelType w:val="hybridMultilevel"/>
    <w:lvl w:ilvl="0">
      <w:lvlJc w:val="left"/>
      <w:lvlText w:val="(%1)"/>
      <w:numFmt w:val="lowerLetter"/>
      <w:start w:val="1"/>
    </w:lvl>
  </w:abstractNum>
  <w:abstractNum w:abstractNumId="608">
    <w:nsid w:val="212EAD85"/>
    <w:multiLevelType w:val="hybridMultilevel"/>
    <w:lvl w:ilvl="0">
      <w:lvlJc w:val="left"/>
      <w:lvlText w:val="(%1)"/>
      <w:numFmt w:val="decimal"/>
      <w:start w:val="1"/>
    </w:lvl>
  </w:abstractNum>
  <w:abstractNum w:abstractNumId="609">
    <w:nsid w:val="12752537"/>
    <w:multiLevelType w:val="hybridMultilevel"/>
    <w:lvl w:ilvl="0">
      <w:lvlJc w:val="left"/>
      <w:lvlText w:val="(%1)"/>
      <w:numFmt w:val="upperLetter"/>
      <w:start w:val="3"/>
    </w:lvl>
  </w:abstractNum>
  <w:abstractNum w:abstractNumId="610">
    <w:nsid w:val="B784ED6"/>
    <w:multiLevelType w:val="hybridMultilevel"/>
    <w:lvl w:ilvl="0">
      <w:lvlJc w:val="left"/>
      <w:lvlText w:val="(%1)"/>
      <w:numFmt w:val="lowerLetter"/>
      <w:start w:val="1"/>
    </w:lvl>
  </w:abstractNum>
  <w:abstractNum w:abstractNumId="611">
    <w:nsid w:val="58017DB8"/>
    <w:multiLevelType w:val="hybridMultilevel"/>
    <w:lvl w:ilvl="0">
      <w:lvlJc w:val="left"/>
      <w:lvlText w:val="(%1)"/>
      <w:numFmt w:val="lowerLetter"/>
      <w:start w:val="1"/>
    </w:lvl>
  </w:abstractNum>
  <w:abstractNum w:abstractNumId="612">
    <w:nsid w:val="63D1051"/>
    <w:multiLevelType w:val="hybridMultilevel"/>
    <w:lvl w:ilvl="0">
      <w:lvlJc w:val="left"/>
      <w:lvlText w:val="(%1)"/>
      <w:numFmt w:val="lowerLetter"/>
      <w:start w:val="2"/>
    </w:lvl>
  </w:abstractNum>
  <w:abstractNum w:abstractNumId="613">
    <w:nsid w:val="F641CA2"/>
    <w:multiLevelType w:val="hybridMultilevel"/>
    <w:lvl w:ilvl="0">
      <w:lvlJc w:val="left"/>
      <w:lvlText w:val="(%1)"/>
      <w:numFmt w:val="decimal"/>
      <w:start w:val="3"/>
    </w:lvl>
  </w:abstractNum>
  <w:abstractNum w:abstractNumId="614">
    <w:nsid w:val="1BD078BB"/>
    <w:multiLevelType w:val="hybridMultilevel"/>
    <w:lvl w:ilvl="0">
      <w:lvlJc w:val="left"/>
      <w:lvlText w:val="(%1)"/>
      <w:numFmt w:val="decimal"/>
      <w:start w:val="1"/>
    </w:lvl>
  </w:abstractNum>
  <w:abstractNum w:abstractNumId="615">
    <w:nsid w:val="22BF757E"/>
    <w:multiLevelType w:val="hybridMultilevel"/>
    <w:lvl w:ilvl="0">
      <w:lvlJc w:val="left"/>
      <w:lvlText w:val="(%1)"/>
      <w:numFmt w:val="decimal"/>
      <w:start w:val="1"/>
    </w:lvl>
  </w:abstractNum>
  <w:abstractNum w:abstractNumId="616">
    <w:nsid w:val="3BD80000"/>
    <w:multiLevelType w:val="hybridMultilevel"/>
    <w:lvl w:ilvl="0">
      <w:lvlJc w:val="left"/>
      <w:lvlText w:val="(%1)"/>
      <w:numFmt w:val="decimal"/>
      <w:start w:val="1"/>
    </w:lvl>
  </w:abstractNum>
  <w:abstractNum w:abstractNumId="617">
    <w:nsid w:val="56CAED2B"/>
    <w:multiLevelType w:val="hybridMultilevel"/>
    <w:lvl w:ilvl="0">
      <w:lvlJc w:val="left"/>
      <w:lvlText w:val="(%1)"/>
      <w:numFmt w:val="decimal"/>
      <w:start w:val="4"/>
    </w:lvl>
  </w:abstractNum>
  <w:abstractNum w:abstractNumId="618">
    <w:nsid w:val="5D440695"/>
    <w:multiLevelType w:val="hybridMultilevel"/>
    <w:lvl w:ilvl="0">
      <w:lvlJc w:val="left"/>
      <w:lvlText w:val="(%1)"/>
      <w:numFmt w:val="decimal"/>
      <w:start w:val="13"/>
    </w:lvl>
  </w:abstractNum>
  <w:abstractNum w:abstractNumId="619">
    <w:nsid w:val="5B1047FC"/>
    <w:multiLevelType w:val="hybridMultilevel"/>
    <w:lvl w:ilvl="0">
      <w:lvlJc w:val="left"/>
      <w:lvlText w:val="(%1)"/>
      <w:numFmt w:val="decimal"/>
      <w:start w:val="1"/>
    </w:lvl>
  </w:abstractNum>
  <w:abstractNum w:abstractNumId="620">
    <w:nsid w:val="E9EA4BB"/>
    <w:multiLevelType w:val="hybridMultilevel"/>
    <w:lvl w:ilvl="0">
      <w:lvlJc w:val="left"/>
      <w:lvlText w:val="(%1)"/>
      <w:numFmt w:val="decimal"/>
      <w:start w:val="1"/>
    </w:lvl>
  </w:abstractNum>
  <w:abstractNum w:abstractNumId="621">
    <w:nsid w:val="2B7C5568"/>
    <w:multiLevelType w:val="hybridMultilevel"/>
    <w:lvl w:ilvl="0">
      <w:lvlJc w:val="left"/>
      <w:lvlText w:val="(%1)"/>
      <w:numFmt w:val="decimal"/>
      <w:start w:val="9"/>
    </w:lvl>
  </w:abstractNum>
  <w:abstractNum w:abstractNumId="622">
    <w:nsid w:val="4691114B"/>
    <w:multiLevelType w:val="hybridMultilevel"/>
    <w:lvl w:ilvl="0">
      <w:lvlJc w:val="left"/>
      <w:lvlText w:val="(%1)"/>
      <w:numFmt w:val="decimal"/>
      <w:start w:val="1"/>
    </w:lvl>
  </w:abstractNum>
  <w:abstractNum w:abstractNumId="623">
    <w:nsid w:val="5BADF95F"/>
    <w:multiLevelType w:val="hybridMultilevel"/>
    <w:lvl w:ilvl="0">
      <w:lvlJc w:val="left"/>
      <w:lvlText w:val="(%1)"/>
      <w:numFmt w:val="decimal"/>
      <w:start w:val="2"/>
    </w:lvl>
  </w:abstractNum>
  <w:abstractNum w:abstractNumId="624">
    <w:nsid w:val="76BC5A56"/>
    <w:multiLevelType w:val="hybridMultilevel"/>
    <w:lvl w:ilvl="0">
      <w:lvlJc w:val="left"/>
      <w:lvlText w:val="(%1)"/>
      <w:numFmt w:val="lowerRoman"/>
      <w:start w:val="2"/>
    </w:lvl>
  </w:abstractNum>
  <w:abstractNum w:abstractNumId="625">
    <w:nsid w:val="6C5DC3C4"/>
    <w:multiLevelType w:val="hybridMultilevel"/>
    <w:lvl w:ilvl="0">
      <w:lvlJc w:val="left"/>
      <w:lvlText w:val="(%1)"/>
      <w:numFmt w:val="lowerLetter"/>
      <w:start w:val="1"/>
    </w:lvl>
  </w:abstractNum>
  <w:abstractNum w:abstractNumId="626">
    <w:nsid w:val="2A84F0F7"/>
    <w:multiLevelType w:val="hybridMultilevel"/>
    <w:lvl w:ilvl="0">
      <w:lvlJc w:val="left"/>
      <w:lvlText w:val="(%1)"/>
      <w:numFmt w:val="lowerLetter"/>
      <w:start w:val="6"/>
    </w:lvl>
  </w:abstractNum>
  <w:abstractNum w:abstractNumId="627">
    <w:nsid w:val="7B37AFBB"/>
    <w:multiLevelType w:val="hybridMultilevel"/>
    <w:lvl w:ilvl="0">
      <w:lvlJc w:val="left"/>
      <w:lvlText w:val="(%1)"/>
      <w:numFmt w:val="decimal"/>
      <w:start w:val="1"/>
    </w:lvl>
  </w:abstractNum>
  <w:abstractNum w:abstractNumId="628">
    <w:nsid w:val="7138B819"/>
    <w:multiLevelType w:val="hybridMultilevel"/>
    <w:lvl w:ilvl="0">
      <w:lvlJc w:val="left"/>
      <w:lvlText w:val="(%1)"/>
      <w:numFmt w:val="lowerRoman"/>
      <w:start w:val="2"/>
    </w:lvl>
  </w:abstractNum>
  <w:abstractNum w:abstractNumId="629">
    <w:nsid w:val="65A9E333"/>
    <w:multiLevelType w:val="hybridMultilevel"/>
    <w:lvl w:ilvl="0">
      <w:lvlJc w:val="left"/>
      <w:lvlText w:val="(%1)"/>
      <w:numFmt w:val="decimal"/>
      <w:start w:val="1"/>
    </w:lvl>
  </w:abstractNum>
  <w:abstractNum w:abstractNumId="630">
    <w:nsid w:val="C2F5540"/>
    <w:multiLevelType w:val="hybridMultilevel"/>
    <w:lvl w:ilvl="0">
      <w:lvlJc w:val="left"/>
      <w:lvlText w:val="(%1)"/>
      <w:numFmt w:val="lowerLetter"/>
      <w:start w:val="2"/>
    </w:lvl>
  </w:abstractNum>
  <w:abstractNum w:abstractNumId="631">
    <w:nsid w:val="68585EA6"/>
    <w:multiLevelType w:val="hybridMultilevel"/>
    <w:lvl w:ilvl="0">
      <w:lvlJc w:val="left"/>
      <w:lvlText w:val="(%1)"/>
      <w:numFmt w:val="decimal"/>
      <w:start w:val="1"/>
    </w:lvl>
  </w:abstractNum>
  <w:abstractNum w:abstractNumId="632">
    <w:nsid w:val="71809378"/>
    <w:multiLevelType w:val="hybridMultilevel"/>
    <w:lvl w:ilvl="0">
      <w:lvlJc w:val="left"/>
      <w:lvlText w:val="(%1)"/>
      <w:numFmt w:val="decimal"/>
      <w:start w:val="1"/>
    </w:lvl>
  </w:abstractNum>
  <w:abstractNum w:abstractNumId="633">
    <w:nsid w:val="5E1E8AB7"/>
    <w:multiLevelType w:val="hybridMultilevel"/>
    <w:lvl w:ilvl="0">
      <w:lvlJc w:val="left"/>
      <w:lvlText w:val="(%1)"/>
      <w:numFmt w:val="lowerLetter"/>
      <w:start w:val="3"/>
    </w:lvl>
  </w:abstractNum>
  <w:abstractNum w:abstractNumId="634">
    <w:nsid w:val="5F176EBE"/>
    <w:multiLevelType w:val="hybridMultilevel"/>
    <w:lvl w:ilvl="0">
      <w:lvlJc w:val="left"/>
      <w:lvlText w:val="(%1)"/>
      <w:numFmt w:val="lowerRoman"/>
      <w:start w:val="10"/>
    </w:lvl>
  </w:abstractNum>
  <w:abstractNum w:abstractNumId="635">
    <w:nsid w:val="5D27C5EC"/>
    <w:multiLevelType w:val="hybridMultilevel"/>
    <w:lvl w:ilvl="0">
      <w:lvlJc w:val="left"/>
      <w:lvlText w:val="(%1)"/>
      <w:numFmt w:val="decimal"/>
      <w:start w:val="1"/>
    </w:lvl>
  </w:abstractNum>
  <w:abstractNum w:abstractNumId="636">
    <w:nsid w:val="5D8F08B8"/>
    <w:multiLevelType w:val="hybridMultilevel"/>
    <w:lvl w:ilvl="0">
      <w:lvlJc w:val="left"/>
      <w:lvlText w:val="(%1)"/>
      <w:numFmt w:val="lowerLetter"/>
      <w:start w:val="2"/>
    </w:lvl>
  </w:abstractNum>
  <w:abstractNum w:abstractNumId="637">
    <w:nsid w:val="53880228"/>
    <w:multiLevelType w:val="hybridMultilevel"/>
    <w:lvl w:ilvl="0">
      <w:lvlJc w:val="left"/>
      <w:lvlText w:val="(%1)"/>
      <w:numFmt w:val="decimal"/>
      <w:start w:val="1"/>
    </w:lvl>
  </w:abstractNum>
  <w:abstractNum w:abstractNumId="638">
    <w:nsid w:val="4E913C51"/>
    <w:multiLevelType w:val="hybridMultilevel"/>
    <w:lvl w:ilvl="0">
      <w:lvlJc w:val="left"/>
      <w:lvlText w:val="(%1)"/>
      <w:numFmt w:val="decimal"/>
      <w:start w:val="3"/>
    </w:lvl>
  </w:abstractNum>
  <w:abstractNum w:abstractNumId="639">
    <w:nsid w:val="7EBDB63D"/>
    <w:multiLevelType w:val="hybridMultilevel"/>
    <w:lvl w:ilvl="0">
      <w:lvlJc w:val="left"/>
      <w:lvlText w:val="(%1)"/>
      <w:numFmt w:val="decimal"/>
      <w:start w:val="8"/>
    </w:lvl>
  </w:abstractNum>
  <w:abstractNum w:abstractNumId="640">
    <w:nsid w:val="65FD275F"/>
    <w:multiLevelType w:val="hybridMultilevel"/>
    <w:lvl w:ilvl="0">
      <w:lvlJc w:val="left"/>
      <w:lvlText w:val="(%1)"/>
      <w:numFmt w:val="decimal"/>
      <w:start w:val="1"/>
    </w:lvl>
    <w:lvl w:ilvl="1">
      <w:lvlJc w:val="left"/>
      <w:lvlText w:val="(%2)"/>
      <w:numFmt w:val="upperLetter"/>
      <w:start w:val="1"/>
    </w:lvl>
  </w:abstractNum>
  <w:abstractNum w:abstractNumId="641">
    <w:nsid w:val="5A098B27"/>
    <w:multiLevelType w:val="hybridMultilevel"/>
    <w:lvl w:ilvl="0">
      <w:lvlJc w:val="left"/>
      <w:lvlText w:val="%1"/>
      <w:numFmt w:val="upperLetter"/>
      <w:start w:val="1"/>
    </w:lvl>
    <w:lvl w:ilvl="1">
      <w:lvlJc w:val="left"/>
      <w:lvlText w:val="(%2)"/>
      <w:numFmt w:val="decimal"/>
      <w:start w:val="5"/>
    </w:lvl>
  </w:abstractNum>
  <w:abstractNum w:abstractNumId="642">
    <w:nsid w:val="56BF33F6"/>
    <w:multiLevelType w:val="hybridMultilevel"/>
    <w:lvl w:ilvl="0">
      <w:lvlJc w:val="left"/>
      <w:lvlText w:val="(%1)"/>
      <w:numFmt w:val="upperLetter"/>
      <w:start w:val="1"/>
    </w:lvl>
    <w:lvl w:ilvl="1">
      <w:lvlJc w:val="left"/>
      <w:lvlText w:val="(%2)"/>
      <w:numFmt w:val="decimal"/>
      <w:start w:val="12"/>
    </w:lvl>
  </w:abstractNum>
  <w:abstractNum w:abstractNumId="643">
    <w:nsid w:val="6C3A37B1"/>
    <w:multiLevelType w:val="hybridMultilevel"/>
    <w:lvl w:ilvl="0">
      <w:lvlJc w:val="left"/>
      <w:lvlText w:val="(%1)"/>
      <w:numFmt w:val="decimal"/>
      <w:start w:val="14"/>
    </w:lvl>
  </w:abstractNum>
  <w:abstractNum w:abstractNumId="644">
    <w:nsid w:val="696DA7C9"/>
    <w:multiLevelType w:val="hybridMultilevel"/>
    <w:lvl w:ilvl="0">
      <w:lvlJc w:val="left"/>
      <w:lvlText w:val="(%1)"/>
      <w:numFmt w:val="decimal"/>
      <w:start w:val="24"/>
    </w:lvl>
  </w:abstractNum>
  <w:abstractNum w:abstractNumId="645">
    <w:nsid w:val="728FACB1"/>
    <w:multiLevelType w:val="hybridMultilevel"/>
    <w:lvl w:ilvl="0">
      <w:lvlJc w:val="left"/>
      <w:lvlText w:val="(%1)"/>
      <w:numFmt w:val="decimal"/>
      <w:start w:val="1"/>
    </w:lvl>
  </w:abstractNum>
  <w:abstractNum w:abstractNumId="646">
    <w:nsid w:val="EF9AD2F"/>
    <w:multiLevelType w:val="hybridMultilevel"/>
    <w:lvl w:ilvl="0">
      <w:lvlJc w:val="left"/>
      <w:lvlText w:val="%1"/>
      <w:numFmt w:val="upperLetter"/>
      <w:start w:val="1"/>
    </w:lvl>
    <w:lvl w:ilvl="1">
      <w:lvlJc w:val="left"/>
      <w:lvlText w:val="(%2)"/>
      <w:numFmt w:val="decimal"/>
      <w:start w:val="3"/>
    </w:lvl>
  </w:abstractNum>
  <w:abstractNum w:abstractNumId="647">
    <w:nsid w:val="2545A7C9"/>
    <w:multiLevelType w:val="hybridMultilevel"/>
    <w:lvl w:ilvl="0">
      <w:lvlJc w:val="left"/>
      <w:lvlText w:val="(%1)"/>
      <w:numFmt w:val="upperLetter"/>
      <w:start w:val="2"/>
    </w:lvl>
    <w:lvl w:ilvl="1">
      <w:lvlJc w:val="left"/>
      <w:lvlText w:val="%2"/>
      <w:numFmt w:val="decimal"/>
      <w:start w:val="1"/>
    </w:lvl>
  </w:abstractNum>
  <w:abstractNum w:abstractNumId="648">
    <w:nsid w:val="495A99DC"/>
    <w:multiLevelType w:val="hybridMultilevel"/>
    <w:lvl w:ilvl="0">
      <w:lvlJc w:val="left"/>
      <w:lvlText w:val="(%1)"/>
      <w:numFmt w:val="decimal"/>
      <w:start w:val="11"/>
    </w:lvl>
  </w:abstractNum>
  <w:abstractNum w:abstractNumId="649">
    <w:nsid w:val="6C3DB3C4"/>
    <w:multiLevelType w:val="hybridMultilevel"/>
    <w:lvl w:ilvl="0">
      <w:lvlJc w:val="left"/>
      <w:lvlText w:val="(%1)"/>
      <w:numFmt w:val="decimal"/>
      <w:start w:val="23"/>
    </w:lvl>
  </w:abstractNum>
  <w:abstractNum w:abstractNumId="650">
    <w:nsid w:val="55EFC6"/>
    <w:multiLevelType w:val="hybridMultilevel"/>
    <w:lvl w:ilvl="0">
      <w:lvlJc w:val="left"/>
      <w:lvlText w:val="(%1)"/>
      <w:numFmt w:val="decimal"/>
      <w:start w:val="1"/>
    </w:lvl>
  </w:abstractNum>
  <w:abstractNum w:abstractNumId="651">
    <w:nsid w:val="57F93E98"/>
    <w:multiLevelType w:val="hybridMultilevel"/>
    <w:lvl w:ilvl="0">
      <w:lvlJc w:val="left"/>
      <w:lvlText w:val="(%1)"/>
      <w:numFmt w:val="decimal"/>
      <w:start w:val="3"/>
    </w:lvl>
  </w:abstractNum>
  <w:abstractNum w:abstractNumId="652">
    <w:nsid w:val="17BA092C"/>
    <w:multiLevelType w:val="hybridMultilevel"/>
    <w:lvl w:ilvl="0">
      <w:lvlJc w:val="left"/>
      <w:lvlText w:val="(%1)"/>
      <w:numFmt w:val="decimal"/>
      <w:start w:val="3"/>
    </w:lvl>
  </w:abstractNum>
  <w:abstractNum w:abstractNumId="653">
    <w:nsid w:val="46E70111"/>
    <w:multiLevelType w:val="hybridMultilevel"/>
    <w:lvl w:ilvl="0">
      <w:lvlJc w:val="left"/>
      <w:lvlText w:val="(%1)"/>
      <w:numFmt w:val="lowerRoman"/>
      <w:start w:val="2"/>
    </w:lvl>
  </w:abstractNum>
  <w:abstractNum w:abstractNumId="654">
    <w:nsid w:val="33A737F7"/>
    <w:multiLevelType w:val="hybridMultilevel"/>
    <w:lvl w:ilvl="0">
      <w:lvlJc w:val="left"/>
      <w:lvlText w:val="(%1)"/>
      <w:numFmt w:val="decimal"/>
      <w:start w:val="3"/>
    </w:lvl>
  </w:abstractNum>
  <w:abstractNum w:abstractNumId="655">
    <w:nsid w:val="E766383"/>
    <w:multiLevelType w:val="hybridMultilevel"/>
    <w:lvl w:ilvl="0">
      <w:lvlJc w:val="left"/>
      <w:lvlText w:val="%1"/>
      <w:numFmt w:val="upperLetter"/>
      <w:start w:val="1"/>
    </w:lvl>
    <w:lvl w:ilvl="1">
      <w:lvlJc w:val="left"/>
      <w:lvlText w:val="(%2)"/>
      <w:numFmt w:val="decimal"/>
      <w:start w:val="1"/>
    </w:lvl>
  </w:abstractNum>
  <w:abstractNum w:abstractNumId="656">
    <w:nsid w:val="3344C4D6"/>
    <w:multiLevelType w:val="hybridMultilevel"/>
    <w:lvl w:ilvl="0">
      <w:lvlJc w:val="left"/>
      <w:lvlText w:val="(%1)"/>
      <w:numFmt w:val="upperLetter"/>
      <w:start w:val="2"/>
    </w:lvl>
    <w:lvl w:ilvl="1">
      <w:lvlJc w:val="left"/>
      <w:lvlText w:val="%2"/>
      <w:numFmt w:val="decimal"/>
      <w:start w:val="1"/>
    </w:lvl>
  </w:abstractNum>
  <w:abstractNum w:abstractNumId="657">
    <w:nsid w:val="5E2C28EE"/>
    <w:multiLevelType w:val="hybridMultilevel"/>
    <w:lvl w:ilvl="0">
      <w:lvlJc w:val="left"/>
      <w:lvlText w:val="(%1)"/>
      <w:numFmt w:val="lowerLetter"/>
      <w:start w:val="1"/>
    </w:lvl>
  </w:abstractNum>
  <w:abstractNum w:abstractNumId="658">
    <w:nsid w:val="9AE133E"/>
    <w:multiLevelType w:val="hybridMultilevel"/>
    <w:lvl w:ilvl="0">
      <w:lvlJc w:val="left"/>
      <w:lvlText w:val="(%1)"/>
      <w:numFmt w:val="decimal"/>
      <w:start w:val="1"/>
    </w:lvl>
  </w:abstractNum>
  <w:abstractNum w:abstractNumId="659">
    <w:nsid w:val="247D7CEF"/>
    <w:multiLevelType w:val="hybridMultilevel"/>
    <w:lvl w:ilvl="0">
      <w:lvlJc w:val="left"/>
      <w:lvlText w:val="(%1)"/>
      <w:numFmt w:val="decimal"/>
      <w:start w:val="1"/>
    </w:lvl>
  </w:abstractNum>
  <w:abstractNum w:abstractNumId="660">
    <w:nsid w:val="43D60C21"/>
    <w:multiLevelType w:val="hybridMultilevel"/>
    <w:lvl w:ilvl="0">
      <w:lvlJc w:val="left"/>
      <w:lvlText w:val="(%1)"/>
      <w:numFmt w:val="decimal"/>
      <w:start w:val="1"/>
    </w:lvl>
  </w:abstractNum>
  <w:abstractNum w:abstractNumId="661">
    <w:nsid w:val="15DD687E"/>
    <w:multiLevelType w:val="hybridMultilevel"/>
    <w:lvl w:ilvl="0">
      <w:lvlJc w:val="left"/>
      <w:lvlText w:val="(%1)"/>
      <w:numFmt w:val="lowerLetter"/>
      <w:start w:val="3"/>
    </w:lvl>
  </w:abstractNum>
  <w:abstractNum w:abstractNumId="662">
    <w:nsid w:val="CD5DB95"/>
    <w:multiLevelType w:val="hybridMultilevel"/>
    <w:lvl w:ilvl="0">
      <w:lvlJc w:val="left"/>
      <w:lvlText w:val="(%1)"/>
      <w:numFmt w:val="lowerLetter"/>
      <w:start w:val="1"/>
    </w:lvl>
  </w:abstractNum>
  <w:abstractNum w:abstractNumId="663">
    <w:nsid w:val="35569F99"/>
    <w:multiLevelType w:val="hybridMultilevel"/>
    <w:lvl w:ilvl="0">
      <w:lvlJc w:val="left"/>
      <w:lvlText w:val="(%1)"/>
      <w:numFmt w:val="lowerRoman"/>
      <w:start w:val="1"/>
    </w:lvl>
  </w:abstractNum>
  <w:abstractNum w:abstractNumId="664">
    <w:nsid w:val="73FBF336"/>
    <w:multiLevelType w:val="hybridMultilevel"/>
    <w:lvl w:ilvl="0">
      <w:lvlJc w:val="left"/>
      <w:lvlText w:val="(%1)"/>
      <w:numFmt w:val="lowerLetter"/>
      <w:start w:val="2"/>
    </w:lvl>
  </w:abstractNum>
  <w:abstractNum w:abstractNumId="665">
    <w:nsid w:val="6BED4A53"/>
    <w:multiLevelType w:val="hybridMultilevel"/>
    <w:lvl w:ilvl="0">
      <w:lvlJc w:val="left"/>
      <w:lvlText w:val="(%1)"/>
      <w:numFmt w:val="lowerLetter"/>
      <w:start w:val="1"/>
    </w:lvl>
  </w:abstractNum>
  <w:abstractNum w:abstractNumId="666">
    <w:nsid w:val="127E6585"/>
    <w:multiLevelType w:val="hybridMultilevel"/>
    <w:lvl w:ilvl="0">
      <w:lvlJc w:val="left"/>
      <w:lvlText w:val="%1"/>
      <w:numFmt w:val="lowerLetter"/>
      <w:start w:val="1"/>
    </w:lvl>
    <w:lvl w:ilvl="1">
      <w:lvlJc w:val="left"/>
      <w:lvlText w:val="(%2)"/>
      <w:numFmt w:val="lowerLetter"/>
      <w:start w:val="3"/>
    </w:lvl>
  </w:abstractNum>
  <w:abstractNum w:abstractNumId="667">
    <w:nsid w:val="518AFBEE"/>
    <w:multiLevelType w:val="hybridMultilevel"/>
    <w:lvl w:ilvl="0">
      <w:lvlJc w:val="left"/>
      <w:lvlText w:val="(%1)"/>
      <w:numFmt w:val="lowerLetter"/>
      <w:start w:val="35"/>
    </w:lvl>
    <w:lvl w:ilvl="1">
      <w:lvlJc w:val="left"/>
      <w:lvlText w:val="(%2)"/>
      <w:numFmt w:val="lowerLetter"/>
      <w:start w:val="4"/>
    </w:lvl>
  </w:abstractNum>
  <w:abstractNum w:abstractNumId="668">
    <w:nsid w:val="3F754C7B"/>
    <w:multiLevelType w:val="hybridMultilevel"/>
    <w:lvl w:ilvl="0">
      <w:lvlJc w:val="left"/>
      <w:lvlText w:val="(%1)"/>
      <w:numFmt w:val="lowerRoman"/>
      <w:start w:val="1"/>
    </w:lvl>
  </w:abstractNum>
  <w:abstractNum w:abstractNumId="669">
    <w:nsid w:val="610FA1D6"/>
    <w:multiLevelType w:val="hybridMultilevel"/>
    <w:lvl w:ilvl="0">
      <w:lvlJc w:val="left"/>
      <w:lvlText w:val="(%1)"/>
      <w:numFmt w:val="lowerLetter"/>
      <w:start w:val="6"/>
    </w:lvl>
  </w:abstractNum>
  <w:abstractNum w:abstractNumId="670">
    <w:nsid w:val="5048B22C"/>
    <w:multiLevelType w:val="hybridMultilevel"/>
    <w:lvl w:ilvl="0">
      <w:lvlJc w:val="left"/>
      <w:lvlText w:val="(%1)"/>
      <w:numFmt w:val="lowerLetter"/>
      <w:start w:val="7"/>
    </w:lvl>
  </w:abstractNum>
  <w:abstractNum w:abstractNumId="671">
    <w:nsid w:val="257273DB"/>
    <w:multiLevelType w:val="hybridMultilevel"/>
    <w:lvl w:ilvl="0">
      <w:lvlJc w:val="left"/>
      <w:lvlText w:val="%1"/>
      <w:numFmt w:val="upperLetter"/>
      <w:start w:val="1"/>
    </w:lvl>
    <w:lvl w:ilvl="1">
      <w:lvlJc w:val="left"/>
      <w:lvlText w:val="(%2)"/>
      <w:numFmt w:val="lowerLetter"/>
      <w:start w:val="10"/>
    </w:lvl>
  </w:abstractNum>
  <w:abstractNum w:abstractNumId="672">
    <w:nsid w:val="3B192CFD"/>
    <w:multiLevelType w:val="hybridMultilevel"/>
    <w:lvl w:ilvl="0">
      <w:lvlJc w:val="left"/>
      <w:lvlText w:val="(%1)"/>
      <w:numFmt w:val="upperLetter"/>
      <w:start w:val="1"/>
    </w:lvl>
    <w:lvl w:ilvl="1">
      <w:lvlJc w:val="left"/>
      <w:lvlText w:val="(%2)"/>
      <w:numFmt w:val="lowerLetter"/>
      <w:start w:val="11"/>
    </w:lvl>
  </w:abstractNum>
  <w:abstractNum w:abstractNumId="673">
    <w:nsid w:val="2707E622"/>
    <w:multiLevelType w:val="hybridMultilevel"/>
    <w:lvl w:ilvl="0">
      <w:lvlJc w:val="left"/>
      <w:lvlText w:val="(%1)"/>
      <w:numFmt w:val="lowerLetter"/>
      <w:start w:val="12"/>
    </w:lvl>
  </w:abstractNum>
  <w:abstractNum w:abstractNumId="674">
    <w:nsid w:val="11ACAB8C"/>
    <w:multiLevelType w:val="hybridMultilevel"/>
    <w:lvl w:ilvl="0">
      <w:lvlJc w:val="left"/>
      <w:lvlText w:val="%1"/>
      <w:numFmt w:val="lowerLetter"/>
      <w:start w:val="1"/>
    </w:lvl>
    <w:lvl w:ilvl="1">
      <w:lvlJc w:val="left"/>
      <w:lvlText w:val="(%2)"/>
      <w:numFmt w:val="lowerLetter"/>
      <w:start w:val="1"/>
    </w:lvl>
  </w:abstractNum>
  <w:abstractNum w:abstractNumId="675">
    <w:nsid w:val="2486D4C7"/>
    <w:multiLevelType w:val="hybridMultilevel"/>
    <w:lvl w:ilvl="0">
      <w:lvlJc w:val="left"/>
      <w:lvlText w:val="(%1)"/>
      <w:numFmt w:val="lowerLetter"/>
      <w:start w:val="9"/>
    </w:lvl>
    <w:lvl w:ilvl="1">
      <w:lvlJc w:val="left"/>
      <w:lvlText w:val="%2"/>
      <w:numFmt w:val="lowerLetter"/>
      <w:start w:val="1"/>
    </w:lvl>
  </w:abstractNum>
  <w:abstractNum w:abstractNumId="676">
    <w:nsid w:val="199792D3"/>
    <w:multiLevelType w:val="hybridMultilevel"/>
    <w:lvl w:ilvl="0">
      <w:lvlJc w:val="left"/>
      <w:lvlText w:val="(%1)"/>
      <w:numFmt w:val="lowerRoman"/>
      <w:start w:val="1"/>
    </w:lvl>
  </w:abstractNum>
  <w:abstractNum w:abstractNumId="677">
    <w:nsid w:val="20A658BB"/>
    <w:multiLevelType w:val="hybridMultilevel"/>
    <w:lvl w:ilvl="0">
      <w:lvlJc w:val="left"/>
      <w:lvlText w:val="(%1)"/>
      <w:numFmt w:val="lowerLetter"/>
      <w:start w:val="2"/>
    </w:lvl>
  </w:abstractNum>
  <w:abstractNum w:abstractNumId="678">
    <w:nsid w:val="49CC7C90"/>
    <w:multiLevelType w:val="hybridMultilevel"/>
    <w:lvl w:ilvl="0">
      <w:lvlJc w:val="left"/>
      <w:lvlText w:val="(%1)"/>
      <w:numFmt w:val="lowerRoman"/>
      <w:start w:val="1"/>
    </w:lvl>
  </w:abstractNum>
  <w:abstractNum w:abstractNumId="679">
    <w:nsid w:val="62F22CB0"/>
    <w:multiLevelType w:val="hybridMultilevel"/>
    <w:lvl w:ilvl="0">
      <w:lvlJc w:val="left"/>
      <w:lvlText w:val="(%1)"/>
      <w:numFmt w:val="lowerLetter"/>
      <w:start w:val="1"/>
    </w:lvl>
  </w:abstractNum>
  <w:abstractNum w:abstractNumId="680">
    <w:nsid w:val="CE40C80"/>
    <w:multiLevelType w:val="hybridMultilevel"/>
    <w:lvl w:ilvl="0">
      <w:lvlJc w:val="left"/>
      <w:lvlText w:val="(%1)"/>
      <w:numFmt w:val="lowerLetter"/>
      <w:start w:val="1"/>
    </w:lvl>
  </w:abstractNum>
  <w:abstractNum w:abstractNumId="681">
    <w:nsid w:val="4A226C56"/>
    <w:multiLevelType w:val="hybridMultilevel"/>
    <w:lvl w:ilvl="0">
      <w:lvlJc w:val="left"/>
      <w:lvlText w:val="(%1)"/>
      <w:numFmt w:val="lowerLetter"/>
      <w:start w:val="61"/>
    </w:lvl>
    <w:lvl w:ilvl="1">
      <w:lvlJc w:val="left"/>
      <w:lvlText w:val="(%2)"/>
      <w:numFmt w:val="lowerLetter"/>
      <w:start w:val="2"/>
    </w:lvl>
  </w:abstractNum>
  <w:abstractNum w:abstractNumId="682">
    <w:nsid w:val="3AEB6B48"/>
    <w:multiLevelType w:val="hybridMultilevel"/>
    <w:lvl w:ilvl="0">
      <w:lvlJc w:val="left"/>
      <w:lvlText w:val="(%1)"/>
      <w:numFmt w:val="lowerRoman"/>
      <w:start w:val="1"/>
    </w:lvl>
  </w:abstractNum>
  <w:abstractNum w:abstractNumId="683">
    <w:nsid w:val="249E15AC"/>
    <w:multiLevelType w:val="hybridMultilevel"/>
    <w:lvl w:ilvl="0">
      <w:lvlJc w:val="left"/>
      <w:lvlText w:val="(%1)"/>
      <w:numFmt w:val="lowerLetter"/>
      <w:start w:val="4"/>
    </w:lvl>
  </w:abstractNum>
  <w:abstractNum w:abstractNumId="684">
    <w:nsid w:val="11096D68"/>
    <w:multiLevelType w:val="hybridMultilevel"/>
    <w:lvl w:ilvl="0">
      <w:lvlJc w:val="left"/>
      <w:lvlText w:val="(%1)"/>
      <w:numFmt w:val="lowerLetter"/>
      <w:start w:val="1"/>
    </w:lvl>
  </w:abstractNum>
  <w:abstractNum w:abstractNumId="685">
    <w:nsid w:val="6E92A33F"/>
    <w:multiLevelType w:val="hybridMultilevel"/>
    <w:lvl w:ilvl="0">
      <w:lvlJc w:val="left"/>
      <w:lvlText w:val="(%1)"/>
      <w:numFmt w:val="lowerLetter"/>
      <w:start w:val="1"/>
    </w:lvl>
  </w:abstractNum>
  <w:abstractNum w:abstractNumId="686">
    <w:nsid w:val="3314792F"/>
    <w:multiLevelType w:val="hybridMultilevel"/>
    <w:lvl w:ilvl="0">
      <w:lvlJc w:val="left"/>
      <w:lvlText w:val="(%1)"/>
      <w:numFmt w:val="lowerLetter"/>
      <w:start w:val="5"/>
    </w:lvl>
  </w:abstractNum>
  <w:abstractNum w:abstractNumId="687">
    <w:nsid w:val="444E323E"/>
    <w:multiLevelType w:val="hybridMultilevel"/>
    <w:lvl w:ilvl="0">
      <w:lvlJc w:val="left"/>
      <w:lvlText w:val="%1"/>
      <w:numFmt w:val="lowerLetter"/>
      <w:start w:val="1"/>
    </w:lvl>
    <w:lvl w:ilvl="1">
      <w:lvlJc w:val="left"/>
      <w:lvlText w:val="(%2)"/>
      <w:numFmt w:val="lowerLetter"/>
      <w:start w:val="1"/>
    </w:lvl>
  </w:abstractNum>
  <w:abstractNum w:abstractNumId="688">
    <w:nsid w:val="4CBECC2D"/>
    <w:multiLevelType w:val="hybridMultilevel"/>
    <w:lvl w:ilvl="0">
      <w:lvlJc w:val="left"/>
      <w:lvlText w:val="(%1)"/>
      <w:numFmt w:val="lowerLetter"/>
      <w:start w:val="35"/>
    </w:lvl>
    <w:lvl w:ilvl="1">
      <w:lvlJc w:val="left"/>
      <w:lvlText w:val="(%2)"/>
      <w:numFmt w:val="lowerLetter"/>
      <w:start w:val="5"/>
    </w:lvl>
  </w:abstractNum>
  <w:abstractNum w:abstractNumId="689">
    <w:nsid w:val="3CC28C6E"/>
    <w:multiLevelType w:val="hybridMultilevel"/>
    <w:lvl w:ilvl="0">
      <w:lvlJc w:val="left"/>
      <w:lvlText w:val="(%1)"/>
      <w:numFmt w:val="lowerLetter"/>
      <w:start w:val="6"/>
    </w:lvl>
  </w:abstractNum>
  <w:abstractNum w:abstractNumId="690">
    <w:nsid w:val="68CBAF2D"/>
    <w:multiLevelType w:val="hybridMultilevel"/>
    <w:lvl w:ilvl="0">
      <w:lvlJc w:val="left"/>
      <w:lvlText w:val="(%1)"/>
      <w:numFmt w:val="lowerLetter"/>
      <w:start w:val="1"/>
    </w:lvl>
  </w:abstractNum>
  <w:abstractNum w:abstractNumId="691">
    <w:nsid w:val="1094D84E"/>
    <w:multiLevelType w:val="hybridMultilevel"/>
    <w:lvl w:ilvl="0">
      <w:lvlJc w:val="left"/>
      <w:lvlText w:val="(%1)"/>
      <w:numFmt w:val="lowerLetter"/>
      <w:start w:val="2"/>
    </w:lvl>
  </w:abstractNum>
  <w:abstractNum w:abstractNumId="692">
    <w:nsid w:val="529FF4EC"/>
    <w:multiLevelType w:val="hybridMultilevel"/>
    <w:lvl w:ilvl="0">
      <w:lvlJc w:val="left"/>
      <w:lvlText w:val="(%1)"/>
      <w:numFmt w:val="lowerLetter"/>
      <w:start w:val="8"/>
    </w:lvl>
  </w:abstractNum>
  <w:abstractNum w:abstractNumId="693">
    <w:nsid w:val="75A18AC2"/>
    <w:multiLevelType w:val="hybridMultilevel"/>
    <w:lvl w:ilvl="0">
      <w:lvlJc w:val="left"/>
      <w:lvlText w:val="%1"/>
      <w:numFmt w:val="upperLetter"/>
      <w:start w:val="1"/>
    </w:lvl>
    <w:lvl w:ilvl="1">
      <w:lvlJc w:val="left"/>
      <w:lvlText w:val="(%2)"/>
      <w:numFmt w:val="lowerLetter"/>
      <w:start w:val="1"/>
    </w:lvl>
  </w:abstractNum>
  <w:abstractNum w:abstractNumId="694">
    <w:nsid w:val="45EB77E8"/>
    <w:multiLevelType w:val="hybridMultilevel"/>
    <w:lvl w:ilvl="0">
      <w:lvlJc w:val="left"/>
      <w:lvlText w:val="(%1)"/>
      <w:numFmt w:val="upperLetter"/>
      <w:start w:val="2"/>
    </w:lvl>
    <w:lvl w:ilvl="1">
      <w:lvlJc w:val="left"/>
      <w:lvlText w:val="%2"/>
      <w:numFmt w:val="lowerLetter"/>
      <w:start w:val="1"/>
    </w:lvl>
  </w:abstractNum>
  <w:abstractNum w:abstractNumId="695">
    <w:nsid w:val="469BE822"/>
    <w:multiLevelType w:val="hybridMultilevel"/>
    <w:lvl w:ilvl="0">
      <w:lvlJc w:val="left"/>
      <w:lvlText w:val="(%1)"/>
      <w:numFmt w:val="lowerLetter"/>
      <w:start w:val="2"/>
    </w:lvl>
  </w:abstractNum>
  <w:abstractNum w:abstractNumId="696">
    <w:nsid w:val="618ED516"/>
    <w:multiLevelType w:val="hybridMultilevel"/>
    <w:lvl w:ilvl="0">
      <w:lvlJc w:val="left"/>
      <w:lvlText w:val="(%1)"/>
      <w:numFmt w:val="lowerRoman"/>
      <w:start w:val="1"/>
    </w:lvl>
  </w:abstractNum>
  <w:abstractNum w:abstractNumId="697">
    <w:nsid w:val="5869DD6D"/>
    <w:multiLevelType w:val="hybridMultilevel"/>
    <w:lvl w:ilvl="0">
      <w:lvlJc w:val="left"/>
      <w:lvlText w:val="(%1)"/>
      <w:numFmt w:val="lowerLetter"/>
      <w:start w:val="2"/>
    </w:lvl>
  </w:abstractNum>
  <w:abstractNum w:abstractNumId="698">
    <w:nsid w:val="1826E411"/>
    <w:multiLevelType w:val="hybridMultilevel"/>
    <w:lvl w:ilvl="0">
      <w:lvlJc w:val="left"/>
      <w:lvlText w:val="(%1)"/>
      <w:numFmt w:val="lowerLetter"/>
      <w:start w:val="5"/>
    </w:lvl>
  </w:abstractNum>
  <w:abstractNum w:abstractNumId="699">
    <w:nsid w:val="21042191"/>
    <w:multiLevelType w:val="hybridMultilevel"/>
    <w:lvl w:ilvl="0">
      <w:lvlJc w:val="left"/>
      <w:lvlText w:val="%1"/>
      <w:numFmt w:val="lowerLetter"/>
      <w:start w:val="1"/>
    </w:lvl>
    <w:lvl w:ilvl="1">
      <w:lvlJc w:val="left"/>
      <w:lvlText w:val="(%2)"/>
      <w:numFmt w:val="lowerLetter"/>
      <w:start w:val="1"/>
    </w:lvl>
  </w:abstractNum>
  <w:abstractNum w:abstractNumId="700">
    <w:nsid w:val="39797F44"/>
    <w:multiLevelType w:val="hybridMultilevel"/>
    <w:lvl w:ilvl="0">
      <w:lvlJc w:val="left"/>
      <w:lvlText w:val="(%1)"/>
      <w:numFmt w:val="lowerLetter"/>
      <w:start w:val="9"/>
    </w:lvl>
    <w:lvl w:ilvl="1">
      <w:lvlJc w:val="left"/>
      <w:lvlText w:val="(%2)"/>
      <w:numFmt w:val="lowerLetter"/>
      <w:start w:val="2"/>
    </w:lvl>
  </w:abstractNum>
  <w:abstractNum w:abstractNumId="701">
    <w:nsid w:val="686F963D"/>
    <w:multiLevelType w:val="hybridMultilevel"/>
    <w:lvl w:ilvl="0">
      <w:lvlJc w:val="left"/>
      <w:lvlText w:val="(%1)"/>
      <w:numFmt w:val="lowerLetter"/>
      <w:start w:val="6"/>
    </w:lvl>
  </w:abstractNum>
  <w:abstractNum w:abstractNumId="702">
    <w:nsid w:val="4676956C"/>
    <w:multiLevelType w:val="hybridMultilevel"/>
    <w:lvl w:ilvl="0">
      <w:lvlJc w:val="left"/>
      <w:lvlText w:val="(%1)"/>
      <w:numFmt w:val="lowerRoman"/>
      <w:start w:val="1"/>
    </w:lvl>
  </w:abstractNum>
  <w:abstractNum w:abstractNumId="703">
    <w:nsid w:val="7492AC41"/>
    <w:multiLevelType w:val="hybridMultilevel"/>
    <w:lvl w:ilvl="0">
      <w:lvlJc w:val="left"/>
      <w:lvlText w:val="(%1)"/>
      <w:numFmt w:val="upperLetter"/>
      <w:start w:val="4"/>
    </w:lvl>
    <w:lvl w:ilvl="1">
      <w:lvlJc w:val="left"/>
      <w:lvlText w:val="(%2)"/>
      <w:numFmt w:val="lowerRoman"/>
      <w:start w:val="5"/>
    </w:lvl>
  </w:abstractNum>
  <w:abstractNum w:abstractNumId="704">
    <w:nsid w:val="F777C5F"/>
    <w:multiLevelType w:val="hybridMultilevel"/>
    <w:lvl w:ilvl="0">
      <w:lvlJc w:val="left"/>
      <w:lvlText w:val="(%1)"/>
      <w:numFmt w:val="decimal"/>
      <w:start w:val="2"/>
    </w:lvl>
  </w:abstractNum>
  <w:abstractNum w:abstractNumId="705">
    <w:nsid w:val="582340F8"/>
    <w:multiLevelType w:val="hybridMultilevel"/>
    <w:lvl w:ilvl="0">
      <w:lvlJc w:val="left"/>
      <w:lvlText w:val="(%1)"/>
      <w:numFmt w:val="lowerLetter"/>
      <w:start w:val="8"/>
    </w:lvl>
  </w:abstractNum>
  <w:abstractNum w:abstractNumId="706">
    <w:nsid w:val="19198108"/>
    <w:multiLevelType w:val="hybridMultilevel"/>
    <w:lvl w:ilvl="0">
      <w:lvlJc w:val="left"/>
      <w:lvlText w:val="%1"/>
      <w:numFmt w:val="lowerLetter"/>
      <w:start w:val="1"/>
    </w:lvl>
    <w:lvl w:ilvl="1">
      <w:lvlJc w:val="left"/>
      <w:lvlText w:val="(%2)"/>
      <w:numFmt w:val="lowerLetter"/>
      <w:start w:val="1"/>
    </w:lvl>
  </w:abstractNum>
  <w:abstractNum w:abstractNumId="707">
    <w:nsid w:val="290F0F32"/>
    <w:multiLevelType w:val="hybridMultilevel"/>
    <w:lvl w:ilvl="0">
      <w:lvlJc w:val="left"/>
      <w:lvlText w:val="(%1)"/>
      <w:numFmt w:val="lowerLetter"/>
      <w:start w:val="61"/>
    </w:lvl>
    <w:lvl w:ilvl="1">
      <w:lvlJc w:val="left"/>
      <w:lvlText w:val="%2"/>
      <w:numFmt w:val="lowerLetter"/>
      <w:start w:val="1"/>
    </w:lvl>
  </w:abstractNum>
  <w:abstractNum w:abstractNumId="708">
    <w:nsid w:val="78C999B4"/>
    <w:multiLevelType w:val="hybridMultilevel"/>
    <w:lvl w:ilvl="0">
      <w:lvlJc w:val="left"/>
      <w:lvlText w:val="(%1)"/>
      <w:numFmt w:val="lowerLetter"/>
      <w:start w:val="3"/>
    </w:lvl>
  </w:abstractNum>
  <w:abstractNum w:abstractNumId="709">
    <w:nsid w:val="62E5FD99"/>
    <w:multiLevelType w:val="hybridMultilevel"/>
    <w:lvl w:ilvl="0">
      <w:lvlJc w:val="left"/>
      <w:lvlText w:val="(%1)"/>
      <w:numFmt w:val="lowerRoman"/>
      <w:start w:val="1"/>
    </w:lvl>
  </w:abstractNum>
  <w:abstractNum w:abstractNumId="710">
    <w:nsid w:val="C013BE2"/>
    <w:multiLevelType w:val="hybridMultilevel"/>
    <w:lvl w:ilvl="0">
      <w:lvlJc w:val="left"/>
      <w:lvlText w:val="%1"/>
      <w:numFmt w:val="lowerLetter"/>
      <w:start w:val="1"/>
    </w:lvl>
    <w:lvl w:ilvl="1">
      <w:lvlJc w:val="left"/>
      <w:lvlText w:val="(%2)"/>
      <w:numFmt w:val="lowerLetter"/>
      <w:start w:val="1"/>
    </w:lvl>
  </w:abstractNum>
  <w:abstractNum w:abstractNumId="711">
    <w:nsid w:val="5ADA634"/>
    <w:multiLevelType w:val="hybridMultilevel"/>
    <w:lvl w:ilvl="0">
      <w:lvlJc w:val="left"/>
      <w:lvlText w:val="(%1)"/>
      <w:numFmt w:val="lowerLetter"/>
      <w:start w:val="9"/>
    </w:lvl>
    <w:lvl w:ilvl="1">
      <w:lvlJc w:val="left"/>
      <w:lvlText w:val="(%2)"/>
      <w:numFmt w:val="lowerLetter"/>
      <w:start w:val="2"/>
    </w:lvl>
  </w:abstractNum>
  <w:abstractNum w:abstractNumId="712">
    <w:nsid w:val="2D0869EF"/>
    <w:multiLevelType w:val="hybridMultilevel"/>
    <w:lvl w:ilvl="0">
      <w:lvlJc w:val="left"/>
      <w:lvlText w:val="(%1)"/>
      <w:numFmt w:val="lowerLetter"/>
      <w:start w:val="9"/>
    </w:lvl>
    <w:lvl w:ilvl="1">
      <w:lvlJc w:val="left"/>
      <w:lvlText w:val="%2"/>
      <w:numFmt w:val="lowerLetter"/>
      <w:start w:val="1"/>
    </w:lvl>
  </w:abstractNum>
  <w:abstractNum w:abstractNumId="713">
    <w:nsid w:val="46ECA72A"/>
    <w:multiLevelType w:val="hybridMultilevel"/>
    <w:lvl w:ilvl="0">
      <w:lvlJc w:val="left"/>
      <w:lvlText w:val="(%1)"/>
      <w:numFmt w:val="lowerLetter"/>
      <w:start w:val="2"/>
    </w:lvl>
  </w:abstractNum>
  <w:abstractNum w:abstractNumId="714">
    <w:nsid w:val="2A4BBBE0"/>
    <w:multiLevelType w:val="hybridMultilevel"/>
    <w:lvl w:ilvl="0">
      <w:lvlJc w:val="left"/>
      <w:lvlText w:val="(%1)"/>
      <w:numFmt w:val="lowerLetter"/>
      <w:start w:val="1"/>
    </w:lvl>
  </w:abstractNum>
  <w:abstractNum w:abstractNumId="715">
    <w:nsid w:val="3E11D757"/>
    <w:multiLevelType w:val="hybridMultilevel"/>
    <w:lvl w:ilvl="0">
      <w:lvlJc w:val="left"/>
      <w:lvlText w:val="(%1)"/>
      <w:numFmt w:val="lowerLetter"/>
      <w:start w:val="3"/>
    </w:lvl>
  </w:abstractNum>
  <w:abstractNum w:abstractNumId="716">
    <w:nsid w:val="357F4A69"/>
    <w:multiLevelType w:val="hybridMultilevel"/>
    <w:lvl w:ilvl="0">
      <w:lvlJc w:val="left"/>
      <w:lvlText w:val="(%1)"/>
      <w:numFmt w:val="lowerRoman"/>
      <w:start w:val="1"/>
    </w:lvl>
  </w:abstractNum>
  <w:abstractNum w:abstractNumId="717">
    <w:nsid w:val="5D603510"/>
    <w:multiLevelType w:val="hybridMultilevel"/>
    <w:lvl w:ilvl="0">
      <w:lvlJc w:val="left"/>
      <w:lvlText w:val="(%1)"/>
      <w:numFmt w:val="lowerRoman"/>
      <w:start w:val="2"/>
    </w:lvl>
  </w:abstractNum>
  <w:abstractNum w:abstractNumId="718">
    <w:nsid w:val="2600995"/>
    <w:multiLevelType w:val="hybridMultilevel"/>
    <w:lvl w:ilvl="0">
      <w:lvlJc w:val="left"/>
      <w:lvlText w:val="(%1)"/>
      <w:numFmt w:val="lowerLetter"/>
      <w:start w:val="5"/>
    </w:lvl>
  </w:abstractNum>
  <w:abstractNum w:abstractNumId="719">
    <w:nsid w:val="23E1696"/>
    <w:multiLevelType w:val="hybridMultilevel"/>
    <w:lvl w:ilvl="0">
      <w:lvlJc w:val="left"/>
      <w:lvlText w:val="(%1)"/>
      <w:numFmt w:val="lowerRoman"/>
      <w:start w:val="1"/>
    </w:lvl>
  </w:abstractNum>
  <w:abstractNum w:abstractNumId="720">
    <w:nsid w:val="1A22C17E"/>
    <w:multiLevelType w:val="hybridMultilevel"/>
    <w:lvl w:ilvl="0">
      <w:lvlJc w:val="left"/>
      <w:lvlText w:val="(%1)"/>
      <w:numFmt w:val="lowerLetter"/>
      <w:start w:val="6"/>
    </w:lvl>
  </w:abstractNum>
  <w:abstractNum w:abstractNumId="721">
    <w:nsid w:val="6B2BB8C2"/>
    <w:multiLevelType w:val="hybridMultilevel"/>
    <w:lvl w:ilvl="0">
      <w:lvlJc w:val="left"/>
      <w:lvlText w:val="(%1)"/>
      <w:numFmt w:val="lowerLetter"/>
      <w:start w:val="7"/>
    </w:lvl>
  </w:abstractNum>
  <w:abstractNum w:abstractNumId="722">
    <w:nsid w:val="12D2EEE5"/>
    <w:multiLevelType w:val="hybridMultilevel"/>
    <w:lvl w:ilvl="0">
      <w:lvlJc w:val="left"/>
      <w:lvlText w:val="(%1)"/>
      <w:numFmt w:val="lowerLetter"/>
      <w:start w:val="8"/>
    </w:lvl>
  </w:abstractNum>
  <w:abstractNum w:abstractNumId="723">
    <w:nsid w:val="6CC2B66A"/>
    <w:multiLevelType w:val="hybridMultilevel"/>
    <w:lvl w:ilvl="0">
      <w:lvlJc w:val="left"/>
      <w:lvlText w:val="(%1)"/>
      <w:numFmt w:val="lowerLetter"/>
      <w:start w:val="1"/>
    </w:lvl>
  </w:abstractNum>
  <w:abstractNum w:abstractNumId="724">
    <w:nsid w:val="60CD4385"/>
    <w:multiLevelType w:val="hybridMultilevel"/>
    <w:lvl w:ilvl="0">
      <w:lvlJc w:val="left"/>
      <w:lvlText w:val="(%1)"/>
      <w:numFmt w:val="lowerLetter"/>
      <w:start w:val="2"/>
    </w:lvl>
  </w:abstractNum>
  <w:abstractNum w:abstractNumId="725">
    <w:nsid w:val="58BE66CD"/>
    <w:multiLevelType w:val="hybridMultilevel"/>
    <w:lvl w:ilvl="0">
      <w:lvlJc w:val="left"/>
      <w:lvlText w:val="(%1)"/>
      <w:numFmt w:val="lowerRoman"/>
      <w:start w:val="1"/>
    </w:lvl>
  </w:abstractNum>
  <w:abstractNum w:abstractNumId="726">
    <w:nsid w:val="335E9E8D"/>
    <w:multiLevelType w:val="hybridMultilevel"/>
    <w:lvl w:ilvl="0">
      <w:lvlJc w:val="left"/>
      <w:lvlText w:val="(%1)"/>
      <w:numFmt w:val="lowerLetter"/>
      <w:start w:val="3"/>
    </w:lvl>
  </w:abstractNum>
  <w:abstractNum w:abstractNumId="727">
    <w:nsid w:val="425C189B"/>
    <w:multiLevelType w:val="hybridMultilevel"/>
    <w:lvl w:ilvl="0">
      <w:lvlJc w:val="left"/>
      <w:lvlText w:val="(%1)"/>
      <w:numFmt w:val="lowerRoman"/>
      <w:start w:val="1"/>
    </w:lvl>
  </w:abstractNum>
  <w:abstractNum w:abstractNumId="728">
    <w:nsid w:val="3128443A"/>
    <w:multiLevelType w:val="hybridMultilevel"/>
    <w:lvl w:ilvl="0">
      <w:lvlJc w:val="left"/>
      <w:lvlText w:val="(%1)"/>
      <w:numFmt w:val="lowerRoman"/>
      <w:start w:val="4"/>
    </w:lvl>
  </w:abstractNum>
  <w:abstractNum w:abstractNumId="729">
    <w:nsid w:val="4B85829E"/>
    <w:multiLevelType w:val="hybridMultilevel"/>
    <w:lvl w:ilvl="0">
      <w:lvlJc w:val="left"/>
      <w:lvlText w:val="(%1)"/>
      <w:numFmt w:val="lowerLetter"/>
      <w:start w:val="4"/>
    </w:lvl>
  </w:abstractNum>
  <w:abstractNum w:abstractNumId="730">
    <w:nsid w:val="63603A2C"/>
    <w:multiLevelType w:val="hybridMultilevel"/>
    <w:lvl w:ilvl="0">
      <w:lvlJc w:val="left"/>
      <w:lvlText w:val="(%1)"/>
      <w:numFmt w:val="lowerLetter"/>
      <w:start w:val="5"/>
    </w:lvl>
  </w:abstractNum>
  <w:abstractNum w:abstractNumId="731">
    <w:nsid w:val="6AA1C37E"/>
    <w:multiLevelType w:val="hybridMultilevel"/>
    <w:lvl w:ilvl="0">
      <w:lvlJc w:val="left"/>
      <w:lvlText w:val="(%1)"/>
      <w:numFmt w:val="lowerLetter"/>
      <w:start w:val="1"/>
    </w:lvl>
  </w:abstractNum>
  <w:abstractNum w:abstractNumId="732">
    <w:nsid w:val="33F518DB"/>
    <w:multiLevelType w:val="hybridMultilevel"/>
    <w:lvl w:ilvl="0">
      <w:lvlJc w:val="left"/>
      <w:lvlText w:val="(%1)"/>
      <w:numFmt w:val="lowerRoman"/>
      <w:start w:val="1"/>
    </w:lvl>
  </w:abstractNum>
  <w:abstractNum w:abstractNumId="733">
    <w:nsid w:val="29D6CF99"/>
    <w:multiLevelType w:val="hybridMultilevel"/>
    <w:lvl w:ilvl="0">
      <w:lvlJc w:val="left"/>
      <w:lvlText w:val="(%1)"/>
      <w:numFmt w:val="lowerRoman"/>
      <w:start w:val="2"/>
    </w:lvl>
  </w:abstractNum>
  <w:abstractNum w:abstractNumId="734">
    <w:nsid w:val="5F346FC0"/>
    <w:multiLevelType w:val="hybridMultilevel"/>
    <w:lvl w:ilvl="0">
      <w:lvlJc w:val="left"/>
      <w:lvlText w:val="(%1)"/>
      <w:numFmt w:val="lowerLetter"/>
      <w:start w:val="2"/>
    </w:lvl>
  </w:abstractNum>
  <w:abstractNum w:abstractNumId="735">
    <w:nsid w:val="436C953A"/>
    <w:multiLevelType w:val="hybridMultilevel"/>
    <w:lvl w:ilvl="0">
      <w:lvlJc w:val="left"/>
      <w:lvlText w:val="(%1)"/>
      <w:numFmt w:val="lowerRoman"/>
      <w:start w:val="1"/>
    </w:lvl>
  </w:abstractNum>
  <w:abstractNum w:abstractNumId="736">
    <w:nsid w:val="1FA1091"/>
    <w:multiLevelType w:val="hybridMultilevel"/>
    <w:lvl w:ilvl="0">
      <w:lvlJc w:val="left"/>
      <w:lvlText w:val="(%1)"/>
      <w:numFmt w:val="lowerRoman"/>
      <w:start w:val="4"/>
    </w:lvl>
  </w:abstractNum>
  <w:abstractNum w:abstractNumId="737">
    <w:nsid w:val="784DF0C8"/>
    <w:multiLevelType w:val="hybridMultilevel"/>
    <w:lvl w:ilvl="0">
      <w:lvlJc w:val="left"/>
      <w:lvlText w:val="(%1)"/>
      <w:numFmt w:val="lowerLetter"/>
      <w:start w:val="3"/>
    </w:lvl>
  </w:abstractNum>
  <w:abstractNum w:abstractNumId="738">
    <w:nsid w:val="6C7BA46C"/>
    <w:multiLevelType w:val="hybridMultilevel"/>
    <w:lvl w:ilvl="0">
      <w:lvlJc w:val="left"/>
      <w:lvlText w:val="%1"/>
      <w:numFmt w:val="upperLetter"/>
      <w:start w:val="1"/>
    </w:lvl>
    <w:lvl w:ilvl="1">
      <w:lvlJc w:val="left"/>
      <w:lvlText w:val="(%2)"/>
      <w:numFmt w:val="lowerLetter"/>
      <w:start w:val="4"/>
    </w:lvl>
  </w:abstractNum>
  <w:abstractNum w:abstractNumId="739">
    <w:nsid w:val="7AC3AA45"/>
    <w:multiLevelType w:val="hybridMultilevel"/>
    <w:lvl w:ilvl="0">
      <w:lvlJc w:val="left"/>
      <w:lvlText w:val="(%1)"/>
      <w:numFmt w:val="upperLetter"/>
      <w:start w:val="2"/>
    </w:lvl>
    <w:lvl w:ilvl="1">
      <w:lvlJc w:val="left"/>
      <w:lvlText w:val="(%2)"/>
      <w:numFmt w:val="lowerLetter"/>
      <w:start w:val="5"/>
    </w:lvl>
  </w:abstractNum>
  <w:abstractNum w:abstractNumId="740">
    <w:nsid w:val="5B33EE61"/>
    <w:multiLevelType w:val="hybridMultilevel"/>
    <w:lvl w:ilvl="0">
      <w:lvlJc w:val="left"/>
      <w:lvlText w:val="(%1)"/>
      <w:numFmt w:val="lowerRoman"/>
      <w:start w:val="4"/>
    </w:lvl>
  </w:abstractNum>
  <w:abstractNum w:abstractNumId="741">
    <w:nsid w:val="787CE04F"/>
    <w:multiLevelType w:val="hybridMultilevel"/>
    <w:lvl w:ilvl="0">
      <w:lvlJc w:val="left"/>
      <w:lvlText w:val="(%1)"/>
      <w:numFmt w:val="lowerLetter"/>
      <w:start w:val="1"/>
    </w:lvl>
  </w:abstractNum>
  <w:abstractNum w:abstractNumId="742">
    <w:nsid w:val="715079"/>
    <w:multiLevelType w:val="hybridMultilevel"/>
    <w:lvl w:ilvl="0">
      <w:lvlJc w:val="left"/>
      <w:lvlText w:val="(%1)"/>
      <w:numFmt w:val="lowerLetter"/>
      <w:start w:val="1"/>
    </w:lvl>
  </w:abstractNum>
  <w:abstractNum w:abstractNumId="743">
    <w:nsid w:val="83C5851"/>
    <w:multiLevelType w:val="hybridMultilevel"/>
    <w:lvl w:ilvl="0">
      <w:lvlJc w:val="left"/>
      <w:lvlText w:val="(%1)"/>
      <w:numFmt w:val="lowerLetter"/>
      <w:start w:val="2"/>
    </w:lvl>
  </w:abstractNum>
  <w:abstractNum w:abstractNumId="744">
    <w:nsid w:val="3F698779"/>
    <w:multiLevelType w:val="hybridMultilevel"/>
    <w:lvl w:ilvl="0">
      <w:lvlJc w:val="left"/>
      <w:lvlText w:val="(%1)"/>
      <w:numFmt w:val="lowerLetter"/>
      <w:start w:val="1"/>
    </w:lvl>
  </w:abstractNum>
  <w:abstractNum w:abstractNumId="745">
    <w:nsid w:val="2ABD0C5A"/>
    <w:multiLevelType w:val="hybridMultilevel"/>
    <w:lvl w:ilvl="0">
      <w:lvlJc w:val="left"/>
      <w:lvlText w:val="(%1)"/>
      <w:numFmt w:val="lowerLetter"/>
      <w:start w:val="35"/>
    </w:lvl>
    <w:lvl w:ilvl="1">
      <w:lvlJc w:val="left"/>
      <w:lvlText w:val="(%2)"/>
      <w:numFmt w:val="lowerLetter"/>
      <w:start w:val="1"/>
    </w:lvl>
  </w:abstractNum>
  <w:abstractNum w:abstractNumId="746">
    <w:nsid w:val="464E2FA8"/>
    <w:multiLevelType w:val="hybridMultilevel"/>
    <w:lvl w:ilvl="0">
      <w:lvlJc w:val="left"/>
      <w:lvlText w:val="(%1)"/>
      <w:numFmt w:val="lowerLetter"/>
      <w:start w:val="1"/>
    </w:lvl>
  </w:abstractNum>
  <w:abstractNum w:abstractNumId="747">
    <w:nsid w:val="74E8D1E3"/>
    <w:multiLevelType w:val="hybridMultilevel"/>
    <w:lvl w:ilvl="0">
      <w:lvlJc w:val="left"/>
      <w:lvlText w:val="(%1)"/>
      <w:numFmt w:val="lowerLetter"/>
      <w:start w:val="1"/>
    </w:lvl>
  </w:abstractNum>
  <w:abstractNum w:abstractNumId="748">
    <w:nsid w:val="81D416A"/>
    <w:multiLevelType w:val="hybridMultilevel"/>
    <w:lvl w:ilvl="0">
      <w:lvlJc w:val="left"/>
      <w:lvlText w:val="(%1)"/>
      <w:numFmt w:val="lowerRoman"/>
      <w:start w:val="1"/>
    </w:lvl>
  </w:abstractNum>
  <w:abstractNum w:abstractNumId="749">
    <w:nsid w:val="48AE393E"/>
    <w:multiLevelType w:val="hybridMultilevel"/>
    <w:lvl w:ilvl="0">
      <w:lvlJc w:val="left"/>
      <w:lvlText w:val="&amp;"/>
      <w:numFmt w:val="bullet"/>
      <w:start w:val="1"/>
    </w:lvl>
    <w:lvl w:ilvl="1">
      <w:lvlJc w:val="left"/>
      <w:lvlText w:val="(%2)"/>
      <w:numFmt w:val="lowerLetter"/>
      <w:start w:val="2"/>
    </w:lvl>
  </w:abstractNum>
  <w:abstractNum w:abstractNumId="750">
    <w:nsid w:val="7726E879"/>
    <w:multiLevelType w:val="hybridMultilevel"/>
    <w:lvl w:ilvl="0">
      <w:lvlJc w:val="left"/>
      <w:lvlText w:val="&amp;"/>
      <w:numFmt w:val="bullet"/>
      <w:start w:val="1"/>
    </w:lvl>
    <w:lvl w:ilvl="1">
      <w:lvlJc w:val="left"/>
      <w:lvlText w:val="(%2)"/>
      <w:numFmt w:val="lowerLetter"/>
      <w:start w:val="6"/>
    </w:lvl>
  </w:abstractNum>
  <w:abstractNum w:abstractNumId="751">
    <w:nsid w:val="224002E8"/>
    <w:multiLevelType w:val="hybridMultilevel"/>
    <w:lvl w:ilvl="0">
      <w:lvlJc w:val="left"/>
      <w:lvlText w:val="(%1)"/>
      <w:numFmt w:val="lowerLetter"/>
      <w:start w:val="9"/>
    </w:lvl>
  </w:abstractNum>
  <w:abstractNum w:abstractNumId="752">
    <w:nsid w:val="33D9F200"/>
    <w:multiLevelType w:val="hybridMultilevel"/>
    <w:lvl w:ilvl="0">
      <w:lvlJc w:val="left"/>
      <w:lvlText w:val="(%1)"/>
      <w:numFmt w:val="lowerLetter"/>
      <w:start w:val="1"/>
    </w:lvl>
  </w:abstractNum>
  <w:abstractNum w:abstractNumId="753">
    <w:nsid w:val="9F9D75E"/>
    <w:multiLevelType w:val="hybridMultilevel"/>
    <w:lvl w:ilvl="0">
      <w:lvlJc w:val="left"/>
      <w:lvlText w:val="(%1)"/>
      <w:numFmt w:val="lowerLetter"/>
      <w:start w:val="3"/>
    </w:lvl>
  </w:abstractNum>
  <w:abstractNum w:abstractNumId="754">
    <w:nsid w:val="F02B952"/>
    <w:multiLevelType w:val="hybridMultilevel"/>
    <w:lvl w:ilvl="0">
      <w:lvlJc w:val="left"/>
      <w:lvlText w:val="(%1)"/>
      <w:numFmt w:val="lowerLetter"/>
      <w:start w:val="1"/>
    </w:lvl>
  </w:abstractNum>
  <w:abstractNum w:abstractNumId="755">
    <w:nsid w:val="14A73585"/>
    <w:multiLevelType w:val="hybridMultilevel"/>
    <w:lvl w:ilvl="0">
      <w:lvlJc w:val="left"/>
      <w:lvlText w:val="(%1)"/>
      <w:numFmt w:val="lowerLetter"/>
      <w:start w:val="8"/>
    </w:lvl>
  </w:abstractNum>
  <w:abstractNum w:abstractNumId="756">
    <w:nsid w:val="62B83E2B"/>
    <w:multiLevelType w:val="hybridMultilevel"/>
    <w:lvl w:ilvl="0">
      <w:lvlJc w:val="left"/>
      <w:lvlText w:val="(%1)"/>
      <w:numFmt w:val="lowerLetter"/>
      <w:start w:val="2"/>
    </w:lvl>
  </w:abstractNum>
  <w:abstractNum w:abstractNumId="757">
    <w:nsid w:val="426157DF"/>
    <w:multiLevelType w:val="hybridMultilevel"/>
    <w:lvl w:ilvl="0">
      <w:lvlJc w:val="left"/>
      <w:lvlText w:val="(%1)"/>
      <w:numFmt w:val="lowerRoman"/>
      <w:start w:val="3"/>
    </w:lvl>
  </w:abstractNum>
  <w:abstractNum w:abstractNumId="758">
    <w:nsid w:val="57034E20"/>
    <w:multiLevelType w:val="hybridMultilevel"/>
    <w:lvl w:ilvl="0">
      <w:lvlJc w:val="left"/>
      <w:lvlText w:val="(%1)"/>
      <w:numFmt w:val="decimal"/>
      <w:start w:val="1"/>
    </w:lvl>
  </w:abstractNum>
  <w:abstractNum w:abstractNumId="759">
    <w:nsid w:val="13E08266"/>
    <w:multiLevelType w:val="hybridMultilevel"/>
    <w:lvl w:ilvl="0">
      <w:lvlJc w:val="left"/>
      <w:lvlText w:val="(%1)"/>
      <w:numFmt w:val="lowerLetter"/>
      <w:start w:val="1"/>
    </w:lvl>
  </w:abstractNum>
  <w:abstractNum w:abstractNumId="760">
    <w:nsid w:val="DE6DA7D"/>
    <w:multiLevelType w:val="hybridMultilevel"/>
    <w:lvl w:ilvl="0">
      <w:lvlJc w:val="left"/>
      <w:lvlText w:val="(%1)"/>
      <w:numFmt w:val="lowerLetter"/>
      <w:start w:val="2"/>
    </w:lvl>
  </w:abstractNum>
  <w:abstractNum w:abstractNumId="761">
    <w:nsid w:val="3A63884D"/>
    <w:multiLevelType w:val="hybridMultilevel"/>
    <w:lvl w:ilvl="0">
      <w:lvlJc w:val="left"/>
      <w:lvlText w:val="(%1)"/>
      <w:numFmt w:val="decimal"/>
      <w:start w:val="1"/>
    </w:lvl>
  </w:abstractNum>
  <w:abstractNum w:abstractNumId="762">
    <w:nsid w:val="7E8245E4"/>
    <w:multiLevelType w:val="hybridMultilevel"/>
    <w:lvl w:ilvl="0">
      <w:lvlJc w:val="left"/>
      <w:lvlText w:val="(%1)"/>
      <w:numFmt w:val="decimal"/>
      <w:start w:val="1"/>
    </w:lvl>
  </w:abstractNum>
  <w:abstractNum w:abstractNumId="763">
    <w:nsid w:val="41DBF358"/>
    <w:multiLevelType w:val="hybridMultilevel"/>
    <w:lvl w:ilvl="0">
      <w:lvlJc w:val="left"/>
      <w:lvlText w:val="(%1)"/>
      <w:numFmt w:val="decimal"/>
      <w:start w:val="3"/>
    </w:lvl>
  </w:abstractNum>
  <w:abstractNum w:abstractNumId="764">
    <w:nsid w:val="643A57E6"/>
    <w:multiLevelType w:val="hybridMultilevel"/>
    <w:lvl w:ilvl="0">
      <w:lvlJc w:val="left"/>
      <w:lvlText w:val="(%1)"/>
      <w:numFmt w:val="lowerLetter"/>
      <w:start w:val="2"/>
    </w:lvl>
  </w:abstractNum>
  <w:abstractNum w:abstractNumId="765">
    <w:nsid w:val="5DB6B5A4"/>
    <w:multiLevelType w:val="hybridMultilevel"/>
    <w:lvl w:ilvl="0">
      <w:lvlJc w:val="left"/>
      <w:lvlText w:val="(%1)"/>
      <w:numFmt w:val="lowerLetter"/>
      <w:start w:val="1"/>
    </w:lvl>
  </w:abstractNum>
  <w:abstractNum w:abstractNumId="766">
    <w:nsid w:val="5488892"/>
    <w:multiLevelType w:val="hybridMultilevel"/>
    <w:lvl w:ilvl="0">
      <w:lvlJc w:val="left"/>
      <w:lvlText w:val="(%1)"/>
      <w:numFmt w:val="lowerLetter"/>
      <w:start w:val="3"/>
    </w:lvl>
  </w:abstractNum>
  <w:abstractNum w:abstractNumId="767">
    <w:nsid w:val="66346877"/>
    <w:multiLevelType w:val="hybridMultilevel"/>
    <w:lvl w:ilvl="0">
      <w:lvlJc w:val="left"/>
      <w:lvlText w:val="%1"/>
      <w:numFmt w:val="lowerLetter"/>
      <w:start w:val="1"/>
    </w:lvl>
    <w:lvl w:ilvl="1">
      <w:lvlJc w:val="left"/>
      <w:lvlText w:val="(%2)"/>
      <w:numFmt w:val="lowerLetter"/>
      <w:start w:val="1"/>
    </w:lvl>
  </w:abstractNum>
  <w:abstractNum w:abstractNumId="768">
    <w:nsid w:val="5604A66D"/>
    <w:multiLevelType w:val="hybridMultilevel"/>
    <w:lvl w:ilvl="0">
      <w:lvlJc w:val="left"/>
      <w:lvlText w:val="(%1)"/>
      <w:numFmt w:val="lowerLetter"/>
      <w:start w:val="35"/>
    </w:lvl>
    <w:lvl w:ilvl="1">
      <w:lvlJc w:val="left"/>
      <w:lvlText w:val="%2"/>
      <w:numFmt w:val="lowerLetter"/>
      <w:start w:val="1"/>
    </w:lvl>
  </w:abstractNum>
  <w:abstractNum w:abstractNumId="769">
    <w:nsid w:val="71C42CFF"/>
    <w:multiLevelType w:val="hybridMultilevel"/>
    <w:lvl w:ilvl="0">
      <w:lvlJc w:val="left"/>
      <w:lvlText w:val="(%1)"/>
      <w:numFmt w:val="lowerLetter"/>
      <w:start w:val="1"/>
    </w:lvl>
  </w:abstractNum>
  <w:abstractNum w:abstractNumId="770">
    <w:nsid w:val="60F812BD"/>
    <w:multiLevelType w:val="hybridMultilevel"/>
    <w:lvl w:ilvl="0">
      <w:lvlJc w:val="left"/>
      <w:lvlText w:val="%1"/>
      <w:numFmt w:val="lowerRoman"/>
      <w:start w:val="1"/>
    </w:lvl>
    <w:lvl w:ilvl="1">
      <w:lvlJc w:val="left"/>
      <w:lvlText w:val="(%2)"/>
      <w:numFmt w:val="lowerRoman"/>
      <w:start w:val="1"/>
    </w:lvl>
  </w:abstractNum>
  <w:abstractNum w:abstractNumId="771">
    <w:nsid w:val="313894CE"/>
    <w:multiLevelType w:val="hybridMultilevel"/>
    <w:lvl w:ilvl="0">
      <w:lvlJc w:val="left"/>
      <w:lvlText w:val="(%1)"/>
      <w:numFmt w:val="lowerRoman"/>
      <w:start w:val="4"/>
    </w:lvl>
    <w:lvl w:ilvl="1">
      <w:lvlJc w:val="left"/>
      <w:lvlText w:val="%2"/>
      <w:numFmt w:val="lowerRoman"/>
      <w:start w:val="1"/>
    </w:lvl>
  </w:abstractNum>
  <w:abstractNum w:abstractNumId="772">
    <w:nsid w:val="6A410D4E"/>
    <w:multiLevelType w:val="hybridMultilevel"/>
    <w:lvl w:ilvl="0">
      <w:lvlJc w:val="left"/>
      <w:lvlText w:val="(%1)"/>
      <w:numFmt w:val="lowerLetter"/>
      <w:start w:val="24"/>
    </w:lvl>
    <w:lvl w:ilvl="1">
      <w:lvlJc w:val="left"/>
      <w:lvlText w:val="(%2)"/>
      <w:numFmt w:val="upperLetter"/>
      <w:start w:val="1"/>
    </w:lvl>
  </w:abstractNum>
  <w:abstractNum w:abstractNumId="773">
    <w:nsid w:val="61696336"/>
    <w:multiLevelType w:val="hybridMultilevel"/>
    <w:lvl w:ilvl="0">
      <w:lvlJc w:val="left"/>
      <w:lvlText w:val="(%1)"/>
      <w:numFmt w:val="upperLetter"/>
      <w:start w:val="4"/>
    </w:lvl>
  </w:abstractNum>
  <w:abstractNum w:abstractNumId="774">
    <w:nsid w:val="3974ED1F"/>
    <w:multiLevelType w:val="hybridMultilevel"/>
    <w:lvl w:ilvl="0">
      <w:lvlJc w:val="left"/>
      <w:lvlText w:val="(%1)"/>
      <w:numFmt w:val="decimal"/>
      <w:start w:val="1"/>
    </w:lvl>
  </w:abstractNum>
  <w:abstractNum w:abstractNumId="775">
    <w:nsid w:val="29AA94C7"/>
    <w:multiLevelType w:val="hybridMultilevel"/>
    <w:lvl w:ilvl="0">
      <w:lvlJc w:val="left"/>
      <w:lvlText w:val="(%1)"/>
      <w:numFmt w:val="decimal"/>
      <w:start w:val="4"/>
    </w:lvl>
  </w:abstractNum>
  <w:abstractNum w:abstractNumId="776">
    <w:nsid w:val="C266F90"/>
    <w:multiLevelType w:val="hybridMultilevel"/>
    <w:lvl w:ilvl="0">
      <w:lvlJc w:val="left"/>
      <w:lvlText w:val="(%1)"/>
      <w:numFmt w:val="decimal"/>
      <w:start w:val="11"/>
    </w:lvl>
  </w:abstractNum>
  <w:abstractNum w:abstractNumId="777">
    <w:nsid w:val="7FC31CC8"/>
    <w:multiLevelType w:val="hybridMultilevel"/>
    <w:lvl w:ilvl="0">
      <w:lvlJc w:val="left"/>
      <w:lvlText w:val="(%1)"/>
      <w:numFmt w:val="decimal"/>
      <w:start w:val="20"/>
    </w:lvl>
  </w:abstractNum>
  <w:abstractNum w:abstractNumId="778">
    <w:nsid w:val="1E9366AA"/>
    <w:multiLevelType w:val="hybridMultilevel"/>
    <w:lvl w:ilvl="0">
      <w:lvlJc w:val="left"/>
      <w:lvlText w:val="(%1)"/>
      <w:numFmt w:val="lowerLetter"/>
      <w:start w:val="1"/>
    </w:lvl>
  </w:abstractNum>
  <w:abstractNum w:abstractNumId="779">
    <w:nsid w:val="1443B0FA"/>
    <w:multiLevelType w:val="hybridMultilevel"/>
    <w:lvl w:ilvl="0">
      <w:lvlJc w:val="left"/>
      <w:lvlText w:val="(%1)"/>
      <w:numFmt w:val="decimal"/>
      <w:start w:val="1"/>
    </w:lvl>
  </w:abstractNum>
  <w:abstractNum w:abstractNumId="780">
    <w:nsid w:val="48715606"/>
    <w:multiLevelType w:val="hybridMultilevel"/>
    <w:lvl w:ilvl="0">
      <w:lvlJc w:val="left"/>
      <w:lvlText w:val="(%1)"/>
      <w:numFmt w:val="lowerLetter"/>
      <w:start w:val="2"/>
    </w:lvl>
  </w:abstractNum>
  <w:abstractNum w:abstractNumId="781">
    <w:nsid w:val="15BA4F24"/>
    <w:multiLevelType w:val="hybridMultilevel"/>
    <w:lvl w:ilvl="0">
      <w:lvlJc w:val="left"/>
      <w:lvlText w:val="(%1)"/>
      <w:numFmt w:val="decimal"/>
      <w:start w:val="1"/>
    </w:lvl>
  </w:abstractNum>
  <w:abstractNum w:abstractNumId="782">
    <w:nsid w:val="3683B3E2"/>
    <w:multiLevelType w:val="hybridMultilevel"/>
    <w:lvl w:ilvl="0">
      <w:lvlJc w:val="left"/>
      <w:lvlText w:val="(%1)"/>
      <w:numFmt w:val="decimal"/>
      <w:start w:val="6"/>
    </w:lvl>
  </w:abstractNum>
  <w:abstractNum w:abstractNumId="783">
    <w:nsid w:val="7C4B4806"/>
    <w:multiLevelType w:val="hybridMultilevel"/>
    <w:lvl w:ilvl="0">
      <w:lvlJc w:val="left"/>
      <w:lvlText w:val="(%1)"/>
      <w:numFmt w:val="decimal"/>
      <w:start w:val="15"/>
    </w:lvl>
  </w:abstractNum>
  <w:abstractNum w:abstractNumId="784">
    <w:nsid w:val="1FB42682"/>
    <w:multiLevelType w:val="hybridMultilevel"/>
    <w:lvl w:ilvl="0">
      <w:lvlJc w:val="left"/>
      <w:lvlText w:val="(%1)"/>
      <w:numFmt w:val="upperLetter"/>
      <w:start w:val="4"/>
    </w:lvl>
  </w:abstractNum>
  <w:abstractNum w:abstractNumId="785">
    <w:nsid w:val="45866D35"/>
    <w:multiLevelType w:val="hybridMultilevel"/>
    <w:lvl w:ilvl="0">
      <w:lvlJc w:val="left"/>
      <w:lvlText w:val="(%1)"/>
      <w:numFmt w:val="lowerLetter"/>
      <w:start w:val="23"/>
    </w:lvl>
  </w:abstractNum>
  <w:abstractNum w:abstractNumId="786">
    <w:nsid w:val="10F27D8C"/>
    <w:multiLevelType w:val="hybridMultilevel"/>
    <w:lvl w:ilvl="0">
      <w:lvlJc w:val="left"/>
      <w:lvlText w:val="(%1)"/>
      <w:numFmt w:val="lowerLetter"/>
      <w:start w:val="1"/>
    </w:lvl>
  </w:abstractNum>
  <w:abstractNum w:abstractNumId="787">
    <w:nsid w:val="26C64AE"/>
    <w:multiLevelType w:val="hybridMultilevel"/>
    <w:lvl w:ilvl="0">
      <w:lvlJc w:val="left"/>
      <w:lvlText w:val="(%1)"/>
      <w:numFmt w:val="decimal"/>
      <w:start w:val="1"/>
    </w:lvl>
    <w:lvl w:ilvl="1">
      <w:lvlJc w:val="left"/>
      <w:lvlText w:val="(%2)"/>
      <w:numFmt w:val="upperLetter"/>
      <w:start w:val="1"/>
    </w:lvl>
  </w:abstractNum>
  <w:abstractNum w:abstractNumId="788">
    <w:nsid w:val="7E7C514"/>
    <w:multiLevelType w:val="hybridMultilevel"/>
    <w:lvl w:ilvl="0">
      <w:lvlJc w:val="left"/>
      <w:lvlText w:val="(%1)"/>
      <w:numFmt w:val="lowerLetter"/>
      <w:start w:val="2"/>
    </w:lvl>
  </w:abstractNum>
  <w:abstractNum w:abstractNumId="789">
    <w:nsid w:val="67F5CBAC"/>
    <w:multiLevelType w:val="hybridMultilevel"/>
    <w:lvl w:ilvl="0">
      <w:lvlJc w:val="left"/>
      <w:lvlText w:val="(%1)"/>
      <w:numFmt w:val="decimal"/>
      <w:start w:val="1"/>
    </w:lvl>
  </w:abstractNum>
  <w:abstractNum w:abstractNumId="790">
    <w:nsid w:val="164CE714"/>
    <w:multiLevelType w:val="hybridMultilevel"/>
    <w:lvl w:ilvl="0">
      <w:lvlJc w:val="left"/>
      <w:lvlText w:val="(%1)"/>
      <w:numFmt w:val="decimal"/>
      <w:start w:val="2"/>
    </w:lvl>
  </w:abstractNum>
  <w:abstractNum w:abstractNumId="791">
    <w:nsid w:val="15CE9F92"/>
    <w:multiLevelType w:val="hybridMultilevel"/>
    <w:lvl w:ilvl="0">
      <w:lvlJc w:val="left"/>
      <w:lvlText w:val="(%1)"/>
      <w:numFmt w:val="decimal"/>
      <w:start w:val="12"/>
    </w:lvl>
  </w:abstractNum>
  <w:abstractNum w:abstractNumId="792">
    <w:nsid w:val="225953F9"/>
    <w:multiLevelType w:val="hybridMultilevel"/>
    <w:lvl w:ilvl="0">
      <w:lvlJc w:val="left"/>
      <w:lvlText w:val="(%1)"/>
      <w:numFmt w:val="lowerLetter"/>
      <w:start w:val="1"/>
    </w:lvl>
  </w:abstractNum>
  <w:abstractNum w:abstractNumId="793">
    <w:nsid w:val="14CF2CF8"/>
    <w:multiLevelType w:val="hybridMultilevel"/>
    <w:lvl w:ilvl="0">
      <w:lvlJc w:val="left"/>
      <w:lvlText w:val="(%1)"/>
      <w:numFmt w:val="lowerLetter"/>
      <w:start w:val="3"/>
    </w:lvl>
  </w:abstractNum>
  <w:abstractNum w:abstractNumId="794">
    <w:nsid w:val="57AA92EA"/>
    <w:multiLevelType w:val="hybridMultilevel"/>
    <w:lvl w:ilvl="0">
      <w:lvlJc w:val="left"/>
      <w:lvlText w:val="(%1)"/>
      <w:numFmt w:val="decimal"/>
      <w:start w:val="1"/>
    </w:lvl>
    <w:lvl w:ilvl="1">
      <w:lvlJc w:val="left"/>
      <w:lvlText w:val="(%2)"/>
      <w:numFmt w:val="lowerLetter"/>
      <w:start w:val="24"/>
    </w:lvl>
  </w:abstractNum>
  <w:abstractNum w:abstractNumId="795">
    <w:nsid w:val="693ABDF"/>
    <w:multiLevelType w:val="hybridMultilevel"/>
    <w:lvl w:ilvl="0">
      <w:lvlJc w:val="left"/>
      <w:lvlText w:val="(%1)"/>
      <w:numFmt w:val="lowerLetter"/>
      <w:start w:val="1"/>
    </w:lvl>
  </w:abstractNum>
  <w:abstractNum w:abstractNumId="796">
    <w:nsid w:val="7285E29D"/>
    <w:multiLevelType w:val="hybridMultilevel"/>
    <w:lvl w:ilvl="0">
      <w:lvlJc w:val="left"/>
      <w:lvlText w:val="(%1)"/>
      <w:numFmt w:val="decimal"/>
      <w:start w:val="1"/>
    </w:lvl>
    <w:lvl w:ilvl="1">
      <w:lvlJc w:val="left"/>
      <w:lvlText w:val="(%2)"/>
      <w:numFmt w:val="upperLetter"/>
      <w:start w:val="1"/>
    </w:lvl>
  </w:abstractNum>
  <w:abstractNum w:abstractNumId="797">
    <w:nsid w:val="5CF31B7D"/>
    <w:multiLevelType w:val="hybridMultilevel"/>
    <w:lvl w:ilvl="0">
      <w:lvlJc w:val="left"/>
      <w:lvlText w:val="(%1)"/>
      <w:numFmt w:val="lowerLetter"/>
      <w:start w:val="2"/>
    </w:lvl>
  </w:abstractNum>
  <w:abstractNum w:abstractNumId="798">
    <w:nsid w:val="6CC81457"/>
    <w:multiLevelType w:val="hybridMultilevel"/>
    <w:lvl w:ilvl="0">
      <w:lvlJc w:val="left"/>
      <w:lvlText w:val="(%1)"/>
      <w:numFmt w:val="decimal"/>
      <w:start w:val="1"/>
    </w:lvl>
  </w:abstractNum>
  <w:abstractNum w:abstractNumId="799">
    <w:nsid w:val="488A890A"/>
    <w:multiLevelType w:val="hybridMultilevel"/>
    <w:lvl w:ilvl="0">
      <w:lvlJc w:val="left"/>
      <w:lvlText w:val="(%1)"/>
      <w:numFmt w:val="lowerLetter"/>
      <w:start w:val="3"/>
    </w:lvl>
  </w:abstractNum>
  <w:abstractNum w:abstractNumId="800">
    <w:nsid w:val="4EB7487C"/>
    <w:multiLevelType w:val="hybridMultilevel"/>
    <w:lvl w:ilvl="0">
      <w:lvlJc w:val="left"/>
      <w:lvlText w:val="(%1)"/>
      <w:numFmt w:val="lowerLetter"/>
      <w:start w:val="1"/>
    </w:lvl>
  </w:abstractNum>
  <w:abstractNum w:abstractNumId="801">
    <w:nsid w:val="4DC02714"/>
    <w:multiLevelType w:val="hybridMultilevel"/>
    <w:lvl w:ilvl="0">
      <w:lvlJc w:val="left"/>
      <w:lvlText w:val="(%1)"/>
      <w:numFmt w:val="lowerLetter"/>
      <w:start w:val="3"/>
    </w:lvl>
    <w:lvl w:ilvl="1">
      <w:lvlJc w:val="left"/>
      <w:lvlText w:val="(%2)"/>
      <w:numFmt w:val="decimal"/>
      <w:start w:val="1"/>
    </w:lvl>
  </w:abstractNum>
  <w:abstractNum w:abstractNumId="802">
    <w:nsid w:val="79C31DD8"/>
    <w:multiLevelType w:val="hybridMultilevel"/>
    <w:lvl w:ilvl="0">
      <w:lvlJc w:val="left"/>
      <w:lvlText w:val="(%1)"/>
      <w:numFmt w:val="decimal"/>
      <w:start w:val="2"/>
    </w:lvl>
  </w:abstractNum>
  <w:abstractNum w:abstractNumId="803">
    <w:nsid w:val="38F855CA"/>
    <w:multiLevelType w:val="hybridMultilevel"/>
    <w:lvl w:ilvl="0">
      <w:lvlJc w:val="left"/>
      <w:lvlText w:val="%1"/>
      <w:numFmt w:val="decimal"/>
      <w:start w:val="1"/>
    </w:lvl>
    <w:lvl w:ilvl="1">
      <w:lvlJc w:val="left"/>
      <w:lvlText w:val="(%2)"/>
      <w:numFmt w:val="lowerLetter"/>
      <w:start w:val="8"/>
    </w:lvl>
  </w:abstractNum>
  <w:abstractNum w:abstractNumId="804">
    <w:nsid w:val="2F298A4A"/>
    <w:multiLevelType w:val="hybridMultilevel"/>
    <w:lvl w:ilvl="0">
      <w:lvlJc w:val="left"/>
      <w:lvlText w:val="(%1)"/>
      <w:numFmt w:val="decimal"/>
      <w:start w:val="60"/>
    </w:lvl>
    <w:lvl w:ilvl="1">
      <w:lvlJc w:val="left"/>
      <w:lvlText w:val="(%2)"/>
      <w:numFmt w:val="lowerLetter"/>
      <w:start w:val="9"/>
    </w:lvl>
  </w:abstractNum>
  <w:abstractNum w:abstractNumId="805">
    <w:nsid w:val="33380AF8"/>
    <w:multiLevelType w:val="hybridMultilevel"/>
    <w:lvl w:ilvl="0">
      <w:lvlJc w:val="left"/>
      <w:lvlText w:val="(%1)"/>
      <w:numFmt w:val="lowerRoman"/>
      <w:start w:val="1"/>
    </w:lvl>
  </w:abstractNum>
  <w:abstractNum w:abstractNumId="806">
    <w:nsid w:val="62A2EA91"/>
    <w:multiLevelType w:val="hybridMultilevel"/>
    <w:lvl w:ilvl="0">
      <w:lvlJc w:val="left"/>
      <w:lvlText w:val="(%1)"/>
      <w:numFmt w:val="lowerRoman"/>
      <w:start w:val="3"/>
    </w:lvl>
  </w:abstractNum>
  <w:abstractNum w:abstractNumId="807">
    <w:nsid w:val="3B4FF9DB"/>
    <w:multiLevelType w:val="hybridMultilevel"/>
    <w:lvl w:ilvl="0">
      <w:lvlJc w:val="left"/>
      <w:lvlText w:val="(%1)"/>
      <w:numFmt w:val="lowerLetter"/>
      <w:start w:val="1"/>
    </w:lvl>
  </w:abstractNum>
  <w:abstractNum w:abstractNumId="808">
    <w:nsid w:val="32FB27C0"/>
    <w:multiLevelType w:val="hybridMultilevel"/>
    <w:lvl w:ilvl="0">
      <w:lvlJc w:val="left"/>
      <w:lvlText w:val="(%1)"/>
      <w:numFmt w:val="lowerRoman"/>
      <w:start w:val="1"/>
    </w:lvl>
  </w:abstractNum>
  <w:abstractNum w:abstractNumId="809">
    <w:nsid w:val="136513C"/>
    <w:multiLevelType w:val="hybridMultilevel"/>
    <w:lvl w:ilvl="0">
      <w:lvlJc w:val="left"/>
      <w:lvlText w:val="(%1)"/>
      <w:numFmt w:val="lowerLetter"/>
      <w:start w:val="3"/>
    </w:lvl>
  </w:abstractNum>
  <w:abstractNum w:abstractNumId="810">
    <w:nsid w:val="4F93AAD5"/>
    <w:multiLevelType w:val="hybridMultilevel"/>
    <w:lvl w:ilvl="0">
      <w:lvlJc w:val="left"/>
      <w:lvlText w:val="(%1)"/>
      <w:numFmt w:val="lowerLetter"/>
      <w:start w:val="1"/>
    </w:lvl>
  </w:abstractNum>
  <w:abstractNum w:abstractNumId="811">
    <w:nsid w:val="7B6C7DC6"/>
    <w:multiLevelType w:val="hybridMultilevel"/>
    <w:lvl w:ilvl="0">
      <w:lvlJc w:val="left"/>
      <w:lvlText w:val="(%1)"/>
      <w:numFmt w:val="lowerLetter"/>
      <w:start w:val="2"/>
    </w:lvl>
  </w:abstractNum>
  <w:abstractNum w:abstractNumId="812">
    <w:nsid w:val="16F0A060"/>
    <w:multiLevelType w:val="hybridMultilevel"/>
    <w:lvl w:ilvl="0">
      <w:lvlJc w:val="left"/>
      <w:lvlText w:val="(%1)"/>
      <w:numFmt w:val="lowerLetter"/>
      <w:start w:val="1"/>
    </w:lvl>
  </w:abstractNum>
  <w:abstractNum w:abstractNumId="813">
    <w:nsid w:val="6175EB8"/>
    <w:multiLevelType w:val="hybridMultilevel"/>
    <w:lvl w:ilvl="0">
      <w:lvlJc w:val="left"/>
      <w:lvlText w:val="(%1)"/>
      <w:numFmt w:val="lowerLetter"/>
      <w:start w:val="1"/>
    </w:lvl>
  </w:abstractNum>
  <w:abstractNum w:abstractNumId="814">
    <w:nsid w:val="77B7C5CC"/>
    <w:multiLevelType w:val="hybridMultilevel"/>
    <w:lvl w:ilvl="0">
      <w:lvlJc w:val="left"/>
      <w:lvlText w:val="(%1)"/>
      <w:numFmt w:val="decimal"/>
      <w:start w:val="1"/>
    </w:lvl>
  </w:abstractNum>
  <w:abstractNum w:abstractNumId="815">
    <w:nsid w:val="36A4C6E2"/>
    <w:multiLevelType w:val="hybridMultilevel"/>
    <w:lvl w:ilvl="0">
      <w:lvlJc w:val="left"/>
      <w:lvlText w:val="(%1)"/>
      <w:numFmt w:val="lowerLetter"/>
      <w:start w:val="3"/>
    </w:lvl>
  </w:abstractNum>
  <w:abstractNum w:abstractNumId="816">
    <w:nsid w:val="4B9DCBED"/>
    <w:multiLevelType w:val="hybridMultilevel"/>
    <w:lvl w:ilvl="0">
      <w:lvlJc w:val="left"/>
      <w:lvlText w:val="(%1)"/>
      <w:numFmt w:val="lowerLetter"/>
      <w:start w:val="5"/>
    </w:lvl>
  </w:abstractNum>
  <w:abstractNum w:abstractNumId="817">
    <w:nsid w:val="8AA4358"/>
    <w:multiLevelType w:val="hybridMultilevel"/>
    <w:lvl w:ilvl="0">
      <w:lvlJc w:val="left"/>
      <w:lvlText w:val="(%1)"/>
      <w:numFmt w:val="lowerLetter"/>
      <w:start w:val="1"/>
    </w:lvl>
  </w:abstractNum>
  <w:abstractNum w:abstractNumId="818">
    <w:nsid w:val="39112B90"/>
    <w:multiLevelType w:val="hybridMultilevel"/>
    <w:lvl w:ilvl="0">
      <w:lvlJc w:val="left"/>
      <w:lvlText w:val="(%1)"/>
      <w:numFmt w:val="lowerLetter"/>
      <w:start w:val="4"/>
    </w:lvl>
  </w:abstractNum>
  <w:abstractNum w:abstractNumId="819">
    <w:nsid w:val="53859101"/>
    <w:multiLevelType w:val="hybridMultilevel"/>
    <w:lvl w:ilvl="0">
      <w:lvlJc w:val="left"/>
      <w:lvlText w:val="(%1)"/>
      <w:numFmt w:val="lowerLetter"/>
      <w:start w:val="1"/>
    </w:lvl>
  </w:abstractNum>
  <w:abstractNum w:abstractNumId="820">
    <w:nsid w:val="70A00F05"/>
    <w:multiLevelType w:val="hybridMultilevel"/>
    <w:lvl w:ilvl="0">
      <w:lvlJc w:val="left"/>
      <w:lvlText w:val="(%1)"/>
      <w:numFmt w:val="lowerLetter"/>
      <w:start w:val="3"/>
    </w:lvl>
  </w:abstractNum>
  <w:abstractNum w:abstractNumId="821">
    <w:nsid w:val="4F5E12A4"/>
    <w:multiLevelType w:val="hybridMultilevel"/>
    <w:lvl w:ilvl="0">
      <w:lvlJc w:val="left"/>
      <w:lvlText w:val="(%1)"/>
      <w:numFmt w:val="lowerLetter"/>
      <w:start w:val="1"/>
    </w:lvl>
  </w:abstractNum>
  <w:abstractNum w:abstractNumId="822">
    <w:nsid w:val="69543093"/>
    <w:multiLevelType w:val="hybridMultilevel"/>
    <w:lvl w:ilvl="0">
      <w:lvlJc w:val="left"/>
      <w:lvlText w:val="(%1)"/>
      <w:numFmt w:val="lowerRoman"/>
      <w:start w:val="1"/>
    </w:lvl>
    <w:lvl w:ilvl="1">
      <w:lvlJc w:val="left"/>
      <w:lvlText w:val="(%2)"/>
      <w:numFmt w:val="upperLetter"/>
      <w:start w:val="1"/>
    </w:lvl>
  </w:abstractNum>
  <w:abstractNum w:abstractNumId="823">
    <w:nsid w:val="12F962FE"/>
    <w:multiLevelType w:val="hybridMultilevel"/>
    <w:lvl w:ilvl="0">
      <w:lvlJc w:val="left"/>
      <w:lvlText w:val="(%1)"/>
      <w:numFmt w:val="lowerRoman"/>
      <w:start w:val="4"/>
    </w:lvl>
  </w:abstractNum>
  <w:abstractNum w:abstractNumId="824">
    <w:nsid w:val="642D3F9D"/>
    <w:multiLevelType w:val="hybridMultilevel"/>
    <w:lvl w:ilvl="0">
      <w:lvlJc w:val="left"/>
      <w:lvlText w:val="(%1)"/>
      <w:numFmt w:val="lowerLetter"/>
      <w:start w:val="2"/>
    </w:lvl>
  </w:abstractNum>
  <w:abstractNum w:abstractNumId="825">
    <w:nsid w:val="40FEC37E"/>
    <w:multiLevelType w:val="hybridMultilevel"/>
    <w:lvl w:ilvl="0">
      <w:lvlJc w:val="left"/>
      <w:lvlText w:val="(%1)"/>
      <w:numFmt w:val="lowerLetter"/>
      <w:start w:val="1"/>
    </w:lvl>
  </w:abstractNum>
  <w:abstractNum w:abstractNumId="826">
    <w:nsid w:val="198D0EDE"/>
    <w:multiLevelType w:val="hybridMultilevel"/>
    <w:lvl w:ilvl="0">
      <w:lvlJc w:val="left"/>
      <w:lvlText w:val="(%1)"/>
      <w:numFmt w:val="upperLetter"/>
      <w:start w:val="1"/>
    </w:lvl>
  </w:abstractNum>
  <w:abstractNum w:abstractNumId="827">
    <w:nsid w:val="56B3223A"/>
    <w:multiLevelType w:val="hybridMultilevel"/>
    <w:lvl w:ilvl="0">
      <w:lvlJc w:val="left"/>
      <w:lvlText w:val="(%1)"/>
      <w:numFmt w:val="upperLetter"/>
      <w:start w:val="1"/>
    </w:lvl>
  </w:abstractNum>
  <w:abstractNum w:abstractNumId="828">
    <w:nsid w:val="1DF1DEFB"/>
    <w:multiLevelType w:val="hybridMultilevel"/>
    <w:lvl w:ilvl="0">
      <w:lvlJc w:val="left"/>
      <w:lvlText w:val="(%1)"/>
      <w:numFmt w:val="upperLetter"/>
      <w:start w:val="3"/>
    </w:lvl>
  </w:abstractNum>
  <w:abstractNum w:abstractNumId="829">
    <w:nsid w:val="6552335"/>
    <w:multiLevelType w:val="hybridMultilevel"/>
    <w:lvl w:ilvl="0">
      <w:lvlJc w:val="left"/>
      <w:lvlText w:val="(%1)"/>
      <w:numFmt w:val="lowerRoman"/>
      <w:start w:val="3"/>
    </w:lvl>
  </w:abstractNum>
  <w:abstractNum w:abstractNumId="830">
    <w:nsid w:val="1F3DAB44"/>
    <w:multiLevelType w:val="hybridMultilevel"/>
    <w:lvl w:ilvl="0">
      <w:lvlJc w:val="left"/>
      <w:lvlText w:val="(%1)"/>
      <w:numFmt w:val="lowerRoman"/>
      <w:start w:val="4"/>
    </w:lvl>
  </w:abstractNum>
  <w:abstractNum w:abstractNumId="831">
    <w:nsid w:val="6CA92777"/>
    <w:multiLevelType w:val="hybridMultilevel"/>
    <w:lvl w:ilvl="0">
      <w:lvlJc w:val="left"/>
      <w:lvlText w:val="(%1)"/>
      <w:numFmt w:val="lowerLetter"/>
      <w:start w:val="3"/>
    </w:lvl>
  </w:abstractNum>
  <w:abstractNum w:abstractNumId="832">
    <w:nsid w:val="54154A49"/>
    <w:multiLevelType w:val="hybridMultilevel"/>
    <w:lvl w:ilvl="0">
      <w:lvlJc w:val="left"/>
      <w:lvlText w:val="(%1)"/>
      <w:numFmt w:val="lowerLetter"/>
      <w:start w:val="4"/>
    </w:lvl>
  </w:abstractNum>
  <w:abstractNum w:abstractNumId="833">
    <w:nsid w:val="1900C91C"/>
    <w:multiLevelType w:val="hybridMultilevel"/>
    <w:lvl w:ilvl="0">
      <w:lvlJc w:val="left"/>
      <w:lvlText w:val="(%1)"/>
      <w:numFmt w:val="lowerRoman"/>
      <w:start w:val="2"/>
    </w:lvl>
  </w:abstractNum>
  <w:abstractNum w:abstractNumId="834">
    <w:nsid w:val="25A17D41"/>
    <w:multiLevelType w:val="hybridMultilevel"/>
    <w:lvl w:ilvl="0">
      <w:lvlJc w:val="left"/>
      <w:lvlText w:val="(%1)"/>
      <w:numFmt w:val="lowerLetter"/>
      <w:start w:val="5"/>
    </w:lvl>
  </w:abstractNum>
  <w:abstractNum w:abstractNumId="835">
    <w:nsid w:val="33ED493"/>
    <w:multiLevelType w:val="hybridMultilevel"/>
    <w:lvl w:ilvl="0">
      <w:lvlJc w:val="left"/>
      <w:lvlText w:val="(%1)"/>
      <w:numFmt w:val="lowerRoman"/>
      <w:start w:val="1"/>
    </w:lvl>
  </w:abstractNum>
  <w:abstractNum w:abstractNumId="836">
    <w:nsid w:val="4C38D414"/>
    <w:multiLevelType w:val="hybridMultilevel"/>
    <w:lvl w:ilvl="0">
      <w:lvlJc w:val="left"/>
      <w:lvlText w:val="(%1)"/>
      <w:numFmt w:val="lowerLetter"/>
      <w:start w:val="8"/>
    </w:lvl>
  </w:abstractNum>
  <w:abstractNum w:abstractNumId="837">
    <w:nsid w:val="84467D2"/>
    <w:multiLevelType w:val="hybridMultilevel"/>
    <w:lvl w:ilvl="0">
      <w:lvlJc w:val="left"/>
      <w:lvlText w:val="(%1)"/>
      <w:numFmt w:val="lowerRoman"/>
      <w:start w:val="1"/>
    </w:lvl>
  </w:abstractNum>
  <w:abstractNum w:abstractNumId="838">
    <w:nsid w:val="3E8ECE6E"/>
    <w:multiLevelType w:val="hybridMultilevel"/>
    <w:lvl w:ilvl="0">
      <w:lvlJc w:val="left"/>
      <w:lvlText w:val="(%1)"/>
      <w:numFmt w:val="lowerLetter"/>
      <w:start w:val="1"/>
    </w:lvl>
  </w:abstractNum>
  <w:abstractNum w:abstractNumId="839">
    <w:nsid w:val="7F33FBD4"/>
    <w:multiLevelType w:val="hybridMultilevel"/>
    <w:lvl w:ilvl="0">
      <w:lvlJc w:val="left"/>
      <w:lvlText w:val="(%1)"/>
      <w:numFmt w:val="upperLetter"/>
      <w:start w:val="2"/>
    </w:lvl>
    <w:lvl w:ilvl="1">
      <w:lvlJc w:val="left"/>
      <w:lvlText w:val="(%2)"/>
      <w:numFmt w:val="lowerRoman"/>
      <w:start w:val="1"/>
    </w:lvl>
  </w:abstractNum>
  <w:abstractNum w:abstractNumId="840">
    <w:nsid w:val="97AB90E"/>
    <w:multiLevelType w:val="hybridMultilevel"/>
    <w:lvl w:ilvl="0">
      <w:lvlJc w:val="left"/>
      <w:lvlText w:val="(%1)"/>
      <w:numFmt w:val="lowerLetter"/>
      <w:start w:val="2"/>
    </w:lvl>
  </w:abstractNum>
  <w:abstractNum w:abstractNumId="841">
    <w:nsid w:val="E227944"/>
    <w:multiLevelType w:val="hybridMultilevel"/>
    <w:lvl w:ilvl="0">
      <w:lvlJc w:val="left"/>
      <w:lvlText w:val="(%1)"/>
      <w:numFmt w:val="lowerLetter"/>
      <w:start w:val="25"/>
    </w:lvl>
    <w:lvl w:ilvl="1">
      <w:lvlJc w:val="left"/>
      <w:lvlText w:val="(%2)"/>
      <w:numFmt w:val="lowerLetter"/>
      <w:start w:val="3"/>
    </w:lvl>
  </w:abstractNum>
  <w:abstractNum w:abstractNumId="842">
    <w:nsid w:val="7AA0799A"/>
    <w:multiLevelType w:val="hybridMultilevel"/>
    <w:lvl w:ilvl="0">
      <w:lvlJc w:val="left"/>
      <w:lvlText w:val="(%1)"/>
      <w:numFmt w:val="lowerLetter"/>
      <w:start w:val="35"/>
    </w:lvl>
    <w:lvl w:ilvl="1">
      <w:lvlJc w:val="left"/>
      <w:lvlText w:val="%2"/>
      <w:numFmt w:val="lowerLetter"/>
      <w:start w:val="1"/>
    </w:lvl>
  </w:abstractNum>
  <w:abstractNum w:abstractNumId="843">
    <w:nsid w:val="206B596E"/>
    <w:multiLevelType w:val="hybridMultilevel"/>
    <w:lvl w:ilvl="0">
      <w:lvlJc w:val="left"/>
      <w:lvlText w:val="(%1)"/>
      <w:numFmt w:val="lowerLetter"/>
      <w:start w:val="4"/>
    </w:lvl>
  </w:abstractNum>
  <w:abstractNum w:abstractNumId="844">
    <w:nsid w:val="1439D7FC"/>
    <w:multiLevelType w:val="hybridMultilevel"/>
    <w:lvl w:ilvl="0">
      <w:lvlJc w:val="left"/>
      <w:lvlText w:val="(%1)"/>
      <w:numFmt w:val="lowerLetter"/>
      <w:start w:val="1"/>
    </w:lvl>
  </w:abstractNum>
  <w:abstractNum w:abstractNumId="845">
    <w:nsid w:val="72583F67"/>
    <w:multiLevelType w:val="hybridMultilevel"/>
    <w:lvl w:ilvl="0">
      <w:lvlJc w:val="left"/>
      <w:lvlText w:val="(%1)"/>
      <w:numFmt w:val="lowerLetter"/>
      <w:start w:val="4"/>
    </w:lvl>
  </w:abstractNum>
  <w:abstractNum w:abstractNumId="846">
    <w:nsid w:val="57102051"/>
    <w:multiLevelType w:val="hybridMultilevel"/>
    <w:lvl w:ilvl="0">
      <w:lvlJc w:val="left"/>
      <w:lvlText w:val="(%1)"/>
      <w:numFmt w:val="lowerRoman"/>
      <w:start w:val="1"/>
    </w:lvl>
  </w:abstractNum>
  <w:abstractNum w:abstractNumId="847">
    <w:nsid w:val="5FD7A3E9"/>
    <w:multiLevelType w:val="hybridMultilevel"/>
    <w:lvl w:ilvl="0">
      <w:lvlJc w:val="left"/>
      <w:lvlText w:val="(%1)"/>
      <w:numFmt w:val="lowerRoman"/>
      <w:start w:val="2"/>
    </w:lvl>
  </w:abstractNum>
  <w:abstractNum w:abstractNumId="848">
    <w:nsid w:val="7B0282BF"/>
    <w:multiLevelType w:val="hybridMultilevel"/>
    <w:lvl w:ilvl="0">
      <w:lvlJc w:val="left"/>
      <w:lvlText w:val="(%1)"/>
      <w:numFmt w:val="lowerLetter"/>
      <w:start w:val="2"/>
    </w:lvl>
  </w:abstractNum>
  <w:abstractNum w:abstractNumId="849">
    <w:nsid w:val="10214BE1"/>
    <w:multiLevelType w:val="hybridMultilevel"/>
    <w:lvl w:ilvl="0">
      <w:lvlJc w:val="left"/>
      <w:lvlText w:val="(%1)"/>
      <w:numFmt w:val="lowerLetter"/>
      <w:start w:val="61"/>
    </w:lvl>
    <w:lvl w:ilvl="1">
      <w:lvlJc w:val="left"/>
      <w:lvlText w:val="(%2)"/>
      <w:numFmt w:val="lowerLetter"/>
      <w:start w:val="5"/>
    </w:lvl>
  </w:abstractNum>
  <w:abstractNum w:abstractNumId="850">
    <w:nsid w:val="335D34EA"/>
    <w:multiLevelType w:val="hybridMultilevel"/>
    <w:lvl w:ilvl="0">
      <w:lvlJc w:val="left"/>
      <w:lvlText w:val="(%1)"/>
      <w:numFmt w:val="lowerLetter"/>
      <w:start w:val="6"/>
    </w:lvl>
  </w:abstractNum>
  <w:abstractNum w:abstractNumId="851">
    <w:nsid w:val="6BA291C4"/>
    <w:multiLevelType w:val="hybridMultilevel"/>
    <w:lvl w:ilvl="0">
      <w:lvlJc w:val="left"/>
      <w:lvlText w:val="(%1)"/>
      <w:numFmt w:val="lowerLetter"/>
      <w:start w:val="10"/>
    </w:lvl>
  </w:abstractNum>
  <w:abstractNum w:abstractNumId="852">
    <w:nsid w:val="5F7F5E86"/>
    <w:multiLevelType w:val="hybridMultilevel"/>
    <w:lvl w:ilvl="0">
      <w:lvlJc w:val="left"/>
      <w:lvlText w:val="(%1)"/>
      <w:numFmt w:val="upperLetter"/>
      <w:start w:val="2"/>
    </w:lvl>
  </w:abstractNum>
  <w:abstractNum w:abstractNumId="853">
    <w:nsid w:val="1CB1657E"/>
    <w:multiLevelType w:val="hybridMultilevel"/>
    <w:lvl w:ilvl="0">
      <w:lvlJc w:val="left"/>
      <w:lvlText w:val="(%1)"/>
      <w:numFmt w:val="lowerLetter"/>
      <w:start w:val="1"/>
    </w:lvl>
  </w:abstractNum>
  <w:abstractNum w:abstractNumId="854">
    <w:nsid w:val="7E9BF4C3"/>
    <w:multiLevelType w:val="hybridMultilevel"/>
    <w:lvl w:ilvl="0">
      <w:lvlJc w:val="left"/>
      <w:lvlText w:val="(%1)"/>
      <w:numFmt w:val="lowerRoman"/>
      <w:start w:val="1"/>
    </w:lvl>
  </w:abstractNum>
  <w:abstractNum w:abstractNumId="855">
    <w:nsid w:val="43AC9E23"/>
    <w:multiLevelType w:val="hybridMultilevel"/>
    <w:lvl w:ilvl="0">
      <w:lvlJc w:val="left"/>
      <w:lvlText w:val="(%1)"/>
      <w:numFmt w:val="lowerLetter"/>
      <w:start w:val="1"/>
    </w:lvl>
  </w:abstractNum>
  <w:abstractNum w:abstractNumId="856">
    <w:nsid w:val="5DB028FC"/>
    <w:multiLevelType w:val="hybridMultilevel"/>
    <w:lvl w:ilvl="0">
      <w:lvlJc w:val="left"/>
      <w:lvlText w:val="(%1)"/>
      <w:numFmt w:val="lowerRoman"/>
      <w:start w:val="1"/>
    </w:lvl>
    <w:lvl w:ilvl="1">
      <w:lvlJc w:val="left"/>
      <w:lvlText w:val="(%2)"/>
      <w:numFmt w:val="upperLetter"/>
      <w:start w:val="1"/>
    </w:lvl>
  </w:abstractNum>
  <w:abstractNum w:abstractNumId="857">
    <w:nsid w:val="182903A1"/>
    <w:multiLevelType w:val="hybridMultilevel"/>
    <w:lvl w:ilvl="0">
      <w:lvlJc w:val="left"/>
      <w:lvlText w:val="(%1)"/>
      <w:numFmt w:val="lowerLetter"/>
      <w:start w:val="1"/>
    </w:lvl>
  </w:abstractNum>
  <w:abstractNum w:abstractNumId="858">
    <w:nsid w:val="1A5FC05D"/>
    <w:multiLevelType w:val="hybridMultilevel"/>
    <w:lvl w:ilvl="0">
      <w:lvlJc w:val="left"/>
      <w:lvlText w:val="(%1)"/>
      <w:numFmt w:val="lowerLetter"/>
      <w:start w:val="1"/>
    </w:lvl>
    <w:lvl w:ilvl="1">
      <w:lvlJc w:val="left"/>
      <w:lvlText w:val="(%2)"/>
      <w:numFmt w:val="lowerRoman"/>
      <w:start w:val="1"/>
    </w:lvl>
  </w:abstractNum>
  <w:abstractNum w:abstractNumId="859">
    <w:nsid w:val="7BA207F7"/>
    <w:multiLevelType w:val="hybridMultilevel"/>
    <w:lvl w:ilvl="0">
      <w:lvlJc w:val="left"/>
      <w:lvlText w:val="%1"/>
      <w:numFmt w:val="lowerLetter"/>
      <w:start w:val="1"/>
    </w:lvl>
    <w:lvl w:ilvl="1">
      <w:lvlJc w:val="left"/>
      <w:lvlText w:val="(%2)"/>
      <w:numFmt w:val="lowerRoman"/>
      <w:start w:val="3"/>
    </w:lvl>
  </w:abstractNum>
  <w:abstractNum w:abstractNumId="860">
    <w:nsid w:val="1E7E26D6"/>
    <w:multiLevelType w:val="hybridMultilevel"/>
    <w:lvl w:ilvl="0">
      <w:lvlJc w:val="left"/>
      <w:lvlText w:val="(%1)"/>
      <w:numFmt w:val="lowerLetter"/>
      <w:start w:val="3"/>
    </w:lvl>
    <w:lvl w:ilvl="1">
      <w:lvlJc w:val="left"/>
      <w:lvlText w:val="%2"/>
      <w:numFmt w:val="lowerRoman"/>
      <w:start w:val="1"/>
    </w:lvl>
  </w:abstractNum>
  <w:abstractNum w:abstractNumId="861">
    <w:nsid w:val="399D6BA1"/>
    <w:multiLevelType w:val="hybridMultilevel"/>
    <w:lvl w:ilvl="0">
      <w:lvlJc w:val="left"/>
      <w:lvlText w:val="(%1)"/>
      <w:numFmt w:val="lowerLetter"/>
      <w:start w:val="5"/>
    </w:lvl>
  </w:abstractNum>
  <w:abstractNum w:abstractNumId="862">
    <w:nsid w:val="684B2F6E"/>
    <w:multiLevelType w:val="hybridMultilevel"/>
    <w:lvl w:ilvl="0">
      <w:lvlJc w:val="left"/>
      <w:lvlText w:val="(%1)"/>
      <w:numFmt w:val="lowerLetter"/>
      <w:start w:val="1"/>
    </w:lvl>
  </w:abstractNum>
  <w:abstractNum w:abstractNumId="863">
    <w:nsid w:val="7293711F"/>
    <w:multiLevelType w:val="hybridMultilevel"/>
    <w:lvl w:ilvl="0">
      <w:lvlJc w:val="left"/>
      <w:lvlText w:val="(%1)"/>
      <w:numFmt w:val="lowerLetter"/>
      <w:start w:val="1"/>
    </w:lvl>
  </w:abstractNum>
  <w:abstractNum w:abstractNumId="864">
    <w:nsid w:val="529E34BD"/>
    <w:multiLevelType w:val="hybridMultilevel"/>
    <w:lvl w:ilvl="0">
      <w:lvlJc w:val="left"/>
      <w:lvlText w:val="(%1)"/>
      <w:numFmt w:val="lowerLetter"/>
      <w:start w:val="7"/>
    </w:lvl>
  </w:abstractNum>
  <w:abstractNum w:abstractNumId="865">
    <w:nsid w:val="DECACAF"/>
    <w:multiLevelType w:val="hybridMultilevel"/>
    <w:lvl w:ilvl="0">
      <w:lvlJc w:val="left"/>
      <w:lvlText w:val="(%1)"/>
      <w:numFmt w:val="lowerLetter"/>
      <w:start w:val="1"/>
    </w:lvl>
  </w:abstractNum>
  <w:abstractNum w:abstractNumId="866">
    <w:nsid w:val="75D245B2"/>
    <w:multiLevelType w:val="hybridMultilevel"/>
    <w:lvl w:ilvl="0">
      <w:lvlJc w:val="left"/>
      <w:lvlText w:val="(%1)"/>
      <w:numFmt w:val="lowerLetter"/>
      <w:start w:val="1"/>
    </w:lvl>
  </w:abstractNum>
  <w:abstractNum w:abstractNumId="867">
    <w:nsid w:val="1ED708D2"/>
    <w:multiLevelType w:val="hybridMultilevel"/>
    <w:lvl w:ilvl="0">
      <w:lvlJc w:val="left"/>
      <w:lvlText w:val="(%1)"/>
      <w:numFmt w:val="decimal"/>
      <w:start w:val="1"/>
    </w:lvl>
  </w:abstractNum>
  <w:abstractNum w:abstractNumId="868">
    <w:nsid w:val="16311481"/>
    <w:multiLevelType w:val="hybridMultilevel"/>
    <w:lvl w:ilvl="0">
      <w:lvlJc w:val="left"/>
      <w:lvlText w:val="(%1)"/>
      <w:numFmt w:val="lowerLetter"/>
      <w:start w:val="1"/>
    </w:lvl>
  </w:abstractNum>
  <w:abstractNum w:abstractNumId="869">
    <w:nsid w:val="34611421"/>
    <w:multiLevelType w:val="hybridMultilevel"/>
    <w:lvl w:ilvl="0">
      <w:lvlJc w:val="left"/>
      <w:lvlText w:val="(%1)"/>
      <w:numFmt w:val="lowerLetter"/>
      <w:start w:val="2"/>
    </w:lvl>
  </w:abstractNum>
  <w:abstractNum w:abstractNumId="870">
    <w:nsid w:val="1E0B04A6"/>
    <w:multiLevelType w:val="hybridMultilevel"/>
    <w:lvl w:ilvl="0">
      <w:lvlJc w:val="left"/>
      <w:lvlText w:val="(%1)"/>
      <w:numFmt w:val="lowerLetter"/>
      <w:start w:val="1"/>
    </w:lvl>
  </w:abstractNum>
  <w:abstractNum w:abstractNumId="871">
    <w:nsid w:val="1FABCD90"/>
    <w:multiLevelType w:val="hybridMultilevel"/>
    <w:lvl w:ilvl="0">
      <w:lvlJc w:val="left"/>
      <w:lvlText w:val="(%1)"/>
      <w:numFmt w:val="decimal"/>
      <w:start w:val="3"/>
    </w:lvl>
  </w:abstractNum>
  <w:abstractNum w:abstractNumId="872">
    <w:nsid w:val="42838D65"/>
    <w:multiLevelType w:val="hybridMultilevel"/>
    <w:lvl w:ilvl="0">
      <w:lvlJc w:val="left"/>
      <w:lvlText w:val="(%1)"/>
      <w:numFmt w:val="decimal"/>
      <w:start w:val="1"/>
    </w:lvl>
  </w:abstractNum>
  <w:abstractNum w:abstractNumId="873">
    <w:nsid w:val="18AB7E41"/>
    <w:multiLevelType w:val="hybridMultilevel"/>
    <w:lvl w:ilvl="0">
      <w:lvlJc w:val="left"/>
      <w:lvlText w:val="(%1)"/>
      <w:numFmt w:val="decimal"/>
      <w:start w:val="1"/>
    </w:lvl>
  </w:abstractNum>
  <w:abstractNum w:abstractNumId="874">
    <w:nsid w:val="401726FE"/>
    <w:multiLevelType w:val="hybridMultilevel"/>
    <w:lvl w:ilvl="0">
      <w:lvlJc w:val="left"/>
      <w:lvlText w:val="(%1)"/>
      <w:numFmt w:val="decimal"/>
      <w:start w:val="1"/>
    </w:lvl>
  </w:abstractNum>
  <w:abstractNum w:abstractNumId="875">
    <w:nsid w:val="56BD6561"/>
    <w:multiLevelType w:val="hybridMultilevel"/>
    <w:lvl w:ilvl="0">
      <w:lvlJc w:val="left"/>
      <w:lvlText w:val="(%1)"/>
      <w:numFmt w:val="decimal"/>
      <w:start w:val="8"/>
    </w:lvl>
  </w:abstractNum>
  <w:abstractNum w:abstractNumId="876">
    <w:nsid w:val="B03BDA8"/>
    <w:multiLevelType w:val="hybridMultilevel"/>
    <w:lvl w:ilvl="0">
      <w:lvlJc w:val="left"/>
      <w:lvlText w:val="(%1)"/>
      <w:numFmt w:val="decimal"/>
      <w:start w:val="1"/>
    </w:lvl>
  </w:abstractNum>
  <w:abstractNum w:abstractNumId="877">
    <w:nsid w:val="1727474F"/>
    <w:multiLevelType w:val="hybridMultilevel"/>
    <w:lvl w:ilvl="0">
      <w:lvlJc w:val="left"/>
      <w:lvlText w:val="(%1)"/>
      <w:numFmt w:val="decimal"/>
      <w:start w:val="2"/>
    </w:lvl>
  </w:abstractNum>
  <w:abstractNum w:abstractNumId="878">
    <w:nsid w:val="3695094A"/>
    <w:multiLevelType w:val="hybridMultilevel"/>
    <w:lvl w:ilvl="0">
      <w:lvlJc w:val="left"/>
      <w:lvlText w:val="(%1)"/>
      <w:numFmt w:val="decimal"/>
      <w:start w:val="1"/>
    </w:lvl>
  </w:abstractNum>
  <w:abstractNum w:abstractNumId="879">
    <w:nsid w:val="6064067"/>
    <w:multiLevelType w:val="hybridMultilevel"/>
    <w:lvl w:ilvl="0">
      <w:lvlJc w:val="left"/>
      <w:lvlText w:val="(%1)"/>
      <w:numFmt w:val="decimal"/>
      <w:start w:val="5"/>
    </w:lvl>
  </w:abstractNum>
  <w:abstractNum w:abstractNumId="880">
    <w:nsid w:val="27489331"/>
    <w:multiLevelType w:val="hybridMultilevel"/>
    <w:lvl w:ilvl="0">
      <w:lvlJc w:val="left"/>
      <w:lvlText w:val="(%1)"/>
      <w:numFmt w:val="decimal"/>
      <w:start w:val="1"/>
    </w:lvl>
  </w:abstractNum>
  <w:abstractNum w:abstractNumId="881">
    <w:nsid w:val="69F23E34"/>
    <w:multiLevelType w:val="hybridMultilevel"/>
    <w:lvl w:ilvl="0">
      <w:lvlJc w:val="left"/>
      <w:lvlText w:val="(%1)"/>
      <w:numFmt w:val="decimal"/>
      <w:start w:val="6"/>
    </w:lvl>
  </w:abstractNum>
  <w:abstractNum w:abstractNumId="882">
    <w:nsid w:val="71A8D22C"/>
    <w:multiLevelType w:val="hybridMultilevel"/>
    <w:lvl w:ilvl="0">
      <w:lvlJc w:val="left"/>
      <w:lvlText w:val="(%1)"/>
      <w:numFmt w:val="lowerRoman"/>
      <w:start w:val="3"/>
    </w:lvl>
  </w:abstractNum>
  <w:abstractNum w:abstractNumId="883">
    <w:nsid w:val="6C7F1B7"/>
    <w:multiLevelType w:val="hybridMultilevel"/>
    <w:lvl w:ilvl="0">
      <w:lvlJc w:val="left"/>
      <w:lvlText w:val="(%1)"/>
      <w:numFmt w:val="lowerRoman"/>
      <w:start w:val="1"/>
    </w:lvl>
  </w:abstractNum>
  <w:abstractNum w:abstractNumId="884">
    <w:nsid w:val="6A3A3B2"/>
    <w:multiLevelType w:val="hybridMultilevel"/>
    <w:lvl w:ilvl="0">
      <w:lvlJc w:val="left"/>
      <w:lvlText w:val="(%1)"/>
      <w:numFmt w:val="lowerRoman"/>
      <w:start w:val="2"/>
    </w:lvl>
  </w:abstractNum>
  <w:abstractNum w:abstractNumId="885">
    <w:nsid w:val="7044C6EF"/>
    <w:multiLevelType w:val="hybridMultilevel"/>
    <w:lvl w:ilvl="0">
      <w:lvlJc w:val="left"/>
      <w:lvlText w:val="(%1)"/>
      <w:numFmt w:val="lowerLetter"/>
      <w:start w:val="1"/>
    </w:lvl>
  </w:abstractNum>
  <w:abstractNum w:abstractNumId="886">
    <w:nsid w:val="4A748FDA"/>
    <w:multiLevelType w:val="hybridMultilevel"/>
    <w:lvl w:ilvl="0">
      <w:lvlJc w:val="left"/>
      <w:lvlText w:val="(%1)"/>
      <w:numFmt w:val="decimal"/>
      <w:start w:val="1"/>
    </w:lvl>
  </w:abstractNum>
  <w:abstractNum w:abstractNumId="887">
    <w:nsid w:val="6453CCAE"/>
    <w:multiLevelType w:val="hybridMultilevel"/>
    <w:lvl w:ilvl="0">
      <w:lvlJc w:val="left"/>
      <w:lvlText w:val="(%1)"/>
      <w:numFmt w:val="decimal"/>
      <w:start w:val="1"/>
    </w:lvl>
  </w:abstractNum>
  <w:abstractNum w:abstractNumId="888">
    <w:nsid w:val="86DCA90"/>
    <w:multiLevelType w:val="hybridMultilevel"/>
    <w:lvl w:ilvl="0">
      <w:lvlJc w:val="left"/>
      <w:lvlText w:val="(%1)"/>
      <w:numFmt w:val="decimal"/>
      <w:start w:val="2"/>
    </w:lvl>
  </w:abstractNum>
  <w:abstractNum w:abstractNumId="889">
    <w:nsid w:val="64D45037"/>
    <w:multiLevelType w:val="hybridMultilevel"/>
    <w:lvl w:ilvl="0">
      <w:lvlJc w:val="left"/>
      <w:lvlText w:val="(%1)"/>
      <w:numFmt w:val="lowerLetter"/>
      <w:start w:val="2"/>
    </w:lvl>
  </w:abstractNum>
  <w:abstractNum w:abstractNumId="890">
    <w:nsid w:val="5FF5D4A5"/>
    <w:multiLevelType w:val="hybridMultilevel"/>
    <w:lvl w:ilvl="0">
      <w:lvlJc w:val="left"/>
      <w:lvlText w:val="(%1)"/>
      <w:numFmt w:val="decimal"/>
      <w:start w:val="1"/>
    </w:lvl>
  </w:abstractNum>
  <w:abstractNum w:abstractNumId="891">
    <w:nsid w:val="26EBF166"/>
    <w:multiLevelType w:val="hybridMultilevel"/>
    <w:lvl w:ilvl="0">
      <w:lvlJc w:val="left"/>
      <w:lvlText w:val="(%1)"/>
      <w:numFmt w:val="decimal"/>
      <w:start w:val="1"/>
    </w:lvl>
  </w:abstractNum>
  <w:abstractNum w:abstractNumId="892">
    <w:nsid w:val="1E71BBD8"/>
    <w:multiLevelType w:val="hybridMultilevel"/>
    <w:lvl w:ilvl="0">
      <w:lvlJc w:val="left"/>
      <w:lvlText w:val="(%1)"/>
      <w:numFmt w:val="lowerLetter"/>
      <w:start w:val="3"/>
    </w:lvl>
  </w:abstractNum>
  <w:abstractNum w:abstractNumId="893">
    <w:nsid w:val="48410413"/>
    <w:multiLevelType w:val="hybridMultilevel"/>
    <w:lvl w:ilvl="0">
      <w:lvlJc w:val="left"/>
      <w:lvlText w:val="(%1)"/>
      <w:numFmt w:val="lowerRoman"/>
      <w:start w:val="10"/>
    </w:lvl>
  </w:abstractNum>
  <w:abstractNum w:abstractNumId="894">
    <w:nsid w:val="197F6285"/>
    <w:multiLevelType w:val="hybridMultilevel"/>
    <w:lvl w:ilvl="0">
      <w:lvlJc w:val="left"/>
      <w:lvlText w:val="(%1)"/>
      <w:numFmt w:val="decimal"/>
      <w:start w:val="1"/>
    </w:lvl>
  </w:abstractNum>
  <w:abstractNum w:abstractNumId="895">
    <w:nsid w:val="710FF095"/>
    <w:multiLevelType w:val="hybridMultilevel"/>
    <w:lvl w:ilvl="0">
      <w:lvlJc w:val="left"/>
      <w:lvlText w:val="(%1)"/>
      <w:numFmt w:val="lowerRoman"/>
      <w:start w:val="2"/>
    </w:lvl>
  </w:abstractNum>
  <w:abstractNum w:abstractNumId="896">
    <w:nsid w:val="562DB0C2"/>
    <w:multiLevelType w:val="hybridMultilevel"/>
    <w:lvl w:ilvl="0">
      <w:lvlJc w:val="left"/>
      <w:lvlText w:val="(%1)"/>
      <w:numFmt w:val="lowerLetter"/>
      <w:start w:val="2"/>
    </w:lvl>
  </w:abstractNum>
  <w:abstractNum w:abstractNumId="897">
    <w:nsid w:val="F51A837"/>
    <w:multiLevelType w:val="hybridMultilevel"/>
    <w:lvl w:ilvl="0">
      <w:lvlJc w:val="left"/>
      <w:lvlText w:val="(%1)"/>
      <w:numFmt w:val="lowerRoman"/>
      <w:start w:val="3"/>
    </w:lvl>
  </w:abstractNum>
  <w:abstractNum w:abstractNumId="898">
    <w:nsid w:val="FE6F967"/>
    <w:multiLevelType w:val="hybridMultilevel"/>
    <w:lvl w:ilvl="0">
      <w:lvlJc w:val="left"/>
      <w:lvlText w:val="(%1)"/>
      <w:numFmt w:val="decimal"/>
      <w:start w:val="1"/>
    </w:lvl>
  </w:abstractNum>
  <w:abstractNum w:abstractNumId="899">
    <w:nsid w:val="6C5EC544"/>
    <w:multiLevelType w:val="hybridMultilevel"/>
    <w:lvl w:ilvl="0">
      <w:lvlJc w:val="left"/>
      <w:lvlText w:val="(%1)"/>
      <w:numFmt w:val="decimal"/>
      <w:start w:val="7"/>
    </w:lvl>
  </w:abstractNum>
  <w:abstractNum w:abstractNumId="900">
    <w:nsid w:val="43B2BC58"/>
    <w:multiLevelType w:val="hybridMultilevel"/>
    <w:lvl w:ilvl="0">
      <w:lvlJc w:val="left"/>
      <w:lvlText w:val="(%1)"/>
      <w:numFmt w:val="decimal"/>
      <w:start w:val="10"/>
    </w:lvl>
  </w:abstractNum>
  <w:abstractNum w:abstractNumId="901">
    <w:nsid w:val="2DF1FE0E"/>
    <w:multiLevelType w:val="hybridMultilevel"/>
    <w:lvl w:ilvl="0">
      <w:lvlJc w:val="left"/>
      <w:lvlText w:val="(%1)"/>
      <w:numFmt w:val="decimal"/>
      <w:start w:val="1"/>
    </w:lvl>
    <w:lvl w:ilvl="1">
      <w:lvlJc w:val="left"/>
      <w:lvlText w:val="(%2)"/>
      <w:numFmt w:val="upperLetter"/>
      <w:start w:val="1"/>
    </w:lvl>
  </w:abstractNum>
  <w:abstractNum w:abstractNumId="902">
    <w:nsid w:val="C0A92D4"/>
    <w:multiLevelType w:val="hybridMultilevel"/>
    <w:lvl w:ilvl="0">
      <w:lvlJc w:val="left"/>
      <w:lvlText w:val="%1"/>
      <w:numFmt w:val="upperLetter"/>
      <w:start w:val="1"/>
    </w:lvl>
    <w:lvl w:ilvl="1">
      <w:lvlJc w:val="left"/>
      <w:lvlText w:val="(%2)"/>
      <w:numFmt w:val="decimal"/>
      <w:start w:val="10"/>
    </w:lvl>
  </w:abstractNum>
  <w:abstractNum w:abstractNumId="903">
    <w:nsid w:val="63649BD"/>
    <w:multiLevelType w:val="hybridMultilevel"/>
    <w:lvl w:ilvl="0">
      <w:lvlJc w:val="left"/>
      <w:lvlText w:val="(%1)"/>
      <w:numFmt w:val="upperLetter"/>
      <w:start w:val="1"/>
    </w:lvl>
    <w:lvl w:ilvl="1">
      <w:lvlJc w:val="left"/>
      <w:lvlText w:val="(%2)"/>
      <w:numFmt w:val="decimal"/>
      <w:start w:val="12"/>
    </w:lvl>
  </w:abstractNum>
  <w:abstractNum w:abstractNumId="904">
    <w:nsid w:val="469D7C4F"/>
    <w:multiLevelType w:val="hybridMultilevel"/>
    <w:lvl w:ilvl="0">
      <w:lvlJc w:val="left"/>
      <w:lvlText w:val="(%1)"/>
      <w:numFmt w:val="decimal"/>
      <w:start w:val="19"/>
    </w:lvl>
  </w:abstractNum>
  <w:abstractNum w:abstractNumId="905">
    <w:nsid w:val="4C21B9D2"/>
    <w:multiLevelType w:val="hybridMultilevel"/>
    <w:lvl w:ilvl="0">
      <w:lvlJc w:val="left"/>
      <w:lvlText w:val="(%1)"/>
      <w:numFmt w:val="decimal"/>
      <w:start w:val="31"/>
    </w:lvl>
  </w:abstractNum>
  <w:abstractNum w:abstractNumId="906">
    <w:nsid w:val="5CF3AF1E"/>
    <w:multiLevelType w:val="hybridMultilevel"/>
    <w:lvl w:ilvl="0">
      <w:lvlJc w:val="left"/>
      <w:lvlText w:val="(%1)"/>
      <w:numFmt w:val="decimal"/>
      <w:start w:val="1"/>
    </w:lvl>
  </w:abstractNum>
  <w:abstractNum w:abstractNumId="907">
    <w:nsid w:val="51A139F7"/>
    <w:multiLevelType w:val="hybridMultilevel"/>
    <w:lvl w:ilvl="0">
      <w:lvlJc w:val="left"/>
      <w:lvlText w:val="%1"/>
      <w:numFmt w:val="upperLetter"/>
      <w:start w:val="1"/>
    </w:lvl>
    <w:lvl w:ilvl="1">
      <w:lvlJc w:val="left"/>
      <w:lvlText w:val="(%2)"/>
      <w:numFmt w:val="decimal"/>
      <w:start w:val="9"/>
    </w:lvl>
  </w:abstractNum>
  <w:abstractNum w:abstractNumId="908">
    <w:nsid w:val="63490122"/>
    <w:multiLevelType w:val="hybridMultilevel"/>
    <w:lvl w:ilvl="0">
      <w:lvlJc w:val="left"/>
      <w:lvlText w:val="(%1)"/>
      <w:numFmt w:val="upperLetter"/>
      <w:start w:val="2"/>
    </w:lvl>
    <w:lvl w:ilvl="1">
      <w:lvlJc w:val="left"/>
      <w:lvlText w:val="(%2)"/>
      <w:numFmt w:val="decimal"/>
      <w:start w:val="11"/>
    </w:lvl>
  </w:abstractNum>
  <w:abstractNum w:abstractNumId="909">
    <w:nsid w:val="1388B868"/>
    <w:multiLevelType w:val="hybridMultilevel"/>
    <w:lvl w:ilvl="0">
      <w:lvlJc w:val="left"/>
      <w:lvlText w:val="(%1)"/>
      <w:numFmt w:val="decimal"/>
      <w:start w:val="18"/>
    </w:lvl>
  </w:abstractNum>
  <w:abstractNum w:abstractNumId="910">
    <w:nsid w:val="57A77A5E"/>
    <w:multiLevelType w:val="hybridMultilevel"/>
    <w:lvl w:ilvl="0">
      <w:lvlJc w:val="left"/>
      <w:lvlText w:val="(%1)"/>
      <w:numFmt w:val="decimal"/>
      <w:start w:val="1"/>
    </w:lvl>
  </w:abstractNum>
  <w:abstractNum w:abstractNumId="911">
    <w:nsid w:val="A919453"/>
    <w:multiLevelType w:val="hybridMultilevel"/>
    <w:lvl w:ilvl="0">
      <w:lvlJc w:val="left"/>
      <w:lvlText w:val="(%1)"/>
      <w:numFmt w:val="decimal"/>
      <w:start w:val="3"/>
    </w:lvl>
  </w:abstractNum>
  <w:abstractNum w:abstractNumId="912">
    <w:nsid w:val="7D7AF69D"/>
    <w:multiLevelType w:val="hybridMultilevel"/>
    <w:lvl w:ilvl="0">
      <w:lvlJc w:val="left"/>
      <w:lvlText w:val="(%1)"/>
      <w:numFmt w:val="lowerRoman"/>
      <w:start w:val="2"/>
    </w:lvl>
  </w:abstractNum>
  <w:abstractNum w:abstractNumId="913">
    <w:nsid w:val="49504C8A"/>
    <w:multiLevelType w:val="hybridMultilevel"/>
    <w:lvl w:ilvl="0">
      <w:lvlJc w:val="left"/>
      <w:lvlText w:val="(%1)"/>
      <w:numFmt w:val="decimal"/>
      <w:start w:val="3"/>
    </w:lvl>
  </w:abstractNum>
  <w:abstractNum w:abstractNumId="914">
    <w:nsid w:val="1159860A"/>
    <w:multiLevelType w:val="hybridMultilevel"/>
    <w:lvl w:ilvl="0">
      <w:lvlJc w:val="left"/>
      <w:lvlText w:val="%1"/>
      <w:numFmt w:val="upperLetter"/>
      <w:start w:val="1"/>
    </w:lvl>
    <w:lvl w:ilvl="1">
      <w:lvlJc w:val="left"/>
      <w:lvlText w:val="(%2)"/>
      <w:numFmt w:val="decimal"/>
      <w:start w:val="1"/>
    </w:lvl>
  </w:abstractNum>
  <w:abstractNum w:abstractNumId="915">
    <w:nsid w:val="41E9A4F"/>
    <w:multiLevelType w:val="hybridMultilevel"/>
    <w:lvl w:ilvl="0">
      <w:lvlJc w:val="left"/>
      <w:lvlText w:val="(%1)"/>
      <w:numFmt w:val="upperLetter"/>
      <w:start w:val="2"/>
    </w:lvl>
    <w:lvl w:ilvl="1">
      <w:lvlJc w:val="left"/>
      <w:lvlText w:val="%2"/>
      <w:numFmt w:val="decimal"/>
      <w:start w:val="1"/>
    </w:lvl>
  </w:abstractNum>
  <w:abstractNum w:abstractNumId="916">
    <w:nsid w:val="39951379"/>
    <w:multiLevelType w:val="hybridMultilevel"/>
    <w:lvl w:ilvl="0">
      <w:lvlJc w:val="left"/>
      <w:lvlText w:val="(%1)"/>
      <w:numFmt w:val="lowerLetter"/>
      <w:start w:val="1"/>
    </w:lvl>
  </w:abstractNum>
  <w:abstractNum w:abstractNumId="917">
    <w:nsid w:val="5BCE15E4"/>
    <w:multiLevelType w:val="hybridMultilevel"/>
    <w:lvl w:ilvl="0">
      <w:lvlJc w:val="left"/>
      <w:lvlText w:val="(%1)"/>
      <w:numFmt w:val="decimal"/>
      <w:start w:val="1"/>
    </w:lvl>
  </w:abstractNum>
  <w:abstractNum w:abstractNumId="918">
    <w:nsid w:val="687266FE"/>
    <w:multiLevelType w:val="hybridMultilevel"/>
    <w:lvl w:ilvl="0">
      <w:lvlJc w:val="left"/>
      <w:lvlText w:val="(%1)"/>
      <w:numFmt w:val="decimal"/>
      <w:start w:val="2"/>
    </w:lvl>
  </w:abstractNum>
  <w:abstractNum w:abstractNumId="919">
    <w:nsid w:val="4202DE09"/>
    <w:multiLevelType w:val="hybridMultilevel"/>
    <w:lvl w:ilvl="0">
      <w:lvlJc w:val="left"/>
      <w:lvlText w:val="(%1)"/>
      <w:numFmt w:val="decimal"/>
      <w:start w:val="1"/>
    </w:lvl>
  </w:abstractNum>
  <w:abstractNum w:abstractNumId="920">
    <w:nsid w:val="40A2661B"/>
    <w:multiLevelType w:val="hybridMultilevel"/>
    <w:lvl w:ilvl="0">
      <w:lvlJc w:val="left"/>
      <w:lvlText w:val="(%1)"/>
      <w:numFmt w:val="decimal"/>
      <w:start w:val="3"/>
    </w:lvl>
  </w:abstractNum>
  <w:abstractNum w:abstractNumId="921">
    <w:nsid w:val="48683BA3"/>
    <w:multiLevelType w:val="hybridMultilevel"/>
    <w:lvl w:ilvl="0">
      <w:lvlJc w:val="left"/>
      <w:lvlText w:val="(%1)"/>
      <w:numFmt w:val="decimal"/>
      <w:start w:val="1"/>
    </w:lvl>
  </w:abstractNum>
  <w:abstractNum w:abstractNumId="922">
    <w:nsid w:val="68EECF6F"/>
    <w:multiLevelType w:val="hybridMultilevel"/>
    <w:lvl w:ilvl="0">
      <w:lvlJc w:val="left"/>
      <w:lvlText w:val="(%1)"/>
      <w:numFmt w:val="lowerLetter"/>
      <w:start w:val="3"/>
    </w:lvl>
  </w:abstractNum>
  <w:abstractNum w:abstractNumId="923">
    <w:nsid w:val="5F1421F3"/>
    <w:multiLevelType w:val="hybridMultilevel"/>
    <w:lvl w:ilvl="0">
      <w:lvlJc w:val="left"/>
      <w:lvlText w:val="(%1)"/>
      <w:numFmt w:val="lowerLetter"/>
      <w:start w:val="1"/>
    </w:lvl>
  </w:abstractNum>
  <w:abstractNum w:abstractNumId="924">
    <w:nsid w:val="10A93FB7"/>
    <w:multiLevelType w:val="hybridMultilevel"/>
    <w:lvl w:ilvl="0">
      <w:lvlJc w:val="left"/>
      <w:lvlText w:val="(%1)"/>
      <w:numFmt w:val="lowerRoman"/>
      <w:start w:val="1"/>
    </w:lvl>
  </w:abstractNum>
  <w:abstractNum w:abstractNumId="925">
    <w:nsid w:val="26E31F4"/>
    <w:multiLevelType w:val="hybridMultilevel"/>
    <w:lvl w:ilvl="0">
      <w:lvlJc w:val="left"/>
      <w:lvlText w:val="(%1)"/>
      <w:numFmt w:val="lowerLetter"/>
      <w:start w:val="2"/>
    </w:lvl>
  </w:abstractNum>
  <w:abstractNum w:abstractNumId="926">
    <w:nsid w:val="50241288"/>
    <w:multiLevelType w:val="hybridMultilevel"/>
    <w:lvl w:ilvl="0">
      <w:lvlJc w:val="left"/>
      <w:lvlText w:val="(%1)"/>
      <w:numFmt w:val="lowerLetter"/>
      <w:start w:val="5"/>
    </w:lvl>
  </w:abstractNum>
  <w:abstractNum w:abstractNumId="927">
    <w:nsid w:val="66D6F079"/>
    <w:multiLevelType w:val="hybridMultilevel"/>
    <w:lvl w:ilvl="0">
      <w:lvlJc w:val="left"/>
      <w:lvlText w:val="(%1)"/>
      <w:numFmt w:val="lowerLetter"/>
      <w:start w:val="1"/>
    </w:lvl>
  </w:abstractNum>
  <w:abstractNum w:abstractNumId="928">
    <w:nsid w:val="11BFDA2C"/>
    <w:multiLevelType w:val="hybridMultilevel"/>
    <w:lvl w:ilvl="0">
      <w:lvlJc w:val="left"/>
      <w:lvlText w:val="%1"/>
      <w:numFmt w:val="lowerLetter"/>
      <w:start w:val="1"/>
    </w:lvl>
    <w:lvl w:ilvl="1">
      <w:lvlJc w:val="left"/>
      <w:lvlText w:val="(%2)"/>
      <w:numFmt w:val="lowerLetter"/>
      <w:start w:val="3"/>
    </w:lvl>
  </w:abstractNum>
  <w:abstractNum w:abstractNumId="929">
    <w:nsid w:val="600B0BF0"/>
    <w:multiLevelType w:val="hybridMultilevel"/>
    <w:lvl w:ilvl="0">
      <w:lvlJc w:val="left"/>
      <w:lvlText w:val="(%1)"/>
      <w:numFmt w:val="lowerLetter"/>
      <w:start w:val="35"/>
    </w:lvl>
    <w:lvl w:ilvl="1">
      <w:lvlJc w:val="left"/>
      <w:lvlText w:val="(%2)"/>
      <w:numFmt w:val="lowerLetter"/>
      <w:start w:val="4"/>
    </w:lvl>
  </w:abstractNum>
  <w:abstractNum w:abstractNumId="930">
    <w:nsid w:val="5335B5BD"/>
    <w:multiLevelType w:val="hybridMultilevel"/>
    <w:lvl w:ilvl="0">
      <w:lvlJc w:val="left"/>
      <w:lvlText w:val="(%1)"/>
      <w:numFmt w:val="lowerRoman"/>
      <w:start w:val="1"/>
    </w:lvl>
  </w:abstractNum>
  <w:abstractNum w:abstractNumId="931">
    <w:nsid w:val="55729684"/>
    <w:multiLevelType w:val="hybridMultilevel"/>
    <w:lvl w:ilvl="0">
      <w:lvlJc w:val="left"/>
      <w:lvlText w:val="(%1)"/>
      <w:numFmt w:val="lowerRoman"/>
      <w:start w:val="2"/>
    </w:lvl>
  </w:abstractNum>
  <w:abstractNum w:abstractNumId="932">
    <w:nsid w:val="DFD09FE"/>
    <w:multiLevelType w:val="hybridMultilevel"/>
    <w:lvl w:ilvl="0">
      <w:lvlJc w:val="left"/>
      <w:lvlText w:val="(%1)"/>
      <w:numFmt w:val="lowerLetter"/>
      <w:start w:val="6"/>
    </w:lvl>
  </w:abstractNum>
  <w:abstractNum w:abstractNumId="933">
    <w:nsid w:val="5F404891"/>
    <w:multiLevelType w:val="hybridMultilevel"/>
    <w:lvl w:ilvl="0">
      <w:lvlJc w:val="left"/>
      <w:lvlText w:val="(%1)"/>
      <w:numFmt w:val="lowerLetter"/>
      <w:start w:val="7"/>
    </w:lvl>
  </w:abstractNum>
  <w:abstractNum w:abstractNumId="934">
    <w:nsid w:val="5BA8E042"/>
    <w:multiLevelType w:val="hybridMultilevel"/>
    <w:lvl w:ilvl="0">
      <w:lvlJc w:val="left"/>
      <w:lvlText w:val="%1"/>
      <w:numFmt w:val="upperLetter"/>
      <w:start w:val="1"/>
    </w:lvl>
    <w:lvl w:ilvl="1">
      <w:lvlJc w:val="left"/>
      <w:lvlText w:val="(%2)"/>
      <w:numFmt w:val="lowerLetter"/>
      <w:start w:val="10"/>
    </w:lvl>
  </w:abstractNum>
  <w:abstractNum w:abstractNumId="935">
    <w:nsid w:val="549A864D"/>
    <w:multiLevelType w:val="hybridMultilevel"/>
    <w:lvl w:ilvl="0">
      <w:lvlJc w:val="left"/>
      <w:lvlText w:val="(%1)"/>
      <w:numFmt w:val="upperLetter"/>
      <w:start w:val="1"/>
    </w:lvl>
    <w:lvl w:ilvl="1">
      <w:lvlJc w:val="left"/>
      <w:lvlText w:val="%2"/>
      <w:numFmt w:val="lowerLetter"/>
      <w:start w:val="1"/>
    </w:lvl>
  </w:abstractNum>
  <w:abstractNum w:abstractNumId="936">
    <w:nsid w:val="2B620264"/>
    <w:multiLevelType w:val="hybridMultilevel"/>
    <w:lvl w:ilvl="0">
      <w:lvlJc w:val="left"/>
      <w:lvlText w:val="(%1)"/>
      <w:numFmt w:val="lowerLetter"/>
      <w:start w:val="11"/>
    </w:lvl>
  </w:abstractNum>
  <w:abstractNum w:abstractNumId="937">
    <w:nsid w:val="389C8F60"/>
    <w:multiLevelType w:val="hybridMultilevel"/>
    <w:lvl w:ilvl="0">
      <w:lvlJc w:val="left"/>
      <w:lvlText w:val="%1"/>
      <w:numFmt w:val="lowerLetter"/>
      <w:start w:val="1"/>
    </w:lvl>
    <w:lvl w:ilvl="1">
      <w:lvlJc w:val="left"/>
      <w:lvlText w:val="(%2)"/>
      <w:numFmt w:val="lowerLetter"/>
      <w:start w:val="1"/>
    </w:lvl>
  </w:abstractNum>
  <w:abstractNum w:abstractNumId="938">
    <w:nsid w:val="263BC044"/>
    <w:multiLevelType w:val="hybridMultilevel"/>
    <w:lvl w:ilvl="0">
      <w:lvlJc w:val="left"/>
      <w:lvlText w:val="(%1)"/>
      <w:numFmt w:val="lowerLetter"/>
      <w:start w:val="9"/>
    </w:lvl>
    <w:lvl w:ilvl="1">
      <w:lvlJc w:val="left"/>
      <w:lvlText w:val="%2"/>
      <w:numFmt w:val="lowerLetter"/>
      <w:start w:val="1"/>
    </w:lvl>
  </w:abstractNum>
  <w:abstractNum w:abstractNumId="939">
    <w:nsid w:val="EAB0386"/>
    <w:multiLevelType w:val="hybridMultilevel"/>
    <w:lvl w:ilvl="0">
      <w:lvlJc w:val="left"/>
      <w:lvlText w:val="(%1)"/>
      <w:numFmt w:val="lowerRoman"/>
      <w:start w:val="1"/>
    </w:lvl>
  </w:abstractNum>
  <w:abstractNum w:abstractNumId="940">
    <w:nsid w:val="4C2547C9"/>
    <w:multiLevelType w:val="hybridMultilevel"/>
    <w:lvl w:ilvl="0">
      <w:lvlJc w:val="left"/>
      <w:lvlText w:val="(%1)"/>
      <w:numFmt w:val="lowerLetter"/>
      <w:start w:val="2"/>
    </w:lvl>
  </w:abstractNum>
  <w:abstractNum w:abstractNumId="941">
    <w:nsid w:val="7DE33AA2"/>
    <w:multiLevelType w:val="hybridMultilevel"/>
    <w:lvl w:ilvl="0">
      <w:lvlJc w:val="left"/>
      <w:lvlText w:val="(%1)"/>
      <w:numFmt w:val="lowerRoman"/>
      <w:start w:val="1"/>
    </w:lvl>
  </w:abstractNum>
  <w:abstractNum w:abstractNumId="942">
    <w:nsid w:val="193C97D9"/>
    <w:multiLevelType w:val="hybridMultilevel"/>
    <w:lvl w:ilvl="0">
      <w:lvlJc w:val="left"/>
      <w:lvlText w:val="(%1)"/>
      <w:numFmt w:val="lowerLetter"/>
      <w:start w:val="1"/>
    </w:lvl>
  </w:abstractNum>
  <w:abstractNum w:abstractNumId="943">
    <w:nsid w:val="49A03E66"/>
    <w:multiLevelType w:val="hybridMultilevel"/>
    <w:lvl w:ilvl="0">
      <w:lvlJc w:val="left"/>
      <w:lvlText w:val="(%1)"/>
      <w:numFmt w:val="lowerLetter"/>
      <w:start w:val="1"/>
    </w:lvl>
  </w:abstractNum>
  <w:abstractNum w:abstractNumId="944">
    <w:nsid w:val="4733872D"/>
    <w:multiLevelType w:val="hybridMultilevel"/>
    <w:lvl w:ilvl="0">
      <w:lvlJc w:val="left"/>
      <w:lvlText w:val="(%1)"/>
      <w:numFmt w:val="lowerRoman"/>
      <w:start w:val="1"/>
    </w:lvl>
  </w:abstractNum>
  <w:abstractNum w:abstractNumId="945">
    <w:nsid w:val="2A961DE3"/>
    <w:multiLevelType w:val="hybridMultilevel"/>
    <w:lvl w:ilvl="0">
      <w:lvlJc w:val="left"/>
      <w:lvlText w:val="(%1)"/>
      <w:numFmt w:val="lowerLetter"/>
      <w:start w:val="4"/>
    </w:lvl>
  </w:abstractNum>
  <w:abstractNum w:abstractNumId="946">
    <w:nsid w:val="4DBED8B5"/>
    <w:multiLevelType w:val="hybridMultilevel"/>
    <w:lvl w:ilvl="0">
      <w:lvlJc w:val="left"/>
      <w:lvlText w:val="(%1)"/>
      <w:numFmt w:val="lowerLetter"/>
      <w:start w:val="1"/>
    </w:lvl>
  </w:abstractNum>
  <w:abstractNum w:abstractNumId="947">
    <w:nsid w:val="C89AA6"/>
    <w:multiLevelType w:val="hybridMultilevel"/>
    <w:lvl w:ilvl="0">
      <w:lvlJc w:val="left"/>
      <w:lvlText w:val="(%1)"/>
      <w:numFmt w:val="lowerLetter"/>
      <w:start w:val="1"/>
    </w:lvl>
  </w:abstractNum>
  <w:abstractNum w:abstractNumId="948">
    <w:nsid w:val="66433C7"/>
    <w:multiLevelType w:val="hybridMultilevel"/>
    <w:lvl w:ilvl="0">
      <w:lvlJc w:val="left"/>
      <w:lvlText w:val="(%1)"/>
      <w:numFmt w:val="lowerLetter"/>
      <w:start w:val="5"/>
    </w:lvl>
  </w:abstractNum>
  <w:abstractNum w:abstractNumId="949">
    <w:nsid w:val="36313FB3"/>
    <w:multiLevelType w:val="hybridMultilevel"/>
    <w:lvl w:ilvl="0">
      <w:lvlJc w:val="left"/>
      <w:lvlText w:val="%1"/>
      <w:numFmt w:val="lowerLetter"/>
      <w:start w:val="1"/>
    </w:lvl>
    <w:lvl w:ilvl="1">
      <w:lvlJc w:val="left"/>
      <w:lvlText w:val="(%2)"/>
      <w:numFmt w:val="lowerLetter"/>
      <w:start w:val="1"/>
    </w:lvl>
  </w:abstractNum>
  <w:abstractNum w:abstractNumId="950">
    <w:nsid w:val="42CB78B0"/>
    <w:multiLevelType w:val="hybridMultilevel"/>
    <w:lvl w:ilvl="0">
      <w:lvlJc w:val="left"/>
      <w:lvlText w:val="(%1)"/>
      <w:numFmt w:val="lowerLetter"/>
      <w:start w:val="35"/>
    </w:lvl>
    <w:lvl w:ilvl="1">
      <w:lvlJc w:val="left"/>
      <w:lvlText w:val="%2"/>
      <w:numFmt w:val="lowerLetter"/>
      <w:start w:val="1"/>
    </w:lvl>
  </w:abstractNum>
  <w:abstractNum w:abstractNumId="951">
    <w:nsid w:val="470699E2"/>
    <w:multiLevelType w:val="hybridMultilevel"/>
    <w:lvl w:ilvl="0">
      <w:lvlJc w:val="left"/>
      <w:lvlText w:val="(%1)"/>
      <w:numFmt w:val="lowerLetter"/>
      <w:start w:val="5"/>
    </w:lvl>
  </w:abstractNum>
  <w:abstractNum w:abstractNumId="952">
    <w:nsid w:val="7E997B57"/>
    <w:multiLevelType w:val="hybridMultilevel"/>
    <w:lvl w:ilvl="0">
      <w:lvlJc w:val="left"/>
      <w:lvlText w:val="(%1)"/>
      <w:numFmt w:val="lowerLetter"/>
      <w:start w:val="1"/>
    </w:lvl>
  </w:abstractNum>
  <w:abstractNum w:abstractNumId="953">
    <w:nsid w:val="2BBA481F"/>
    <w:multiLevelType w:val="hybridMultilevel"/>
    <w:lvl w:ilvl="0">
      <w:lvlJc w:val="left"/>
      <w:lvlText w:val="(%1)"/>
      <w:numFmt w:val="lowerLetter"/>
      <w:start w:val="2"/>
    </w:lvl>
  </w:abstractNum>
  <w:abstractNum w:abstractNumId="954">
    <w:nsid w:val="261ABBD5"/>
    <w:multiLevelType w:val="hybridMultilevel"/>
    <w:lvl w:ilvl="0">
      <w:lvlJc w:val="left"/>
      <w:lvlText w:val="(%1)"/>
      <w:numFmt w:val="lowerLetter"/>
      <w:start w:val="7"/>
    </w:lvl>
  </w:abstractNum>
  <w:abstractNum w:abstractNumId="955">
    <w:nsid w:val="F42BB0E"/>
    <w:multiLevelType w:val="hybridMultilevel"/>
    <w:lvl w:ilvl="0">
      <w:lvlJc w:val="left"/>
      <w:lvlText w:val="%1"/>
      <w:numFmt w:val="upperLetter"/>
      <w:start w:val="1"/>
    </w:lvl>
    <w:lvl w:ilvl="1">
      <w:lvlJc w:val="left"/>
      <w:lvlText w:val="(%2)"/>
      <w:numFmt w:val="lowerLetter"/>
      <w:start w:val="1"/>
    </w:lvl>
  </w:abstractNum>
  <w:abstractNum w:abstractNumId="956">
    <w:nsid w:val="2E287A14"/>
    <w:multiLevelType w:val="hybridMultilevel"/>
    <w:lvl w:ilvl="0">
      <w:lvlJc w:val="left"/>
      <w:lvlText w:val="(%1)"/>
      <w:numFmt w:val="upperLetter"/>
      <w:start w:val="2"/>
    </w:lvl>
    <w:lvl w:ilvl="1">
      <w:lvlJc w:val="left"/>
      <w:lvlText w:val="%2"/>
      <w:numFmt w:val="lowerLetter"/>
      <w:start w:val="1"/>
    </w:lvl>
  </w:abstractNum>
  <w:abstractNum w:abstractNumId="957">
    <w:nsid w:val="763ECE5D"/>
    <w:multiLevelType w:val="hybridMultilevel"/>
    <w:lvl w:ilvl="0">
      <w:lvlJc w:val="left"/>
      <w:lvlText w:val="(%1)"/>
      <w:numFmt w:val="lowerLetter"/>
      <w:start w:val="2"/>
    </w:lvl>
  </w:abstractNum>
  <w:abstractNum w:abstractNumId="958">
    <w:nsid w:val="7619AB87"/>
    <w:multiLevelType w:val="hybridMultilevel"/>
    <w:lvl w:ilvl="0">
      <w:lvlJc w:val="left"/>
      <w:lvlText w:val="(%1)"/>
      <w:numFmt w:val="lowerRoman"/>
      <w:start w:val="1"/>
    </w:lvl>
  </w:abstractNum>
  <w:abstractNum w:abstractNumId="959">
    <w:nsid w:val="3FE85440"/>
    <w:multiLevelType w:val="hybridMultilevel"/>
    <w:lvl w:ilvl="0">
      <w:lvlJc w:val="left"/>
      <w:lvlText w:val="(%1)"/>
      <w:numFmt w:val="lowerLetter"/>
      <w:start w:val="2"/>
    </w:lvl>
  </w:abstractNum>
  <w:abstractNum w:abstractNumId="960">
    <w:nsid w:val="5649DA4D"/>
    <w:multiLevelType w:val="hybridMultilevel"/>
    <w:lvl w:ilvl="0">
      <w:lvlJc w:val="left"/>
      <w:lvlText w:val="(%1)"/>
      <w:numFmt w:val="lowerLetter"/>
      <w:start w:val="4"/>
    </w:lvl>
  </w:abstractNum>
  <w:abstractNum w:abstractNumId="961">
    <w:nsid w:val="494F6145"/>
    <w:multiLevelType w:val="hybridMultilevel"/>
    <w:lvl w:ilvl="0">
      <w:lvlJc w:val="left"/>
      <w:lvlText w:val="%1"/>
      <w:numFmt w:val="lowerLetter"/>
      <w:start w:val="1"/>
    </w:lvl>
    <w:lvl w:ilvl="1">
      <w:lvlJc w:val="left"/>
      <w:lvlText w:val="(%2)"/>
      <w:numFmt w:val="lowerLetter"/>
      <w:start w:val="1"/>
    </w:lvl>
  </w:abstractNum>
  <w:abstractNum w:abstractNumId="962">
    <w:nsid w:val="155AEAC4"/>
    <w:multiLevelType w:val="hybridMultilevel"/>
    <w:lvl w:ilvl="0">
      <w:lvlJc w:val="left"/>
      <w:lvlText w:val="(%1)"/>
      <w:numFmt w:val="lowerLetter"/>
      <w:start w:val="9"/>
    </w:lvl>
    <w:lvl w:ilvl="1">
      <w:lvlJc w:val="left"/>
      <w:lvlText w:val="(%2)"/>
      <w:numFmt w:val="lowerLetter"/>
      <w:start w:val="2"/>
    </w:lvl>
  </w:abstractNum>
  <w:abstractNum w:abstractNumId="963">
    <w:nsid w:val="6446E44B"/>
    <w:multiLevelType w:val="hybridMultilevel"/>
    <w:lvl w:ilvl="0">
      <w:lvlJc w:val="left"/>
      <w:lvlText w:val="(%1)"/>
      <w:numFmt w:val="lowerLetter"/>
      <w:start w:val="6"/>
    </w:lvl>
  </w:abstractNum>
  <w:abstractNum w:abstractNumId="964">
    <w:nsid w:val="288FA9D6"/>
    <w:multiLevelType w:val="hybridMultilevel"/>
    <w:lvl w:ilvl="0">
      <w:lvlJc w:val="left"/>
      <w:lvlText w:val="(%1)"/>
      <w:numFmt w:val="lowerRoman"/>
      <w:start w:val="1"/>
    </w:lvl>
  </w:abstractNum>
  <w:abstractNum w:abstractNumId="965">
    <w:nsid w:val="7103CB06"/>
    <w:multiLevelType w:val="hybridMultilevel"/>
    <w:lvl w:ilvl="0">
      <w:lvlJc w:val="left"/>
      <w:lvlText w:val="(%1)"/>
      <w:numFmt w:val="upperLetter"/>
      <w:start w:val="4"/>
    </w:lvl>
    <w:lvl w:ilvl="1">
      <w:lvlJc w:val="left"/>
      <w:lvlText w:val="(%2)"/>
      <w:numFmt w:val="lowerRoman"/>
      <w:start w:val="5"/>
    </w:lvl>
  </w:abstractNum>
  <w:abstractNum w:abstractNumId="966">
    <w:nsid w:val="38E16A98"/>
    <w:multiLevelType w:val="hybridMultilevel"/>
    <w:lvl w:ilvl="0">
      <w:lvlJc w:val="left"/>
      <w:lvlText w:val="(%1)"/>
      <w:numFmt w:val="decimal"/>
      <w:start w:val="2"/>
    </w:lvl>
  </w:abstractNum>
  <w:abstractNum w:abstractNumId="967">
    <w:nsid w:val="53F1AC3A"/>
    <w:multiLevelType w:val="hybridMultilevel"/>
    <w:lvl w:ilvl="0">
      <w:lvlJc w:val="left"/>
      <w:lvlText w:val="(%1)"/>
      <w:numFmt w:val="lowerLetter"/>
      <w:start w:val="8"/>
    </w:lvl>
  </w:abstractNum>
  <w:abstractNum w:abstractNumId="968">
    <w:nsid w:val="29A05A67"/>
    <w:multiLevelType w:val="hybridMultilevel"/>
    <w:lvl w:ilvl="0">
      <w:lvlJc w:val="left"/>
      <w:lvlText w:val="%1"/>
      <w:numFmt w:val="lowerLetter"/>
      <w:start w:val="1"/>
    </w:lvl>
    <w:lvl w:ilvl="1">
      <w:lvlJc w:val="left"/>
      <w:lvlText w:val="(%2)"/>
      <w:numFmt w:val="lowerLetter"/>
      <w:start w:val="1"/>
    </w:lvl>
  </w:abstractNum>
  <w:abstractNum w:abstractNumId="969">
    <w:nsid w:val="5F1D2ADC"/>
    <w:multiLevelType w:val="hybridMultilevel"/>
    <w:lvl w:ilvl="0">
      <w:lvlJc w:val="left"/>
      <w:lvlText w:val="(%1)"/>
      <w:numFmt w:val="lowerLetter"/>
      <w:start w:val="61"/>
    </w:lvl>
    <w:lvl w:ilvl="1">
      <w:lvlJc w:val="left"/>
      <w:lvlText w:val="%2"/>
      <w:numFmt w:val="lowerLetter"/>
      <w:start w:val="1"/>
    </w:lvl>
  </w:abstractNum>
  <w:abstractNum w:abstractNumId="970">
    <w:nsid w:val="629CAFC0"/>
    <w:multiLevelType w:val="hybridMultilevel"/>
    <w:lvl w:ilvl="0">
      <w:lvlJc w:val="left"/>
      <w:lvlText w:val="(%1)"/>
      <w:numFmt w:val="lowerLetter"/>
      <w:start w:val="3"/>
    </w:lvl>
  </w:abstractNum>
  <w:abstractNum w:abstractNumId="971">
    <w:nsid w:val="75C5A230"/>
    <w:multiLevelType w:val="hybridMultilevel"/>
    <w:lvl w:ilvl="0">
      <w:lvlJc w:val="left"/>
      <w:lvlText w:val="(%1)"/>
      <w:numFmt w:val="lowerRoman"/>
      <w:start w:val="1"/>
    </w:lvl>
  </w:abstractNum>
  <w:abstractNum w:abstractNumId="972">
    <w:nsid w:val="5D00657F"/>
    <w:multiLevelType w:val="hybridMultilevel"/>
    <w:lvl w:ilvl="0">
      <w:lvlJc w:val="left"/>
      <w:lvlText w:val="%1"/>
      <w:numFmt w:val="lowerLetter"/>
      <w:start w:val="1"/>
    </w:lvl>
    <w:lvl w:ilvl="1">
      <w:lvlJc w:val="left"/>
      <w:lvlText w:val="(%2)"/>
      <w:numFmt w:val="lowerLetter"/>
      <w:start w:val="1"/>
    </w:lvl>
  </w:abstractNum>
  <w:abstractNum w:abstractNumId="973">
    <w:nsid w:val="7BD94799"/>
    <w:multiLevelType w:val="hybridMultilevel"/>
    <w:lvl w:ilvl="0">
      <w:lvlJc w:val="left"/>
      <w:lvlText w:val="(%1)"/>
      <w:numFmt w:val="lowerLetter"/>
      <w:start w:val="9"/>
    </w:lvl>
    <w:lvl w:ilvl="1">
      <w:lvlJc w:val="left"/>
      <w:lvlText w:val="(%2)"/>
      <w:numFmt w:val="lowerLetter"/>
      <w:start w:val="2"/>
    </w:lvl>
  </w:abstractNum>
  <w:abstractNum w:abstractNumId="974">
    <w:nsid w:val="3F65E096"/>
    <w:multiLevelType w:val="hybridMultilevel"/>
    <w:lvl w:ilvl="0">
      <w:lvlJc w:val="left"/>
      <w:lvlText w:val="(%1)"/>
      <w:numFmt w:val="lowerLetter"/>
      <w:start w:val="9"/>
    </w:lvl>
    <w:lvl w:ilvl="1">
      <w:lvlJc w:val="left"/>
      <w:lvlText w:val="%2"/>
      <w:numFmt w:val="lowerLetter"/>
      <w:start w:val="1"/>
    </w:lvl>
  </w:abstractNum>
  <w:abstractNum w:abstractNumId="975">
    <w:nsid w:val="2433ECAC"/>
    <w:multiLevelType w:val="hybridMultilevel"/>
    <w:lvl w:ilvl="0">
      <w:lvlJc w:val="left"/>
      <w:lvlText w:val="(%1)"/>
      <w:numFmt w:val="lowerLetter"/>
      <w:start w:val="2"/>
    </w:lvl>
  </w:abstractNum>
  <w:abstractNum w:abstractNumId="976">
    <w:nsid w:val="266F657C"/>
    <w:multiLevelType w:val="hybridMultilevel"/>
    <w:lvl w:ilvl="0">
      <w:lvlJc w:val="left"/>
      <w:lvlText w:val="(%1)"/>
      <w:numFmt w:val="lowerLetter"/>
      <w:start w:val="1"/>
    </w:lvl>
  </w:abstractNum>
  <w:abstractNum w:abstractNumId="977">
    <w:nsid w:val="D24B94B"/>
    <w:multiLevelType w:val="hybridMultilevel"/>
    <w:lvl w:ilvl="0">
      <w:lvlJc w:val="left"/>
      <w:lvlText w:val="(%1)"/>
      <w:numFmt w:val="lowerLetter"/>
      <w:start w:val="3"/>
    </w:lvl>
  </w:abstractNum>
  <w:abstractNum w:abstractNumId="978">
    <w:nsid w:val="24FC8752"/>
    <w:multiLevelType w:val="hybridMultilevel"/>
    <w:lvl w:ilvl="0">
      <w:lvlJc w:val="left"/>
      <w:lvlText w:val="(%1)"/>
      <w:numFmt w:val="lowerRoman"/>
      <w:start w:val="1"/>
    </w:lvl>
  </w:abstractNum>
  <w:abstractNum w:abstractNumId="979">
    <w:nsid w:val="2CD39943"/>
    <w:multiLevelType w:val="hybridMultilevel"/>
    <w:lvl w:ilvl="0">
      <w:lvlJc w:val="left"/>
      <w:lvlText w:val="(%1)"/>
      <w:numFmt w:val="lowerRoman"/>
      <w:start w:val="2"/>
    </w:lvl>
  </w:abstractNum>
  <w:abstractNum w:abstractNumId="980">
    <w:nsid w:val="4355F8FF"/>
    <w:multiLevelType w:val="hybridMultilevel"/>
    <w:lvl w:ilvl="0">
      <w:lvlJc w:val="left"/>
      <w:lvlText w:val="(%1)"/>
      <w:numFmt w:val="lowerLetter"/>
      <w:start w:val="5"/>
    </w:lvl>
  </w:abstractNum>
  <w:abstractNum w:abstractNumId="981">
    <w:nsid w:val="67C80002"/>
    <w:multiLevelType w:val="hybridMultilevel"/>
    <w:lvl w:ilvl="0">
      <w:lvlJc w:val="left"/>
      <w:lvlText w:val="(%1)"/>
      <w:numFmt w:val="lowerRoman"/>
      <w:start w:val="1"/>
    </w:lvl>
  </w:abstractNum>
  <w:abstractNum w:abstractNumId="982">
    <w:nsid w:val="73DA3325"/>
    <w:multiLevelType w:val="hybridMultilevel"/>
    <w:lvl w:ilvl="0">
      <w:lvlJc w:val="left"/>
      <w:lvlText w:val="(%1)"/>
      <w:numFmt w:val="lowerLetter"/>
      <w:start w:val="6"/>
    </w:lvl>
  </w:abstractNum>
  <w:abstractNum w:abstractNumId="983">
    <w:nsid w:val="41EF7456"/>
    <w:multiLevelType w:val="hybridMultilevel"/>
    <w:lvl w:ilvl="0">
      <w:lvlJc w:val="left"/>
      <w:lvlText w:val="(%1)"/>
      <w:numFmt w:val="lowerLetter"/>
      <w:start w:val="7"/>
    </w:lvl>
  </w:abstractNum>
  <w:abstractNum w:abstractNumId="984">
    <w:nsid w:val="13824822"/>
    <w:multiLevelType w:val="hybridMultilevel"/>
    <w:lvl w:ilvl="0">
      <w:lvlJc w:val="left"/>
      <w:lvlText w:val="(%1)"/>
      <w:numFmt w:val="lowerLetter"/>
      <w:start w:val="8"/>
    </w:lvl>
  </w:abstractNum>
  <w:abstractNum w:abstractNumId="985">
    <w:nsid w:val="19F4EEFA"/>
    <w:multiLevelType w:val="hybridMultilevel"/>
    <w:lvl w:ilvl="0">
      <w:lvlJc w:val="left"/>
      <w:lvlText w:val="(%1)"/>
      <w:numFmt w:val="lowerLetter"/>
      <w:start w:val="1"/>
    </w:lvl>
  </w:abstractNum>
  <w:abstractNum w:abstractNumId="986">
    <w:nsid w:val="51322F64"/>
    <w:multiLevelType w:val="hybridMultilevel"/>
    <w:lvl w:ilvl="0">
      <w:lvlJc w:val="left"/>
      <w:lvlText w:val="(%1)"/>
      <w:numFmt w:val="lowerLetter"/>
      <w:start w:val="2"/>
    </w:lvl>
  </w:abstractNum>
  <w:abstractNum w:abstractNumId="987">
    <w:nsid w:val="41AAC236"/>
    <w:multiLevelType w:val="hybridMultilevel"/>
    <w:lvl w:ilvl="0">
      <w:lvlJc w:val="left"/>
      <w:lvlText w:val="(%1)"/>
      <w:numFmt w:val="lowerRoman"/>
      <w:start w:val="1"/>
    </w:lvl>
  </w:abstractNum>
  <w:abstractNum w:abstractNumId="988">
    <w:nsid w:val="1033BD58"/>
    <w:multiLevelType w:val="hybridMultilevel"/>
    <w:lvl w:ilvl="0">
      <w:lvlJc w:val="left"/>
      <w:lvlText w:val="(%1)"/>
      <w:numFmt w:val="lowerLetter"/>
      <w:start w:val="3"/>
    </w:lvl>
  </w:abstractNum>
  <w:abstractNum w:abstractNumId="989">
    <w:nsid w:val="474BDAEB"/>
    <w:multiLevelType w:val="hybridMultilevel"/>
    <w:lvl w:ilvl="0">
      <w:lvlJc w:val="left"/>
      <w:lvlText w:val="(%1)"/>
      <w:numFmt w:val="lowerRoman"/>
      <w:start w:val="1"/>
    </w:lvl>
  </w:abstractNum>
  <w:abstractNum w:abstractNumId="990">
    <w:nsid w:val="1931676"/>
    <w:multiLevelType w:val="hybridMultilevel"/>
    <w:lvl w:ilvl="0">
      <w:lvlJc w:val="left"/>
      <w:lvlText w:val="(%1)"/>
      <w:numFmt w:val="lowerRoman"/>
      <w:start w:val="5"/>
    </w:lvl>
  </w:abstractNum>
  <w:abstractNum w:abstractNumId="991">
    <w:nsid w:val="667D97A5"/>
    <w:multiLevelType w:val="hybridMultilevel"/>
    <w:lvl w:ilvl="0">
      <w:lvlJc w:val="left"/>
      <w:lvlText w:val="(%1)"/>
      <w:numFmt w:val="lowerLetter"/>
      <w:start w:val="4"/>
    </w:lvl>
  </w:abstractNum>
  <w:abstractNum w:abstractNumId="992">
    <w:nsid w:val="109B3C30"/>
    <w:multiLevelType w:val="hybridMultilevel"/>
    <w:lvl w:ilvl="0">
      <w:lvlJc w:val="left"/>
      <w:lvlText w:val="(%1)"/>
      <w:numFmt w:val="lowerLetter"/>
      <w:start w:val="5"/>
    </w:lvl>
  </w:abstractNum>
  <w:abstractNum w:abstractNumId="993">
    <w:nsid w:val="16EE013A"/>
    <w:multiLevelType w:val="hybridMultilevel"/>
    <w:lvl w:ilvl="0">
      <w:lvlJc w:val="left"/>
      <w:lvlText w:val="(%1)"/>
      <w:numFmt w:val="lowerLetter"/>
      <w:start w:val="1"/>
    </w:lvl>
  </w:abstractNum>
  <w:abstractNum w:abstractNumId="994">
    <w:nsid w:val="4AC47BF1"/>
    <w:multiLevelType w:val="hybridMultilevel"/>
    <w:lvl w:ilvl="0">
      <w:lvlJc w:val="left"/>
      <w:lvlText w:val="(%1)"/>
      <w:numFmt w:val="lowerRoman"/>
      <w:start w:val="1"/>
    </w:lvl>
  </w:abstractNum>
  <w:abstractNum w:abstractNumId="995">
    <w:nsid w:val="392AE607"/>
    <w:multiLevelType w:val="hybridMultilevel"/>
    <w:lvl w:ilvl="0">
      <w:lvlJc w:val="left"/>
      <w:lvlText w:val="(%1)"/>
      <w:numFmt w:val="lowerRoman"/>
      <w:start w:val="3"/>
    </w:lvl>
  </w:abstractNum>
  <w:abstractNum w:abstractNumId="996">
    <w:nsid w:val="7F1CC41"/>
    <w:multiLevelType w:val="hybridMultilevel"/>
    <w:lvl w:ilvl="0">
      <w:lvlJc w:val="left"/>
      <w:lvlText w:val="(%1)"/>
      <w:numFmt w:val="lowerLetter"/>
      <w:start w:val="2"/>
    </w:lvl>
  </w:abstractNum>
  <w:abstractNum w:abstractNumId="997">
    <w:nsid w:val="3A5E689"/>
    <w:multiLevelType w:val="hybridMultilevel"/>
    <w:lvl w:ilvl="0">
      <w:lvlJc w:val="left"/>
      <w:lvlText w:val="(%1)"/>
      <w:numFmt w:val="lowerRoman"/>
      <w:start w:val="1"/>
    </w:lvl>
  </w:abstractNum>
  <w:abstractNum w:abstractNumId="998">
    <w:nsid w:val="D1C9241"/>
    <w:multiLevelType w:val="hybridMultilevel"/>
    <w:lvl w:ilvl="0">
      <w:lvlJc w:val="left"/>
      <w:lvlText w:val="(%1)"/>
      <w:numFmt w:val="decimal"/>
      <w:start w:val="2"/>
    </w:lvl>
    <w:lvl w:ilvl="1">
      <w:lvlJc w:val="left"/>
      <w:lvlText w:val="(%2)"/>
      <w:numFmt w:val="lowerRoman"/>
      <w:start w:val="5"/>
    </w:lvl>
  </w:abstractNum>
  <w:abstractNum w:abstractNumId="999">
    <w:nsid w:val="319226A8"/>
    <w:multiLevelType w:val="hybridMultilevel"/>
    <w:lvl w:ilvl="0">
      <w:lvlJc w:val="left"/>
      <w:lvlText w:val="(%1)"/>
      <w:numFmt w:val="lowerLetter"/>
      <w:start w:val="3"/>
    </w:lvl>
  </w:abstractNum>
  <w:abstractNum w:abstractNumId="1000">
    <w:nsid w:val="62C31166"/>
    <w:multiLevelType w:val="hybridMultilevel"/>
    <w:lvl w:ilvl="0">
      <w:lvlJc w:val="left"/>
      <w:lvlText w:val="(%1)"/>
      <w:numFmt w:val="lowerLetter"/>
      <w:start w:val="5"/>
    </w:lvl>
  </w:abstractNum>
  <w:abstractNum w:abstractNumId="1001">
    <w:nsid w:val="6FB94202"/>
    <w:multiLevelType w:val="hybridMultilevel"/>
    <w:lvl w:ilvl="0">
      <w:lvlJc w:val="left"/>
      <w:lvlText w:val="(%1)"/>
      <w:numFmt w:val="lowerRoman"/>
      <w:start w:val="4"/>
    </w:lvl>
  </w:abstractNum>
  <w:abstractNum w:abstractNumId="1002">
    <w:nsid w:val="2757C8D8"/>
    <w:multiLevelType w:val="hybridMultilevel"/>
    <w:lvl w:ilvl="0">
      <w:lvlJc w:val="left"/>
      <w:lvlText w:val="(%1)"/>
      <w:numFmt w:val="lowerLetter"/>
      <w:start w:val="1"/>
    </w:lvl>
  </w:abstractNum>
  <w:abstractNum w:abstractNumId="1003">
    <w:nsid w:val="3FC376E5"/>
    <w:multiLevelType w:val="hybridMultilevel"/>
    <w:lvl w:ilvl="0">
      <w:lvlJc w:val="left"/>
      <w:lvlText w:val="(%1)"/>
      <w:numFmt w:val="lowerLetter"/>
      <w:start w:val="1"/>
    </w:lvl>
  </w:abstractNum>
  <w:abstractNum w:abstractNumId="1004">
    <w:nsid w:val="6B92899B"/>
    <w:multiLevelType w:val="hybridMultilevel"/>
    <w:lvl w:ilvl="0">
      <w:lvlJc w:val="left"/>
      <w:lvlText w:val="(%1)"/>
      <w:numFmt w:val="lowerLetter"/>
      <w:start w:val="2"/>
    </w:lvl>
  </w:abstractNum>
  <w:abstractNum w:abstractNumId="1005">
    <w:nsid w:val="66BDA96E"/>
    <w:multiLevelType w:val="hybridMultilevel"/>
    <w:lvl w:ilvl="0">
      <w:lvlJc w:val="left"/>
      <w:lvlText w:val="(%1)"/>
      <w:numFmt w:val="lowerLetter"/>
      <w:start w:val="1"/>
    </w:lvl>
  </w:abstractNum>
  <w:abstractNum w:abstractNumId="1006">
    <w:nsid w:val="63F76391"/>
    <w:multiLevelType w:val="hybridMultilevel"/>
    <w:lvl w:ilvl="0">
      <w:lvlJc w:val="left"/>
      <w:lvlText w:val="(%1)"/>
      <w:numFmt w:val="lowerLetter"/>
      <w:start w:val="35"/>
    </w:lvl>
    <w:lvl w:ilvl="1">
      <w:lvlJc w:val="left"/>
      <w:lvlText w:val="(%2)"/>
      <w:numFmt w:val="lowerLetter"/>
      <w:start w:val="1"/>
    </w:lvl>
  </w:abstractNum>
  <w:abstractNum w:abstractNumId="1007">
    <w:nsid w:val="1201EF18"/>
    <w:multiLevelType w:val="hybridMultilevel"/>
    <w:lvl w:ilvl="0">
      <w:lvlJc w:val="left"/>
      <w:lvlText w:val="(%1)"/>
      <w:numFmt w:val="lowerLetter"/>
      <w:start w:val="1"/>
    </w:lvl>
  </w:abstractNum>
  <w:abstractNum w:abstractNumId="1008">
    <w:nsid w:val="73E262B9"/>
    <w:multiLevelType w:val="hybridMultilevel"/>
    <w:lvl w:ilvl="0">
      <w:lvlJc w:val="left"/>
      <w:lvlText w:val="(%1)"/>
      <w:numFmt w:val="lowerLetter"/>
      <w:start w:val="1"/>
    </w:lvl>
  </w:abstractNum>
  <w:abstractNum w:abstractNumId="1009">
    <w:nsid w:val="8F3EAE3"/>
    <w:multiLevelType w:val="hybridMultilevel"/>
    <w:lvl w:ilvl="0">
      <w:lvlJc w:val="left"/>
      <w:lvlText w:val="(%1)"/>
      <w:numFmt w:val="lowerRoman"/>
      <w:start w:val="1"/>
    </w:lvl>
  </w:abstractNum>
  <w:abstractNum w:abstractNumId="1010">
    <w:nsid w:val="3ED5885B"/>
    <w:multiLevelType w:val="hybridMultilevel"/>
    <w:lvl w:ilvl="0">
      <w:lvlJc w:val="left"/>
      <w:lvlText w:val="&amp;"/>
      <w:numFmt w:val="bullet"/>
      <w:start w:val="1"/>
    </w:lvl>
    <w:lvl w:ilvl="1">
      <w:lvlJc w:val="left"/>
      <w:lvlText w:val="(%2)"/>
      <w:numFmt w:val="lowerLetter"/>
      <w:start w:val="2"/>
    </w:lvl>
  </w:abstractNum>
  <w:abstractNum w:abstractNumId="1011">
    <w:nsid w:val="37385BB8"/>
    <w:multiLevelType w:val="hybridMultilevel"/>
    <w:lvl w:ilvl="0">
      <w:lvlJc w:val="left"/>
      <w:lvlText w:val="&amp;"/>
      <w:numFmt w:val="bullet"/>
      <w:start w:val="1"/>
    </w:lvl>
    <w:lvl w:ilvl="1">
      <w:lvlJc w:val="left"/>
      <w:lvlText w:val="(%2)"/>
      <w:numFmt w:val="lowerLetter"/>
      <w:start w:val="6"/>
    </w:lvl>
  </w:abstractNum>
  <w:abstractNum w:abstractNumId="1012">
    <w:nsid w:val="70BBEAE6"/>
    <w:multiLevelType w:val="hybridMultilevel"/>
    <w:lvl w:ilvl="0">
      <w:lvlJc w:val="left"/>
      <w:lvlText w:val="(%1)"/>
      <w:numFmt w:val="lowerLetter"/>
      <w:start w:val="9"/>
    </w:lvl>
  </w:abstractNum>
  <w:abstractNum w:abstractNumId="1013">
    <w:nsid w:val="32AFBB81"/>
    <w:multiLevelType w:val="hybridMultilevel"/>
    <w:lvl w:ilvl="0">
      <w:lvlJc w:val="left"/>
      <w:lvlText w:val="(%1)"/>
      <w:numFmt w:val="lowerLetter"/>
      <w:start w:val="1"/>
    </w:lvl>
  </w:abstractNum>
  <w:abstractNum w:abstractNumId="1014">
    <w:nsid w:val="7927D00E"/>
    <w:multiLevelType w:val="hybridMultilevel"/>
    <w:lvl w:ilvl="0">
      <w:lvlJc w:val="left"/>
      <w:lvlText w:val="(%1)"/>
      <w:numFmt w:val="lowerLetter"/>
      <w:start w:val="3"/>
    </w:lvl>
  </w:abstractNum>
  <w:abstractNum w:abstractNumId="1015">
    <w:nsid w:val="43E3308"/>
    <w:multiLevelType w:val="hybridMultilevel"/>
    <w:lvl w:ilvl="0">
      <w:lvlJc w:val="left"/>
      <w:lvlText w:val="(%1)"/>
      <w:numFmt w:val="lowerLetter"/>
      <w:start w:val="1"/>
    </w:lvl>
  </w:abstractNum>
  <w:abstractNum w:abstractNumId="1016">
    <w:nsid w:val="4CA4AA7B"/>
    <w:multiLevelType w:val="hybridMultilevel"/>
    <w:lvl w:ilvl="0">
      <w:lvlJc w:val="left"/>
      <w:lvlText w:val="(%1)"/>
      <w:numFmt w:val="lowerLetter"/>
      <w:start w:val="8"/>
    </w:lvl>
  </w:abstractNum>
  <w:abstractNum w:abstractNumId="1017">
    <w:nsid w:val="4A59FF72"/>
    <w:multiLevelType w:val="hybridMultilevel"/>
    <w:lvl w:ilvl="0">
      <w:lvlJc w:val="left"/>
      <w:lvlText w:val="(%1)"/>
      <w:numFmt w:val="lowerLetter"/>
      <w:start w:val="2"/>
    </w:lvl>
  </w:abstractNum>
  <w:abstractNum w:abstractNumId="1018">
    <w:nsid w:val="45E8F53E"/>
    <w:multiLevelType w:val="hybridMultilevel"/>
    <w:lvl w:ilvl="0">
      <w:lvlJc w:val="left"/>
      <w:lvlText w:val="(%1)"/>
      <w:numFmt w:val="lowerRoman"/>
      <w:start w:val="3"/>
    </w:lvl>
  </w:abstractNum>
  <w:abstractNum w:abstractNumId="1019">
    <w:nsid w:val="5CD867D3"/>
    <w:multiLevelType w:val="hybridMultilevel"/>
    <w:lvl w:ilvl="0">
      <w:lvlJc w:val="left"/>
      <w:lvlText w:val="(%1)"/>
      <w:numFmt w:val="decimal"/>
      <w:start w:val="1"/>
    </w:lvl>
  </w:abstractNum>
  <w:abstractNum w:abstractNumId="1020">
    <w:nsid w:val="11A5DA5E"/>
    <w:multiLevelType w:val="hybridMultilevel"/>
    <w:lvl w:ilvl="0">
      <w:lvlJc w:val="left"/>
      <w:lvlText w:val="(%1)"/>
      <w:numFmt w:val="lowerLetter"/>
      <w:start w:val="1"/>
    </w:lvl>
  </w:abstractNum>
  <w:abstractNum w:abstractNumId="1021">
    <w:nsid w:val="477C0BB4"/>
    <w:multiLevelType w:val="hybridMultilevel"/>
    <w:lvl w:ilvl="0">
      <w:lvlJc w:val="left"/>
      <w:lvlText w:val="(%1)"/>
      <w:numFmt w:val="lowerLetter"/>
      <w:start w:val="3"/>
    </w:lvl>
  </w:abstractNum>
  <w:abstractNum w:abstractNumId="1022">
    <w:nsid w:val="4355FF79"/>
    <w:multiLevelType w:val="hybridMultilevel"/>
    <w:lvl w:ilvl="0">
      <w:lvlJc w:val="left"/>
      <w:lvlText w:val="(%1)"/>
      <w:numFmt w:val="decimal"/>
      <w:start w:val="1"/>
    </w:lvl>
  </w:abstractNum>
  <w:abstractNum w:abstractNumId="1023">
    <w:nsid w:val="2241168E"/>
    <w:multiLevelType w:val="hybridMultilevel"/>
    <w:lvl w:ilvl="0">
      <w:lvlJc w:val="left"/>
      <w:lvlText w:val="(%1)"/>
      <w:numFmt w:val="decimal"/>
      <w:start w:val="1"/>
    </w:lvl>
  </w:abstractNum>
  <w:abstractNum w:abstractNumId="1024">
    <w:nsid w:val="5E6A0CEE"/>
    <w:multiLevelType w:val="hybridMultilevel"/>
    <w:lvl w:ilvl="0">
      <w:lvlJc w:val="left"/>
      <w:lvlText w:val="(%1)"/>
      <w:numFmt w:val="decimal"/>
      <w:start w:val="4"/>
    </w:lvl>
  </w:abstractNum>
  <w:abstractNum w:abstractNumId="1025">
    <w:nsid w:val="E1A7B6A"/>
    <w:multiLevelType w:val="hybridMultilevel"/>
    <w:lvl w:ilvl="0">
      <w:lvlJc w:val="left"/>
      <w:lvlText w:val="(%1)"/>
      <w:numFmt w:val="lowerLetter"/>
      <w:start w:val="2"/>
    </w:lvl>
  </w:abstractNum>
  <w:abstractNum w:abstractNumId="1026">
    <w:nsid w:val="5B6BFC95"/>
    <w:multiLevelType w:val="hybridMultilevel"/>
    <w:lvl w:ilvl="0">
      <w:lvlJc w:val="left"/>
      <w:lvlText w:val="(%1)"/>
      <w:numFmt w:val="lowerLetter"/>
      <w:start w:val="1"/>
    </w:lvl>
  </w:abstractNum>
  <w:abstractNum w:abstractNumId="1027">
    <w:nsid w:val="665BD92F"/>
    <w:multiLevelType w:val="hybridMultilevel"/>
    <w:lvl w:ilvl="0">
      <w:lvlJc w:val="left"/>
      <w:lvlText w:val="(%1)"/>
      <w:numFmt w:val="lowerLetter"/>
      <w:start w:val="3"/>
    </w:lvl>
  </w:abstractNum>
  <w:abstractNum w:abstractNumId="1028">
    <w:nsid w:val="11C061F3"/>
    <w:multiLevelType w:val="hybridMultilevel"/>
    <w:lvl w:ilvl="0">
      <w:lvlJc w:val="left"/>
      <w:lvlText w:val="%1"/>
      <w:numFmt w:val="lowerLetter"/>
      <w:start w:val="1"/>
    </w:lvl>
    <w:lvl w:ilvl="1">
      <w:lvlJc w:val="left"/>
      <w:lvlText w:val="(%2)"/>
      <w:numFmt w:val="lowerLetter"/>
      <w:start w:val="1"/>
    </w:lvl>
  </w:abstractNum>
  <w:abstractNum w:abstractNumId="1029">
    <w:nsid w:val="68888ED7"/>
    <w:multiLevelType w:val="hybridMultilevel"/>
    <w:lvl w:ilvl="0">
      <w:lvlJc w:val="left"/>
      <w:lvlText w:val="(%1)"/>
      <w:numFmt w:val="lowerLetter"/>
      <w:start w:val="35"/>
    </w:lvl>
    <w:lvl w:ilvl="1">
      <w:lvlJc w:val="left"/>
      <w:lvlText w:val="%2"/>
      <w:numFmt w:val="lowerLetter"/>
      <w:start w:val="1"/>
    </w:lvl>
  </w:abstractNum>
  <w:abstractNum w:abstractNumId="1030">
    <w:nsid w:val="17EDFFD7"/>
    <w:multiLevelType w:val="hybridMultilevel"/>
    <w:lvl w:ilvl="0">
      <w:lvlJc w:val="left"/>
      <w:lvlText w:val="(%1)"/>
      <w:numFmt w:val="lowerLetter"/>
      <w:start w:val="1"/>
    </w:lvl>
  </w:abstractNum>
  <w:abstractNum w:abstractNumId="1031">
    <w:nsid w:val="74837359"/>
    <w:multiLevelType w:val="hybridMultilevel"/>
    <w:lvl w:ilvl="0">
      <w:lvlJc w:val="left"/>
      <w:lvlText w:val="%1"/>
      <w:numFmt w:val="lowerRoman"/>
      <w:start w:val="1"/>
    </w:lvl>
    <w:lvl w:ilvl="1">
      <w:lvlJc w:val="left"/>
      <w:lvlText w:val="(%2)"/>
      <w:numFmt w:val="lowerRoman"/>
      <w:start w:val="1"/>
    </w:lvl>
  </w:abstractNum>
  <w:abstractNum w:abstractNumId="1032">
    <w:nsid w:val="5841D0D9"/>
    <w:multiLevelType w:val="hybridMultilevel"/>
    <w:lvl w:ilvl="0">
      <w:lvlJc w:val="left"/>
      <w:lvlText w:val="(%1)"/>
      <w:numFmt w:val="lowerRoman"/>
      <w:start w:val="4"/>
    </w:lvl>
    <w:lvl w:ilvl="1">
      <w:lvlJc w:val="left"/>
      <w:lvlText w:val="%2"/>
      <w:numFmt w:val="lowerRoman"/>
      <w:start w:val="1"/>
    </w:lvl>
  </w:abstractNum>
  <w:abstractNum w:abstractNumId="1033">
    <w:nsid w:val="3F45C8AF"/>
    <w:multiLevelType w:val="hybridMultilevel"/>
    <w:lvl w:ilvl="0">
      <w:lvlJc w:val="left"/>
      <w:lvlText w:val="(%1)"/>
      <w:numFmt w:val="lowerLetter"/>
      <w:start w:val="24"/>
    </w:lvl>
    <w:lvl w:ilvl="1">
      <w:lvlJc w:val="left"/>
      <w:lvlText w:val="(%2)"/>
      <w:numFmt w:val="upperLetter"/>
      <w:start w:val="1"/>
    </w:lvl>
  </w:abstractNum>
  <w:abstractNum w:abstractNumId="1034">
    <w:nsid w:val="3446EA3E"/>
    <w:multiLevelType w:val="hybridMultilevel"/>
    <w:lvl w:ilvl="0">
      <w:lvlJc w:val="left"/>
      <w:lvlText w:val="(%1)"/>
      <w:numFmt w:val="upperLetter"/>
      <w:start w:val="4"/>
    </w:lvl>
  </w:abstractNum>
  <w:abstractNum w:abstractNumId="1035">
    <w:nsid w:val="43D45A74"/>
    <w:multiLevelType w:val="hybridMultilevel"/>
    <w:lvl w:ilvl="0">
      <w:lvlJc w:val="left"/>
      <w:lvlText w:val="(%1)"/>
      <w:numFmt w:val="decimal"/>
      <w:start w:val="1"/>
    </w:lvl>
  </w:abstractNum>
  <w:abstractNum w:abstractNumId="1036">
    <w:nsid w:val="2603721D"/>
    <w:multiLevelType w:val="hybridMultilevel"/>
    <w:lvl w:ilvl="0">
      <w:lvlJc w:val="left"/>
      <w:lvlText w:val="(%1)"/>
      <w:numFmt w:val="decimal"/>
      <w:start w:val="5"/>
    </w:lvl>
  </w:abstractNum>
  <w:abstractNum w:abstractNumId="1037">
    <w:nsid w:val="183E4DCF"/>
    <w:multiLevelType w:val="hybridMultilevel"/>
    <w:lvl w:ilvl="0">
      <w:lvlJc w:val="left"/>
      <w:lvlText w:val="(%1)"/>
      <w:numFmt w:val="decimal"/>
      <w:start w:val="11"/>
    </w:lvl>
  </w:abstractNum>
  <w:abstractNum w:abstractNumId="1038">
    <w:nsid w:val="55D6498C"/>
    <w:multiLevelType w:val="hybridMultilevel"/>
    <w:lvl w:ilvl="0">
      <w:lvlJc w:val="left"/>
      <w:lvlText w:val="(%1)"/>
      <w:numFmt w:val="decimal"/>
      <w:start w:val="20"/>
    </w:lvl>
  </w:abstractNum>
  <w:abstractNum w:abstractNumId="1039">
    <w:nsid w:val="19E5D4D7"/>
    <w:multiLevelType w:val="hybridMultilevel"/>
    <w:lvl w:ilvl="0">
      <w:lvlJc w:val="left"/>
      <w:lvlText w:val="(%1)"/>
      <w:numFmt w:val="lowerLetter"/>
      <w:start w:val="1"/>
    </w:lvl>
  </w:abstractNum>
  <w:abstractNum w:abstractNumId="1040">
    <w:nsid w:val="213238B3"/>
    <w:multiLevelType w:val="hybridMultilevel"/>
    <w:lvl w:ilvl="0">
      <w:lvlJc w:val="left"/>
      <w:lvlText w:val="(%1)"/>
      <w:numFmt w:val="decimal"/>
      <w:start w:val="1"/>
    </w:lvl>
  </w:abstractNum>
  <w:abstractNum w:abstractNumId="1041">
    <w:nsid w:val="14ABD1E8"/>
    <w:multiLevelType w:val="hybridMultilevel"/>
    <w:lvl w:ilvl="0">
      <w:lvlJc w:val="left"/>
      <w:lvlText w:val="(%1)"/>
      <w:numFmt w:val="lowerLetter"/>
      <w:start w:val="2"/>
    </w:lvl>
  </w:abstractNum>
  <w:abstractNum w:abstractNumId="1042">
    <w:nsid w:val="511E308F"/>
    <w:multiLevelType w:val="hybridMultilevel"/>
    <w:lvl w:ilvl="0">
      <w:lvlJc w:val="left"/>
      <w:lvlText w:val="(%1)"/>
      <w:numFmt w:val="decimal"/>
      <w:start w:val="1"/>
    </w:lvl>
  </w:abstractNum>
  <w:abstractNum w:abstractNumId="1043">
    <w:nsid w:val="11EE2399"/>
    <w:multiLevelType w:val="hybridMultilevel"/>
    <w:lvl w:ilvl="0">
      <w:lvlJc w:val="left"/>
      <w:lvlText w:val="(%1)"/>
      <w:numFmt w:val="decimal"/>
      <w:start w:val="6"/>
    </w:lvl>
  </w:abstractNum>
  <w:abstractNum w:abstractNumId="1044">
    <w:nsid w:val="475B8D69"/>
    <w:multiLevelType w:val="hybridMultilevel"/>
    <w:lvl w:ilvl="0">
      <w:lvlJc w:val="left"/>
      <w:lvlText w:val="(%1)"/>
      <w:numFmt w:val="decimal"/>
      <w:start w:val="15"/>
    </w:lvl>
  </w:abstractNum>
  <w:abstractNum w:abstractNumId="1045">
    <w:nsid w:val="4A46009E"/>
    <w:multiLevelType w:val="hybridMultilevel"/>
    <w:lvl w:ilvl="0">
      <w:lvlJc w:val="left"/>
      <w:lvlText w:val="(%1)"/>
      <w:numFmt w:val="upperLetter"/>
      <w:start w:val="4"/>
    </w:lvl>
  </w:abstractNum>
  <w:abstractNum w:abstractNumId="1046">
    <w:nsid w:val="162C56A1"/>
    <w:multiLevelType w:val="hybridMultilevel"/>
    <w:lvl w:ilvl="0">
      <w:lvlJc w:val="left"/>
      <w:lvlText w:val="(%1)"/>
      <w:numFmt w:val="lowerLetter"/>
      <w:start w:val="1"/>
    </w:lvl>
  </w:abstractNum>
  <w:abstractNum w:abstractNumId="1047">
    <w:nsid w:val="140037E4"/>
    <w:multiLevelType w:val="hybridMultilevel"/>
    <w:lvl w:ilvl="0">
      <w:lvlJc w:val="left"/>
      <w:lvlText w:val="(%1)"/>
      <w:numFmt w:val="decimal"/>
      <w:start w:val="1"/>
    </w:lvl>
    <w:lvl w:ilvl="1">
      <w:lvlJc w:val="left"/>
      <w:lvlText w:val="(%2)"/>
      <w:numFmt w:val="upperLetter"/>
      <w:start w:val="1"/>
    </w:lvl>
  </w:abstractNum>
  <w:abstractNum w:abstractNumId="1048">
    <w:nsid w:val="14A00010"/>
    <w:multiLevelType w:val="hybridMultilevel"/>
    <w:lvl w:ilvl="0">
      <w:lvlJc w:val="left"/>
      <w:lvlText w:val="(%1)"/>
      <w:numFmt w:val="lowerLetter"/>
      <w:start w:val="2"/>
    </w:lvl>
  </w:abstractNum>
  <w:abstractNum w:abstractNumId="1049">
    <w:nsid w:val="5C154BDF"/>
    <w:multiLevelType w:val="hybridMultilevel"/>
    <w:lvl w:ilvl="0">
      <w:lvlJc w:val="left"/>
      <w:lvlText w:val="(%1)"/>
      <w:numFmt w:val="decimal"/>
      <w:start w:val="1"/>
    </w:lvl>
  </w:abstractNum>
  <w:abstractNum w:abstractNumId="1050">
    <w:nsid w:val="70D89FB8"/>
    <w:multiLevelType w:val="hybridMultilevel"/>
    <w:lvl w:ilvl="0">
      <w:lvlJc w:val="left"/>
      <w:lvlText w:val="(%1)"/>
      <w:numFmt w:val="decimal"/>
      <w:start w:val="2"/>
    </w:lvl>
  </w:abstractNum>
  <w:abstractNum w:abstractNumId="1051">
    <w:nsid w:val="2645DA6E"/>
    <w:multiLevelType w:val="hybridMultilevel"/>
    <w:lvl w:ilvl="0">
      <w:lvlJc w:val="left"/>
      <w:lvlText w:val="(%1)"/>
      <w:numFmt w:val="decimal"/>
      <w:start w:val="12"/>
    </w:lvl>
  </w:abstractNum>
  <w:abstractNum w:abstractNumId="1052">
    <w:nsid w:val="23915793"/>
    <w:multiLevelType w:val="hybridMultilevel"/>
    <w:lvl w:ilvl="0">
      <w:lvlJc w:val="left"/>
      <w:lvlText w:val="(%1)"/>
      <w:numFmt w:val="lowerLetter"/>
      <w:start w:val="1"/>
    </w:lvl>
  </w:abstractNum>
  <w:abstractNum w:abstractNumId="1053">
    <w:nsid w:val="342E9F31"/>
    <w:multiLevelType w:val="hybridMultilevel"/>
    <w:lvl w:ilvl="0">
      <w:lvlJc w:val="left"/>
      <w:lvlText w:val="(%1)"/>
      <w:numFmt w:val="lowerLetter"/>
      <w:start w:val="3"/>
    </w:lvl>
  </w:abstractNum>
  <w:abstractNum w:abstractNumId="1054">
    <w:nsid w:val="4886F0FD"/>
    <w:multiLevelType w:val="hybridMultilevel"/>
    <w:lvl w:ilvl="0">
      <w:lvlJc w:val="left"/>
      <w:lvlText w:val="(%1)"/>
      <w:numFmt w:val="decimal"/>
      <w:start w:val="1"/>
    </w:lvl>
    <w:lvl w:ilvl="1">
      <w:lvlJc w:val="left"/>
      <w:lvlText w:val="(%2)"/>
      <w:numFmt w:val="lowerLetter"/>
      <w:start w:val="24"/>
    </w:lvl>
  </w:abstractNum>
  <w:abstractNum w:abstractNumId="1055">
    <w:nsid w:val="1FB6481"/>
    <w:multiLevelType w:val="hybridMultilevel"/>
    <w:lvl w:ilvl="0">
      <w:lvlJc w:val="left"/>
      <w:lvlText w:val="(%1)"/>
      <w:numFmt w:val="lowerLetter"/>
      <w:start w:val="1"/>
    </w:lvl>
  </w:abstractNum>
  <w:abstractNum w:abstractNumId="1056">
    <w:nsid w:val="42491A9B"/>
    <w:multiLevelType w:val="hybridMultilevel"/>
    <w:lvl w:ilvl="0">
      <w:lvlJc w:val="left"/>
      <w:lvlText w:val="(%1)"/>
      <w:numFmt w:val="decimal"/>
      <w:start w:val="1"/>
    </w:lvl>
    <w:lvl w:ilvl="1">
      <w:lvlJc w:val="left"/>
      <w:lvlText w:val="(%2)"/>
      <w:numFmt w:val="upperLetter"/>
      <w:start w:val="1"/>
    </w:lvl>
  </w:abstractNum>
  <w:abstractNum w:abstractNumId="1057">
    <w:nsid w:val="23F2ED92"/>
    <w:multiLevelType w:val="hybridMultilevel"/>
    <w:lvl w:ilvl="0">
      <w:lvlJc w:val="left"/>
      <w:lvlText w:val="(%1)"/>
      <w:numFmt w:val="lowerLetter"/>
      <w:start w:val="2"/>
    </w:lvl>
  </w:abstractNum>
  <w:abstractNum w:abstractNumId="1058">
    <w:nsid w:val="68573DB1"/>
    <w:multiLevelType w:val="hybridMultilevel"/>
    <w:lvl w:ilvl="0">
      <w:lvlJc w:val="left"/>
      <w:lvlText w:val="(%1)"/>
      <w:numFmt w:val="decimal"/>
      <w:start w:val="1"/>
    </w:lvl>
  </w:abstractNum>
  <w:abstractNum w:abstractNumId="1059">
    <w:nsid w:val="54097C8E"/>
    <w:multiLevelType w:val="hybridMultilevel"/>
    <w:lvl w:ilvl="0">
      <w:lvlJc w:val="left"/>
      <w:lvlText w:val="(%1)"/>
      <w:numFmt w:val="lowerLetter"/>
      <w:start w:val="3"/>
    </w:lvl>
  </w:abstractNum>
  <w:abstractNum w:abstractNumId="1060">
    <w:nsid w:val="C7B7C69"/>
    <w:multiLevelType w:val="hybridMultilevel"/>
    <w:lvl w:ilvl="0">
      <w:lvlJc w:val="left"/>
      <w:lvlText w:val="(%1)"/>
      <w:numFmt w:val="lowerLetter"/>
      <w:start w:val="1"/>
    </w:lvl>
  </w:abstractNum>
  <w:abstractNum w:abstractNumId="1061">
    <w:nsid w:val="453D88"/>
    <w:multiLevelType w:val="hybridMultilevel"/>
    <w:lvl w:ilvl="0">
      <w:lvlJc w:val="left"/>
      <w:lvlText w:val="(%1)"/>
      <w:numFmt w:val="lowerLetter"/>
      <w:start w:val="3"/>
    </w:lvl>
    <w:lvl w:ilvl="1">
      <w:lvlJc w:val="left"/>
      <w:lvlText w:val="(%2)"/>
      <w:numFmt w:val="decimal"/>
      <w:start w:val="1"/>
    </w:lvl>
  </w:abstractNum>
  <w:abstractNum w:abstractNumId="1062">
    <w:nsid w:val="488CEFE8"/>
    <w:multiLevelType w:val="hybridMultilevel"/>
    <w:lvl w:ilvl="0">
      <w:lvlJc w:val="left"/>
      <w:lvlText w:val="(%1)"/>
      <w:numFmt w:val="decimal"/>
      <w:start w:val="2"/>
    </w:lvl>
  </w:abstractNum>
  <w:abstractNum w:abstractNumId="1063">
    <w:nsid w:val="64BD4D42"/>
    <w:multiLevelType w:val="hybridMultilevel"/>
    <w:lvl w:ilvl="0">
      <w:lvlJc w:val="left"/>
      <w:lvlText w:val="%1"/>
      <w:numFmt w:val="decimal"/>
      <w:start w:val="1"/>
    </w:lvl>
    <w:lvl w:ilvl="1">
      <w:lvlJc w:val="left"/>
      <w:lvlText w:val="(%2)"/>
      <w:numFmt w:val="lowerLetter"/>
      <w:start w:val="8"/>
    </w:lvl>
  </w:abstractNum>
  <w:abstractNum w:abstractNumId="1064">
    <w:nsid w:val="3F8B0638"/>
    <w:multiLevelType w:val="hybridMultilevel"/>
    <w:lvl w:ilvl="0">
      <w:lvlJc w:val="left"/>
      <w:lvlText w:val="(%1)"/>
      <w:numFmt w:val="decimal"/>
      <w:start w:val="60"/>
    </w:lvl>
    <w:lvl w:ilvl="1">
      <w:lvlJc w:val="left"/>
      <w:lvlText w:val="(%2)"/>
      <w:numFmt w:val="lowerLetter"/>
      <w:start w:val="9"/>
    </w:lvl>
  </w:abstractNum>
  <w:abstractNum w:abstractNumId="1065">
    <w:nsid w:val="7CD3DA26"/>
    <w:multiLevelType w:val="hybridMultilevel"/>
    <w:lvl w:ilvl="0">
      <w:lvlJc w:val="left"/>
      <w:lvlText w:val="(%1)"/>
      <w:numFmt w:val="lowerRoman"/>
      <w:start w:val="1"/>
    </w:lvl>
  </w:abstractNum>
  <w:abstractNum w:abstractNumId="1066">
    <w:nsid w:val="2891A7B7"/>
    <w:multiLevelType w:val="hybridMultilevel"/>
    <w:lvl w:ilvl="0">
      <w:lvlJc w:val="left"/>
      <w:lvlText w:val="(%1)"/>
      <w:numFmt w:val="lowerRoman"/>
      <w:start w:val="3"/>
    </w:lvl>
  </w:abstractNum>
  <w:abstractNum w:abstractNumId="1067">
    <w:nsid w:val="658E7855"/>
    <w:multiLevelType w:val="hybridMultilevel"/>
    <w:lvl w:ilvl="0">
      <w:lvlJc w:val="left"/>
      <w:lvlText w:val="(%1)"/>
      <w:numFmt w:val="lowerLetter"/>
      <w:start w:val="1"/>
    </w:lvl>
  </w:abstractNum>
  <w:abstractNum w:abstractNumId="1068">
    <w:nsid w:val="151227F6"/>
    <w:multiLevelType w:val="hybridMultilevel"/>
    <w:lvl w:ilvl="0">
      <w:lvlJc w:val="left"/>
      <w:lvlText w:val="(%1)"/>
      <w:numFmt w:val="lowerRoman"/>
      <w:start w:val="1"/>
    </w:lvl>
  </w:abstractNum>
  <w:abstractNum w:abstractNumId="1069">
    <w:nsid w:val="7E67F143"/>
    <w:multiLevelType w:val="hybridMultilevel"/>
    <w:lvl w:ilvl="0">
      <w:lvlJc w:val="left"/>
      <w:lvlText w:val="(%1)"/>
      <w:numFmt w:val="lowerLetter"/>
      <w:start w:val="3"/>
    </w:lvl>
  </w:abstractNum>
  <w:abstractNum w:abstractNumId="1070">
    <w:nsid w:val="7F744D2C"/>
    <w:multiLevelType w:val="hybridMultilevel"/>
    <w:lvl w:ilvl="0">
      <w:lvlJc w:val="left"/>
      <w:lvlText w:val="(%1)"/>
      <w:numFmt w:val="lowerLetter"/>
      <w:start w:val="1"/>
    </w:lvl>
  </w:abstractNum>
  <w:abstractNum w:abstractNumId="1071">
    <w:nsid w:val="364460A9"/>
    <w:multiLevelType w:val="hybridMultilevel"/>
    <w:lvl w:ilvl="0">
      <w:lvlJc w:val="left"/>
      <w:lvlText w:val="(%1)"/>
      <w:numFmt w:val="lowerLetter"/>
      <w:start w:val="2"/>
    </w:lvl>
  </w:abstractNum>
  <w:abstractNum w:abstractNumId="1072">
    <w:nsid w:val="1313C32B"/>
    <w:multiLevelType w:val="hybridMultilevel"/>
    <w:lvl w:ilvl="0">
      <w:lvlJc w:val="left"/>
      <w:lvlText w:val="(%1)"/>
      <w:numFmt w:val="lowerRoman"/>
      <w:start w:val="2"/>
    </w:lvl>
  </w:abstractNum>
  <w:abstractNum w:abstractNumId="1073">
    <w:nsid w:val="50927DBC"/>
    <w:multiLevelType w:val="hybridMultilevel"/>
    <w:lvl w:ilvl="0">
      <w:lvlJc w:val="left"/>
      <w:lvlText w:val="(%1)"/>
      <w:numFmt w:val="lowerLetter"/>
      <w:start w:val="1"/>
    </w:lvl>
  </w:abstractNum>
  <w:abstractNum w:abstractNumId="1074">
    <w:nsid w:val="48328442"/>
    <w:multiLevelType w:val="hybridMultilevel"/>
    <w:lvl w:ilvl="0">
      <w:lvlJc w:val="left"/>
      <w:lvlText w:val="(%1)"/>
      <w:numFmt w:val="lowerLetter"/>
      <w:start w:val="1"/>
    </w:lvl>
  </w:abstractNum>
  <w:abstractNum w:abstractNumId="1075">
    <w:nsid w:val="5A6F5094"/>
    <w:multiLevelType w:val="hybridMultilevel"/>
    <w:lvl w:ilvl="0">
      <w:lvlJc w:val="left"/>
      <w:lvlText w:val="(%1)"/>
      <w:numFmt w:val="decimal"/>
      <w:start w:val="1"/>
    </w:lvl>
  </w:abstractNum>
  <w:abstractNum w:abstractNumId="1076">
    <w:nsid w:val="1AD87E5A"/>
    <w:multiLevelType w:val="hybridMultilevel"/>
    <w:lvl w:ilvl="0">
      <w:lvlJc w:val="left"/>
      <w:lvlText w:val="(%1)"/>
      <w:numFmt w:val="lowerLetter"/>
      <w:start w:val="3"/>
    </w:lvl>
  </w:abstractNum>
  <w:abstractNum w:abstractNumId="1077">
    <w:nsid w:val="5E5EDAE3"/>
    <w:multiLevelType w:val="hybridMultilevel"/>
    <w:lvl w:ilvl="0">
      <w:lvlJc w:val="left"/>
      <w:lvlText w:val="(%1)"/>
      <w:numFmt w:val="lowerLetter"/>
      <w:start w:val="1"/>
    </w:lvl>
  </w:abstractNum>
  <w:abstractNum w:abstractNumId="1078">
    <w:nsid w:val="6E6F8879"/>
    <w:multiLevelType w:val="hybridMultilevel"/>
    <w:lvl w:ilvl="0">
      <w:lvlJc w:val="left"/>
      <w:lvlText w:val="(%1)"/>
      <w:numFmt w:val="lowerLetter"/>
      <w:start w:val="4"/>
    </w:lvl>
  </w:abstractNum>
  <w:abstractNum w:abstractNumId="1079">
    <w:nsid w:val="2F787E6A"/>
    <w:multiLevelType w:val="hybridMultilevel"/>
    <w:lvl w:ilvl="0">
      <w:lvlJc w:val="left"/>
      <w:lvlText w:val="(%1)"/>
      <w:numFmt w:val="lowerLetter"/>
      <w:start w:val="1"/>
    </w:lvl>
  </w:abstractNum>
  <w:abstractNum w:abstractNumId="1080">
    <w:nsid w:val="3A7426C2"/>
    <w:multiLevelType w:val="hybridMultilevel"/>
    <w:lvl w:ilvl="0">
      <w:lvlJc w:val="left"/>
      <w:lvlText w:val="(%1)"/>
      <w:numFmt w:val="lowerLetter"/>
      <w:start w:val="4"/>
    </w:lvl>
  </w:abstractNum>
  <w:abstractNum w:abstractNumId="1081">
    <w:nsid w:val="5F482831"/>
    <w:multiLevelType w:val="hybridMultilevel"/>
    <w:lvl w:ilvl="0">
      <w:lvlJc w:val="left"/>
      <w:lvlText w:val="(%1)"/>
      <w:numFmt w:val="lowerLetter"/>
      <w:start w:val="1"/>
    </w:lvl>
  </w:abstractNum>
  <w:abstractNum w:abstractNumId="1082">
    <w:nsid w:val="55BE58D9"/>
    <w:multiLevelType w:val="hybridMultilevel"/>
    <w:lvl w:ilvl="0">
      <w:lvlJc w:val="left"/>
      <w:lvlText w:val="(%1)"/>
      <w:numFmt w:val="lowerRoman"/>
      <w:start w:val="1"/>
    </w:lvl>
    <w:lvl w:ilvl="1">
      <w:lvlJc w:val="left"/>
      <w:lvlText w:val="(%2)"/>
      <w:numFmt w:val="upperLetter"/>
      <w:start w:val="1"/>
    </w:lvl>
  </w:abstractNum>
  <w:abstractNum w:abstractNumId="1083">
    <w:nsid w:val="5E057E55"/>
    <w:multiLevelType w:val="hybridMultilevel"/>
    <w:lvl w:ilvl="0">
      <w:lvlJc w:val="left"/>
      <w:lvlText w:val="(%1)"/>
      <w:numFmt w:val="lowerRoman"/>
      <w:start w:val="5"/>
    </w:lvl>
  </w:abstractNum>
  <w:abstractNum w:abstractNumId="1084">
    <w:nsid w:val="1376C762"/>
    <w:multiLevelType w:val="hybridMultilevel"/>
    <w:lvl w:ilvl="0">
      <w:lvlJc w:val="left"/>
      <w:lvlText w:val="(%1)"/>
      <w:numFmt w:val="lowerLetter"/>
      <w:start w:val="2"/>
    </w:lvl>
  </w:abstractNum>
  <w:abstractNum w:abstractNumId="1085">
    <w:nsid w:val="1E4549D6"/>
    <w:multiLevelType w:val="hybridMultilevel"/>
    <w:lvl w:ilvl="0">
      <w:lvlJc w:val="left"/>
      <w:lvlText w:val="(%1)"/>
      <w:numFmt w:val="lowerLetter"/>
      <w:start w:val="1"/>
    </w:lvl>
  </w:abstractNum>
  <w:abstractNum w:abstractNumId="1086">
    <w:nsid w:val="6000E2D6"/>
    <w:multiLevelType w:val="hybridMultilevel"/>
    <w:lvl w:ilvl="0">
      <w:lvlJc w:val="left"/>
      <w:lvlText w:val="(%1)"/>
      <w:numFmt w:val="upperLetter"/>
      <w:start w:val="1"/>
    </w:lvl>
  </w:abstractNum>
  <w:abstractNum w:abstractNumId="1087">
    <w:nsid w:val="55BFE1FD"/>
    <w:multiLevelType w:val="hybridMultilevel"/>
    <w:lvl w:ilvl="0">
      <w:lvlJc w:val="left"/>
      <w:lvlText w:val="(%1)"/>
      <w:numFmt w:val="upperLetter"/>
      <w:start w:val="35"/>
    </w:lvl>
    <w:lvl w:ilvl="1">
      <w:lvlJc w:val="left"/>
      <w:lvlText w:val="(%2)"/>
      <w:numFmt w:val="upperLetter"/>
      <w:start w:val="2"/>
    </w:lvl>
  </w:abstractNum>
  <w:abstractNum w:abstractNumId="1088">
    <w:nsid w:val="42383768"/>
    <w:multiLevelType w:val="hybridMultilevel"/>
    <w:lvl w:ilvl="0">
      <w:lvlJc w:val="left"/>
      <w:lvlText w:val="(%1)"/>
      <w:numFmt w:val="upperLetter"/>
      <w:start w:val="1"/>
    </w:lvl>
  </w:abstractNum>
  <w:abstractNum w:abstractNumId="1089">
    <w:nsid w:val="48582087"/>
    <w:multiLevelType w:val="hybridMultilevel"/>
    <w:lvl w:ilvl="0">
      <w:lvlJc w:val="left"/>
      <w:lvlText w:val="(%1)"/>
      <w:numFmt w:val="upperLetter"/>
      <w:start w:val="4"/>
    </w:lvl>
  </w:abstractNum>
  <w:abstractNum w:abstractNumId="1090">
    <w:nsid w:val="29C95E8B"/>
    <w:multiLevelType w:val="hybridMultilevel"/>
    <w:lvl w:ilvl="0">
      <w:lvlJc w:val="left"/>
      <w:lvlText w:val="(%1)"/>
      <w:numFmt w:val="lowerRoman"/>
      <w:start w:val="3"/>
    </w:lvl>
  </w:abstractNum>
  <w:abstractNum w:abstractNumId="1091">
    <w:nsid w:val="4EB3B3D2"/>
    <w:multiLevelType w:val="hybridMultilevel"/>
    <w:lvl w:ilvl="0">
      <w:lvlJc w:val="left"/>
      <w:lvlText w:val="(%1)"/>
      <w:numFmt w:val="lowerRoman"/>
      <w:start w:val="5"/>
    </w:lvl>
  </w:abstractNum>
  <w:abstractNum w:abstractNumId="1092">
    <w:nsid w:val="489D5E10"/>
    <w:multiLevelType w:val="hybridMultilevel"/>
    <w:lvl w:ilvl="0">
      <w:lvlJc w:val="left"/>
      <w:lvlText w:val="(%1)"/>
      <w:numFmt w:val="lowerLetter"/>
      <w:start w:val="3"/>
    </w:lvl>
  </w:abstractNum>
  <w:abstractNum w:abstractNumId="1093">
    <w:nsid w:val="72564E73"/>
    <w:multiLevelType w:val="hybridMultilevel"/>
    <w:lvl w:ilvl="0">
      <w:lvlJc w:val="left"/>
      <w:lvlText w:val="(%1)"/>
      <w:numFmt w:val="lowerLetter"/>
      <w:start w:val="4"/>
    </w:lvl>
  </w:abstractNum>
  <w:abstractNum w:abstractNumId="1094">
    <w:nsid w:val="33710114"/>
    <w:multiLevelType w:val="hybridMultilevel"/>
    <w:lvl w:ilvl="0">
      <w:lvlJc w:val="left"/>
      <w:lvlText w:val="(%1)"/>
      <w:numFmt w:val="lowerRoman"/>
      <w:start w:val="2"/>
    </w:lvl>
  </w:abstractNum>
  <w:abstractNum w:abstractNumId="1095">
    <w:nsid w:val="8286448"/>
    <w:multiLevelType w:val="hybridMultilevel"/>
    <w:lvl w:ilvl="0">
      <w:lvlJc w:val="left"/>
      <w:lvlText w:val="(%1)"/>
      <w:numFmt w:val="lowerLetter"/>
      <w:start w:val="5"/>
    </w:lvl>
  </w:abstractNum>
  <w:abstractNum w:abstractNumId="1096">
    <w:nsid w:val="6F2A289A"/>
    <w:multiLevelType w:val="hybridMultilevel"/>
    <w:lvl w:ilvl="0">
      <w:lvlJc w:val="left"/>
      <w:lvlText w:val="(%1)"/>
      <w:numFmt w:val="lowerRoman"/>
      <w:start w:val="1"/>
    </w:lvl>
  </w:abstractNum>
  <w:abstractNum w:abstractNumId="1097">
    <w:nsid w:val="5C02A8CB"/>
    <w:multiLevelType w:val="hybridMultilevel"/>
    <w:lvl w:ilvl="0">
      <w:lvlJc w:val="left"/>
      <w:lvlText w:val="(%1)"/>
      <w:numFmt w:val="lowerLetter"/>
      <w:start w:val="8"/>
    </w:lvl>
  </w:abstractNum>
  <w:abstractNum w:abstractNumId="1098">
    <w:nsid w:val="6DB6DC9D"/>
    <w:multiLevelType w:val="hybridMultilevel"/>
    <w:lvl w:ilvl="0">
      <w:lvlJc w:val="left"/>
      <w:lvlText w:val="(%1)"/>
      <w:numFmt w:val="lowerRoman"/>
      <w:start w:val="1"/>
    </w:lvl>
  </w:abstractNum>
  <w:abstractNum w:abstractNumId="1099">
    <w:nsid w:val="43C5090"/>
    <w:multiLevelType w:val="hybridMultilevel"/>
    <w:lvl w:ilvl="0">
      <w:lvlJc w:val="left"/>
      <w:lvlText w:val="(%1)"/>
      <w:numFmt w:val="lowerLetter"/>
      <w:start w:val="1"/>
    </w:lvl>
  </w:abstractNum>
  <w:abstractNum w:abstractNumId="1100">
    <w:nsid w:val="5A6A9A0F"/>
    <w:multiLevelType w:val="hybridMultilevel"/>
    <w:lvl w:ilvl="0">
      <w:lvlJc w:val="left"/>
      <w:lvlText w:val="(%1)"/>
      <w:numFmt w:val="lowerRoman"/>
      <w:start w:val="1"/>
    </w:lvl>
  </w:abstractNum>
  <w:abstractNum w:abstractNumId="1101">
    <w:nsid w:val="6D2B29CA"/>
    <w:multiLevelType w:val="hybridMultilevel"/>
    <w:lvl w:ilvl="0">
      <w:lvlJc w:val="left"/>
      <w:lvlText w:val="(%1)"/>
      <w:numFmt w:val="lowerLetter"/>
      <w:start w:val="2"/>
    </w:lvl>
  </w:abstractNum>
  <w:abstractNum w:abstractNumId="1102">
    <w:nsid w:val="3A80B139"/>
    <w:multiLevelType w:val="hybridMultilevel"/>
    <w:lvl w:ilvl="0">
      <w:lvlJc w:val="left"/>
      <w:lvlText w:val="%1"/>
      <w:numFmt w:val="lowerLetter"/>
      <w:start w:val="1"/>
    </w:lvl>
    <w:lvl w:ilvl="1">
      <w:lvlJc w:val="left"/>
      <w:lvlText w:val="(%2)"/>
      <w:numFmt w:val="lowerLetter"/>
      <w:start w:val="3"/>
    </w:lvl>
  </w:abstractNum>
  <w:abstractNum w:abstractNumId="1103">
    <w:nsid w:val="6D7E5D3A"/>
    <w:multiLevelType w:val="hybridMultilevel"/>
    <w:lvl w:ilvl="0">
      <w:lvlJc w:val="left"/>
      <w:lvlText w:val="(%1)"/>
      <w:numFmt w:val="lowerLetter"/>
      <w:start w:val="35"/>
    </w:lvl>
    <w:lvl w:ilvl="1">
      <w:lvlJc w:val="left"/>
      <w:lvlText w:val="%2"/>
      <w:numFmt w:val="lowerLetter"/>
      <w:start w:val="1"/>
    </w:lvl>
  </w:abstractNum>
  <w:abstractNum w:abstractNumId="1104">
    <w:nsid w:val="3DBDA786"/>
    <w:multiLevelType w:val="hybridMultilevel"/>
    <w:lvl w:ilvl="0">
      <w:lvlJc w:val="left"/>
      <w:lvlText w:val="(%1)"/>
      <w:numFmt w:val="lowerLetter"/>
      <w:start w:val="4"/>
    </w:lvl>
  </w:abstractNum>
  <w:abstractNum w:abstractNumId="1105">
    <w:nsid w:val="2B3357B"/>
    <w:multiLevelType w:val="hybridMultilevel"/>
    <w:lvl w:ilvl="0">
      <w:lvlJc w:val="left"/>
      <w:lvlText w:val="(%1)"/>
      <w:numFmt w:val="lowerLetter"/>
      <w:start w:val="1"/>
    </w:lvl>
  </w:abstractNum>
  <w:abstractNum w:abstractNumId="1106">
    <w:nsid w:val="47EDADCF"/>
    <w:multiLevelType w:val="hybridMultilevel"/>
    <w:lvl w:ilvl="0">
      <w:lvlJc w:val="left"/>
      <w:lvlText w:val="(%1)"/>
      <w:numFmt w:val="lowerRoman"/>
      <w:start w:val="1"/>
    </w:lvl>
  </w:abstractNum>
  <w:abstractNum w:abstractNumId="1107">
    <w:nsid w:val="589625E0"/>
    <w:multiLevelType w:val="hybridMultilevel"/>
    <w:lvl w:ilvl="0">
      <w:lvlJc w:val="left"/>
      <w:lvlText w:val="(%1)"/>
      <w:numFmt w:val="lowerRoman"/>
      <w:start w:val="2"/>
    </w:lvl>
  </w:abstractNum>
  <w:abstractNum w:abstractNumId="1108">
    <w:nsid w:val="6112105E"/>
    <w:multiLevelType w:val="hybridMultilevel"/>
    <w:lvl w:ilvl="0">
      <w:lvlJc w:val="left"/>
      <w:lvlText w:val="(%1)"/>
      <w:numFmt w:val="lowerLetter"/>
      <w:start w:val="2"/>
    </w:lvl>
  </w:abstractNum>
  <w:abstractNum w:abstractNumId="1109">
    <w:nsid w:val="365D3648"/>
    <w:multiLevelType w:val="hybridMultilevel"/>
    <w:lvl w:ilvl="0">
      <w:lvlJc w:val="left"/>
      <w:lvlText w:val="(%1)"/>
      <w:numFmt w:val="lowerLetter"/>
      <w:start w:val="5"/>
    </w:lvl>
  </w:abstractNum>
  <w:abstractNum w:abstractNumId="1110">
    <w:nsid w:val="80EA44A"/>
    <w:multiLevelType w:val="hybridMultilevel"/>
    <w:lvl w:ilvl="0">
      <w:lvlJc w:val="left"/>
      <w:lvlText w:val="(%1)"/>
      <w:numFmt w:val="lowerLetter"/>
      <w:start w:val="6"/>
    </w:lvl>
  </w:abstractNum>
  <w:abstractNum w:abstractNumId="1111">
    <w:nsid w:val="1B863720"/>
    <w:multiLevelType w:val="hybridMultilevel"/>
    <w:lvl w:ilvl="0">
      <w:lvlJc w:val="left"/>
      <w:lvlText w:val="(%1)"/>
      <w:numFmt w:val="upperLetter"/>
      <w:start w:val="2"/>
    </w:lvl>
  </w:abstractNum>
  <w:abstractNum w:abstractNumId="1112">
    <w:nsid w:val="15A55E79"/>
    <w:multiLevelType w:val="hybridMultilevel"/>
    <w:lvl w:ilvl="0">
      <w:lvlJc w:val="left"/>
      <w:lvlText w:val="(%1)"/>
      <w:numFmt w:val="lowerLetter"/>
      <w:start w:val="1"/>
    </w:lvl>
  </w:abstractNum>
  <w:abstractNum w:abstractNumId="1113">
    <w:nsid w:val="5DCCFD23"/>
    <w:multiLevelType w:val="hybridMultilevel"/>
    <w:lvl w:ilvl="0">
      <w:lvlJc w:val="left"/>
      <w:lvlText w:val="(%1)"/>
      <w:numFmt w:val="lowerRoman"/>
      <w:start w:val="1"/>
    </w:lvl>
  </w:abstractNum>
  <w:abstractNum w:abstractNumId="1114">
    <w:nsid w:val="798BB575"/>
    <w:multiLevelType w:val="hybridMultilevel"/>
    <w:lvl w:ilvl="0">
      <w:lvlJc w:val="left"/>
      <w:lvlText w:val="(%1)"/>
      <w:numFmt w:val="lowerRoman"/>
      <w:start w:val="2"/>
    </w:lvl>
  </w:abstractNum>
  <w:abstractNum w:abstractNumId="1115">
    <w:nsid w:val="291C25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16">
    <w:nsid w:val="7C1246F9"/>
    <w:multiLevelType w:val="hybridMultilevel"/>
    <w:lvl w:ilvl="0">
      <w:lvlJc w:val="left"/>
      <w:lvlText w:val="%1"/>
      <w:numFmt w:val="lowerRoman"/>
      <w:start w:val="1"/>
    </w:lvl>
    <w:lvl w:ilvl="1">
      <w:lvlJc w:val="left"/>
      <w:lvlText w:val="(%2)"/>
      <w:numFmt w:val="upperLetter"/>
      <w:start w:val="2"/>
    </w:lvl>
  </w:abstractNum>
  <w:abstractNum w:abstractNumId="1117">
    <w:nsid w:val="598C984B"/>
    <w:multiLevelType w:val="hybridMultilevel"/>
    <w:lvl w:ilvl="0">
      <w:lvlJc w:val="left"/>
      <w:lvlText w:val="(%1)"/>
      <w:numFmt w:val="lowerRoman"/>
      <w:start w:val="3"/>
    </w:lvl>
    <w:lvl w:ilvl="1">
      <w:lvlJc w:val="left"/>
      <w:lvlText w:val="%2"/>
      <w:numFmt w:val="upperLetter"/>
      <w:start w:val="1"/>
    </w:lvl>
  </w:abstractNum>
  <w:abstractNum w:abstractNumId="1118">
    <w:nsid w:val="7EDC07D8"/>
    <w:multiLevelType w:val="hybridMultilevel"/>
    <w:lvl w:ilvl="0">
      <w:lvlJc w:val="left"/>
      <w:lvlText w:val="%1."/>
      <w:numFmt w:val="decimal"/>
      <w:start w:val="1"/>
    </w:lvl>
    <w:lvl w:ilvl="1">
      <w:lvlJc w:val="left"/>
      <w:lvlText w:val="(%2)"/>
      <w:numFmt w:val="lowerLetter"/>
      <w:start w:val="1"/>
    </w:lvl>
  </w:abstractNum>
  <w:abstractNum w:abstractNumId="1119">
    <w:nsid w:val="3E4A7E62"/>
    <w:multiLevelType w:val="hybridMultilevel"/>
    <w:lvl w:ilvl="0">
      <w:lvlJc w:val="left"/>
      <w:lvlText w:val="%1."/>
      <w:numFmt w:val="decimal"/>
      <w:start w:val="1"/>
    </w:lvl>
    <w:lvl w:ilvl="1">
      <w:lvlJc w:val="left"/>
      <w:lvlText w:val="(%2)"/>
      <w:numFmt w:val="lowerLetter"/>
      <w:start w:val="1"/>
    </w:lvl>
  </w:abstractNum>
  <w:abstractNum w:abstractNumId="1120">
    <w:nsid w:val="21E4B8D3"/>
    <w:multiLevelType w:val="hybridMultilevel"/>
    <w:lvl w:ilvl="0">
      <w:lvlJc w:val="left"/>
      <w:lvlText w:val="%1."/>
      <w:numFmt w:val="decimal"/>
      <w:start w:val="1"/>
    </w:lvl>
    <w:lvl w:ilvl="1">
      <w:lvlJc w:val="left"/>
      <w:lvlText w:val="(%2)"/>
      <w:numFmt w:val="lowerLetter"/>
      <w:start w:val="1"/>
    </w:lvl>
  </w:abstractNum>
  <w:abstractNum w:abstractNumId="1121">
    <w:nsid w:val="28A56663"/>
    <w:multiLevelType w:val="hybridMultilevel"/>
    <w:lvl w:ilvl="0">
      <w:lvlJc w:val="left"/>
      <w:lvlText w:val="%1."/>
      <w:numFmt w:val="decimal"/>
      <w:start w:val="1"/>
    </w:lvl>
    <w:lvl w:ilvl="1">
      <w:lvlJc w:val="left"/>
      <w:lvlText w:val="(%2)"/>
      <w:numFmt w:val="lowerLetter"/>
      <w:start w:val="1"/>
    </w:lvl>
  </w:abstractNum>
  <w:abstractNum w:abstractNumId="1122">
    <w:nsid w:val="CFE3234"/>
    <w:multiLevelType w:val="hybridMultilevel"/>
    <w:lvl w:ilvl="0">
      <w:lvlJc w:val="left"/>
      <w:lvlText w:val="(%1)"/>
      <w:numFmt w:val="decimal"/>
      <w:start w:val="1"/>
    </w:lvl>
  </w:abstractNum>
  <w:abstractNum w:abstractNumId="1123">
    <w:nsid w:val="6A8216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2024-07-25T06:16:30Z</dcterms:created>
  <dcterms:modified xsi:type="dcterms:W3CDTF">2024-07-25T06:16:30Z</dcterms:modified>
</cp:coreProperties>
</file>