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4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1"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189230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176530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75-1825172</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86"/>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13-1502798</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86"/>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0" w:gutter="0" w:footer="0" w:header="0"/>
        </w:sectPr>
      </w:pP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69"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5" w:lineRule="exact"/>
        <w:rPr>
          <w:sz w:val="24"/>
          <w:szCs w:val="24"/>
          <w:color w:val="auto"/>
        </w:rPr>
      </w:pPr>
    </w:p>
    <w:p>
      <w:pPr>
        <w:sectPr>
          <w:pgSz w:w="11900" w:h="16838" w:orient="portrait"/>
          <w:cols w:equalWidth="0" w:num="3">
            <w:col w:w="9360" w:space="720"/>
            <w:col w:w="520" w:space="340"/>
            <w:col w:w="480"/>
          </w:cols>
          <w:pgMar w:left="240" w:top="230" w:right="239" w:bottom="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30" w:right="239" w:bottom="0" w:gutter="0" w:footer="0" w:header="0"/>
          <w:type w:val="continuous"/>
        </w:sectPr>
      </w:pP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69"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1" w:lineRule="exact"/>
        <w:rPr>
          <w:sz w:val="24"/>
          <w:szCs w:val="24"/>
          <w:color w:val="auto"/>
        </w:rPr>
      </w:pPr>
    </w:p>
    <w:p>
      <w:pPr>
        <w:sectPr>
          <w:pgSz w:w="11900" w:h="16838" w:orient="portrait"/>
          <w:cols w:equalWidth="0" w:num="3">
            <w:col w:w="9360" w:space="720"/>
            <w:col w:w="520" w:space="340"/>
            <w:col w:w="480"/>
          </w:cols>
          <w:pgMar w:left="240" w:top="230" w:right="239" w:bottom="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w:t>
      </w:r>
    </w:p>
    <w:p>
      <w:pPr>
        <w:sectPr>
          <w:pgSz w:w="11900" w:h="16838" w:orient="portrait"/>
          <w:cols w:equalWidth="0" w:num="1">
            <w:col w:w="11420"/>
          </w:cols>
          <w:pgMar w:left="240" w:top="230" w:right="239" w:bottom="0" w:gutter="0" w:footer="0" w:header="0"/>
          <w:type w:val="continuous"/>
        </w:sectPr>
      </w:pP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both"/>
        <w:ind w:right="400"/>
        <w:spacing w:after="0" w:line="25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15" w:lineRule="exact"/>
        <w:rPr>
          <w:sz w:val="24"/>
          <w:szCs w:val="24"/>
          <w:color w:val="auto"/>
        </w:rPr>
      </w:pPr>
    </w:p>
    <w:p>
      <w:pPr>
        <w:sectPr>
          <w:pgSz w:w="11900" w:h="16838" w:orient="portrait"/>
          <w:cols w:equalWidth="0" w:num="5">
            <w:col w:w="2160" w:space="120"/>
            <w:col w:w="1960" w:space="420"/>
            <w:col w:w="1480" w:space="360"/>
            <w:col w:w="1800" w:space="400"/>
            <w:col w:w="2720"/>
          </w:cols>
          <w:pgMar w:left="240" w:top="230" w:right="239" w:bottom="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ectPr>
          <w:pgSz w:w="11900" w:h="16838" w:orient="portrait"/>
          <w:cols w:equalWidth="0" w:num="1">
            <w:col w:w="11420"/>
          </w:cols>
          <w:pgMar w:left="240" w:top="230" w:right="239" w:bottom="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69"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5" w:lineRule="exact"/>
        <w:rPr>
          <w:sz w:val="24"/>
          <w:szCs w:val="24"/>
          <w:color w:val="auto"/>
        </w:rPr>
      </w:pPr>
    </w:p>
    <w:p>
      <w:pPr>
        <w:sectPr>
          <w:pgSz w:w="11900" w:h="16838" w:orient="portrait"/>
          <w:cols w:equalWidth="0" w:num="3">
            <w:col w:w="9360" w:space="720"/>
            <w:col w:w="520" w:space="340"/>
            <w:col w:w="480"/>
          </w:cols>
          <w:pgMar w:left="240" w:top="230" w:right="239" w:bottom="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230" w:right="239" w:bottom="0" w:gutter="0" w:footer="0" w:header="0"/>
          <w:type w:val="continuous"/>
        </w:sectPr>
      </w:pP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Group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69"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both"/>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3">
            <w:col w:w="9360" w:space="720"/>
            <w:col w:w="520" w:space="340"/>
            <w:col w:w="480"/>
          </w:cols>
          <w:pgMar w:left="240" w:top="23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April 17, 2015, there were 692,798,851 shares of American Airlines Group Inc. common stock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As of April 17, 2015,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Period Ended March 31, 2015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720" w:type="dxa"/>
            <w:vAlign w:val="bottom"/>
            <w:gridSpan w:val="12"/>
            <w:vMerge w:val="restart"/>
          </w:tcPr>
          <w:p>
            <w:pPr>
              <w:jc w:val="center"/>
              <w:ind w:right="362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720" w:type="dxa"/>
            <w:vAlign w:val="bottom"/>
            <w:gridSpan w:val="1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1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Financial Statements of American Airlines Group Inc.</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Operations</w:t>
              </w:r>
            </w:hyperlink>
          </w:p>
        </w:tc>
        <w:tc>
          <w:tcPr>
            <w:tcW w:w="44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Balance Sheets</w:t>
              </w:r>
            </w:hyperlink>
          </w:p>
        </w:tc>
        <w:tc>
          <w:tcPr>
            <w:tcW w:w="55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Condensed Consolidated Financial Statements of American Airlines, Inc.</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Condensed Consolidated Statements of Operations</w:t>
              </w:r>
            </w:hyperlink>
          </w:p>
        </w:tc>
        <w:tc>
          <w:tcPr>
            <w:tcW w:w="48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Condensed Consolidated Statements of Comprehensive Income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Condensed Consolidated Balance Sheets</w:t>
              </w:r>
            </w:hyperlink>
          </w:p>
        </w:tc>
        <w:tc>
          <w:tcPr>
            <w:tcW w:w="55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2120" w:type="dxa"/>
            <w:vAlign w:val="bottom"/>
            <w:tcBorders>
              <w:top w:val="single" w:sz="8" w:color="0000EE"/>
            </w:tcBorders>
            <w:gridSpan w:val="5"/>
          </w:tcPr>
          <w:p>
            <w:pPr>
              <w:spacing w:after="0"/>
              <w:rPr>
                <w:sz w:val="17"/>
                <w:szCs w:val="17"/>
                <w:color w:val="auto"/>
              </w:rPr>
            </w:pPr>
          </w:p>
        </w:tc>
        <w:tc>
          <w:tcPr>
            <w:tcW w:w="36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20" w:type="dxa"/>
            <w:vAlign w:val="bottom"/>
            <w:gridSpan w:val="12"/>
          </w:tcPr>
          <w:p>
            <w:pPr>
              <w:jc w:val="center"/>
              <w:ind w:right="3620"/>
              <w:spacing w:after="0" w:line="19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580" w:type="dxa"/>
            <w:vAlign w:val="bottom"/>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2780" w:type="dxa"/>
            <w:vAlign w:val="bottom"/>
            <w:tcBorders>
              <w:top w:val="single" w:sz="8" w:color="0000EE"/>
            </w:tcBorders>
            <w:gridSpan w:val="9"/>
          </w:tcPr>
          <w:p>
            <w:pPr>
              <w:spacing w:after="0"/>
              <w:rPr>
                <w:sz w:val="17"/>
                <w:szCs w:val="17"/>
                <w:color w:val="auto"/>
              </w:rPr>
            </w:pPr>
          </w:p>
        </w:tc>
        <w:tc>
          <w:tcPr>
            <w:tcW w:w="37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8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Unregistered Sales of Equity Securities and Use of Proceeds</w:t>
              </w:r>
            </w:hyperlink>
          </w:p>
        </w:tc>
        <w:tc>
          <w:tcPr>
            <w:tcW w:w="57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88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4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60" w:type="dxa"/>
            <w:vAlign w:val="bottom"/>
            <w:gridSpan w:val="15"/>
          </w:tcPr>
          <w:p>
            <w:pPr>
              <w:jc w:val="right"/>
              <w:ind w:right="40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This combined Quarterly Report on Form 10-Q is filed by American Airlines Group Inc. (formerly named AMR Corporation) (AAG) and its wholly-owned subsidiary American Airlines, Inc. (American). References in this Quarterly Report on Form 10-Q to “we,” “us,” “our,” the “Company” and similar terms refer to AAG and its consolidated subsidiaries. As more fully described below, on December 9, 2013, a subsidiary of AMR Corporation merged with and into US Airways Group, Inc. (US Airways Group), which survived as a wholly-owned subsidiary of AAG (the Merger). “AMR” or “AMR Corporation” refers to the Company during the period of time prior to its emergence from Chapter 11 and its acquisition of US Airways Group. References in this Quarterly Report on Form 10-Q to “mainline” refer to the operations of American and US Airways, Inc., as applicable, and exclude regional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2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 cost carriers, airline alliances and industry consolidation; the challenges and costs of integrating operations and realizing anticipated synergies and other benefits of the Merger;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post-employment benefit funding obligations; the impact of any failure to comply with the covenants contained in financing arrangements; provisions in credit card processing and other commercial agreements that may materially reduce our liquidity; the impact of union disputes, employee strikes and other labor-related disruptions; any inability to maintain labor costs at competitive levels; interruptions or disruptions in service at one or more of our hub airports; costs of ongoing data security compliance requirements and the impact of any significant data security breach;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on the airline industry;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regulation; our reliance on technology and automated systems and the impact of any failure of these technologies or systems; challenges in integrating our computer, communications and other technology systems;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 that affect travel behavior such as an outbreak of a contagious disease, and volatility and fluctuations in our results of operations due to seasonality; the effect of a higher than normal number of pilot retirements and a potential shortage of pilots; the impact of possible future increases in insurance costs or reductions in available insurance coverage; the effect of a lawsuit that was filed in connection with the Merger remains pending; an inability to use net operating losses (NOLs) carried over from prior taxable years (NOL Carryforwards); any impairment in the amount of goodwill we recorded as a result of the application of the acquisition method of accounting and an inability to realize the full value of AAG’s and American’s respective intangible or long-lived assets and any material impairment charges that would be recorded as a result; price volatility of our common stock; the effects of our capital deployment program and the limitation, suspension or discontinuation of our share repurchase program or dividend payments thereunder; delay or prevention of stockholders’ ability to change the composition of our Board of Directors and the effect this may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other economic, business, competitive, and/or regulatory factors affecting our business, including those set forth in this Quarterly Report on Form 10-Q (especially in Part II, Item 1A. Risk Factors and Part I, Item 2.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78"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2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6,989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Cargo</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2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2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2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Basic</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696,415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716,930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 and retiree medical</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Reclassification into earnings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investments: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Net change in value</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before tax</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Non-cash tax provision</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March 31, 2015</w:t>
            </w:r>
          </w:p>
        </w:tc>
        <w:tc>
          <w:tcPr>
            <w:tcW w:w="3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2"/>
              </w:rPr>
              <w:t>(Unaudited)</w:t>
            </w:r>
          </w:p>
        </w:tc>
        <w:tc>
          <w:tcPr>
            <w:tcW w:w="4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8,125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1,826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spare parts and supplies,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Flight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29,273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Ground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6,013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purchase deposits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Total property and equipment, at cost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(12,509)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 net of accumulated amortization of $465 and $447, respectively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10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and wages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Air traffic liability</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5,415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Frequent flyer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and capital leases, net of current maturities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17,638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7,517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gains and credits,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Bankruptcy settlement obligations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$0.01 par value; 1,750,000,000 shares authorized, 693,800,651 shares issued and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outstanding at March 31, 2015; 697,474,535 shares issued and outstanding at December 31, 2014</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15,049</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(4,590)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(7,702)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46,754</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(3,474)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slot transaction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Sale-leaseback transactions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Treasury stock repurchases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payment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Other financing activities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Settlement of bankruptcy obligations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obligations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(AAG or the Company) should be read in conjunction with the consolidated financial statements contained in AAG’s Annual Report on Form 10-K for the year ended December 31, 2014. The accompanying unaudited condensed consolidated financial statements include the accounts of the Company and its wholly-owned subsidiaries. Principal subsidiaries include American Airlines, Inc. (American) and US Airways Group, Inc. (US Airways Group). All significant intercompany transactions have been eliminated.</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9, 2013 (the Effective Date), AMR Merger Sub, Inc. (Merger Sub) merged with and into US Airways Group (the Merger), with US Airways Group surviving as a wholly-owned subsidiary of AAG, a Delaware corporation (formerly known as AMR Corporation) following the Merger. “AMR” or “AMR Corporation” refers to the Company during the period of time prior to its emergence from Chapter 11 and the Effective Date of the Merger.</w:t>
      </w:r>
    </w:p>
    <w:p>
      <w:pPr>
        <w:spacing w:after="0" w:line="1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frequent traveler programs, pensions and retiree medical and other benefits and the deferred tax asset valuation allowance.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The Company is currently evaluating the requirements of ASU 2014-09 and has not yet determined its impact on the Company’s condensed consolidated financial statements.</w:t>
      </w:r>
    </w:p>
    <w:p>
      <w:pPr>
        <w:spacing w:after="0" w:line="192"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The update requires debt issuance costs related to a recognized debt liability be presented in the balance sheet as a direct deduction from the carrying amount of the related debt liability instead of being presented as an asset. Debt disclosures will include the face amount of the debt liability and the effective interest rate. The update requires retrospective application and represents a change in accounting principle. The update is effective for fiscal years beginning after December 15, 2015. Early adoption is permitted for financial statements that have not been previously issued. ASU 2015-03 is not expected to have a material impact on the Company’s condensed consolidated financial statements.</w:t>
      </w:r>
    </w:p>
    <w:p>
      <w:pPr>
        <w:spacing w:after="0" w:line="283" w:lineRule="exact"/>
        <w:rPr>
          <w:sz w:val="20"/>
          <w:szCs w:val="20"/>
          <w:color w:val="auto"/>
        </w:rPr>
      </w:pPr>
    </w:p>
    <w:p>
      <w:pPr>
        <w:ind w:left="460" w:right="6200" w:hanging="452"/>
        <w:spacing w:after="0" w:line="378"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and Merger with US Airways Group </w:t>
      </w:r>
      <w:r>
        <w:rPr>
          <w:rFonts w:ascii="Arial" w:cs="Arial" w:eastAsia="Arial" w:hAnsi="Arial"/>
          <w:sz w:val="18"/>
          <w:szCs w:val="18"/>
          <w:b w:val="1"/>
          <w:bCs w:val="1"/>
          <w:i w:val="1"/>
          <w:iCs w:val="1"/>
          <w:color w:val="auto"/>
        </w:rPr>
        <w:t>Chapter 11 Reorganization</w:t>
      </w:r>
    </w:p>
    <w:p>
      <w:pPr>
        <w:jc w:val="both"/>
        <w:ind w:firstLine="456"/>
        <w:spacing w:after="0" w:line="276" w:lineRule="auto"/>
        <w:rPr>
          <w:sz w:val="20"/>
          <w:szCs w:val="20"/>
          <w:color w:val="auto"/>
        </w:rPr>
      </w:pPr>
      <w:r>
        <w:rPr>
          <w:rFonts w:ascii="Arial" w:cs="Arial" w:eastAsia="Arial" w:hAnsi="Arial"/>
          <w:sz w:val="17"/>
          <w:szCs w:val="17"/>
          <w:color w:val="auto"/>
        </w:rPr>
        <w:t>On November 29, 2011 (the Petition Date), AMR Corporation (AMR, renamed American Airlines Group Inc., upon the closing of the Merger),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the Effective Date, the Debtors consummated their reorganization pursuant to the Plan, principally through the transactions contemplated by an Agreement and Plan of Merger (as amended, the Merger Agreement), dated as of February 13, 2013, by and among AMR, Merger Sub and US Airways Group, pursuant to which Merger Sub merged with and into US Airways Group, with US Airways Group surviving as a wholly-owned subsidiary of the Company following the Merger.</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14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the Chapter 11 Cases, trading in AMR’s common stock and certain debt securities on the New York Stock Exchange (NYSE) was suspended on January 5, 2012, and AMR’s common stock and such debt securities were delisted by the SEC from the NYSE on January 30, 2012. On January 5, 2012, AMR’s common stock began trading under the symbol “AAMRQ” (CUSIP 001765106) on the OTCQB marketplace, operated by OTC Markets Group. Pursuant to the Plan, on the Effective Date (i) all existing shares of AAG’s old common stock formerly traded under the symbol “AAMRQ” were canceled and (ii) the Company was authorized to issue up to approximately 544 million shares of common stock, par value $0.01 per share, of AAG (AAG Common Stock) by operation of the Plan (excluding shares of AAG Common Stock issuable pursuant to the Merger Agreement). On the Effective Date, the AAG Common Stock was listed on the NASDAQ Global Select Market under the symbol “AAL,” and AAMRQ ceased trading on the OTCQB marketplace.</w:t>
      </w:r>
    </w:p>
    <w:p>
      <w:pPr>
        <w:spacing w:after="0" w:line="19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Upon emergence from Chapter 11, AAG issued approximately 53 million shares of AAG Common Stock to AMR’s old equity holders and certain of the Debtors’ employees, and issued 168 million shares of AAG Series A Convertible Preferred Stock, par value $0.01 per share (the AAG Series A Preferred Stock), which was mandatorily convertible into new AAG Common Stock during the 120-day period after the Effective Date, to certain creditors and employees of the Debtors (including shares deposited in the Disputed Claims Reserve (as defined in the Plan)). In accordance with the terms of the Plan, former holders of AMR common stock (previously traded under the symbol “AAMRQ”) received, for each share of AMR common stock, an initial distribution of approximately 0.0665 shares of the AAG Common Stock as of the Effective Date. Following the Effective Date, former holders of AMR common stock and those deemed to be treated as such in connection with the elections made pursuant to the Plan have received through December 31, 2014, additional aggregate distributions of shares of AAG Common Stock of approximately 0.6776 shares of AAG Common Stock for each share of AMR common stock previously held, and may continue to receive additional distributions. As of the Effective Date, the adjusted total Double-Dip General Unsecured Claims (as defined in the Plan) were approximately $2.45 billion and the Allowed Single-Dip General Unsecured Claims (as defined in the Plan) were approximately $2.45 billion.</w:t>
      </w:r>
    </w:p>
    <w:p>
      <w:pPr>
        <w:spacing w:after="0" w:line="1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The Disputed Claims Reserve established under the Plan initially was issued 30.4 million shares, which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$4 million from the Disputed Claims Reserve at the then prevailing market price in order to fund cash tax obligations resulting from this distribution. As of March 31, 2015, there were approximately 26.0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the Company but rather will be distributed to former AMR shareholders as of the Effective Date. The Company is not required to distribute additional shares above the limits contemplated by the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13 for more information.</w:t>
      </w:r>
    </w:p>
    <w:p>
      <w:pPr>
        <w:spacing w:after="0" w:line="22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The reconciliation process with respect to the remaining claims will take considerable time post-emergence. The Company’s estimate of the amounts of disputed claims that will ultimately become allowed Single-Dip Unsecured Claims are included in bankruptcy settlement obligations on the Company’s condensed consolidated balance sheet as of March 31, 2015. As these claims are resolved, or where better information becomes available and is evaluated, the Company will make adjustments to the liabilities recorded on its condensed consolidated financial statements as appropriate. Any such adjustments could be material to the Company’s financial position or results of operations in any given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the Merger Agreement and consistent with the Plan, each share of common stock, par value $0.01 per share, of US Airways Group (the US Airways Group Common Stock) was converted into the right to receive one share of AAG Common Stock. The aggregate number of shares of AAG Common Stock issuable in the Merger to holders of US Airways Group equity instruments (including stockholders, holders of convertible notes, optionees, and holders of restricted stock units (RSUs)) represented 28%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equity ownership of AAG. The remaining 72% diluted equity ownership in AAG (up to approximately 544 million shares) was or is distributable, pursuant to the Plan, to stakeholders, labor unions, certain employees of AMR and the other Debtors, and former holders of AMR common stock (previously traded under the symbol “AAMRQ”) such that the aggregate number of shares of AAG Common Stock issuable under the Plan will not exceed 72% of the diluted equity ownership of AAG as of the time of the Merger.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22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Upon emergence from bankruptcy, the Debtors experienced an “ownership change” as defined in Section 382 of the Internal Revenue Code of 1986, as amended (Section 382), which could potentially limit the ability to utilize certain tax attributes including the Debtors’ substantial net operating losses (NOLs). The general limitation rules for a debtor in a bankruptcy case are liberalized where the ownership change occurs upon emergence from bankruptcy. The Debtors elected to be covered by certain special rules for federal income tax purposes that permit approximately $9.0 billion of the federal NOL Carryforwards to be utilized without regard to the annual limitation generally imposed by Section 382.</w:t>
      </w:r>
    </w:p>
    <w:p>
      <w:pPr>
        <w:spacing w:after="0" w:line="1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Moreover, an ownership change subsequent to the Debtors’ emergence from bankruptcy may further limit or effectively eliminate the ability to utilize the Debtors’ NOL Carryforwards and other tax attributes. To reduce the risk of a potential adverse effect on the Debtors’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the Company with the SEC on December 9,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bankruptcy settlement obligations on the condensed consolidated balance sheets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March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Single-Dip Equity Obligations</w:t>
            </w:r>
          </w:p>
        </w:tc>
        <w:tc>
          <w:tcPr>
            <w:tcW w:w="2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Labor-related deemed claim</w:t>
            </w:r>
          </w:p>
        </w:tc>
        <w:tc>
          <w:tcPr>
            <w:tcW w:w="2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275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0"/>
        </w:trPr>
        <w:tc>
          <w:tcPr>
            <w:tcW w:w="4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amount of the remaining Single-Dip Equity Obligations at March 31, 2015 is the Company’s estimate of its obligation for disputed claims of $210 million and is calculated based on the fair value of the shares expected to be issued, measured as if the obligations were settled using the closing price of AAG Common Stock at March 31, 2015.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5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exchange for employees’ contributions to the successful reorganization of the Company,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As of March 31, 2015, the remaining liability to certain AMR labor groups and employees of $65 million represents the estimated fair value of the remaining shares expected to be issued in satisfaction of such obligation, measured as if the obligation were settled using the closing price of AAG Common Stock at March 31, 2015.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19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As described above,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6350</wp:posOffset>
            </wp:positionV>
            <wp:extent cx="1732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ind w:left="8800"/>
        <w:spacing w:after="0"/>
        <w:tabs>
          <w:tab w:leader="none" w:pos="107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tabs>
          <w:tab w:leader="none" w:pos="8560" w:val="left"/>
          <w:tab w:leader="none" w:pos="9020" w:val="left"/>
          <w:tab w:leader="none" w:pos="10420" w:val="left"/>
          <w:tab w:leader="none" w:pos="10960" w:val="left"/>
        </w:tabs>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left="460" w:hanging="452"/>
        <w:spacing w:after="0" w:line="25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2015 first quarter mainline operating special items totaled a net charge of $303 million, which principally included $216 million of merger integration expenses related to information technology, professional fees, severance, share-based compensation, fleet restructuring, re-branding of aircraft and airport facilities, relocation and training. In addition, the Company recorded a net $99 million charge principally related to its new pilot joint collective bargaining agreement. These charges were offset in part by a net $6 million credit for bankruptcy related items primarily consisting of fair value adjustments for bankruptcy settlement obligations.</w:t>
      </w:r>
    </w:p>
    <w:p>
      <w:pPr>
        <w:spacing w:after="0" w:line="188" w:lineRule="exact"/>
        <w:rPr>
          <w:rFonts w:ascii="Arial" w:cs="Arial" w:eastAsia="Arial" w:hAnsi="Arial"/>
          <w:sz w:val="15"/>
          <w:szCs w:val="15"/>
          <w:color w:val="auto"/>
        </w:rPr>
      </w:pPr>
    </w:p>
    <w:p>
      <w:pPr>
        <w:jc w:val="both"/>
        <w:ind w:left="460"/>
        <w:spacing w:after="0" w:line="257" w:lineRule="auto"/>
        <w:rPr>
          <w:rFonts w:ascii="Arial" w:cs="Arial" w:eastAsia="Arial" w:hAnsi="Arial"/>
          <w:sz w:val="15"/>
          <w:szCs w:val="15"/>
          <w:color w:val="auto"/>
        </w:rPr>
      </w:pPr>
      <w:r>
        <w:rPr>
          <w:rFonts w:ascii="Arial" w:cs="Arial" w:eastAsia="Arial" w:hAnsi="Arial"/>
          <w:sz w:val="18"/>
          <w:szCs w:val="18"/>
          <w:color w:val="auto"/>
        </w:rPr>
        <w:t>The 2014 first quarter mainline operating special items totaled a net credit of $137 million, which principally included a $309 million gain on the sale of Slots at Ronald Reagan Washington National Airport and a net $32 million credit for bankruptcy related items primarily consisting of fair value adjustments for bankruptcy settlement obligations. These special credits were offset in part by $202 million of merger integration expenses related to alignment of labor union contracts, information technology, professional fees, severance and retention, share-based compensation, re-branding of aircraft and airport facilities, relocation and training.</w:t>
      </w:r>
    </w:p>
    <w:p>
      <w:pPr>
        <w:spacing w:after="0" w:line="18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operating special items, net</w:t>
            </w:r>
            <w:r>
              <w:rPr>
                <w:rFonts w:ascii="Arial" w:cs="Arial" w:eastAsia="Arial" w:hAnsi="Arial"/>
                <w:sz w:val="15"/>
                <w:szCs w:val="15"/>
                <w:color w:val="auto"/>
              </w:rPr>
              <w:t>(a)</w:t>
            </w:r>
          </w:p>
        </w:tc>
        <w:tc>
          <w:tcPr>
            <w:tcW w:w="2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(b)</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gridSpan w:val="2"/>
          </w:tcPr>
          <w:p>
            <w:pPr>
              <w:jc w:val="right"/>
              <w:ind w:right="138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(c)</w:t>
            </w:r>
          </w:p>
        </w:tc>
        <w:tc>
          <w:tcPr>
            <w:tcW w:w="2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2015 and 2014 first quarter regional operating special items principally related to merger integration expenses.</w:t>
      </w:r>
    </w:p>
    <w:p>
      <w:pPr>
        <w:spacing w:after="0" w:line="130" w:lineRule="exact"/>
        <w:rPr>
          <w:rFonts w:ascii="Arial" w:cs="Arial" w:eastAsia="Arial" w:hAnsi="Arial"/>
          <w:sz w:val="15"/>
          <w:szCs w:val="15"/>
          <w:color w:val="auto"/>
        </w:rPr>
      </w:pPr>
    </w:p>
    <w:p>
      <w:pPr>
        <w:jc w:val="both"/>
        <w:ind w:left="460" w:hanging="452"/>
        <w:spacing w:after="0" w:line="264"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2015 first quarter nonoperating special items totaled a net credit of $8 million primarily due to a $17 million early debt extinguishment gain associated with the repayment of American’s AAdvantage loan with Citibank, offset in part by a $9 million charge principally related to a non-cash write off of unamortized debt discount associated with the prepayment of certain aircraft financings.</w:t>
      </w:r>
    </w:p>
    <w:p>
      <w:pPr>
        <w:spacing w:after="0" w:line="73" w:lineRule="exact"/>
        <w:rPr>
          <w:rFonts w:ascii="Arial" w:cs="Arial" w:eastAsia="Arial" w:hAnsi="Arial"/>
          <w:sz w:val="15"/>
          <w:szCs w:val="15"/>
          <w:color w:val="auto"/>
        </w:rPr>
      </w:pPr>
    </w:p>
    <w:p>
      <w:pPr>
        <w:ind w:left="460"/>
        <w:spacing w:after="0" w:line="277" w:lineRule="auto"/>
        <w:rPr>
          <w:rFonts w:ascii="Arial" w:cs="Arial" w:eastAsia="Arial" w:hAnsi="Arial"/>
          <w:sz w:val="15"/>
          <w:szCs w:val="15"/>
          <w:color w:val="auto"/>
        </w:rPr>
      </w:pPr>
      <w:r>
        <w:rPr>
          <w:rFonts w:ascii="Arial" w:cs="Arial" w:eastAsia="Arial" w:hAnsi="Arial"/>
          <w:sz w:val="18"/>
          <w:szCs w:val="18"/>
          <w:color w:val="auto"/>
        </w:rPr>
        <w:t>The 2014 first quarter nonoperating special items totaled a net charge of $47 million principally due to non-cash interest accretion of $31 million on the bankruptcy settlement obligations and $13 million for Venezuelan foreign currency losses.</w:t>
      </w:r>
    </w:p>
    <w:p>
      <w:pPr>
        <w:spacing w:after="0" w:line="75" w:lineRule="exact"/>
        <w:rPr>
          <w:rFonts w:ascii="Arial" w:cs="Arial" w:eastAsia="Arial" w:hAnsi="Arial"/>
          <w:sz w:val="15"/>
          <w:szCs w:val="15"/>
          <w:color w:val="auto"/>
        </w:rPr>
      </w:pPr>
    </w:p>
    <w:p>
      <w:pPr>
        <w:ind w:left="460" w:right="2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2015 and 2014 first quarter tax special items were the result of a non-cash deferred income tax provision related to certain indefinite-lived intangible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(EPS) (in millions, except share and per share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EPS:</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932</w:t>
            </w:r>
          </w:p>
        </w:tc>
        <w:tc>
          <w:tcPr>
            <w:tcW w:w="6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thousands)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696,415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Basic EPS</w:t>
            </w:r>
          </w:p>
        </w:tc>
        <w:tc>
          <w:tcPr>
            <w:tcW w:w="1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932</w:t>
            </w:r>
          </w:p>
        </w:tc>
        <w:tc>
          <w:tcPr>
            <w:tcW w:w="6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Change in fair value of conversion feature on 7.25% convertible senior notes </w:t>
            </w:r>
            <w:r>
              <w:rPr>
                <w:rFonts w:ascii="Arial" w:cs="Arial" w:eastAsia="Arial" w:hAnsi="Arial"/>
                <w:sz w:val="15"/>
                <w:szCs w:val="15"/>
                <w:color w:val="auto"/>
              </w:rPr>
              <w:t>(a)</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Net income for purposes of computing diluted EPS</w:t>
            </w:r>
          </w:p>
        </w:tc>
        <w:tc>
          <w:tcPr>
            <w:tcW w:w="14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computation for diluted earnings per share (in thousands):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Weighted-average shares outstanding</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696,415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Dilutive effect of stock awards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20,515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Assumed conversion of convertible senior notes</w:t>
            </w:r>
          </w:p>
        </w:tc>
        <w:tc>
          <w:tcPr>
            <w:tcW w:w="1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Weighted average common shares outstanding</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716,930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1060"/>
              <w:spacing w:after="0"/>
              <w:rPr>
                <w:sz w:val="20"/>
                <w:szCs w:val="20"/>
                <w:color w:val="auto"/>
              </w:rPr>
            </w:pPr>
            <w:r>
              <w:rPr>
                <w:rFonts w:ascii="Arial" w:cs="Arial" w:eastAsia="Arial" w:hAnsi="Arial"/>
                <w:sz w:val="18"/>
                <w:szCs w:val="18"/>
                <w:color w:val="auto"/>
              </w:rPr>
              <w:t>Diluted earnings per share</w:t>
            </w:r>
          </w:p>
        </w:tc>
        <w:tc>
          <w:tcPr>
            <w:tcW w:w="1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following were excluded from the calculation of diluted EPS (in thousands):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auto"/>
              </w:rPr>
              <w:t>Stock options, SARs and RSUs because inclusion would be antidilutive</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left="460" w:hanging="452"/>
        <w:spacing w:after="0" w:line="25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 March 2014, the Company notified the holders of US Airways Group’s 7.25% convertible senior notes that it had elected to settle all future conversions solely in cash instead of shares of AAG Common Stock in accordance with the related indenture. Thus, the diluted shares included the weighted average impact of the 7.25% convertible senior notes only for the period from January 1, 2014 to March 12, 2014. In addition, under GAAP, the Company was required to adjust the numerator for purposes of calculating diluted earnings per share by the change in fair value of the conversion feature from March 12, 2014 to March 31, 2014, which increased GAAP net income for purposes of computing diluted earnings per share by $5 million for the three months ended March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Repurchase Program and Dividend</w:t>
      </w:r>
    </w:p>
    <w:p>
      <w:pPr>
        <w:spacing w:after="0" w:line="12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On January 27, 2015, the Company announced that its Board of Directors had authorized a new $2.0 billion share repurchase program to be completed by the end of 2016. Shares repurchased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the Company to repurchase any specific number of shares and may be suspended at any time at the Company’s discretion. During the three months ended March 31, 2015, the Company repurchased 3.8 million shares of AAG Common Stock for $190 million at a weighted average cost per share of $49.47.</w:t>
      </w:r>
    </w:p>
    <w:p>
      <w:pPr>
        <w:spacing w:after="0" w:line="178"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Also on January 27, 2015, the Company announced that its Board of Directors had declared a $0.10 per share dividend for shareholders of record on February 9, 2015, and payable on February 23, 2015. The total cash payment for dividends during the three months ended March 31, 2015 was $70 million.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it to continue a dividend for any fixed period, and payment of dividends may be suspended at any time at the Company’s discretion.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Arial" w:cs="Arial" w:eastAsia="Arial" w:hAnsi="Arial"/>
                <w:sz w:val="14"/>
                <w:szCs w:val="14"/>
                <w:b w:val="1"/>
                <w:bCs w:val="1"/>
                <w:color w:val="auto"/>
              </w:rPr>
              <w:t>March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3.75%, installments through 2019</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1,867</w:t>
            </w:r>
          </w:p>
        </w:tc>
        <w:tc>
          <w:tcPr>
            <w:tcW w:w="12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4.25%, installments through 2021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02"/>
        </w:trPr>
        <w:tc>
          <w:tcPr>
            <w:tcW w:w="20" w:type="dxa"/>
            <w:vAlign w:val="bottom"/>
          </w:tcPr>
          <w:p>
            <w:pPr>
              <w:spacing w:after="0"/>
              <w:rPr>
                <w:sz w:val="17"/>
                <w:szCs w:val="17"/>
                <w:color w:val="auto"/>
              </w:rPr>
            </w:pPr>
          </w:p>
        </w:tc>
        <w:tc>
          <w:tcPr>
            <w:tcW w:w="7960" w:type="dxa"/>
            <w:vAlign w:val="bottom"/>
          </w:tcPr>
          <w:p>
            <w:pPr>
              <w:ind w:left="340"/>
              <w:spacing w:after="0" w:line="201" w:lineRule="exact"/>
              <w:rPr>
                <w:sz w:val="20"/>
                <w:szCs w:val="20"/>
                <w:color w:val="auto"/>
              </w:rPr>
            </w:pPr>
            <w:r>
              <w:rPr>
                <w:rFonts w:ascii="Arial" w:cs="Arial" w:eastAsia="Arial" w:hAnsi="Arial"/>
                <w:sz w:val="18"/>
                <w:szCs w:val="18"/>
                <w:color w:val="auto"/>
              </w:rPr>
              <w:t>2013 Citicorp Credit Facility tranche B-1, variable interest rate of 3.50%, installments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through 2019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2013 Citicorp Credit Facility tranche B-2, variable interest rate of 3.00%, installments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through 2016</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w:t>
            </w: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r>
      <w:tr>
        <w:trPr>
          <w:trHeight w:val="202"/>
        </w:trPr>
        <w:tc>
          <w:tcPr>
            <w:tcW w:w="20" w:type="dxa"/>
            <w:vAlign w:val="bottom"/>
          </w:tcPr>
          <w:p>
            <w:pPr>
              <w:spacing w:after="0"/>
              <w:rPr>
                <w:sz w:val="17"/>
                <w:szCs w:val="17"/>
                <w:color w:val="auto"/>
              </w:rPr>
            </w:pPr>
          </w:p>
        </w:tc>
        <w:tc>
          <w:tcPr>
            <w:tcW w:w="7960" w:type="dxa"/>
            <w:vAlign w:val="bottom"/>
          </w:tcPr>
          <w:p>
            <w:pPr>
              <w:ind w:left="34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3.38% to 9.75%, maturing from 2015 to 2027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7,912</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1.50% to 8.48%, maturing from 2015 to 2027</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3,025</w:t>
            </w: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5.50% to 8.50%,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maturing from 2016 to 2035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AAdvantage Loan, effective rate of 8.30%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r>
      <w:tr>
        <w:trPr>
          <w:trHeight w:val="202"/>
        </w:trPr>
        <w:tc>
          <w:tcPr>
            <w:tcW w:w="20" w:type="dxa"/>
            <w:vAlign w:val="bottom"/>
          </w:tcPr>
          <w:p>
            <w:pPr>
              <w:spacing w:after="0"/>
              <w:rPr>
                <w:sz w:val="17"/>
                <w:szCs w:val="17"/>
                <w:color w:val="auto"/>
              </w:rPr>
            </w:pPr>
          </w:p>
        </w:tc>
        <w:tc>
          <w:tcPr>
            <w:tcW w:w="796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 maturing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from 2015 to 2028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16,713</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 senior notes, interest only payments until due in 2019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6.125% senior notes, interest only payments until due in 2018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4.625% senior notes, interest only payments until due in 2020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18,971</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17,963</w:t>
            </w: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Less: Total unamortized debt discount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17,638</w:t>
            </w:r>
          </w:p>
        </w:tc>
        <w:tc>
          <w:tcPr>
            <w:tcW w:w="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2015-1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in connection with the financing of 28 aircraft currently owned or scheduled to be delivered from July 2015 to September 2015 (the 2015 EETC Aircraft). The 2015-1 EETCs represent fractional undivided interests in the respective pass-through trusts and are not obligations of American. Proceeds received from the sale of EETCs are initially held by a depository in escrow for the benefit of the certificate holders until American issues equipment notes to the pass-through trusts, which purchase the notes with a portion of the escrowed funds. These escrowed funds are not guaranteed by American and are not reported as debt on the Company’s condensed consolidated balance sheet because the proceeds held by the depository are not American’s assets.</w:t>
      </w:r>
    </w:p>
    <w:p>
      <w:pPr>
        <w:spacing w:after="0" w:line="189"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As of March 31, 2015, $1.0 billion of the escrowed proceeds from the 2015-1 EETCs have been used to purchase equipment notes issued by American in two series: Series A equipment notes in the amount of $796 million bearing interest at 3.375% per annum and Series B equipment notes in the amount of $223 million bearing interest at 3.70% per annum. Interest and principal payments on the equipment notes are payable semiannually in May and November of each year, beginning in November 2015. The final payments on the Series A and Series B equipment notes will be due in May 2027 and May 2023, respectively. These equipment notes are secured by liens on 19 of the 2015 EETC Aircraft. The remaining $195 million of escrowed proceeds will be used to purchase equipment notes as the remaining nine new aircraft are delivered.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4.625% Senior Notes</w:t>
      </w:r>
    </w:p>
    <w:p>
      <w:pPr>
        <w:spacing w:after="0" w:line="11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March 2015, the Company issued $500 million aggregate principal amount of 4.625% senior notes due 2020 (the 4.625% senior notes). These notes bear interest at a rate of 4.625% per annum and are payable semi-annually in arrears on each March 1 and September 1, beginning on September 1, 2015. The 4.625% senior notes mature on March 1, 2020 and are fully and unconditionally guaranteed by American, US Airways Group and US Airways. The 4.625% senior notes are senior unsecured obligations of the Company. The indenture for the 4.625% senior notes contains covenants and events of default generally customary for similar financings. In addition, if the Company experiences specific kinds of changes of control, the Company must offer to repurchase the 4.625% senior notes in whole or in part at a repurchase price of 101% of the aggregate principal amount plus accrued and unpaid interest, if any, to (but not including) the repurchase date. Upon the occurrence of certain events of default, the 4.625% senior notes may be accelerated and become due and payable.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Aircraft Financing Transactions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quarter of 2015, the Company entered into loan agreements to borrow $247 million in connection with the financing of certain aircraft deliveries. The notes mature in 2025 through 2027 and bear interest at a rate of LIBOR plus an applicable margin.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AAdvantage Loan</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recognized an early debt extinguishment gain of approximately $17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At December 31, 2014, the Company had approximately $10.1 billion of gross NOL Carryforwards to reduce future federal taxable income, substantially all of which are expected to be available for use in 2015. The federal NOL Carryforwards will expire beginning in 2022 if unused. These NOL Carryforwards include an unrealized tax benefit of $867 million related to the implementation of share-based compensation accounting guidance that will be recorded in equity when realized. The Company also had approximately $4.6 billion of NOL Carryforwards to reduce future state taxable income at December 31, 2014, which will expire in years 2015 through 2034 if unused. The Company’s ability to deduct its NOL Carryforwards and to utilize certain other available tax attributes can be substantially constrained under the general annual limitation rules of Section 382 where an “ownership change” has occurred. The Company experienced an ownership change in connection with its emergence from the Chapter 11 Cases, and US Airways Group experienced an ownership change in connection with the Merger. As a result of the Merger, US Airways Group is now included in the AAG consolidated federal and state income tax return. The general limitation rules of Section 382 for a debtor in a bankruptcy case are liberalized where the ownership change occurs upon emergence from bankruptcy. The Company elected to be covered by certain special rules for federal income tax purposes that permit approximately $9.0 billion of its federal NOL Carryforwards to be utilized without regard to the Section 382 annual limitation rules. Substantially all of the Company’s remaining federal NOL Carryforwards (attributable to US Airways Group) are subject to limitation under Section 382; however, the Company’s ability to utilize such NOL Carryforwards is not anticipated to be effectively constrained as a result of such limitation. Similar limitations may apply for state income tax purposes. The Company’s ability to utilize any new NOL Carryforwards arising after the ownership changes is not affected by the annual limitation rules imposed by Section 382 unless another ownership change occurs.</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the Company had an Alternative Minimum Tax (AMT) credit carryforward of approximately $341 million available for federal income tax purposes, which is available for an indefinite period. The Company’s net deferred tax assets, which include the NOL Carryforwards, are subject to a full valuation allowance. At December 31, 2014, the federal and state valuation allowances were $4.5 billion and $264 million, respectively. In accordance with GAAP, utilization of the NOL Carryforwards after December 9, 2013 will result in a corresponding decrease in the valuation allowance and offset the Company’s tax provision dollar for dollar.</w:t>
      </w:r>
    </w:p>
    <w:p>
      <w:pPr>
        <w:spacing w:after="0" w:line="188"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The Company provides a valuation allowance for deferred tax assets when it is more likely than not that some portion, or all of its deferred tax assets, will not be realized. The ultimate realization of deferred tax assets is dependent upon the generation of future taxable income. The Company considers all available positive and negative evidence and makes certain assumptions. The Company considers many factors in evaluating the realizability of its deferred tax assets including risks associated with merger integration as well as other factors, which continue to be affected by conditions beyond its control, such as the condition of the economy, the level and volatility of fuel prices and travel demand. The Company has concluded as of March 31, 2015 that the valuation allowance was still needed on its deferred tax asset based on the weight of the factors described above.</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March 31, 2015, the Company recorded a special $9 million non-cash deferred income tax provision related to certain indefinite-lived intangible assets and $2 million of state and international income tax expense related to certain states and countries where NOLs were limited or unavailable to be used.</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March 31, 2014, the Company recorded a special $8 million non-cash deferred income tax provision related to certain indefinite-lived intangible assets and $5 million of state and international income tax expense related to certain states and countries where NOLs were limited or unavailable to be used.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Company’s short-term investments classified as Level 2 primarily utilize broker quotes in a non-active market for valuation of these securities. No changes in valuation techniques or inputs occurred during the three months ended March 31,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March 31, 2015</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7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00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$ 1,130</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$ 1,130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agency investments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Repurchase agreements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obligations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4,110</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Bank notes / certificates of deposit / time deposits</w:t>
            </w:r>
          </w:p>
        </w:tc>
        <w:tc>
          <w:tcPr>
            <w:tcW w:w="580" w:type="dxa"/>
            <w:vAlign w:val="bottom"/>
          </w:tcPr>
          <w:p>
            <w:pPr>
              <w:jc w:val="right"/>
              <w:spacing w:after="0"/>
              <w:rPr>
                <w:sz w:val="20"/>
                <w:szCs w:val="20"/>
                <w:color w:val="auto"/>
              </w:rPr>
            </w:pPr>
            <w:r>
              <w:rPr>
                <w:rFonts w:ascii="Arial" w:cs="Arial" w:eastAsia="Arial" w:hAnsi="Arial"/>
                <w:sz w:val="18"/>
                <w:szCs w:val="18"/>
                <w:color w:val="auto"/>
              </w:rPr>
              <w:t>2,738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2,738</w:t>
            </w:r>
          </w:p>
        </w:tc>
        <w:tc>
          <w:tcPr>
            <w:tcW w:w="24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6,995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$ 8,882</w:t>
            </w: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$ 1,887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6,995</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The Company’s short-term investments mature in one year or less except for $1.0 billion of corporate obligations and $990 million of bank notes/certificates of deposit/time deposits.</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There were no Level 1 to Level 2 transfers during the three months ended March 31, 2015.</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All short-term investments are classified as available-for-sale and stated at fair value. Unrealized gains and losses are reflected as a component of accumulated other comprehensive loss.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Venezuela 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2015, the Company had approximately $644 million of unrestricted cash and short-term investments held in Venezuelan bolivars. This balance includes approximately $621 million valued at 6.3 bolivars to the U.S. dollar and approximately $23 million valued at 12.0 bolivars to the U.S. dollar, with the rate depending on the date the Company submitted its repatriation request to the Venezuelan government. These rates are materially more favorable than the exchange rates currently prevailing for other transactions conducted outside of the Venezuelan government’s currency exchange system. The Company’s cash balance held in Venezuelan bolivars decreased $12 million from the December 31, 2014 balance of $656 million, due to payments made in bolivars for local operating expenditures.</w:t>
      </w:r>
    </w:p>
    <w:p>
      <w:pPr>
        <w:spacing w:after="0" w:line="19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During 2014, the Company significantly reduced capacity in the Venezuelan market and is no longer accepting bolivars as payment for airline tickets. The Company is monitoring this situation closely and continues to evaluate its holdings of Venezuelan bolivars for additional foreign currency losses or other accounting adjustments, which could be material, particularly in light of the additional uncertainty posed by the February 2015 changes to the foreign exchange regulations and the continued deterioration of economic conditions in Venezuela. More generally, fluctuations in foreign currencies, including devaluations, cannot be predicted by the Company and can significantly affect the value of the Company’s assets located outside the United States. These conditions, as well as any further delays, devaluations or imposition of more stringent repatriation restrictions, may materially adversely affect the Company’s business, results of operations and financial condition. See Part II, Item 1A. Risk Factors – “</w:t>
      </w:r>
      <w:r>
        <w:rPr>
          <w:rFonts w:ascii="Arial" w:cs="Arial" w:eastAsia="Arial" w:hAnsi="Arial"/>
          <w:sz w:val="16"/>
          <w:szCs w:val="16"/>
          <w:i w:val="1"/>
          <w:iCs w:val="1"/>
          <w:color w:val="auto"/>
        </w:rPr>
        <w:t>We operate a global business with international operations that</w:t>
      </w:r>
      <w:r>
        <w:rPr>
          <w:rFonts w:ascii="Arial" w:cs="Arial" w:eastAsia="Arial" w:hAnsi="Arial"/>
          <w:sz w:val="16"/>
          <w:szCs w:val="16"/>
          <w:color w:val="auto"/>
        </w:rPr>
        <w:t xml:space="preserve"> </w:t>
      </w:r>
      <w:r>
        <w:rPr>
          <w:rFonts w:ascii="Arial" w:cs="Arial" w:eastAsia="Arial" w:hAnsi="Arial"/>
          <w:sz w:val="16"/>
          <w:szCs w:val="16"/>
          <w:i w:val="1"/>
          <w:iCs w:val="1"/>
          <w:color w:val="auto"/>
        </w:rPr>
        <w:t>are subject to economic and political instability and have been, and in the future may continue to be, adversely affected by numerous events, circumstances or government actions beyond our control</w:t>
      </w:r>
      <w:r>
        <w:rPr>
          <w:rFonts w:ascii="Arial" w:cs="Arial" w:eastAsia="Arial" w:hAnsi="Arial"/>
          <w:sz w:val="16"/>
          <w:szCs w:val="16"/>
          <w:color w:val="auto"/>
        </w:rPr>
        <w:t>” for additional discussion of this and other currency risks.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the Company’s long-term debt was estimated using quoted market prices or discounted cash flow analyses, based on the Company’s current estimated incremental borrowing rates for similar types of borrowing arrangements. If the Company’s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the Company’s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March 31, 2015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225"/>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18,922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19,640</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17,904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18,542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Retirement Benefits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4"/>
          </w:tcPr>
          <w:p>
            <w:pPr>
              <w:ind w:left="460"/>
              <w:spacing w:after="0"/>
              <w:rPr>
                <w:sz w:val="20"/>
                <w:szCs w:val="20"/>
                <w:color w:val="auto"/>
              </w:rPr>
            </w:pPr>
            <w:r>
              <w:rPr>
                <w:rFonts w:ascii="Arial" w:cs="Arial" w:eastAsia="Arial" w:hAnsi="Arial"/>
                <w:sz w:val="18"/>
                <w:szCs w:val="18"/>
                <w:color w:val="auto"/>
                <w:w w:val="92"/>
              </w:rPr>
              <w:t>The following tables provide the components of net periodic benefit cost (in millions):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Borders>
              <w:bottom w:val="single" w:sz="8" w:color="auto"/>
            </w:tcBorders>
            <w:gridSpan w:val="9"/>
          </w:tcPr>
          <w:p>
            <w:pPr>
              <w:jc w:val="right"/>
              <w:ind w:right="98"/>
              <w:spacing w:after="0"/>
              <w:rPr>
                <w:sz w:val="20"/>
                <w:szCs w:val="20"/>
                <w:color w:val="auto"/>
              </w:rPr>
            </w:pPr>
            <w:r>
              <w:rPr>
                <w:rFonts w:ascii="Arial" w:cs="Arial" w:eastAsia="Arial" w:hAnsi="Arial"/>
                <w:sz w:val="14"/>
                <w:szCs w:val="14"/>
                <w:b w:val="1"/>
                <w:bCs w:val="1"/>
                <w:color w:val="auto"/>
              </w:rPr>
              <w:t>Retiree Medical and Other Benefits</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21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00" w:type="dxa"/>
            <w:vAlign w:val="bottom"/>
            <w:tcBorders>
              <w:top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0"/>
              </w:rPr>
              <w:t>(213)</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(54)</w:t>
            </w:r>
          </w:p>
        </w:tc>
        <w:tc>
          <w:tcPr>
            <w:tcW w:w="10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180" w:hanging="452"/>
        <w:spacing w:after="0" w:line="501" w:lineRule="auto"/>
        <w:tabs>
          <w:tab w:leader="none" w:pos="449"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2015 first quarter prior service cost does not include amortization of less than $1 million related to other post-employment benefits. Effective November 1, 2012, the Company’s defined benefit pension plans were frozen.</w:t>
      </w:r>
    </w:p>
    <w:p>
      <w:pPr>
        <w:jc w:val="both"/>
        <w:ind w:firstLine="456"/>
        <w:spacing w:after="0" w:line="257" w:lineRule="auto"/>
        <w:rPr>
          <w:sz w:val="20"/>
          <w:szCs w:val="20"/>
          <w:color w:val="auto"/>
        </w:rPr>
      </w:pPr>
      <w:r>
        <w:rPr>
          <w:rFonts w:ascii="Arial" w:cs="Arial" w:eastAsia="Arial" w:hAnsi="Arial"/>
          <w:sz w:val="18"/>
          <w:szCs w:val="18"/>
          <w:color w:val="auto"/>
        </w:rPr>
        <w:t>The Company is required to make minimum contributions to its defined benefit pension plans under the minimum funding requirements of the Employee Retirement Income Security Act of 1974 (ERISA), the Pension Funding Equity Act of 2004, the Pension Protection Act of 2006, the Pension Relief Act of 2010 and the Moving Ahead for Progress in the 21st Century Act of 2012. Based on current funding assumptions, the Company has no minimum required contributions until 2019. Currently, American’s minimum funding obligation for its pension plans is subject to temporary favorable rules that are scheduled to expire at the end of</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2017. Upon expiration of these rules, American’s funding obligations are likely to increase materially. The amount of these obligations will depend on the performance of the Company’s investments held in trust by the pension plans, interest rates for determining liabilities and the Company’s actuarial experience.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Pension and</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1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Income Tax</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Retiree</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Gain/(Loss)</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Medical</w:t>
            </w:r>
          </w:p>
        </w:tc>
        <w:tc>
          <w:tcPr>
            <w:tcW w:w="200" w:type="dxa"/>
            <w:vAlign w:val="bottom"/>
          </w:tcPr>
          <w:p>
            <w:pPr>
              <w:spacing w:after="0"/>
              <w:rPr>
                <w:sz w:val="12"/>
                <w:szCs w:val="12"/>
                <w:color w:val="auto"/>
              </w:rPr>
            </w:pPr>
          </w:p>
        </w:tc>
        <w:tc>
          <w:tcPr>
            <w:tcW w:w="8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Financial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2"/>
                <w:szCs w:val="12"/>
                <w:color w:val="auto"/>
              </w:rPr>
            </w:pP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8"/>
              </w:rPr>
              <w:t>Liability</w:t>
            </w:r>
          </w:p>
        </w:tc>
        <w:tc>
          <w:tcPr>
            <w:tcW w:w="4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Instruments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(Expense)</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0"/>
              </w:rPr>
              <w:t>(880)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700"/>
              <w:spacing w:after="0"/>
              <w:rPr>
                <w:sz w:val="20"/>
                <w:szCs w:val="20"/>
                <w:color w:val="auto"/>
              </w:rPr>
            </w:pPr>
            <w:r>
              <w:rPr>
                <w:rFonts w:ascii="Arial" w:cs="Arial" w:eastAsia="Arial" w:hAnsi="Arial"/>
                <w:sz w:val="18"/>
                <w:szCs w:val="18"/>
                <w:color w:val="auto"/>
              </w:rPr>
              <w:t>Net current-period other comprehensive income (loss)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center"/>
              <w:ind w:left="133"/>
              <w:spacing w:after="0"/>
              <w:rPr>
                <w:sz w:val="20"/>
                <w:szCs w:val="20"/>
                <w:color w:val="auto"/>
              </w:rPr>
            </w:pPr>
            <w:r>
              <w:rPr>
                <w:rFonts w:ascii="Arial" w:cs="Arial" w:eastAsia="Arial" w:hAnsi="Arial"/>
                <w:sz w:val="18"/>
                <w:szCs w:val="18"/>
                <w:color w:val="auto"/>
                <w:w w:val="99"/>
              </w:rPr>
              <w:t>—</w:t>
            </w:r>
          </w:p>
        </w:tc>
        <w:tc>
          <w:tcPr>
            <w:tcW w:w="2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months ended March 31, 2015 and 2014 are as follows (in millions):</w:t>
      </w:r>
    </w:p>
    <w:p>
      <w:pPr>
        <w:spacing w:after="0" w:line="189" w:lineRule="exact"/>
        <w:rPr>
          <w:sz w:val="20"/>
          <w:szCs w:val="20"/>
          <w:color w:val="auto"/>
        </w:rPr>
      </w:pPr>
    </w:p>
    <w:p>
      <w:pPr>
        <w:jc w:val="center"/>
        <w:ind w:left="1380"/>
        <w:spacing w:after="0"/>
        <w:rPr>
          <w:sz w:val="20"/>
          <w:szCs w:val="20"/>
          <w:color w:val="auto"/>
        </w:rPr>
      </w:pPr>
      <w:r>
        <w:rPr>
          <w:rFonts w:ascii="Arial" w:cs="Arial" w:eastAsia="Arial" w:hAnsi="Arial"/>
          <w:sz w:val="14"/>
          <w:szCs w:val="14"/>
          <w:b w:val="1"/>
          <w:bCs w:val="1"/>
          <w:color w:val="auto"/>
        </w:rPr>
        <w:t>Amount reclassified from accumulated</w:t>
      </w:r>
    </w:p>
    <w:p>
      <w:pPr>
        <w:jc w:val="center"/>
        <w:ind w:left="1380"/>
        <w:spacing w:after="0" w:line="236" w:lineRule="auto"/>
        <w:rPr>
          <w:sz w:val="20"/>
          <w:szCs w:val="20"/>
          <w:color w:val="auto"/>
        </w:rPr>
      </w:pPr>
      <w:r>
        <w:rPr>
          <w:rFonts w:ascii="Arial" w:cs="Arial" w:eastAsia="Arial" w:hAnsi="Arial"/>
          <w:sz w:val="14"/>
          <w:szCs w:val="14"/>
          <w:b w:val="1"/>
          <w:bCs w:val="1"/>
          <w:color w:val="auto"/>
        </w:rPr>
        <w:t>other comprehensive income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0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4"/>
          </w:tcPr>
          <w:p>
            <w:pPr>
              <w:jc w:val="right"/>
              <w:ind w:right="79"/>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8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Affected line item in the statement</w:t>
            </w:r>
          </w:p>
        </w:tc>
        <w:tc>
          <w:tcPr>
            <w:tcW w:w="0" w:type="dxa"/>
            <w:vAlign w:val="bottom"/>
          </w:tcPr>
          <w:p>
            <w:pPr>
              <w:spacing w:after="0"/>
              <w:rPr>
                <w:sz w:val="1"/>
                <w:szCs w:val="1"/>
                <w:color w:val="auto"/>
              </w:rPr>
            </w:pPr>
          </w:p>
        </w:tc>
      </w:tr>
      <w:tr>
        <w:trPr>
          <w:trHeight w:val="106"/>
        </w:trPr>
        <w:tc>
          <w:tcPr>
            <w:tcW w:w="4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 (loss) components</w:t>
            </w:r>
          </w:p>
        </w:tc>
        <w:tc>
          <w:tcPr>
            <w:tcW w:w="2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where net income (loss) is presented</w:t>
            </w:r>
          </w:p>
        </w:tc>
        <w:tc>
          <w:tcPr>
            <w:tcW w:w="0" w:type="dxa"/>
            <w:vAlign w:val="bottom"/>
          </w:tcPr>
          <w:p>
            <w:pPr>
              <w:spacing w:after="0"/>
              <w:rPr>
                <w:sz w:val="1"/>
                <w:szCs w:val="1"/>
                <w:color w:val="auto"/>
              </w:rPr>
            </w:pPr>
          </w:p>
        </w:tc>
      </w:tr>
      <w:tr>
        <w:trPr>
          <w:trHeight w:val="196"/>
        </w:trPr>
        <w:tc>
          <w:tcPr>
            <w:tcW w:w="4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Amortization of pension and retiree medical liability:</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(53)</w:t>
            </w:r>
          </w:p>
        </w:tc>
        <w:tc>
          <w:tcPr>
            <w:tcW w:w="11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20"/>
              <w:spacing w:after="0"/>
              <w:rPr>
                <w:sz w:val="20"/>
                <w:szCs w:val="20"/>
                <w:color w:val="auto"/>
              </w:rPr>
            </w:pPr>
            <w:r>
              <w:rPr>
                <w:rFonts w:ascii="Arial" w:cs="Arial" w:eastAsia="Arial" w:hAnsi="Arial"/>
                <w:sz w:val="18"/>
                <w:szCs w:val="18"/>
                <w:color w:val="auto"/>
                <w:w w:val="99"/>
              </w:rPr>
              <w:t>(54)</w:t>
            </w:r>
          </w:p>
        </w:tc>
        <w:tc>
          <w:tcPr>
            <w:tcW w:w="2820" w:type="dxa"/>
            <w:vAlign w:val="bottom"/>
          </w:tcPr>
          <w:p>
            <w:pPr>
              <w:spacing w:after="0"/>
              <w:rPr>
                <w:sz w:val="20"/>
                <w:szCs w:val="20"/>
                <w:color w:val="auto"/>
              </w:rPr>
            </w:pPr>
            <w:r>
              <w:rPr>
                <w:rFonts w:ascii="Arial" w:cs="Arial" w:eastAsia="Arial" w:hAnsi="Arial"/>
                <w:sz w:val="18"/>
                <w:szCs w:val="18"/>
                <w:color w:val="auto"/>
              </w:rPr>
              <w:t>Wages, salaries and benefits</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Wages, salaries and benefits</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(36)</w:t>
            </w:r>
          </w:p>
        </w:tc>
        <w:tc>
          <w:tcPr>
            <w:tcW w:w="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Regional Expenses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Expenses associated with the Company’s wholly-owned regional airlines and third-party regional carriers operating under the brand names American Eagle and US Airways Express are classified as regional expenses on the condensed consolidated statements of operations. Regional expenses consist of the following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88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292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r>
      <w:tr>
        <w:trPr>
          <w:trHeight w:val="20"/>
        </w:trPr>
        <w:tc>
          <w:tcPr>
            <w:tcW w:w="8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As previously disclosed, on the Petition Date, November 29, 2011, the Debtors filed the Chapter 11 Cases. On October 21,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w:t>
      </w:r>
    </w:p>
    <w:p>
      <w:pPr>
        <w:sectPr>
          <w:pgSz w:w="11900" w:h="16838" w:orient="portrait"/>
          <w:cols w:equalWidth="0" w:num="1">
            <w:col w:w="11420"/>
          </w:cols>
          <w:pgMar w:left="240" w:top="459" w:right="239" w:bottom="879"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879"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54"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the Company repurchased less than 0.1 million shares of AAG Common Stock for an aggregate of $4 million from the Disputed Claims Reserve at the then prevailing market price in order to fund cash tax obligations resulting from this distribution. As of March 31, 2015, there were approximately 26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the Company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the Company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7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The Company’s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The Company has denied both grievances and intends to defend these matters vigorously.</w:t>
      </w:r>
    </w:p>
    <w:p>
      <w:pPr>
        <w:spacing w:after="0" w:line="173"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On March 31, 2015, the Court denied plaintiffs’ motion. There is currently no trial date set. The Company believes this lawsuit is without merit and intends to vigorously defend against the allegations.</w:t>
      </w:r>
    </w:p>
    <w:p>
      <w:pPr>
        <w:spacing w:after="0" w:line="18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US Airways Sabre Matter</w:t>
      </w:r>
      <w:r>
        <w:rPr>
          <w:rFonts w:ascii="Arial" w:cs="Arial" w:eastAsia="Arial" w:hAnsi="Arial"/>
          <w:sz w:val="18"/>
          <w:szCs w:val="18"/>
          <w:color w:val="auto"/>
        </w:rPr>
        <w:t>. On April 21, 2011, US Airways filed an antitrust lawsuit against Sabre Holdings Corporation, Sabre Inc. and Sabre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Limited (collectively, Sabre) in the Federal District Court for the Southern District of New York. The lawsuit, as amended to date, alleges, among other things, that Sabre has engaged in anticompetitive practices to preserve its market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power by restricting the Company’s ability to distribute its products to its customers. The lawsuit also alleges that these actions have permitted Sabre to charge supracompetitive booking fees and to use technologies that are not as robust and as efficient as alternatives in a competitive market. The lawsuit seeks money damages. Sabre filed a motion to dismiss the case, which the court denied in part and granted in part in September 2011, allowing two of the four counts in the complaint to proceed. In January 2015, the court denied in part and granted in part Sabre’s motions for summary judgment. A trial date is expected to be set soon. The Company intends to pursue its claims against Sabre vigorously, but there can be no assurance of the outcome of this litigation.</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 and its subsidiaries are also engaged in other legal proceedings from time to time. Legal proceedings can be complex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many months, or even years, to reach resolution, with the final outcome depending on a number of variables, some of which are not within the control of the Company. Therefore, although the Company will vigorously defend itself in each of the actions described above and such other legal proceedings, their ultimate resolution and potential financial and other impacts on the Company are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Information for Subsidiary Guarantors and Non-guarantor Subsidiaries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There are various cross-guarantees among the Company, American, US Airways Group and US Airways with respect to publicly held debt securities. In connection with the Merger, the Company and American entered into a second supplemental indenture under which they jointly and severally guaranteed the payment obligations of US Airways Group under the 6.125% senior notes. In addition, on March 31, 2014, the Company,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connection with the issuance of these guarantees, in accordance with Rule 3-10 of Regulation S-X and Rule 12h-5 under the Securities Exchange Act of 1934, as amended, US Airways Group and US Airways discontinued filing separate periodic and current reports with the SEC. As a result, in accordance with Rule 3-10, the Company is providing the following condensed consolidating financial information for the periods after Merger close for American Airlines Group (Parent Company Only), American, US Airways Group Parent, US Airways and all other non-guarantor subsidiaries, together with the consolidating adjustments necessary to present the Company’s results on a consolidated basis.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w w:val="99"/>
              </w:rPr>
              <w:t>Three Months Ended March 31, 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American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US</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Airways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(Parent</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8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Company</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10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Only)</w:t>
            </w: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Only)</w:t>
            </w: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4,690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Cargo</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5"/>
                <w:szCs w:val="15"/>
                <w:color w:val="auto"/>
                <w:w w:val="71"/>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Total nonoperating income (expense),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79"/>
              </w:rPr>
              <w:t>932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6"/>
              </w:rPr>
              <w:t>242</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932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242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Three Months Ended March 31,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American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Airways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Company</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0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Only)</w:t>
            </w: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Only)</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4,906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2,352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Cargo</w:t>
            </w:r>
          </w:p>
        </w:tc>
        <w:tc>
          <w:tcPr>
            <w:tcW w:w="12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2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2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subsidiaries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nonoperating income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451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86"/>
              </w:rPr>
              <w:t>425</w:t>
            </w:r>
          </w:p>
        </w:tc>
        <w:tc>
          <w:tcPr>
            <w:tcW w:w="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40"/>
              <w:spacing w:after="0"/>
              <w:rPr>
                <w:sz w:val="20"/>
                <w:szCs w:val="20"/>
                <w:color w:val="auto"/>
              </w:rPr>
            </w:pPr>
            <w:r>
              <w:rPr>
                <w:rFonts w:ascii="Arial" w:cs="Arial" w:eastAsia="Arial" w:hAnsi="Arial"/>
                <w:sz w:val="18"/>
                <w:szCs w:val="18"/>
                <w:color w:val="auto"/>
                <w:w w:val="86"/>
              </w:rPr>
              <w:t>424</w:t>
            </w:r>
          </w:p>
        </w:tc>
        <w:tc>
          <w:tcPr>
            <w:tcW w:w="2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color w:val="auto"/>
                <w:w w:val="89"/>
              </w:rPr>
              <w:t>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32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(loss) before tax:</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Defined benefit pension plans and retiree</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medical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Derivative financial instruments: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 in fair value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Reclassification into earnings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Unrealized gain on investments: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change in value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Three Months Ended March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American</w:t>
            </w: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US</w:t>
            </w:r>
          </w:p>
        </w:tc>
        <w:tc>
          <w:tcPr>
            <w:tcW w:w="2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Airways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Group</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Non-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(Parent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(Parent</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Company</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American</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Only)</w:t>
            </w: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Only)</w:t>
            </w:r>
          </w:p>
        </w:tc>
        <w:tc>
          <w:tcPr>
            <w:tcW w:w="1020" w:type="dxa"/>
            <w:vAlign w:val="bottom"/>
            <w:gridSpan w:val="3"/>
            <w:vMerge w:val="continue"/>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28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Reclassifications</w:t>
            </w:r>
          </w:p>
        </w:tc>
        <w:tc>
          <w:tcPr>
            <w:tcW w:w="12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932</w:t>
            </w:r>
          </w:p>
        </w:tc>
        <w:tc>
          <w:tcPr>
            <w:tcW w:w="2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   242</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9"/>
              </w:rPr>
              <w:t>14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7"/>
              </w:rPr>
              <w:t>(1,064)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20" w:type="dxa"/>
            <w:vAlign w:val="bottom"/>
          </w:tcPr>
          <w:p>
            <w:pPr>
              <w:spacing w:after="0"/>
              <w:rPr>
                <w:sz w:val="24"/>
                <w:szCs w:val="24"/>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-1259840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-960120</wp:posOffset>
            </wp:positionV>
            <wp:extent cx="72466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-548005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-273685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80" w:space="520"/>
            <w:col w:w="73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 comprehensive loss before tax</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left="90"/>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Non-cash tax provision</w:t>
            </w: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932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538</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242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(1,064)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32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before tax:</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Defined benefit pension plans and retiree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medical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Derivative financial instruments: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 in fair value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Reclassification into earnings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Unrealized gain on investments: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change in value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Three Months Ended March 31, 2014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American</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w w:val="99"/>
              </w:rPr>
              <w:t>US</w:t>
            </w: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Airways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Airlines Group</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Group</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(Parent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(Parent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Company</w:t>
            </w:r>
          </w:p>
        </w:tc>
        <w:tc>
          <w:tcPr>
            <w:tcW w:w="14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American</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Company</w:t>
            </w:r>
          </w:p>
        </w:tc>
        <w:tc>
          <w:tcPr>
            <w:tcW w:w="2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12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Only)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Only)</w:t>
            </w:r>
          </w:p>
        </w:tc>
        <w:tc>
          <w:tcPr>
            <w:tcW w:w="2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Reclassifications</w:t>
            </w:r>
          </w:p>
        </w:tc>
        <w:tc>
          <w:tcPr>
            <w:tcW w:w="12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424</w:t>
            </w: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   401</w:t>
            </w:r>
          </w:p>
        </w:tc>
        <w:tc>
          <w:tcPr>
            <w:tcW w:w="3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320"/>
              <w:spacing w:after="0"/>
              <w:rPr>
                <w:sz w:val="20"/>
                <w:szCs w:val="20"/>
                <w:color w:val="auto"/>
              </w:rPr>
            </w:pPr>
            <w:r>
              <w:rPr>
                <w:rFonts w:ascii="Arial" w:cs="Arial" w:eastAsia="Arial" w:hAnsi="Arial"/>
                <w:sz w:val="18"/>
                <w:szCs w:val="18"/>
                <w:color w:val="auto"/>
                <w:w w:val="79"/>
              </w:rPr>
              <w:t>52</w:t>
            </w:r>
          </w:p>
        </w:tc>
        <w:tc>
          <w:tcPr>
            <w:tcW w:w="28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126</w:t>
            </w: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(8)</w:t>
            </w: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center"/>
              <w:ind w:left="515"/>
              <w:spacing w:after="0"/>
              <w:rPr>
                <w:sz w:val="20"/>
                <w:szCs w:val="20"/>
                <w:color w:val="auto"/>
              </w:rPr>
            </w:pPr>
            <w:r>
              <w:rPr>
                <w:rFonts w:ascii="Arial" w:cs="Arial" w:eastAsia="Arial" w:hAnsi="Arial"/>
                <w:sz w:val="18"/>
                <w:szCs w:val="18"/>
                <w:color w:val="auto"/>
                <w:w w:val="76"/>
              </w:rPr>
              <w:t>(515)</w:t>
            </w: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left="3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left="3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left="3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left="3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-1259840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-960120</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-548005</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-273685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60" w:space="720"/>
            <w:col w:w="73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Other comprehensive loss before tax</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(103)</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Non-cash tax provision</w:t>
            </w:r>
          </w:p>
        </w:tc>
        <w:tc>
          <w:tcPr>
            <w:tcW w:w="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299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March 31, 2015</w:t>
            </w: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American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US</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Airways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Airlines Group</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Group</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(Parent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(Parent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2"/>
                <w:szCs w:val="12"/>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American</w:t>
            </w: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Company</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and</w:t>
            </w: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Only)</w:t>
            </w: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Only)</w:t>
            </w:r>
          </w:p>
        </w:tc>
        <w:tc>
          <w:tcPr>
            <w:tcW w:w="980" w:type="dxa"/>
            <w:vAlign w:val="bottom"/>
            <w:gridSpan w:val="3"/>
            <w:vMerge w:val="continue"/>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 net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3"/>
        </w:trPr>
        <w:tc>
          <w:tcPr>
            <w:tcW w:w="4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9,078</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141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17,130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 of accumulated amortization</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23"/>
        </w:trPr>
        <w:tc>
          <w:tcPr>
            <w:tcW w:w="432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28,965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17,461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473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maturities of long-term debt and capital</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Payables to related parties, net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Frequent flyer liability</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12,447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Long-term debt and capital leases, net of current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maturities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10,972</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17,638</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Bankruptcy settlement obligations</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21,470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15,049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10,714</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4,727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Retained earnings (deficit)</w:t>
            </w:r>
          </w:p>
        </w:tc>
        <w:tc>
          <w:tcPr>
            <w:tcW w:w="1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(7,702)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(10,990)</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1,424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05"/>
        </w:trPr>
        <w:tc>
          <w:tcPr>
            <w:tcW w:w="4320" w:type="dxa"/>
            <w:vAlign w:val="bottom"/>
          </w:tcPr>
          <w:p>
            <w:pPr>
              <w:ind w:left="1080"/>
              <w:spacing w:after="0" w:line="205" w:lineRule="exact"/>
              <w:rPr>
                <w:sz w:val="20"/>
                <w:szCs w:val="20"/>
                <w:color w:val="auto"/>
              </w:rPr>
            </w:pPr>
            <w:r>
              <w:rPr>
                <w:rFonts w:ascii="Arial" w:cs="Arial" w:eastAsia="Arial" w:hAnsi="Arial"/>
                <w:sz w:val="18"/>
                <w:szCs w:val="18"/>
                <w:b w:val="1"/>
                <w:bCs w:val="1"/>
                <w:color w:val="auto"/>
                <w:w w:val="94"/>
              </w:rPr>
              <w:t>Total liabilities and stockholders’ equity</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126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28,965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7,150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17,461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(11,478)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46,754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3"/>
              </w:rPr>
              <w:t>December 31, 2014</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7"/>
              </w:rPr>
              <w:t>American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US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Airways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Airlines Group</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Company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American</w:t>
            </w: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and</w:t>
            </w: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Only)</w:t>
            </w: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Only)</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933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4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6"/>
              </w:rPr>
              <w:t>159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79"/>
              </w:rPr>
              <w:t>677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16,299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 of accumulated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900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23"/>
        </w:trPr>
        <w:tc>
          <w:tcPr>
            <w:tcW w:w="434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26,292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18,090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994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Current maturities of long-term debt and capital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leases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Payables to related parties,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Frequent flyer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Long-term debt and capital leases, net of 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758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10,004</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16,196</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02"/>
        </w:trPr>
        <w:tc>
          <w:tcPr>
            <w:tcW w:w="4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Mandatorily convertible preferred stock and 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bankruptcy settlement obligations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759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20,344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15,135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10,632</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15,135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Retained earnings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(11,559)</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5"/>
        </w:trPr>
        <w:tc>
          <w:tcPr>
            <w:tcW w:w="4340" w:type="dxa"/>
            <w:vAlign w:val="bottom"/>
          </w:tcPr>
          <w:p>
            <w:pPr>
              <w:ind w:left="1080"/>
              <w:spacing w:after="0" w:line="205" w:lineRule="exact"/>
              <w:rPr>
                <w:sz w:val="20"/>
                <w:szCs w:val="20"/>
                <w:color w:val="auto"/>
              </w:rPr>
            </w:pPr>
            <w:r>
              <w:rPr>
                <w:rFonts w:ascii="Arial" w:cs="Arial" w:eastAsia="Arial" w:hAnsi="Arial"/>
                <w:sz w:val="18"/>
                <w:szCs w:val="18"/>
                <w:b w:val="1"/>
                <w:bCs w:val="1"/>
                <w:color w:val="auto"/>
                <w:w w:val="94"/>
              </w:rPr>
              <w:t>Total liabilities and stockholders’ equity</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1260"/>
              <w:spacing w:after="0"/>
              <w:rPr>
                <w:sz w:val="20"/>
                <w:szCs w:val="20"/>
                <w:color w:val="auto"/>
              </w:rPr>
            </w:pPr>
            <w:r>
              <w:rPr>
                <w:rFonts w:ascii="Arial" w:cs="Arial" w:eastAsia="Arial" w:hAnsi="Arial"/>
                <w:sz w:val="18"/>
                <w:szCs w:val="18"/>
                <w:b w:val="1"/>
                <w:bCs w:val="1"/>
                <w:color w:val="auto"/>
              </w:rPr>
              <w:t>(deficit)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26,292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7,029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18,090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(11,428)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43,771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rPr>
              <w:t>Three Months Ended March 31, 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American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US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Airways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(Parent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2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Only)</w:t>
            </w: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left="16"/>
              <w:spacing w:after="0"/>
              <w:rPr>
                <w:sz w:val="20"/>
                <w:szCs w:val="20"/>
                <w:color w:val="auto"/>
              </w:rPr>
            </w:pPr>
            <w:r>
              <w:rPr>
                <w:rFonts w:ascii="Arial" w:cs="Arial" w:eastAsia="Arial" w:hAnsi="Arial"/>
                <w:sz w:val="14"/>
                <w:szCs w:val="14"/>
                <w:b w:val="1"/>
                <w:bCs w:val="1"/>
                <w:color w:val="auto"/>
                <w:w w:val="94"/>
              </w:rPr>
              <w:t>Only)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Reclassifications</w:t>
            </w:r>
          </w:p>
        </w:tc>
        <w:tc>
          <w:tcPr>
            <w:tcW w:w="3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cash provided by (used in) operating</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Capital expenditures and aircraft purchase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(1,160)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(1,945)</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(1,529)</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340"/>
              <w:spacing w:after="0" w:line="201" w:lineRule="exact"/>
              <w:rPr>
                <w:sz w:val="20"/>
                <w:szCs w:val="20"/>
                <w:color w:val="auto"/>
              </w:rPr>
            </w:pPr>
            <w:r>
              <w:rPr>
                <w:rFonts w:ascii="Arial" w:cs="Arial" w:eastAsia="Arial" w:hAnsi="Arial"/>
                <w:sz w:val="18"/>
                <w:szCs w:val="18"/>
                <w:color w:val="auto"/>
              </w:rPr>
              <w:t>Decrease in restricted cash and short-term</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5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Proceeds from sale of property and equipment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(2,715)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w w:val="96"/>
              </w:rPr>
              <w:t>Payments on long-term debt and capital leases</w:t>
            </w:r>
          </w:p>
        </w:tc>
        <w:tc>
          <w:tcPr>
            <w:tcW w:w="14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repurchases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Dividend payment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Net cash provided by (used in) financing</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8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w w:val="86"/>
              </w:rPr>
              <w:t>242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rPr>
              <w:t>Three Months Ended March 31, 2014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American</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US</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Airways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American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Airlines Group</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Group</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(Parent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Airlines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American</w:t>
            </w:r>
          </w:p>
        </w:tc>
        <w:tc>
          <w:tcPr>
            <w:tcW w:w="1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Airways</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Group 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Only)</w:t>
            </w: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Only)</w:t>
            </w:r>
          </w:p>
        </w:tc>
        <w:tc>
          <w:tcPr>
            <w:tcW w:w="1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7"/>
              </w:rPr>
              <w:t>Reclassifications</w:t>
            </w:r>
          </w:p>
        </w:tc>
        <w:tc>
          <w:tcPr>
            <w:tcW w:w="3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cash provided by (used in) operating</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Capital expenditures and aircraft purchase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340"/>
              <w:spacing w:after="0" w:line="201" w:lineRule="exact"/>
              <w:rPr>
                <w:sz w:val="20"/>
                <w:szCs w:val="20"/>
                <w:color w:val="auto"/>
              </w:rPr>
            </w:pPr>
            <w:r>
              <w:rPr>
                <w:rFonts w:ascii="Arial" w:cs="Arial" w:eastAsia="Arial" w:hAnsi="Arial"/>
                <w:sz w:val="18"/>
                <w:szCs w:val="18"/>
                <w:color w:val="auto"/>
              </w:rPr>
              <w:t>Decrease in restricted cash and short-term</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5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slot transaction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w w:val="97"/>
              </w:rPr>
              <w:t>Proceeds from sale of property and equipment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Payments on long-term debt and capital leases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Sale-leaseback transactions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Treasury stock repurchases</w:t>
            </w: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Funds transferred from (to) affiliates,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Net cash provided by (used in) financing</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8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ind w:left="460" w:right="9380" w:hanging="452"/>
        <w:spacing w:after="0" w:line="400" w:lineRule="auto"/>
        <w:tabs>
          <w:tab w:leader="none" w:pos="274"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i w:val="1"/>
          <w:iCs w:val="1"/>
          <w:u w:val="single" w:color="auto"/>
          <w:color w:val="auto"/>
        </w:rPr>
        <w:t>Dividend Declaration</w:t>
      </w:r>
    </w:p>
    <w:p>
      <w:pPr>
        <w:spacing w:after="0" w:line="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April 2015, the Company announced that its Board of Directors had declared a $0.10 per share dividend for shareholders of record on May 4, 2015, and payable on May 18, 2015.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it to continue a dividend for any fixed period, and payment of dividends may be suspended at any time at the Company’s discretion.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Refinancing of 2014 Credit Facilities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April 20, 2015, American refinanced its $750 million term loan facility (the new 2015 Term Loan Facility and together with a $400 million revolving credit facility, the 2014 Credit Facilities) to reduce the LIBOR margin from 3.50% to 3.00% and entered into certain amendments to reflect the release of certain existing collateral and the addition of certain new collateral and to allow American to make future modifications to the collateral pledged. For more information on these amendments, see Part II, Item 5. Other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1B.</w:t>
            </w:r>
          </w:p>
        </w:tc>
        <w:tc>
          <w:tcPr>
            <w:tcW w:w="7840" w:type="dxa"/>
            <w:vAlign w:val="bottom"/>
          </w:tcPr>
          <w:p>
            <w:pPr>
              <w:ind w:left="60"/>
              <w:spacing w:after="0"/>
              <w:rPr>
                <w:sz w:val="20"/>
                <w:szCs w:val="20"/>
                <w:color w:val="auto"/>
              </w:rPr>
            </w:pPr>
            <w:r>
              <w:rPr>
                <w:rFonts w:ascii="Arial" w:cs="Arial" w:eastAsia="Arial" w:hAnsi="Arial"/>
                <w:sz w:val="18"/>
                <w:szCs w:val="18"/>
                <w:b w:val="1"/>
                <w:bCs w:val="1"/>
                <w:color w:val="auto"/>
              </w:rPr>
              <w:t>CONDENSED CONSOLIDATED FINANCIAL STATEMENTS OF AMERICAN AIRLINES, INC.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rPr>
              <w:t>AMERICAN AIRLINES,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40" w:type="dxa"/>
            <w:vAlign w:val="bottom"/>
          </w:tcPr>
          <w:p>
            <w:pPr>
              <w:jc w:val="center"/>
              <w:ind w:left="133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3"/>
              </w:rPr>
              <w:t>(In millions)(Unaudited)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2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Mainline passenger</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4,690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4,906</w:t>
            </w: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20" w:type="dxa"/>
            <w:vAlign w:val="bottom"/>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Cargo</w:t>
            </w: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r>
      <w:tr>
        <w:trPr>
          <w:trHeight w:val="223"/>
        </w:trPr>
        <w:tc>
          <w:tcPr>
            <w:tcW w:w="20" w:type="dxa"/>
            <w:vAlign w:val="bottom"/>
          </w:tcPr>
          <w:p>
            <w:pPr>
              <w:spacing w:after="0"/>
              <w:rPr>
                <w:sz w:val="19"/>
                <w:szCs w:val="19"/>
                <w:color w:val="auto"/>
              </w:rPr>
            </w:pPr>
          </w:p>
        </w:tc>
        <w:tc>
          <w:tcPr>
            <w:tcW w:w="8900" w:type="dxa"/>
            <w:vAlign w:val="bottom"/>
            <w:gridSpan w:val="2"/>
          </w:tcPr>
          <w:p>
            <w:pPr>
              <w:ind w:left="70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Aircraft fuel and related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Regional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Other rent and landing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Selling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Special items,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Other, net</w:t>
            </w:r>
          </w:p>
        </w:tc>
        <w:tc>
          <w:tcPr>
            <w:tcW w:w="7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20"/>
                <w:szCs w:val="20"/>
                <w:color w:val="auto"/>
              </w:rPr>
            </w:pPr>
          </w:p>
        </w:tc>
        <w:tc>
          <w:tcPr>
            <w:tcW w:w="8900" w:type="dxa"/>
            <w:vAlign w:val="bottom"/>
            <w:gridSpan w:val="2"/>
          </w:tcPr>
          <w:p>
            <w:pPr>
              <w:ind w:left="700"/>
              <w:spacing w:after="0"/>
              <w:rPr>
                <w:sz w:val="20"/>
                <w:szCs w:val="20"/>
                <w:color w:val="auto"/>
              </w:rPr>
            </w:pPr>
            <w:r>
              <w:rPr>
                <w:rFonts w:ascii="Arial" w:cs="Arial" w:eastAsia="Arial" w:hAnsi="Arial"/>
                <w:sz w:val="18"/>
                <w:szCs w:val="18"/>
                <w:color w:val="auto"/>
              </w:rPr>
              <w:t>Total nonoperating expense, net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r>
      <w:tr>
        <w:trPr>
          <w:trHeight w:val="223"/>
        </w:trPr>
        <w:tc>
          <w:tcPr>
            <w:tcW w:w="20" w:type="dxa"/>
            <w:vAlign w:val="bottom"/>
          </w:tcPr>
          <w:p>
            <w:pPr>
              <w:spacing w:after="0"/>
              <w:rPr>
                <w:sz w:val="19"/>
                <w:szCs w:val="19"/>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before tax:</w:t>
            </w: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 and retiree medical</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Reclassification into earnings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investments: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Net change in value</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before tax</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Non-cash tax provision</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March 31, 2015</w:t>
            </w:r>
          </w:p>
        </w:tc>
        <w:tc>
          <w:tcPr>
            <w:tcW w:w="3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2"/>
              </w:rPr>
              <w:t>(Unaudited)</w:t>
            </w:r>
          </w:p>
        </w:tc>
        <w:tc>
          <w:tcPr>
            <w:tcW w:w="4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4,853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1,437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Flight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22,462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Ground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5,326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purchase deposits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28,987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(11,857)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(11,692)</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Intangibles, net of accumulated amortization of $379 and $376, respectively</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840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28,965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802</w:t>
            </w:r>
          </w:p>
        </w:tc>
        <w:tc>
          <w:tcPr>
            <w:tcW w:w="400" w:type="dxa"/>
            <w:vAlign w:val="bottom"/>
          </w:tcPr>
          <w:p>
            <w:pPr>
              <w:spacing w:after="0"/>
              <w:rPr>
                <w:sz w:val="18"/>
                <w:szCs w:val="18"/>
                <w:color w:val="auto"/>
              </w:rPr>
            </w:pPr>
          </w:p>
        </w:tc>
        <w:tc>
          <w:tcPr>
            <w:tcW w:w="7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Accrued salaries and wages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 traffic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Frequent flyer liability</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2,776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10,004</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7,355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gains and credits,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Bankruptcy settlement obligations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10,714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(4,676)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(10,990)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(4,952)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23"/>
        </w:trPr>
        <w:tc>
          <w:tcPr>
            <w:tcW w:w="8400" w:type="dxa"/>
            <w:vAlign w:val="bottom"/>
          </w:tcPr>
          <w:p>
            <w:pPr>
              <w:ind w:left="1080"/>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28,965</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2,285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slot transaction</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Sale-leaseback transactions</w:t>
            </w:r>
          </w:p>
        </w:tc>
        <w:tc>
          <w:tcPr>
            <w:tcW w:w="14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Funds transferred to affiliates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529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of bankruptcy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2014. American is a wholly-owned subsidiary of American Airlines Group Inc. (AAG). All significant intercompany transactions have been eliminated.</w:t>
      </w:r>
    </w:p>
    <w:p>
      <w:pPr>
        <w:spacing w:after="0" w:line="166"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long-lived and intangible assets, the frequent traveler program, pensions and retiree medical and other benefits and the deferred tax asset valuation allowance.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American is currently evaluating the requirements of ASU 2014-09 and has not yet determined its impact on American’s condensed consolidated financial statements.</w:t>
      </w:r>
    </w:p>
    <w:p>
      <w:pPr>
        <w:spacing w:after="0" w:line="192"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The update requires debt issuance costs related to a recognized debt liability be presented in the balance sheet as a direct deduction from the carrying amount of the related debt liability instead of being presented as an asset. Debt disclosures will include the face amount of the debt liability and the effective interest rate. The update requires retrospective application and represents a change in accounting principle. The update is effective for fiscal years beginning after December 15, 2015. Early adoption is permitted for financial statements that have not been previously issued. ASU 2015-03 is not expected to have a material impact on American’s condensed consolidated financial statements.</w:t>
      </w:r>
    </w:p>
    <w:p>
      <w:pPr>
        <w:spacing w:after="0" w:line="283" w:lineRule="exact"/>
        <w:rPr>
          <w:sz w:val="20"/>
          <w:szCs w:val="20"/>
          <w:color w:val="auto"/>
        </w:rPr>
      </w:pPr>
    </w:p>
    <w:p>
      <w:pPr>
        <w:ind w:left="460" w:right="8960" w:hanging="452"/>
        <w:spacing w:after="0" w:line="453" w:lineRule="auto"/>
        <w:tabs>
          <w:tab w:leader="none" w:pos="184"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Emergence from Chapter 11 </w:t>
      </w:r>
      <w:r>
        <w:rPr>
          <w:rFonts w:ascii="Arial" w:cs="Arial" w:eastAsia="Arial" w:hAnsi="Arial"/>
          <w:sz w:val="15"/>
          <w:szCs w:val="15"/>
          <w:b w:val="1"/>
          <w:bCs w:val="1"/>
          <w:i w:val="1"/>
          <w:iCs w:val="1"/>
          <w:color w:val="auto"/>
        </w:rPr>
        <w:t>Chapter 11 Reorganization</w:t>
      </w:r>
    </w:p>
    <w:p>
      <w:pPr>
        <w:spacing w:after="0" w:line="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On November 29, 2011 (the Petition Date), AMR Corporation (AMR, renamed American Airlines Group Inc., upon the closing of the Merger), its principal subsidiary,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an Agreement and Plan of Merger (as amended, the Merger Agreement), dated as of February 13, 2013, by and among AMR, AMR Merger Sub, Inc. (Merger Sub) and US Airways Group, Inc. (US Airways Group), pursuant to which Merger Sub merged with and into US Airways Group (the Merger), with US Airways Group surviving as a wholly-owned subsidiary of AAG following the Merger.</w:t>
      </w:r>
    </w:p>
    <w:p>
      <w:pPr>
        <w:spacing w:after="0" w:line="18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U.S. Bankruptcy Court. However, certain pending litigation related to pre-petition liabilities may proceed in courts other than the U.S. Bankruptcy Court to the extent the parties to such litigation have obtained relief from the permanent injunction.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connection with the Chapter 11 Cases, trading in AMR’s common stock and certain debt securities on the New York Stock Exchange (NYSE) was suspended on January 5, 2012, and AMR’s common stock and such debt securities were delisted by the SEC from the NYSE on January 30, 2012. On January 5, 2012, AMR’s common stock began trading under the symbol “AAMRQ” (CUSIP 001765106) on the OTCQB marketplace, operated by OTC Markets Group. Pursuant to the Plan, on the Effective Date (i) all existing shares of AAG’s old common stock formerly traded under the symbol “AAMRQ” were canceled and (ii) AAG was authorized to issue up to approximately 544 million shares of common stock, par value $0.01 per share, of AAG (AAG Common Stock) by operation of the Plan (excluding shares of AAG Common Stock issuable pursuant to the Merger Agreement). On the Effective Date, the AAG Common Stock was listed on the NASDAQ Global Select Market under the symbol “AAL,” and AAMRQ ceased trading on the OTCQB marketplace.</w:t>
      </w:r>
    </w:p>
    <w:p>
      <w:pPr>
        <w:spacing w:after="0" w:line="16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Upon emergence from Chapter 11, AAG issued approximately 53 million shares of AAG Common Stock to AMR’s old equity holders and certain of the Debtors’ employees, and issued 168 million shares of AAG Series A Convertible Preferred Stock, par value $0.01 per share (the AAG Series A Preferred Stock), which was mandatorily convertible into new AAG Common Stock during the 120-day period after the Effective Date, to certain creditors and employees of the Debtors (including shares deposited in the Disputed Claims Reserve (as defined in the Plan)). In accordance with the terms of the Plan, former holders of AMR common stock (previously traded under the symbol “AAMRQ”) received, for each share of AMR common stock, an initial distribution of approximately 0.0665 shares of the AAG Common Stock as of the Effective Date. Following the Effective Date, former holders of AMR common stock and those deemed to be treated as such in connection with the elections made pursuant to the Plan have received through December 31, 2014, additional aggregate distributions of shares of AAG Common Stock of approximately 0.6776 shares of AAG Common Stock for each share of AMR common stock previously held, and may continue to receive additional distributions. As of the Effective Date, the adjusted total Double-Dip General Unsecured Claims (as defined in the Plan) were approximately $2.45 billion and the Allowed Single-Dip General Unsecured Claims (as defined in the Plan) were approximately $2.45 billion.</w:t>
      </w:r>
    </w:p>
    <w:p>
      <w:pPr>
        <w:spacing w:after="0" w:line="19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The Disputed Claims Reserve established under the Plan initially was issued 30.4 million shares, which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$4 million from the Disputed Claims Reserve at the then prevailing market price in order to fund cash tax obligations resulting from this distribution. As of March 31, 2015, there were approximately 26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AAG but rather will be distributed to former AMR shareholders as of the Effective Date. American is not required to distribute additional shares above the limits contemplated by the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parties have filed appeals seeking reconsideration of the Confirmation Order. See Note 12 for more information.</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reconciliation process with respect to the remaining claims will take considerable time post-emergence. American’s estimate of the amounts of disputed claims that will ultimately become allowed Single-Dip Unsecured Claims are included in bankruptcy settlement obligations on American’s condensed consolidated balance sheet as of March 31, 2015. As these claims are resolved, or where better information becomes available and is evaluated, American will make adjustments to the liabilities recorded on its condensed consolidated financial statements as appropriate. Any such adjustments could be material to American’s financial position or results of operations in any given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Upon emergence from bankruptcy, American experienced an “ownership change” as defined in Section 382 of the Internal Revenue Code of 1986, as amended (Section 382), which could potentially limit the ability to utilize certain tax attributes including American’s substantial net operating losses (NOLs). The general limitation rules for a debtor in a bankruptcy case are liberalized where the ownership change occurs upon emergence from bankruptcy. American elected to be covered by certain special rules for federal income tax purposes that permit approximately $9.5 billion of the federal NOL Carryforwards to be utilized without regard to the annual limitation generally imposed by Section 382.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Moreover, an ownership change subsequent to American’s emergence from bankruptcy may further limit or effectively eliminate the ability to utilize American’s NOL Carryforwards and other tax attributes. To reduce the risk of a potential adverse effect on American’s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AAG with the SEC on December 9,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bankruptcy settlement obligations on the condensed consolidated balance sheets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March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Single-Dip and Double-Dip Equity Obligations</w:t>
            </w:r>
          </w:p>
        </w:tc>
        <w:tc>
          <w:tcPr>
            <w:tcW w:w="2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Labor-related deemed claim</w:t>
            </w:r>
          </w:p>
        </w:tc>
        <w:tc>
          <w:tcPr>
            <w:tcW w:w="2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275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0"/>
        </w:trPr>
        <w:tc>
          <w:tcPr>
            <w:tcW w:w="5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amount of the remaining Single-Dip Equity Obligations at March 31, 2015 is American’s estimate of its obligation for disputed claims of $210 million and is calculated based on the fair value of the shares expected to be issued, measured as if the obligations were settled using the closing price of AAG Common Stock at March 31, 2015. Additional allowed claims will receive 30.7553 shares, subject to reduction for expenses of the Disputed Claims Reserve, including tax liabilities, for each $1,000 of allowed claims. For accounting purposes, the value of the shares expected to be issued is marked-to-market each period until issued. Accordingly, changes in the value of AAG Common Stock could result in future increases and decreases in this obligation.</w:t>
      </w:r>
    </w:p>
    <w:p>
      <w:pPr>
        <w:spacing w:after="0" w:line="15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exchange for employees’ contributions to the successful reorganization of AAG, including agreeing to reductions in pay and benefits, AAG and American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As of March 31, 2015, the remaining liability to certain AMR labor groups and employees of $65 million represents the estimated fair value of the remaining shares expected to be issued in satisfaction of such obligation, measured as if the obligation were settled using the closing price of AAG Common Stock at March 31, 2015. For accounting purposes, the value of the remaining shares expected to be issued to satisfy the labor claim is marked-to-market each period until issued. Accordingly, changes in the value of AAG Common Stock could result in future increases and decreases in this obligation.</w:t>
      </w:r>
    </w:p>
    <w:p>
      <w:pPr>
        <w:spacing w:after="0" w:line="19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As described above,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6350</wp:posOffset>
            </wp:positionV>
            <wp:extent cx="17322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ind w:left="8800"/>
        <w:spacing w:after="0"/>
        <w:tabs>
          <w:tab w:leader="none" w:pos="107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tabs>
          <w:tab w:leader="none" w:pos="8560" w:val="left"/>
          <w:tab w:leader="none" w:pos="9020" w:val="left"/>
          <w:tab w:leader="none" w:pos="10420" w:val="left"/>
          <w:tab w:leader="none" w:pos="10960" w:val="left"/>
        </w:tabs>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9" w:lineRule="exact"/>
        <w:rPr>
          <w:sz w:val="20"/>
          <w:szCs w:val="20"/>
          <w:color w:val="auto"/>
        </w:rPr>
      </w:pPr>
    </w:p>
    <w:p>
      <w:pPr>
        <w:jc w:val="both"/>
        <w:ind w:left="460" w:hanging="452"/>
        <w:spacing w:after="0" w:line="2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2015 first quarter mainline operating special items totaled a net charge of $198 million, which principally included $148 million of merger integration expenses related to information technology, professional fees, severance, share-based compensation, fleet restructuring, re-branding of aircraft and airport facilities, relocation and training. In addition, American recorded a net $64 million charge principally related to its new pilot joint collective bargaining agreement. These charges were offset in part by a net $6 million credit for bankruptcy related items primarily consisting of fair value adjustments for bankruptcy settlement obligations.</w:t>
      </w:r>
    </w:p>
    <w:p>
      <w:pPr>
        <w:spacing w:after="0" w:line="80" w:lineRule="exact"/>
        <w:rPr>
          <w:rFonts w:ascii="Arial" w:cs="Arial" w:eastAsia="Arial" w:hAnsi="Arial"/>
          <w:sz w:val="15"/>
          <w:szCs w:val="15"/>
          <w:color w:val="auto"/>
        </w:rPr>
      </w:pPr>
    </w:p>
    <w:p>
      <w:pPr>
        <w:jc w:val="both"/>
        <w:ind w:left="460"/>
        <w:spacing w:after="0" w:line="257" w:lineRule="auto"/>
        <w:rPr>
          <w:rFonts w:ascii="Arial" w:cs="Arial" w:eastAsia="Arial" w:hAnsi="Arial"/>
          <w:sz w:val="15"/>
          <w:szCs w:val="15"/>
          <w:color w:val="auto"/>
        </w:rPr>
      </w:pPr>
      <w:r>
        <w:rPr>
          <w:rFonts w:ascii="Arial" w:cs="Arial" w:eastAsia="Arial" w:hAnsi="Arial"/>
          <w:sz w:val="18"/>
          <w:szCs w:val="18"/>
          <w:color w:val="auto"/>
        </w:rPr>
        <w:t>The 2014 first quarter mainline operating special items totaled a net credit of $216 million, which principally included a $305 million gain on the sale of Slots at Ronald Reagan Washington National Airport and a net $56 million credit for bankruptcy related items primarily consisting of fair value adjustments for bankruptcy settlement obligations. These special credits were offset in part by $134 million of merger integration expenses related to alignment of labor union contracts, information technology, professional fees, severance and retention, share-based compensation, re-branding of aircraft and airport facilities, relocation and training.</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operating special items, net</w:t>
            </w:r>
            <w:r>
              <w:rPr>
                <w:rFonts w:ascii="Arial" w:cs="Arial" w:eastAsia="Arial" w:hAnsi="Arial"/>
                <w:sz w:val="15"/>
                <w:szCs w:val="15"/>
                <w:color w:val="auto"/>
              </w:rPr>
              <w:t>(a)</w:t>
            </w:r>
          </w:p>
        </w:tc>
        <w:tc>
          <w:tcPr>
            <w:tcW w:w="2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(b)</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gridSpan w:val="2"/>
          </w:tcPr>
          <w:p>
            <w:pPr>
              <w:jc w:val="right"/>
              <w:ind w:right="138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(c)</w:t>
            </w:r>
          </w:p>
        </w:tc>
        <w:tc>
          <w:tcPr>
            <w:tcW w:w="2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2015 and 2014 first quarter regional operating special items principally related to merger integration expenses.</w:t>
      </w:r>
    </w:p>
    <w:p>
      <w:pPr>
        <w:spacing w:after="0" w:line="23" w:lineRule="exact"/>
        <w:rPr>
          <w:rFonts w:ascii="Arial" w:cs="Arial" w:eastAsia="Arial" w:hAnsi="Arial"/>
          <w:sz w:val="15"/>
          <w:szCs w:val="15"/>
          <w:color w:val="auto"/>
        </w:rPr>
      </w:pPr>
    </w:p>
    <w:p>
      <w:pPr>
        <w:jc w:val="both"/>
        <w:ind w:left="460" w:hanging="452"/>
        <w:spacing w:after="0" w:line="255"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2015 first quarter nonoperating special items totaled a net credit of $8 million primarily due to a $17 million early debt extinguishment gain associated with the repayment of American’s AAdvantage loan with Citibank, offset in part by a $9 million charge principally related to a non-cash write off of unamortized debt discount associated with the prepayment of certain aircraft financings.</w:t>
      </w:r>
    </w:p>
    <w:p>
      <w:pPr>
        <w:spacing w:after="0" w:line="82" w:lineRule="exact"/>
        <w:rPr>
          <w:rFonts w:ascii="Arial" w:cs="Arial" w:eastAsia="Arial" w:hAnsi="Arial"/>
          <w:sz w:val="15"/>
          <w:szCs w:val="15"/>
          <w:color w:val="auto"/>
        </w:rPr>
      </w:pPr>
    </w:p>
    <w:p>
      <w:pPr>
        <w:ind w:left="460"/>
        <w:spacing w:after="0" w:line="277" w:lineRule="auto"/>
        <w:rPr>
          <w:rFonts w:ascii="Arial" w:cs="Arial" w:eastAsia="Arial" w:hAnsi="Arial"/>
          <w:sz w:val="15"/>
          <w:szCs w:val="15"/>
          <w:color w:val="auto"/>
        </w:rPr>
      </w:pPr>
      <w:r>
        <w:rPr>
          <w:rFonts w:ascii="Arial" w:cs="Arial" w:eastAsia="Arial" w:hAnsi="Arial"/>
          <w:sz w:val="18"/>
          <w:szCs w:val="18"/>
          <w:color w:val="auto"/>
        </w:rPr>
        <w:t>The 2014 first quarter nonoperating special items totaled a net charge of $44 million principally due to non-cash interest accretion of $27 million on the bankruptcy settlement obligations and $13 million for Venezuelan foreign currency losses.</w:t>
      </w:r>
    </w:p>
    <w:p>
      <w:pPr>
        <w:spacing w:after="0" w:line="75" w:lineRule="exact"/>
        <w:rPr>
          <w:rFonts w:ascii="Arial" w:cs="Arial" w:eastAsia="Arial" w:hAnsi="Arial"/>
          <w:sz w:val="15"/>
          <w:szCs w:val="15"/>
          <w:color w:val="auto"/>
        </w:rPr>
      </w:pPr>
    </w:p>
    <w:p>
      <w:pPr>
        <w:ind w:left="460" w:right="20" w:hanging="452"/>
        <w:spacing w:after="0" w:line="27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2015 and 2014 first quarter tax special items were the result of a non-cash deferred income tax provision related to certain indefinite-lived intangible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4"/>
          </w:tcPr>
          <w:p>
            <w:pPr>
              <w:spacing w:after="0"/>
              <w:rPr>
                <w:sz w:val="20"/>
                <w:szCs w:val="20"/>
                <w:color w:val="auto"/>
              </w:rPr>
            </w:pPr>
            <w:r>
              <w:rPr>
                <w:rFonts w:ascii="Arial" w:cs="Arial" w:eastAsia="Arial" w:hAnsi="Arial"/>
                <w:sz w:val="14"/>
                <w:szCs w:val="14"/>
                <w:b w:val="1"/>
                <w:bCs w:val="1"/>
                <w:color w:val="auto"/>
              </w:rPr>
              <w:t>March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3.75%, installments through 2019</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1,867</w:t>
            </w:r>
          </w:p>
        </w:tc>
        <w:tc>
          <w:tcPr>
            <w:tcW w:w="12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4.25%, installments through 2021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02"/>
        </w:trPr>
        <w:tc>
          <w:tcPr>
            <w:tcW w:w="20" w:type="dxa"/>
            <w:vAlign w:val="bottom"/>
          </w:tcPr>
          <w:p>
            <w:pPr>
              <w:spacing w:after="0"/>
              <w:rPr>
                <w:sz w:val="17"/>
                <w:szCs w:val="17"/>
                <w:color w:val="auto"/>
              </w:rPr>
            </w:pPr>
          </w:p>
        </w:tc>
        <w:tc>
          <w:tcPr>
            <w:tcW w:w="7960" w:type="dxa"/>
            <w:vAlign w:val="bottom"/>
          </w:tcPr>
          <w:p>
            <w:pPr>
              <w:ind w:left="34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3.38% to 7.00%, maturing from 2017 to 2027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5,186</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1.50% to 8.10%, maturing from 2015 to 2026</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1,927</w:t>
            </w: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5.50% to 8.50%,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maturing from 2016 to 2035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1,071</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AAdvantage Loan, effective rate of 8.30%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r>
      <w:tr>
        <w:trPr>
          <w:trHeight w:val="202"/>
        </w:trPr>
        <w:tc>
          <w:tcPr>
            <w:tcW w:w="20" w:type="dxa"/>
            <w:vAlign w:val="bottom"/>
          </w:tcPr>
          <w:p>
            <w:pPr>
              <w:spacing w:after="0"/>
              <w:rPr>
                <w:sz w:val="17"/>
                <w:szCs w:val="17"/>
                <w:color w:val="auto"/>
              </w:rPr>
            </w:pPr>
          </w:p>
        </w:tc>
        <w:tc>
          <w:tcPr>
            <w:tcW w:w="796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4.19% to 12.24%, maturing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960" w:type="dxa"/>
            <w:vAlign w:val="bottom"/>
          </w:tcPr>
          <w:p>
            <w:pPr>
              <w:ind w:left="520"/>
              <w:spacing w:after="0"/>
              <w:rPr>
                <w:sz w:val="20"/>
                <w:szCs w:val="20"/>
                <w:color w:val="auto"/>
              </w:rPr>
            </w:pPr>
            <w:r>
              <w:rPr>
                <w:rFonts w:ascii="Arial" w:cs="Arial" w:eastAsia="Arial" w:hAnsi="Arial"/>
                <w:sz w:val="18"/>
                <w:szCs w:val="18"/>
                <w:color w:val="auto"/>
              </w:rPr>
              <w:t>from 2015 to 2028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977</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100" w:type="dxa"/>
            <w:vAlign w:val="bottom"/>
            <w:shd w:val="clear" w:color="auto" w:fill="CCEEFF"/>
          </w:tcPr>
          <w:p>
            <w:pPr>
              <w:spacing w:after="0"/>
              <w:rPr>
                <w:sz w:val="18"/>
                <w:szCs w:val="18"/>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 unsecured obligations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11,805</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Less: Total unamortized debt discount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10,972</w:t>
            </w:r>
          </w:p>
        </w:tc>
        <w:tc>
          <w:tcPr>
            <w:tcW w:w="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2015-1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in connection with the financing of 28 aircraft currently owned or scheduled to be delivered from July 2015 to September 2015 (the 2015 EETC Aircraft). The 2015-1 EETCs represent fractional undivided interests in the respective pass-through trusts and are not obligations of American. Proceeds received from the sale of EETCs are initially held by a depository in escrow for the benefit of the certificate holders until American issues equipment notes to the pass-through trusts, which purchase the notes with a portion of the escrowed funds. These escrowed funds are not guaranteed by American and are not reported as debt on American’s condensed consolidated balance sheet because the proceeds held by the depository are not American’s assets.</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March 31, 2015, $1.0 billion of the escrowed proceeds from the 2015-1 EETCs have been used to purchase equipment notes issued by American in two series: Series A equipment notes in the amount of $796 million bearing interest at 3.375% per annum and Series B equipment notes in the amount of $223 million bearing interest at 3.70% per annum. Interest and principal payments on the</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equipment notes are payable semiannually in May and November of each year, beginning in November 2015. The final payments on the Series A and Series B equipment notes will be due in May 2027 and May 2023, respectively. These equipment notes are secured by liens on 19 of the 2015 EETC Aircraft. The remaining $195 million of escrowed proceeds will be used to purchase equipment notes as the remaining nine new aircraft are delivered.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Aircraft Financing Transactions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quarter of 2015, American entered into loan agreements to borrow $208 million in connection with the financing of certain aircraft deliveries. The notes mature in 2025 and 2026 and bear interest at a rate of LIBOR plus an applicable margin.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AAdvantage Loan</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recognized an early debt extinguishment gain of approximately $17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At December 31, 2014, American had approximately $10.3 billion of gross NOL Carryforwards to reduce future federal taxable income, substantially all of which are expected to be available for use in 2015. American is a member of AAG’s consolidated federal and certain state income tax returns. The amount of federal and state NOL Carryforwards available in those returns is $10.1 billion and $4.6 billion, respectively, substantially all of which is expected to be available for use in 2015. The federal NOL Carryforwards will expire beginning in 2022 if unused. These NOL Carryforwards include an unrealized tax benefit of $712 million related to the implementation of share-based compensation accounting guidance that will be recorded in equity when realized. American also had approximately $3.9 billion of NOL Carryforwards to reduce future state taxable income at December 31, 2014, which will expire in years 2015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the Chapter 11 Cases. The general limitation rules of Section 382 for a debtor in a bankruptcy case are liberalized where the ownership change occurs upon emergence from bankruptcy. American elected to be covered by certain special rules for federal income tax purposes that permit approximately $9.5 billion of its federal NOL Carryforwards to be utilized without regard to the Section 382 annual limitation rules. Similar limitations may apply for state income tax purposes. American’s ability to utilize any new NOL Carryforwards arising after the ownership change is not affected by the annual limitation rules imposed by Section 382 unless another ownership change occurs.</w:t>
      </w:r>
    </w:p>
    <w:p>
      <w:pPr>
        <w:spacing w:after="0" w:line="17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American had an AMT credit carryforward of approximately $435 million available for federal income tax purposes, which is available for an indefinite period. American’s net deferred tax assets, which include the NOL Carryforwards, are subject to a full valuation allowance. At December 31, 2014, the federal and state valuation allowances were $5.1 billion and $208 million, respectively. In accordance with GAAP, utilization of the NOL Carryforwards after December 9, 2013 will result in a corresponding decrease in the valuation allowance and offset American’s tax provision dollar for dollar.</w:t>
      </w:r>
    </w:p>
    <w:p>
      <w:pPr>
        <w:spacing w:after="0" w:line="18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American considers many factors in evaluating the realizability of its deferred tax assets including risks associated with merger integration as well as other factors, which continue to be affected by conditions beyond American’s control, such as the condition of the economy, the level and volatility of fuel prices and travel demand. American has concluded as of March 31, 2015 that the valuation allowance was still needed on its deferred tax asset based on the weight of the factors described above.</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the three months ended March 31, 2015, American recorded a special $8 million non-cash deferred income tax provision related to certain indefinite-lived intangible assets.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March 31, 2014, American recorded a special $7 million non-cash deferred income tax provision related to certain indefinite-lived intangible assets and $4 million of state and international income tax expense related to certain states and countries where NOLs were limited or unavailable to be used.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 utilizes the market approach to measure fair value for its financial assets and liabilities. The market approach uses prices and other relevant information generated by market transactions involving identical or comparable assets or liabilities. American’s short-term investments classified as Level 2 primarily utilize broker quotes in a non-active market for valuation of these securities. No changes in valuation techniques or inputs occurred during the three months ended March 31,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Fair Value Measurements as of March 31, 2015</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2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$ 1,009</w:t>
            </w:r>
          </w:p>
        </w:tc>
        <w:tc>
          <w:tcPr>
            <w:tcW w:w="4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$ 1,009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Corporate obligations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2,151</w:t>
            </w:r>
          </w:p>
        </w:tc>
        <w:tc>
          <w:tcPr>
            <w:tcW w:w="4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2,151</w:t>
            </w:r>
          </w:p>
        </w:tc>
        <w:tc>
          <w:tcPr>
            <w:tcW w:w="24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notes / certificates of deposit / time deposits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1,647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1,647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4"/>
              </w:rPr>
              <w:t>1,009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3,844</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$ 5,499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$ 1,655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3,844</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7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75" w:lineRule="exact"/>
        <w:rPr>
          <w:rFonts w:ascii="Arial" w:cs="Arial" w:eastAsia="Arial" w:hAnsi="Arial"/>
          <w:sz w:val="15"/>
          <w:szCs w:val="15"/>
          <w:color w:val="auto"/>
        </w:rPr>
      </w:pPr>
    </w:p>
    <w:p>
      <w:pPr>
        <w:ind w:left="460" w:hanging="452"/>
        <w:spacing w:after="0" w:line="27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American’s short-term investments mature in one year or less except for $338 million of corporate obligations and $476 million of bank notes/certificates of deposit/time deposits.</w:t>
      </w:r>
    </w:p>
    <w:p>
      <w:pPr>
        <w:spacing w:after="0" w:line="17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There were no Level 1 to Level 2 transfers during the three months ended March 31, 2015.</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All short-term investments are classified as available-for-sale and stated at fair value. Unrealized gains and losses are reflected as a component of accumulated other comprehensive loss.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Venezuela 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2015, American had approximately $644 million of unrestricted cash and short-term investments held in Venezuelan bolivars. This balance includes approximately $621 million valued at 6.3 bolivars to the U.S. dollar and approximately $23 million valued at 12.0 bolivars to the U.S. dollar, with the rate depending on the date American submitted its repatriation request to the Venezuelan government. These rates are materially more favorable than the exchange rates currently prevailing for other transactions conducted outside of the Venezuelan government’s currency exchange system. American’s cash balance held in Venezuelan bolivars decreased $12 million from the December 31, 2014 balance of $656 million, due to payments made in bolivars for local operating expenditures.</w:t>
      </w:r>
    </w:p>
    <w:p>
      <w:pPr>
        <w:spacing w:after="0" w:line="193"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American significantly reduced capacity in the Venezuelan market and is no longer accepting bolivars as payment for airline tickets. American is monitoring this situation closely and continues to evaluate its holdings of Venezuelan bolivars for additional foreign currency losses or other accounting adjustments, which could be material, particularly in light of the additional uncertainty posed by the February 2015 changes to the foreign exchange regulations and the continued deterioration of economic conditions in Venezuela. More generally, fluctuations in foreign currencies, including devaluations, cannot be predicted by American and can significantly affect the value of American’s assets located outside the United States. These conditions, as well as any further delays, devaluations or imposition of more stringent repatriation restrictions, may materially adversely affect American’s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economic and political 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March 31, 2015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225"/>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11,774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12,174</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11,234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11,618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Retirement Benefits</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20" w:type="dxa"/>
            <w:vAlign w:val="bottom"/>
            <w:gridSpan w:val="3"/>
          </w:tcPr>
          <w:p>
            <w:pPr>
              <w:jc w:val="right"/>
              <w:ind w:right="157"/>
              <w:spacing w:after="0"/>
              <w:rPr>
                <w:sz w:val="20"/>
                <w:szCs w:val="20"/>
                <w:color w:val="auto"/>
              </w:rPr>
            </w:pPr>
            <w:r>
              <w:rPr>
                <w:rFonts w:ascii="Arial" w:cs="Arial" w:eastAsia="Arial" w:hAnsi="Arial"/>
                <w:sz w:val="18"/>
                <w:szCs w:val="18"/>
                <w:color w:val="auto"/>
                <w:w w:val="99"/>
              </w:rPr>
              <w:t>The following tables provide the components of net periodic benefit cost (in millions):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900" w:type="dxa"/>
            <w:vAlign w:val="bottom"/>
            <w:gridSpan w:val="7"/>
          </w:tcPr>
          <w:p>
            <w:pPr>
              <w:ind w:left="24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12"/>
          </w:tcPr>
          <w:p>
            <w:pPr>
              <w:jc w:val="center"/>
              <w:ind w:right="120"/>
              <w:spacing w:after="0"/>
              <w:rPr>
                <w:sz w:val="20"/>
                <w:szCs w:val="20"/>
                <w:color w:val="auto"/>
              </w:rPr>
            </w:pPr>
            <w:r>
              <w:rPr>
                <w:rFonts w:ascii="Arial" w:cs="Arial" w:eastAsia="Arial" w:hAnsi="Arial"/>
                <w:sz w:val="14"/>
                <w:szCs w:val="14"/>
                <w:b w:val="1"/>
                <w:bCs w:val="1"/>
                <w:color w:val="auto"/>
                <w:w w:val="94"/>
              </w:rPr>
              <w:t>Retiree Medical and Other Benefits</w:t>
            </w:r>
          </w:p>
        </w:tc>
        <w:tc>
          <w:tcPr>
            <w:tcW w:w="0" w:type="dxa"/>
            <w:vAlign w:val="bottom"/>
          </w:tcPr>
          <w:p>
            <w:pPr>
              <w:spacing w:after="0"/>
              <w:rPr>
                <w:sz w:val="1"/>
                <w:szCs w:val="1"/>
                <w:color w:val="auto"/>
              </w:rPr>
            </w:pPr>
          </w:p>
        </w:tc>
      </w:tr>
      <w:tr>
        <w:trPr>
          <w:trHeight w:val="142"/>
        </w:trPr>
        <w:tc>
          <w:tcPr>
            <w:tcW w:w="6600" w:type="dxa"/>
            <w:vAlign w:val="bottom"/>
            <w:gridSpan w:val="3"/>
            <w:vMerge w:val="continue"/>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5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$ 184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(212)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79"/>
              </w:rPr>
              <w:t>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40"/>
              <w:spacing w:after="0"/>
              <w:rPr>
                <w:sz w:val="20"/>
                <w:szCs w:val="20"/>
                <w:color w:val="auto"/>
              </w:rPr>
            </w:pPr>
            <w:r>
              <w:rPr>
                <w:rFonts w:ascii="Arial" w:cs="Arial" w:eastAsia="Arial" w:hAnsi="Arial"/>
                <w:sz w:val="18"/>
                <w:szCs w:val="18"/>
                <w:color w:val="auto"/>
              </w:rPr>
              <w:t>Unrecognized net loss (gain)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10</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(55)</w:t>
            </w:r>
          </w:p>
        </w:tc>
        <w:tc>
          <w:tcPr>
            <w:tcW w:w="920" w:type="dxa"/>
            <w:vAlign w:val="bottom"/>
            <w:gridSpan w:val="4"/>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180" w:hanging="452"/>
        <w:spacing w:after="0" w:line="501" w:lineRule="auto"/>
        <w:tabs>
          <w:tab w:leader="none" w:pos="449" w:val="left"/>
        </w:tabs>
        <w:numPr>
          <w:ilvl w:val="0"/>
          <w:numId w:val="14"/>
        </w:numPr>
        <w:rPr>
          <w:rFonts w:ascii="Arial" w:cs="Arial" w:eastAsia="Arial" w:hAnsi="Arial"/>
          <w:sz w:val="15"/>
          <w:szCs w:val="15"/>
          <w:color w:val="auto"/>
        </w:rPr>
      </w:pPr>
      <w:r>
        <w:rPr>
          <w:rFonts w:ascii="Arial" w:cs="Arial" w:eastAsia="Arial" w:hAnsi="Arial"/>
          <w:sz w:val="18"/>
          <w:szCs w:val="18"/>
          <w:color w:val="auto"/>
        </w:rPr>
        <w:t>The 2015 first quarter prior service cost does not include amortization of less than $1 million related to other post-employment benefits. Effective November 1, 2012, American’s defined benefit pension plans were frozen.</w:t>
      </w:r>
    </w:p>
    <w:p>
      <w:pPr>
        <w:jc w:val="both"/>
        <w:ind w:firstLine="456"/>
        <w:spacing w:after="0" w:line="255"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the Pension Funding Equity Act of 2004, the Pension Protection Act of 2006, the Pension Relief Act of 2010 and the Moving Ahead for Progress in the 21st Century Act of 2012. Based on current funding assumptions, American has no minimum required contributions until 2019. Currently, American’s minimum funding obligation for its pension plans is subject to temporary favorable rules that are scheduled to expire at the end of 2017. Upon expiration of these rules, American’s funding obligations are likely to increase materially. The amount of these obligations will depend on the performance of American’s investments held in trust by the pension plans, interest rates for determining liabilities and American’s actuarial experience.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Pension and</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1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Income Tax</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Retiree</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Gain/(Loss)</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Medical</w:t>
            </w:r>
          </w:p>
        </w:tc>
        <w:tc>
          <w:tcPr>
            <w:tcW w:w="200" w:type="dxa"/>
            <w:vAlign w:val="bottom"/>
          </w:tcPr>
          <w:p>
            <w:pPr>
              <w:spacing w:after="0"/>
              <w:rPr>
                <w:sz w:val="12"/>
                <w:szCs w:val="12"/>
                <w:color w:val="auto"/>
              </w:rPr>
            </w:pPr>
          </w:p>
        </w:tc>
        <w:tc>
          <w:tcPr>
            <w:tcW w:w="8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Financial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2"/>
                <w:szCs w:val="12"/>
                <w:color w:val="auto"/>
              </w:rPr>
            </w:pP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8"/>
              </w:rPr>
              <w:t>Liability</w:t>
            </w:r>
          </w:p>
        </w:tc>
        <w:tc>
          <w:tcPr>
            <w:tcW w:w="4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Instruments</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(Expense)</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0"/>
              </w:rPr>
              <w:t>(991)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Amounts reclassified from accumulated other comprehensive income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700"/>
              <w:spacing w:after="0"/>
              <w:rPr>
                <w:sz w:val="20"/>
                <w:szCs w:val="20"/>
                <w:color w:val="auto"/>
              </w:rPr>
            </w:pPr>
            <w:r>
              <w:rPr>
                <w:rFonts w:ascii="Arial" w:cs="Arial" w:eastAsia="Arial" w:hAnsi="Arial"/>
                <w:sz w:val="18"/>
                <w:szCs w:val="18"/>
                <w:color w:val="auto"/>
              </w:rPr>
              <w:t>Net current-period other comprehensive income (loss)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center"/>
              <w:ind w:left="133"/>
              <w:spacing w:after="0"/>
              <w:rPr>
                <w:sz w:val="20"/>
                <w:szCs w:val="20"/>
                <w:color w:val="auto"/>
              </w:rPr>
            </w:pPr>
            <w:r>
              <w:rPr>
                <w:rFonts w:ascii="Arial" w:cs="Arial" w:eastAsia="Arial" w:hAnsi="Arial"/>
                <w:sz w:val="18"/>
                <w:szCs w:val="18"/>
                <w:color w:val="auto"/>
                <w:w w:val="99"/>
              </w:rPr>
              <w:t>—</w:t>
            </w:r>
          </w:p>
        </w:tc>
        <w:tc>
          <w:tcPr>
            <w:tcW w:w="2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80" w:type="dxa"/>
            <w:vAlign w:val="bottom"/>
            <w:vMerge w:val="restart"/>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months ended March 31, 2015 and 2014 are as follows (in millions):</w:t>
      </w:r>
    </w:p>
    <w:p>
      <w:pPr>
        <w:spacing w:after="0" w:line="189" w:lineRule="exact"/>
        <w:rPr>
          <w:sz w:val="20"/>
          <w:szCs w:val="20"/>
          <w:color w:val="auto"/>
        </w:rPr>
      </w:pPr>
    </w:p>
    <w:p>
      <w:pPr>
        <w:jc w:val="center"/>
        <w:ind w:left="900"/>
        <w:spacing w:after="0"/>
        <w:rPr>
          <w:sz w:val="20"/>
          <w:szCs w:val="20"/>
          <w:color w:val="auto"/>
        </w:rPr>
      </w:pPr>
      <w:r>
        <w:rPr>
          <w:rFonts w:ascii="Arial" w:cs="Arial" w:eastAsia="Arial" w:hAnsi="Arial"/>
          <w:sz w:val="14"/>
          <w:szCs w:val="14"/>
          <w:b w:val="1"/>
          <w:bCs w:val="1"/>
          <w:color w:val="auto"/>
        </w:rPr>
        <w:t>Amount reclassified from accumulated</w:t>
      </w:r>
    </w:p>
    <w:p>
      <w:pPr>
        <w:jc w:val="center"/>
        <w:ind w:left="900"/>
        <w:spacing w:after="0" w:line="236" w:lineRule="auto"/>
        <w:rPr>
          <w:sz w:val="20"/>
          <w:szCs w:val="20"/>
          <w:color w:val="auto"/>
        </w:rPr>
      </w:pPr>
      <w:r>
        <w:rPr>
          <w:rFonts w:ascii="Arial" w:cs="Arial" w:eastAsia="Arial" w:hAnsi="Arial"/>
          <w:sz w:val="14"/>
          <w:szCs w:val="14"/>
          <w:b w:val="1"/>
          <w:bCs w:val="1"/>
          <w:color w:val="auto"/>
        </w:rPr>
        <w:t>other comprehensive income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8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4"/>
          </w:tcPr>
          <w:p>
            <w:pPr>
              <w:jc w:val="right"/>
              <w:ind w:right="79"/>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Affected line item in the statement</w:t>
            </w:r>
          </w:p>
        </w:tc>
        <w:tc>
          <w:tcPr>
            <w:tcW w:w="0" w:type="dxa"/>
            <w:vAlign w:val="bottom"/>
          </w:tcPr>
          <w:p>
            <w:pPr>
              <w:spacing w:after="0"/>
              <w:rPr>
                <w:sz w:val="1"/>
                <w:szCs w:val="1"/>
                <w:color w:val="auto"/>
              </w:rPr>
            </w:pPr>
          </w:p>
        </w:tc>
      </w:tr>
      <w:tr>
        <w:trPr>
          <w:trHeight w:val="106"/>
        </w:trPr>
        <w:tc>
          <w:tcPr>
            <w:tcW w:w="4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20"/>
                <w:szCs w:val="20"/>
                <w:color w:val="auto"/>
              </w:rPr>
            </w:pPr>
            <w:r>
              <w:rPr>
                <w:rFonts w:ascii="Arial" w:cs="Arial" w:eastAsia="Arial" w:hAnsi="Arial"/>
                <w:sz w:val="14"/>
                <w:szCs w:val="14"/>
                <w:b w:val="1"/>
                <w:bCs w:val="1"/>
                <w:color w:val="auto"/>
              </w:rPr>
              <w:t>income (loss) components</w:t>
            </w: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20" w:type="dxa"/>
            <w:vAlign w:val="bottom"/>
            <w:gridSpan w:val="2"/>
          </w:tcPr>
          <w:p>
            <w:pPr>
              <w:ind w:left="360"/>
              <w:spacing w:after="0"/>
              <w:rPr>
                <w:sz w:val="20"/>
                <w:szCs w:val="20"/>
                <w:color w:val="auto"/>
              </w:rPr>
            </w:pPr>
            <w:r>
              <w:rPr>
                <w:rFonts w:ascii="Arial" w:cs="Arial" w:eastAsia="Arial" w:hAnsi="Arial"/>
                <w:sz w:val="14"/>
                <w:szCs w:val="14"/>
                <w:b w:val="1"/>
                <w:bCs w:val="1"/>
                <w:color w:val="auto"/>
              </w:rPr>
              <w:t>where net income (loss) is presented</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18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Amortization of pension and retiree medical liability:</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(53)</w:t>
            </w:r>
          </w:p>
        </w:tc>
        <w:tc>
          <w:tcPr>
            <w:tcW w:w="3420" w:type="dxa"/>
            <w:vAlign w:val="bottom"/>
            <w:gridSpan w:val="2"/>
          </w:tcPr>
          <w:p>
            <w:pPr>
              <w:ind w:left="360"/>
              <w:spacing w:after="0"/>
              <w:rPr>
                <w:sz w:val="20"/>
                <w:szCs w:val="20"/>
                <w:color w:val="auto"/>
              </w:rPr>
            </w:pPr>
            <w:r>
              <w:rPr>
                <w:rFonts w:ascii="Arial" w:cs="Arial" w:eastAsia="Arial" w:hAnsi="Arial"/>
                <w:sz w:val="18"/>
                <w:szCs w:val="18"/>
                <w:color w:val="auto"/>
              </w:rPr>
              <w:t>Wages, salaries and benefits</w:t>
            </w:r>
          </w:p>
        </w:tc>
        <w:tc>
          <w:tcPr>
            <w:tcW w:w="0" w:type="dxa"/>
            <w:vAlign w:val="bottom"/>
          </w:tcPr>
          <w:p>
            <w:pPr>
              <w:spacing w:after="0"/>
              <w:rPr>
                <w:sz w:val="1"/>
                <w:szCs w:val="1"/>
                <w:color w:val="auto"/>
              </w:rPr>
            </w:pPr>
          </w:p>
        </w:tc>
      </w:tr>
      <w:tr>
        <w:trPr>
          <w:trHeight w:val="216"/>
        </w:trPr>
        <w:tc>
          <w:tcPr>
            <w:tcW w:w="47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Wages, salaries and benefits</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(35)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728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11. Transactions with Related Parties</w:t>
            </w: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ind w:left="460"/>
              <w:spacing w:after="0"/>
              <w:rPr>
                <w:sz w:val="20"/>
                <w:szCs w:val="20"/>
                <w:color w:val="auto"/>
              </w:rPr>
            </w:pPr>
            <w:r>
              <w:rPr>
                <w:rFonts w:ascii="Arial" w:cs="Arial" w:eastAsia="Arial" w:hAnsi="Arial"/>
                <w:sz w:val="18"/>
                <w:szCs w:val="18"/>
                <w:color w:val="auto"/>
              </w:rPr>
              <w:t>The following represents the net payables to (receivables from) related parties (in millions):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w w:val="98"/>
              </w:rPr>
              <w:t>March 31, 2015</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American Airlines Group Parent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US Airways Group, Inc.</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(281)</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Envoy Aviation Group </w:t>
            </w:r>
            <w:r>
              <w:rPr>
                <w:rFonts w:ascii="Arial" w:cs="Arial" w:eastAsia="Arial" w:hAnsi="Arial"/>
                <w:sz w:val="15"/>
                <w:szCs w:val="15"/>
                <w:color w:val="auto"/>
              </w:rPr>
              <w:t>(1)</w:t>
            </w:r>
            <w:r>
              <w:rPr>
                <w:rFonts w:ascii="Arial" w:cs="Arial" w:eastAsia="Arial" w:hAnsi="Arial"/>
                <w:sz w:val="18"/>
                <w:szCs w:val="18"/>
                <w:color w:val="auto"/>
              </w:rPr>
              <w:t xml:space="preserve"> and other subsidiaries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80" w:hanging="572"/>
        <w:spacing w:after="0" w:line="277" w:lineRule="auto"/>
        <w:tabs>
          <w:tab w:leader="none" w:pos="58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net payable to AAG’s wholly-owned regional airline operating under the brand name of American Eagle consists principally of amounts due under regional capacity purchase agreements.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Frequent Flyer Program</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the first quarter of 2015, the US Airways Dividend Miles frequent flyer program was merged into American’s AAdvantage program. Accordingly, as of March 31, 2015, the related frequent flyer deferred revenue and incremental cost liability for the Dividend Miles program has been transferred to American with a corresponding intercompany receivable from US Airways recorded by American. No gain or loss was incurred from the transaction as the liabilities were transferred at their respective net book values. American’s intercompany receivable associated with the transfer of this obligation will be settled by US Airways through future redemptions by AAdvantage members on US Airways operated flights.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Allocated Expenses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Until American and US Airways are merged into one legal entity, revenue and expenses will continue to be recorded by each entity based on either specific identification of the related transaction where applicable or appropriate allocations based on metrics that are systematic and rational. The operating expenses of American reflect allocated expenses for certain services shared with US Airways. These allocated expenses include certain selling expenses, certain airport operating expenses at co-located airports, information technology expenses and corporate management and support functions. Shared selling expenses have been allocated primarily based on the passenger revenue of each respective carrier. Shared airport operating expenses have been allocated based on American’s and</w:t>
      </w:r>
    </w:p>
    <w:p>
      <w:pPr>
        <w:sectPr>
          <w:pgSz w:w="11900" w:h="16838" w:orient="portrait"/>
          <w:cols w:equalWidth="0" w:num="1">
            <w:col w:w="11420"/>
          </w:cols>
          <w:pgMar w:left="240" w:top="459" w:right="239" w:bottom="946"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946"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US Airways’ respective departures at those airports. Shared other expenses have been allocated primarily based on American’s and US Airways’ respective available seat miles (ASMs). Total net expense allocated from American to US Airways was $172 million for the quarter ended March 31, 2015. There were no material allocations recorded during the first quarter of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121"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the Chapter 11 Cases. On October 21, 2013,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78"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American repurchased less than 0.1 million shares of AAG Common Stock for an aggregate of $4 million from the Disputed Claims Reserve at the then prevailing market price in order to fund cash tax obligations resulting from this distribution. As of March 31, 2015, there were approximately 26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7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American has denied both grievances and intends to defend these matters vigorously.</w:t>
      </w:r>
    </w:p>
    <w:p>
      <w:pPr>
        <w:spacing w:after="0" w:line="1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The Bankruptcy Court denied plaintiffs’ motion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On March 31, 2015, the Court denied plaintiffs’ motion. There is currently no trial date set. American believes this lawsuit is without merit and intends to vigorously defend against the allegations.</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American is also engaged in other legal proceedings from time to time. Legal proceedings can be complex and take many months, or even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to reach resolution, with the final outcome depending on a number of variables, some of which are not within the control of American. Therefore, although American will vigorously defend itself in each of the actions described above and such other legal proceedings, their ultimate resolution and potential financial and other impacts on American are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Refinancing of 2014 Credit Facilities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April 20, 2015, American refinanced its $750 million term loan facility (the new 2015 Term Loan Facility and together with a $400 million revolving credit facility, the 2014 Credit Facilities) to reduce the LIBOR margin from 3.50% to 3.00% and entered into certain amendments to reflect the release of certain existing collateral and the addition of certain new collateral and to allow American to make future modifications to the collateral pledged. For more information on these amendments, see Part II, Item 5. Other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2014 (the 2014 Form 10-K). The information contained herein is not a comprehensive discussion and analysis of the financial condition and results of operations of the Company, but rather updates disclosures made in the 2014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 Airlines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We continue to move toward operating under the single brand name of “American Airlines” through our mainline operating subsidiaries, American and US Airways. Together with our wholly-owned regional airline subsidiaries and third-party regional carriers operating as American Eagle and US Airways Express, our airlines operate an average of nearly 6,700 flights per day to nearly 350 destinations in more than 50 countries from our hubs in Charlotte, Chicago, Dallas/Fort Worth, Los Angeles, Miami, New York, Philadelphia, Phoenix and Washington, D.C. In the first quarter of 2015, approximately 46 million passengers boarded our mainline and regional flights. As of March 31, 2015, we operated 973 mainline aircraft and were supported by our regional airline subsidiaries and third-party regional carriers, which operated 577 regional aircraft.</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Since American and US Airways merged in December 2013, the airline has been making steady integration progress. In the first quarter of 2015, we merged each airline’s separate frequent flyer program into the single AAdvantage program and reached a new five-year labor contract with our pilots. Additionally, on April 8, 2015, we received a single operating certificate from the Federal Aviation Administration (FAA) for American and US Airways, marking a major milestone in the integration of the two airlines.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During the first quarter of 2015, U.S. airline industry revenues were up nominally as higher traffic more than offset lower yields. Yields were lower as compared to the first quarter of 2014 due in part to competitive capacity growth in certain markets. Additionally U.S. carriers with international operations experienced weaker yields due to the devaluation of certain foreign currencies as well as the removal of certain fuel surcharges. In its most recent data available, Airlines for America, the trade association for U.S. airlines, reported the following changes in U.S. industry passenger revenues and yields: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3"/>
              </w:rPr>
              <w:t>January</w:t>
            </w:r>
          </w:p>
        </w:tc>
        <w:tc>
          <w:tcPr>
            <w:tcW w:w="15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6"/>
              </w:rPr>
              <w:t>February</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w:t>
            </w: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w w:val="85"/>
              </w:rPr>
              <w:t>2015 vs. 2014</w:t>
            </w:r>
          </w:p>
        </w:tc>
        <w:tc>
          <w:tcPr>
            <w:tcW w:w="66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Passenger Revenues</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Yields</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r>
      <w:tr>
        <w:trPr>
          <w:trHeight w:val="36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3"/>
              </w:rPr>
              <w:t>January</w:t>
            </w:r>
          </w:p>
        </w:tc>
        <w:tc>
          <w:tcPr>
            <w:tcW w:w="15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6"/>
              </w:rPr>
              <w:t>February</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w:t>
            </w: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w w:val="85"/>
              </w:rPr>
              <w:t>2014 vs. 2013</w:t>
            </w:r>
          </w:p>
        </w:tc>
        <w:tc>
          <w:tcPr>
            <w:tcW w:w="662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Passenger Revenues</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3.5%</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2.6%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Yields</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bl>
    <w:p>
      <w:pPr>
        <w:spacing w:after="0" w:line="20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Jet fuel prices continue to follow the price of Brent crude oil more closely than the price of West Texas Intermediate crude oil. On average, Brent crude oil per barrel was approximately 50% lower in the first quarter of 2015 as compared to the first quarter of 2014. The average daily spot price for Brent crude oil during the first quarter of 2015 was $54 per barrel as compared to an average daily spot price of $108 per barrel during the first quarter of 2014. On a daily basis, Brent crude oil prices fluctuated during the quarter between a high of $62 per barrel to a low of $45 per barrel, and closed the quarter on March 31, 2015, at $54 per barrel.</w:t>
      </w:r>
    </w:p>
    <w:p>
      <w:pPr>
        <w:spacing w:after="0" w:line="188"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While the U.S. airline industry is currently benefiting from significantly reduced fuel prices as described above, uncertainty exists regarding the economic conditions driving these factors. See Part II, Item 1A. Risk Factors – </w:t>
      </w:r>
      <w:r>
        <w:rPr>
          <w:rFonts w:ascii="Arial" w:cs="Arial" w:eastAsia="Arial" w:hAnsi="Arial"/>
          <w:sz w:val="17"/>
          <w:szCs w:val="17"/>
          <w:i w:val="1"/>
          <w:iCs w:val="1"/>
          <w:color w:val="auto"/>
        </w:rPr>
        <w:t>“Downturns in economic conditions adversely affect our business”</w:t>
      </w:r>
      <w:r>
        <w:rPr>
          <w:rFonts w:ascii="Arial" w:cs="Arial" w:eastAsia="Arial" w:hAnsi="Arial"/>
          <w:sz w:val="17"/>
          <w:szCs w:val="17"/>
          <w:color w:val="auto"/>
        </w:rPr>
        <w:t xml:space="preserve"> and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First Quarter 2015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a substantial reduction in fuel costs, we realized operating income of $1.2 billion and net income of $932 million in the first quarter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compares to operating income of $730 million and net income of $480 million in the first quarter of 2014.</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Excluding the effects of net special charges, we recognized operating income of $1.5 billion and net income of $1.2 billion in the first quarter of 2015. This compares to operating income of $597 million and net income of $402 million, excluding net special credits in the first quarter of 2014, representing a 156% and 209% improvement in the first quarter of 2015 in operating income and net income,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1080" w:type="dxa"/>
            <w:vAlign w:val="bottom"/>
            <w:gridSpan w:val="2"/>
          </w:tcPr>
          <w:p>
            <w:pPr>
              <w:jc w:val="center"/>
              <w:ind w:left="36"/>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3080" w:type="dxa"/>
            <w:vAlign w:val="bottom"/>
            <w:tcBorders>
              <w:top w:val="single" w:sz="8" w:color="auto"/>
            </w:tcBorders>
            <w:gridSpan w:val="7"/>
          </w:tcPr>
          <w:p>
            <w:pPr>
              <w:jc w:val="right"/>
              <w:ind w:right="236"/>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passenger revenues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$ 8,441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9,995</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aircraft fuel and related taxes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8,611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9,265</w:t>
            </w: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480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Special items: </w:t>
            </w:r>
            <w:r>
              <w:rPr>
                <w:rFonts w:ascii="Arial" w:cs="Arial" w:eastAsia="Arial" w:hAnsi="Arial"/>
                <w:sz w:val="15"/>
                <w:szCs w:val="15"/>
                <w:b w:val="1"/>
                <w:bCs w:val="1"/>
                <w:color w:val="auto"/>
              </w:rPr>
              <w:t>(1)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Operating special charges (credits), net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Nonoperating special charges (credits), net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Income tax special charges, net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net special charges (credits)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AAG’s first quarter 2015 results were significantly impacted by net special charges of $311 million, consisting principally of $223 million of mainline and regional merger integration expenses and $99 million in charges related to our new pilot contract. The first quarter of 2014 included a similar amount of merger integration expenses; however, these expenses were more than offset by a gain on sale of slots at Ronald Reagan Washington National Airport. See Part I, Item 2. Management’s Discussion and Analysis of Financial Condition and Results of Operations – “AAG’s Results of Operations” of this report for more information on net special items.</w:t>
      </w:r>
    </w:p>
    <w:p>
      <w:pPr>
        <w:spacing w:after="0" w:line="29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Revenue</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the first quarter of 2015, we reported operating revenues of $9.8 billion. Mainline and regional passenger revenues were $8.4 billion, a decrease of $224 million, or 2.6%, as compared to the first quarter of 2014. The decline in revenues was driven by a 1.4% decrease in revenue passenger miles as compared to the first quarter of 2014 due primarily to winter storm related flight cancellations. A 1.2% decline in yield also contributed to the decrease and was driven by competitive capacity growth in certain of our key markets, as well as weaker international yields due to foreign currency devaluation. Our mainline and regional passenger revenue per available seat mile (PRASM) was 13.44 cents in the first quarter of 2015, a 1.7% decrease as compared to 13.67 cents in the first quarter of 2014.</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Fuel</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Mainline and regional fuel expense was $1.9 billion in the first quarter of 2015, which was $1.4 billion, or 42.2%, lower as compared to mainline and regional fuel expense in the first quarter of 2014. This decrease was driven by a 41.0% decrease in the average price per gallon to $1.83 in the first quarter of 2015 from an average price per gallon of $3.10 in the 2014 period.</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During the second quarter of 2014, we sold our portfolio of fuel hedging contracts that were scheduled to settle on or after June 30, 2014. We have not entered into any transactions to hedge our fuel consumption since December 9, 2013 and, accordingly, as of March 31, 2015,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Cost Control</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remain committed to actively managing and maintaining a low cost structure, which we believe is necessary in an industry whose economic prospects are heavily dependent upon two variables we cannot control: the health of the economy and the price of fuel. Our 2015 first quarter mainline cost per available seat mile (CASM) excluding special items and fuel was 9.49 cents, an increase of 5.8% as compared to the first quarter of 2014. The increase was primarily due to higher salaries, wages and benefits driven by new merger-related labor contracts.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mainline CASM for the three months ended March 31, 2015 and 2014: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1040" w:type="dxa"/>
            <w:vAlign w:val="bottom"/>
            <w:gridSpan w:val="2"/>
          </w:tcPr>
          <w:p>
            <w:pPr>
              <w:jc w:val="center"/>
              <w:ind w:left="38"/>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960" w:type="dxa"/>
            <w:vAlign w:val="bottom"/>
            <w:tcBorders>
              <w:top w:val="single" w:sz="8" w:color="auto"/>
            </w:tcBorders>
            <w:gridSpan w:val="6"/>
          </w:tcPr>
          <w:p>
            <w:pPr>
              <w:jc w:val="right"/>
              <w:ind w:right="258"/>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Mainline CASM excluding special items and aircraft fuel and related taxes:</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Total mainline CASM</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13.50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(4.77)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w w:val="98"/>
              </w:rPr>
              <w:t>Mainline operating expenses per ASM, excluding special items and aircraft fuel and related taxes</w:t>
            </w:r>
          </w:p>
        </w:tc>
        <w:tc>
          <w:tcPr>
            <w:tcW w:w="112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8.97</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900"/>
              <w:spacing w:after="0"/>
              <w:rPr>
                <w:sz w:val="20"/>
                <w:szCs w:val="20"/>
                <w:color w:val="auto"/>
              </w:rPr>
            </w:pPr>
            <w:r>
              <w:rPr>
                <w:rFonts w:ascii="Arial" w:cs="Arial" w:eastAsia="Arial" w:hAnsi="Arial"/>
                <w:sz w:val="15"/>
                <w:szCs w:val="15"/>
                <w:color w:val="auto"/>
              </w:rPr>
              <w:t>(1)</w:t>
            </w:r>
          </w:p>
        </w:tc>
        <w:tc>
          <w:tcPr>
            <w:tcW w:w="11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29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Customer Service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committed to consistently delivering safe, reliable and convenient service to our customers in every aspect of our operation. Our first quarter 2015 operating performance was negatively impacted by severe winter storm conditions at our hubs in Charlotte, Dallas/Fort Worth, New York, Philadelphia and Washington D.C. as well as our operations in the city of Boston.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reported the following combined operating statistics to the U.S. Department of Transportation (DOT) for mainline operations for the first quarter of 2015 and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7"/>
              </w:rPr>
              <w:t>Better (Worse)</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January</w:t>
            </w: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February</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March</w:t>
            </w:r>
            <w:r>
              <w:rPr>
                <w:rFonts w:ascii="Arial" w:cs="Arial" w:eastAsia="Arial" w:hAnsi="Arial"/>
                <w:sz w:val="12"/>
                <w:szCs w:val="12"/>
                <w:b w:val="1"/>
                <w:bCs w:val="1"/>
                <w:color w:val="auto"/>
                <w:w w:val="96"/>
              </w:rPr>
              <w:t>(e)</w:t>
            </w:r>
          </w:p>
        </w:tc>
        <w:tc>
          <w:tcPr>
            <w:tcW w:w="26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January</w:t>
            </w:r>
          </w:p>
        </w:tc>
        <w:tc>
          <w:tcPr>
            <w:tcW w:w="8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February</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March</w:t>
            </w:r>
          </w:p>
        </w:tc>
        <w:tc>
          <w:tcPr>
            <w:tcW w:w="260" w:type="dxa"/>
            <w:vAlign w:val="bottom"/>
          </w:tcPr>
          <w:p>
            <w:pPr>
              <w:spacing w:after="0"/>
              <w:rPr>
                <w:sz w:val="12"/>
                <w:szCs w:val="12"/>
                <w:color w:val="auto"/>
              </w:rPr>
            </w:pPr>
          </w:p>
        </w:tc>
        <w:tc>
          <w:tcPr>
            <w:tcW w:w="78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w w:val="93"/>
              </w:rPr>
              <w:t>January</w:t>
            </w: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6"/>
              </w:rPr>
              <w:t>February</w:t>
            </w: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March</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xml:space="preserve">On-time performance </w:t>
            </w:r>
            <w:r>
              <w:rPr>
                <w:rFonts w:ascii="Arial" w:cs="Arial" w:eastAsia="Arial" w:hAnsi="Arial"/>
                <w:sz w:val="15"/>
                <w:szCs w:val="15"/>
                <w:color w:val="auto"/>
              </w:rPr>
              <w:t>(a)</w:t>
            </w: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pts</w:t>
            </w: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77.4</w:t>
            </w:r>
          </w:p>
        </w:tc>
        <w:tc>
          <w:tcPr>
            <w:tcW w:w="28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6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6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 pts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 pts</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 xml:space="preserve">Completion factor </w:t>
            </w:r>
            <w:r>
              <w:rPr>
                <w:rFonts w:ascii="Arial" w:cs="Arial" w:eastAsia="Arial" w:hAnsi="Arial"/>
                <w:sz w:val="15"/>
                <w:szCs w:val="15"/>
                <w:color w:val="auto"/>
              </w:rPr>
              <w:t>(b)</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97.6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94.1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97.3</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96.7</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94.4</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98.1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0.9 pts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(0.3) pts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(0.8) pts</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Mishandled baggage </w:t>
            </w:r>
            <w:r>
              <w:rPr>
                <w:rFonts w:ascii="Arial" w:cs="Arial" w:eastAsia="Arial" w:hAnsi="Arial"/>
                <w:sz w:val="15"/>
                <w:szCs w:val="15"/>
                <w:color w:val="auto"/>
              </w:rPr>
              <w:t>(c)</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4.81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 xml:space="preserve">Customer complaints </w:t>
            </w:r>
            <w:r>
              <w:rPr>
                <w:rFonts w:ascii="Arial" w:cs="Arial" w:eastAsia="Arial" w:hAnsi="Arial"/>
                <w:sz w:val="15"/>
                <w:szCs w:val="15"/>
                <w:color w:val="auto"/>
              </w:rPr>
              <w:t>(d)</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2.81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3.99</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(32.5)%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Percentage of reported flight operations arriving on time as defined by the DOT.</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Percentage of scheduled flight operations completed</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Rate of mishandled baggage reports per 1,000 passengers.</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Rate of customer complaints filed with the DOT per 100,000 enplanements.</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7"/>
          <w:szCs w:val="17"/>
          <w:color w:val="auto"/>
        </w:rPr>
        <w:t>March 2015 operating statistics are preliminary as the DOT has not issued its March 2015 Air Travel Consumer report as of the date of this filing.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Position</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As of March 31, 2015, AAG’s total cash, short-term investments and restricted cash was $9.9 billion, of which $757 million was restricted. We also had available $1.8 billion under undrawn revolving line of credit facilities.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quarter of 2015, we utilized cash from operations to pay down certain higher rate debt including our $400 million Citibank AAdvantage loan. Additionally, we repurchased 3.8 million shares of AAG Common Stock for $190 million pursuant to our $2.0 billion share repurchase program to be completed by the end of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These cash outflows were offset in part by certain new debt issuances to further strengthen our liquidity position. In March 2015, we issued $500 million aggregate principal amount of 4.625% senior notes due 2020. Also in March 2015, American issued $1.0 billion in equipment notes related to the 2015-1 Enhanced Equipment Trust Certificates to finance certain unencumbered aircraft.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balances: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March 31, 2015</w:t>
            </w:r>
          </w:p>
        </w:tc>
        <w:tc>
          <w:tcPr>
            <w:tcW w:w="10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(In millions)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and short-term investments </w:t>
            </w:r>
            <w:r>
              <w:rPr>
                <w:rFonts w:ascii="Arial" w:cs="Arial" w:eastAsia="Arial" w:hAnsi="Arial"/>
                <w:sz w:val="15"/>
                <w:szCs w:val="15"/>
                <w:color w:val="auto"/>
              </w:rPr>
              <w:t>(1)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(2)</w:t>
            </w:r>
          </w:p>
        </w:tc>
        <w:tc>
          <w:tcPr>
            <w:tcW w:w="3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757</w:t>
            </w: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short-term investments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5"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As of March 31, 2015, we had approximately $644 million of unrestricted cash and short-term investments held in Venezuelan bolivars. This balance includes approximately $621 million valued at 6.3 bolivars to the U.S. dollar and approximately $23 million valued at 12.0 bolivars to the U.S. dollar,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Our cash balance held in Venezuelan bolivars decreased $12 million from the December 31, 2014 balance of $656 million, due to payments made in bolivars for local operating expenditures.</w:t>
      </w:r>
    </w:p>
    <w:p>
      <w:pPr>
        <w:spacing w:after="0" w:line="85" w:lineRule="exact"/>
        <w:rPr>
          <w:rFonts w:ascii="Arial" w:cs="Arial" w:eastAsia="Arial" w:hAnsi="Arial"/>
          <w:sz w:val="15"/>
          <w:szCs w:val="15"/>
          <w:color w:val="auto"/>
        </w:rPr>
      </w:pPr>
    </w:p>
    <w:p>
      <w:pPr>
        <w:jc w:val="both"/>
        <w:ind w:left="460"/>
        <w:spacing w:after="0" w:line="270" w:lineRule="auto"/>
        <w:rPr>
          <w:rFonts w:ascii="Arial" w:cs="Arial" w:eastAsia="Arial" w:hAnsi="Arial"/>
          <w:sz w:val="15"/>
          <w:szCs w:val="15"/>
          <w:color w:val="auto"/>
        </w:rPr>
      </w:pPr>
      <w:r>
        <w:rPr>
          <w:rFonts w:ascii="Arial" w:cs="Arial" w:eastAsia="Arial" w:hAnsi="Arial"/>
          <w:sz w:val="17"/>
          <w:szCs w:val="17"/>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additional uncertainty posed by the February 2015 changes to the foreign exchange regulations and the continued deterioration of economic conditions in Venezuela.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economic and political 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87"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Restricted cash and investments primarily include cash collateral to secure workers’ compensation claims.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quarter of 2015, we realized operating income of $1.2 billion and net income of $932 million. Our first quarter 2015 net income included net special operating charges of $310 million and total net special charges of $311 million. Excluding the effects of these special charges, we realized operating income of $1.5 billion and net income of $1.2 billion.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quarter of 2014, we realized operating income of $730 million and net income of $480 million. Our first quarter 2014 net income included net special operating credits of $133 million and total net special credits of $78 million. Excluding the effects of these special credits, we realized operating income of $597 million and net income of $402 million.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Special items: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Regional operating special items, net</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Net income excluding special items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The 2015 first quarter mainline operating special items totaled a net charge of $303 million, which principally included $216 million of merger integration expenses related to information technology, professional fees, severance, share-based compensation, fleet restructuring, re-branding of aircraft and airport facilities, relocation and training. In addition, we recorded a net $99 million charge principally related to our new pilot joint collective bargaining agreement. These charges were offset in part by a net $6 million credit for bankruptcy related items primarily consisting of fair value adjustments for bankruptcy settlement obligations.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2014 first quarter mainline operating special items totaled a net credit of $137 million, which principally included a $309 million gain on the sale of Slots at Ronald Reagan Washington National Airport and a net $32 million credit for bankruptcy related items primarily consisting of fair value adjustments for bankruptcy settlement obligations. These special credits were offset in part by $202 million of merger integration expenses related to alignment of labor union contracts, information technology, professional fees, severance and retention, share-based compensation, re-branding of aircraft and airport facilities, relocation and training.</w:t>
      </w:r>
    </w:p>
    <w:p>
      <w:pPr>
        <w:spacing w:after="0" w:line="9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2015 and 2014 first quarter regional operating special items principally related to merger integration expenses.</w:t>
      </w:r>
    </w:p>
    <w:p>
      <w:pPr>
        <w:spacing w:after="0" w:line="130" w:lineRule="exact"/>
        <w:rPr>
          <w:rFonts w:ascii="Arial" w:cs="Arial" w:eastAsia="Arial" w:hAnsi="Arial"/>
          <w:sz w:val="15"/>
          <w:szCs w:val="15"/>
          <w:color w:val="auto"/>
        </w:rPr>
      </w:pPr>
    </w:p>
    <w:p>
      <w:pPr>
        <w:jc w:val="both"/>
        <w:ind w:left="460" w:hanging="452"/>
        <w:spacing w:after="0" w:line="264"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2015 first quarter nonoperating special items totaled a net credit of $8 million primarily due to a $17 million early debt extinguishment gain associated with the repayment of American’s AAdvantage loan with Citibank, offset in part by a $9 million charge principally related to a non-cash write off of unamortized debt discount associated with the prepayment of certain aircraft financings.</w:t>
      </w:r>
    </w:p>
    <w:p>
      <w:pPr>
        <w:spacing w:after="0" w:line="73" w:lineRule="exact"/>
        <w:rPr>
          <w:rFonts w:ascii="Arial" w:cs="Arial" w:eastAsia="Arial" w:hAnsi="Arial"/>
          <w:sz w:val="15"/>
          <w:szCs w:val="15"/>
          <w:color w:val="auto"/>
        </w:rPr>
      </w:pPr>
    </w:p>
    <w:p>
      <w:pPr>
        <w:ind w:left="460"/>
        <w:spacing w:after="0" w:line="277" w:lineRule="auto"/>
        <w:rPr>
          <w:rFonts w:ascii="Arial" w:cs="Arial" w:eastAsia="Arial" w:hAnsi="Arial"/>
          <w:sz w:val="15"/>
          <w:szCs w:val="15"/>
          <w:color w:val="auto"/>
        </w:rPr>
      </w:pPr>
      <w:r>
        <w:rPr>
          <w:rFonts w:ascii="Arial" w:cs="Arial" w:eastAsia="Arial" w:hAnsi="Arial"/>
          <w:sz w:val="18"/>
          <w:szCs w:val="18"/>
          <w:color w:val="auto"/>
        </w:rPr>
        <w:t>The 2014 first quarter nonoperating special items totaled a net charge of $47 million principally due to non-cash interest accretion of $31 million on the bankruptcy settlement obligations and $13 million for Venezuelan foreign currency losses.</w:t>
      </w:r>
    </w:p>
    <w:p>
      <w:pPr>
        <w:spacing w:after="0" w:line="75" w:lineRule="exact"/>
        <w:rPr>
          <w:rFonts w:ascii="Arial" w:cs="Arial" w:eastAsia="Arial" w:hAnsi="Arial"/>
          <w:sz w:val="15"/>
          <w:szCs w:val="15"/>
          <w:color w:val="auto"/>
        </w:rPr>
      </w:pPr>
    </w:p>
    <w:p>
      <w:pPr>
        <w:ind w:left="460" w:right="20" w:hanging="452"/>
        <w:spacing w:after="0" w:line="27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The 2015 and 2014 first quarter tax special items were the result of a non-cash deferred income tax provision related to certain indefinite-lived intangible assets.</w:t>
      </w:r>
    </w:p>
    <w:p>
      <w:pPr>
        <w:spacing w:after="0" w:line="27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At December 31, 2014, we had approximately $10.1 billion of gross NOL Carryforwards to reduce future federal taxable income, substantially all of which are expected to be available for use in 2015. The federal NOL Carryforwards will expire beginning in 2022 if unused. These NOL Carryforwards include an unrealized tax benefit of $867 million related to the implementation of share-based compensation accounting guidance that will be recorded in equity when realized. We also had approximately $4.6 billion of NOL Carryforwards to reduce future state taxable income at December 31, 2014, which will expire in years 2015 through 2034 if unused. Our ability to deduct our NOL Carryforwards and to utilize certain other available tax attributes can be substantially constrained under the general annual limitation rules of Section 382 where an “ownership change” has occurred. We experienced an ownership change in connection with our emergence from the Chapter 11 Cases, and US Airways Group experienced an ownership change in connection with the Merger. As a result of the Merger, US Airways Group is now included in the AAG consolidated federal and state income tax return. The general limitation rules of Section 382 for a debtor in a bankruptcy case are liberalized where the ownership change occurs upon emergence from bankruptcy. We elected to be covered by certain special rules for federal income tax purposes that permit approximately $9.0 billion of our federal NOL Carryforwards to be utilized without regard to the Section 382 annual limitation rules. Substantially all of our remaining federal NOL Carryforwards (attributable to US Airways Group)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ownership changes is not affected by the annual limitation rules imposed by Section 382 unless another ownership change occurs.</w:t>
      </w:r>
    </w:p>
    <w:p>
      <w:pPr>
        <w:spacing w:after="0" w:line="17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we had an Alternative Minimum Tax (AMT) credit carryforward of approximately $341 million available for federal income tax purposes, which is available for an indefinite period. Our net deferred tax assets, which include the NOL Carryforwards, are subject to a full valuation allowance. At December 31, 2014, the federal and state valuation allowances were $4.5 billion and $264 million, respectively. In accordance with GAAP, utilization of the NOL Carryforwards after December 9, 2013 will result in a corresponding decrease in the valuation allowance and offset our tax provision dollar for dollar.</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provide a valuation allowance for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We consider many factors in evaluating the realizability of our deferred tax assets including risks associated with merger integration as well as other factors, which continue to be affected by conditions beyond our control, such as the condition of the economy, the level and volatility of fuel prices and travel demand. We have concluded as of March 31, 2015 that the valuation allowance was still needed on our deferred tax asset based on the weight of the factors described above.</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March 31, 2015, we recorded a special $9 million non-cash deferred income tax provision related to certain indefinite-lived intangible assets and $2 million of state and international income tax expense related to certain states and countries where NOLs were limited or unavailable to be used.</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March 31, 2014, we recorded a special $8 million non-cash deferred income tax provision related to certain indefinite-lived intangible assets and $5 million of state and international income tax expense related to certain states and countries where NOLs were limited or unavailable to be used.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selected mainline and regional operating data for the three months ended March 31, 2015 and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30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8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8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44,849</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45,828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55,854</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56,831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80.3</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80.6</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(0.3)pts</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15.58</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12.51</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12.77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33,951</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34,843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Departures (thousands)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269</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973</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977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Block hours (thousands) </w:t>
            </w:r>
            <w:r>
              <w:rPr>
                <w:rFonts w:ascii="Arial" w:cs="Arial" w:eastAsia="Arial" w:hAnsi="Arial"/>
                <w:sz w:val="15"/>
                <w:szCs w:val="15"/>
                <w:color w:val="auto"/>
              </w:rPr>
              <w:t>(h)</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833</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Average stage length (miles) </w:t>
            </w:r>
            <w:r>
              <w:rPr>
                <w:rFonts w:ascii="Arial" w:cs="Arial" w:eastAsia="Arial" w:hAnsi="Arial"/>
                <w:sz w:val="15"/>
                <w:szCs w:val="15"/>
                <w:color w:val="auto"/>
              </w:rPr>
              <w:t>(i)</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1,195</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1,189</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846</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1.83</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3.10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97,500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93,400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6840" w:type="dxa"/>
            <w:vAlign w:val="bottom"/>
          </w:tcPr>
          <w:p>
            <w:pPr>
              <w:spacing w:after="0"/>
              <w:rPr>
                <w:sz w:val="20"/>
                <w:szCs w:val="20"/>
                <w:color w:val="auto"/>
              </w:rPr>
            </w:pPr>
            <w:r>
              <w:rPr>
                <w:rFonts w:ascii="Arial" w:cs="Arial" w:eastAsia="Arial" w:hAnsi="Arial"/>
                <w:sz w:val="18"/>
                <w:szCs w:val="18"/>
                <w:b w:val="1"/>
                <w:bCs w:val="1"/>
                <w:color w:val="auto"/>
              </w:rPr>
              <w:t xml:space="preserve">Regional </w:t>
            </w:r>
            <w:r>
              <w:rPr>
                <w:rFonts w:ascii="Arial" w:cs="Arial" w:eastAsia="Arial" w:hAnsi="Arial"/>
                <w:sz w:val="15"/>
                <w:szCs w:val="15"/>
                <w:b w:val="1"/>
                <w:bCs w:val="1"/>
                <w:color w:val="auto"/>
              </w:rPr>
              <w:t>(j)</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5,341</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5,058</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6,937</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6,561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77.1</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(0.1)pts</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27.19</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27.82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20.94</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21.45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21.07</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24.30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12,243</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11,709</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577</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560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161</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1.86</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3.10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15"/>
                <w:szCs w:val="15"/>
                <w:color w:val="auto"/>
              </w:rPr>
              <w:t>(k)</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19,300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18,000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24"/>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50,190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50,886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62,791</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63,392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Cargo ton miles (millions) </w:t>
            </w:r>
            <w:r>
              <w:rPr>
                <w:rFonts w:ascii="Arial" w:cs="Arial" w:eastAsia="Arial" w:hAnsi="Arial"/>
                <w:sz w:val="15"/>
                <w:szCs w:val="15"/>
                <w:color w:val="auto"/>
              </w:rPr>
              <w:t>(l)</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553</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79.9</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80.3</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(0.4)pts</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16.82</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13.44</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13.67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15"/>
                <w:szCs w:val="15"/>
                <w:color w:val="auto"/>
              </w:rPr>
              <w:t>(m)</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15.65</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 xml:space="preserve">Cargo yield per ton mile (cents) </w:t>
            </w:r>
            <w:r>
              <w:rPr>
                <w:rFonts w:ascii="Arial" w:cs="Arial" w:eastAsia="Arial" w:hAnsi="Arial"/>
                <w:sz w:val="15"/>
                <w:szCs w:val="15"/>
                <w:color w:val="auto"/>
              </w:rPr>
              <w:t>(n)</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35.14</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36.88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46,194</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46,552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1,550</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1,537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1,013</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1.83</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3.10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116,800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111,400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Available seat mile (ASM) – A basic measure of production. One ASM represents one seat flown one mile.</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Passenger load factor – The percentage of available seats that are filled with revenue passengers.</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Yield – A measure of airline revenue derived by dividing passenger revenue by RPMs.</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Passenger revenue per available seat mile (PRASM) – Passenger revenues divided by ASMs.</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Operating cost per available seat mile (CASM) – Operating expenses divided by ASMs.</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Passenger enplanements – The number of passengers on board an aircraft, including local, connecting and through passengers.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spacing w:after="0" w:line="75"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Average stage length – The average of the distances flown on each segment of every route.</w:t>
      </w:r>
    </w:p>
    <w:p>
      <w:pPr>
        <w:spacing w:after="0" w:line="130" w:lineRule="exact"/>
        <w:rPr>
          <w:rFonts w:ascii="Arial" w:cs="Arial" w:eastAsia="Arial" w:hAnsi="Arial"/>
          <w:sz w:val="15"/>
          <w:szCs w:val="15"/>
          <w:color w:val="auto"/>
        </w:rPr>
      </w:pPr>
    </w:p>
    <w:p>
      <w:pPr>
        <w:jc w:val="both"/>
        <w:ind w:left="460" w:hanging="452"/>
        <w:spacing w:after="0" w:line="259"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Regional statistics include our subsidiaries, Envoy Aviation Group Inc. (Envoy, formerly known as AMR Eagle Holding Corporation), Piedmont Airlines, Inc. (Piedmont) and PSA Airlines, Inc. (PSA), and operating and financial results from our capacity purchase agreements with Air Wisconsin Airlines Corporation, Chautauqua Airlines, Inc., ExpressJet Airlines, Inc., Mesa Airlines, Inc., Republic Airline Inc., SkyWest Airlines, Inc. and Compass Airlines, LLC.</w:t>
      </w:r>
    </w:p>
    <w:p>
      <w:pPr>
        <w:spacing w:after="0" w:line="92"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Regional full-time equivalent employees only include our wholly owned regional airline subsidiaries, Envoy, Piedmont and PSA.</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Total revenue per available seat mile (RASM) – Total revenues divided by total mainline and regional ASMs.</w:t>
      </w:r>
    </w:p>
    <w:p>
      <w:pPr>
        <w:spacing w:after="0" w:line="130"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Cargo yield per ton mile – Cargo revenues divided by total mainline and regional cargo ton miles.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1140" w:type="dxa"/>
            <w:vAlign w:val="bottom"/>
            <w:gridSpan w:val="2"/>
          </w:tcPr>
          <w:p>
            <w:pPr>
              <w:jc w:val="center"/>
              <w:ind w:left="97"/>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6"/>
          </w:tcPr>
          <w:p>
            <w:pPr>
              <w:jc w:val="right"/>
              <w:ind w:right="337"/>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Regional passenger</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1,407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9,995</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
        </w:trPr>
        <w:tc>
          <w:tcPr>
            <w:tcW w:w="5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quarter of 2015 decreased $168 million, or 1.7%, from the 2014 period principally due to winter storm flight cancellations, competitive capacity growth in our key markets and foreign currency devaluation. Significant changes in the components of operating revenues are as follows:</w:t>
      </w:r>
    </w:p>
    <w:p>
      <w:pPr>
        <w:spacing w:after="0" w:line="87" w:lineRule="exact"/>
        <w:rPr>
          <w:sz w:val="20"/>
          <w:szCs w:val="20"/>
          <w:color w:val="auto"/>
        </w:rPr>
      </w:pPr>
    </w:p>
    <w:p>
      <w:pPr>
        <w:jc w:val="both"/>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Mainline passenger revenues were $7.0 billion in the first quarter of 2015 as compared to $7.3 billion in the 2014 period. Mainline RPM’s decreased 2.1% as mainline capacity, as measured by ASMs, decreased 1.7%, resulting in a 0.3 point decrease in load factor to 80.3%. Mainline passenger yield decreased 1.6% to 15.58 cents in the first quarter of 2015 from 15.84 cents in the 2014 period. Mainline PRASM decreased 2.0% to 12.51 cents in the first quarter of 2015 from 12.77 cents in the 2014 period.</w:t>
      </w:r>
    </w:p>
    <w:p>
      <w:pPr>
        <w:spacing w:after="0" w:line="9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Regional passenger revenues were $1.5 billion in the first quarter of 2015 as compared to $1.4 billion in the 2014 period. Regional RPM’s increased 5.6% as regional capacity, as measured by ASMs, increased 5.7%, resulting in a 0.1 point decrease in load factor to 77.0%. Regional passenger yield decreased 2.2% to 27.19 cents in the first quarter of 2015 from 27.82 cents in the 2014 period. Regional PRASM decreased 2.4% to 20.94 cents in the first quarter of 2015 from 21.45 cents in the 2014 period.</w:t>
      </w:r>
    </w:p>
    <w:p>
      <w:pPr>
        <w:spacing w:after="0" w:line="92"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revenues increased $68 million, or 6.0%, in the first quarter of 2015 from the 2014 period driven primarily by higher revenues associated with our frequent flyer programs.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9"/>
              </w:rPr>
              <w:t>March 31,</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140" w:type="dxa"/>
            <w:vAlign w:val="bottom"/>
            <w:gridSpan w:val="2"/>
          </w:tcPr>
          <w:p>
            <w:pPr>
              <w:jc w:val="center"/>
              <w:ind w:left="93"/>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6"/>
          </w:tcPr>
          <w:p>
            <w:pPr>
              <w:jc w:val="right"/>
              <w:ind w:right="353"/>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2,119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424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Selling expenses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Special items, net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3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Fuel</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3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9,265</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0"/>
        </w:trPr>
        <w:tc>
          <w:tcPr>
            <w:tcW w:w="5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expenses were $8.6 billion in the first quarter of 2015, a decrease of $654 million, or 7.1%, from the 2014 period. The decrease in operating expenses was primarily due to substantially lower aircraft fuel costs, offset in part by higher salaries due to our new pilot and flight attendant collective bargaining agreements. See detailed explanations below relating to the other changes in operating costs.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Operating Expenses per ASM</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mainline CASM decreased 0.70 cents, or 5.2%, from 13.50 cents in the first quarter of 2014 to 12.80 cents in the first quarter of 2015. Excluding special items and aircraft fuel and related taxes, our mainline CASM increased 0.52 cents, or 5.8%, from 8.97 cents in the first quarter of 2014 to 9.49 cents in the first quarter of 2015, while mainline capacity decreased 1.7%.</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aircraft fuel and related taxes for the three months ended March 31,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1040" w:type="dxa"/>
            <w:vAlign w:val="bottom"/>
            <w:gridSpan w:val="2"/>
          </w:tcPr>
          <w:p>
            <w:pPr>
              <w:jc w:val="center"/>
              <w:ind w:left="33"/>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960" w:type="dxa"/>
            <w:vAlign w:val="bottom"/>
            <w:tcBorders>
              <w:top w:val="single" w:sz="8" w:color="auto"/>
            </w:tcBorders>
            <w:gridSpan w:val="6"/>
          </w:tcPr>
          <w:p>
            <w:pPr>
              <w:jc w:val="right"/>
              <w:ind w:right="253"/>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560" w:type="dxa"/>
            <w:vAlign w:val="bottom"/>
          </w:tcPr>
          <w:p>
            <w:pPr>
              <w:jc w:val="right"/>
              <w:spacing w:after="0"/>
              <w:rPr>
                <w:sz w:val="20"/>
                <w:szCs w:val="20"/>
                <w:color w:val="auto"/>
              </w:rPr>
            </w:pPr>
            <w:r>
              <w:rPr>
                <w:rFonts w:ascii="Arial" w:cs="Arial" w:eastAsia="Arial" w:hAnsi="Arial"/>
                <w:sz w:val="18"/>
                <w:szCs w:val="18"/>
                <w:color w:val="auto"/>
              </w:rPr>
              <w:t>2.76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4.77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560" w:type="dxa"/>
            <w:vAlign w:val="bottom"/>
          </w:tcPr>
          <w:p>
            <w:pPr>
              <w:jc w:val="right"/>
              <w:spacing w:after="0"/>
              <w:rPr>
                <w:sz w:val="20"/>
                <w:szCs w:val="20"/>
                <w:color w:val="auto"/>
              </w:rPr>
            </w:pPr>
            <w:r>
              <w:rPr>
                <w:rFonts w:ascii="Arial" w:cs="Arial" w:eastAsia="Arial" w:hAnsi="Arial"/>
                <w:sz w:val="18"/>
                <w:szCs w:val="18"/>
                <w:color w:val="auto"/>
              </w:rPr>
              <w:t>0.88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0.85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560" w:type="dxa"/>
            <w:vAlign w:val="bottom"/>
          </w:tcPr>
          <w:p>
            <w:pPr>
              <w:jc w:val="right"/>
              <w:spacing w:after="0"/>
              <w:rPr>
                <w:sz w:val="20"/>
                <w:szCs w:val="20"/>
                <w:color w:val="auto"/>
              </w:rPr>
            </w:pPr>
            <w:r>
              <w:rPr>
                <w:rFonts w:ascii="Arial" w:cs="Arial" w:eastAsia="Arial" w:hAnsi="Arial"/>
                <w:sz w:val="18"/>
                <w:szCs w:val="18"/>
                <w:color w:val="auto"/>
              </w:rPr>
              <w:t>0.57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0.56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jc w:val="right"/>
              <w:spacing w:after="0"/>
              <w:rPr>
                <w:sz w:val="20"/>
                <w:szCs w:val="20"/>
                <w:color w:val="auto"/>
              </w:rPr>
            </w:pPr>
            <w:r>
              <w:rPr>
                <w:rFonts w:ascii="Arial" w:cs="Arial" w:eastAsia="Arial" w:hAnsi="Arial"/>
                <w:sz w:val="18"/>
                <w:szCs w:val="18"/>
                <w:color w:val="auto"/>
              </w:rPr>
              <w:t>0.60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0.24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8360" w:type="dxa"/>
            <w:vAlign w:val="bottom"/>
          </w:tcPr>
          <w:p>
            <w:pPr>
              <w:ind w:left="720"/>
              <w:spacing w:after="0"/>
              <w:rPr>
                <w:sz w:val="20"/>
                <w:szCs w:val="20"/>
                <w:color w:val="auto"/>
              </w:rPr>
            </w:pPr>
            <w:r>
              <w:rPr>
                <w:rFonts w:ascii="Arial" w:cs="Arial" w:eastAsia="Arial" w:hAnsi="Arial"/>
                <w:sz w:val="18"/>
                <w:szCs w:val="18"/>
                <w:color w:val="auto"/>
                <w:w w:val="98"/>
              </w:rPr>
              <w:t>Mainline operating expenses per ASM, excluding special items and aircraft fuel and related taxes</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9.49</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8.97</w:t>
            </w:r>
          </w:p>
        </w:tc>
        <w:tc>
          <w:tcPr>
            <w:tcW w:w="320" w:type="dxa"/>
            <w:vAlign w:val="bottom"/>
            <w:vMerge w:val="restart"/>
          </w:tcPr>
          <w:p>
            <w:pPr>
              <w:spacing w:after="0"/>
              <w:rPr>
                <w:sz w:val="18"/>
                <w:szCs w:val="18"/>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5"/>
        </w:trPr>
        <w:tc>
          <w:tcPr>
            <w:tcW w:w="8360" w:type="dxa"/>
            <w:vAlign w:val="bottom"/>
          </w:tcPr>
          <w:p>
            <w:pPr>
              <w:ind w:left="900"/>
              <w:spacing w:after="0"/>
              <w:rPr>
                <w:sz w:val="20"/>
                <w:szCs w:val="20"/>
                <w:color w:val="auto"/>
              </w:rPr>
            </w:pPr>
            <w:r>
              <w:rPr>
                <w:rFonts w:ascii="Arial" w:cs="Arial" w:eastAsia="Arial" w:hAnsi="Arial"/>
                <w:sz w:val="15"/>
                <w:szCs w:val="15"/>
                <w:color w:val="auto"/>
              </w:rPr>
              <w:t>(1)</w:t>
            </w:r>
          </w:p>
        </w:tc>
        <w:tc>
          <w:tcPr>
            <w:tcW w:w="56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and related taxes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and related taxes to evaluate our operating performance. Amounts may not recalculate due to rounding.</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operating expense per ASM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42.0% primarily due to a 41.1% decrease in the average price per gallon to $1.83 in the first quarter of 2015 from an average price per gallon of $3.10 in the 2014 period on a 3.2% decrease in consumption.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Salaries, wages and benefits per ASM increased 14.0% primarily due to increased costs associated with the new pilot and flight attendant joint collective bargaining agreements.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Selling expenses per ASM decreased 14.8% primarily due to lower contractually negotiated rates for certain commissions and booking fees.</w:t>
      </w:r>
    </w:p>
    <w:p>
      <w:pPr>
        <w:spacing w:after="0" w:line="142"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Depreciation and amortization per ASM increased 11.5% primarily due to new purchased aircraft deliveries since the end of the 2014 first quarter as we continued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regional expenses decreased $132 million, or 8.3%, in the first quarter of 2015 to $1.5 billion from $1.6 billion in the 2014 period. The period over period decrease was primarily due to a $189 million decrease in fuel costs. The average price per gallon of fuel decreased 40.0% to $1.86 in the first quarter of 2015 from $3.10 in the 2014 period, on a 3.7% increase in consumption. Other regional operating expenses increased $57 million, or 5.1%, from the 2014 period principally due to a 5.7% increase in regional capacity.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gridSpan w:val="2"/>
          </w:tcPr>
          <w:p>
            <w:pPr>
              <w:jc w:val="center"/>
              <w:ind w:left="118"/>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2"/>
          </w:tcPr>
          <w:p>
            <w:pPr>
              <w:jc w:val="center"/>
              <w:ind w:left="13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2"/>
                <w:szCs w:val="12"/>
                <w:color w:val="auto"/>
              </w:rPr>
            </w:pPr>
          </w:p>
        </w:tc>
        <w:tc>
          <w:tcPr>
            <w:tcW w:w="1180" w:type="dxa"/>
            <w:vAlign w:val="bottom"/>
            <w:gridSpan w:val="2"/>
          </w:tcPr>
          <w:p>
            <w:pPr>
              <w:jc w:val="center"/>
              <w:ind w:left="13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360" w:type="dxa"/>
            <w:vAlign w:val="bottom"/>
            <w:tcBorders>
              <w:top w:val="single" w:sz="8" w:color="auto"/>
            </w:tcBorders>
            <w:gridSpan w:val="8"/>
          </w:tcPr>
          <w:p>
            <w:pPr>
              <w:jc w:val="right"/>
              <w:ind w:right="43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0"/>
        </w:trPr>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income was $10 million and $7 million in the first quarter of 2015 and 2014, respectively. Our short-term investments in each period consisted of highly liquid investments which provided nominal returns.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of capitalized interest decreased $33 million, or 13.7%, in the first quarter of 2015 from the 2014 period. The 2014 period included $31 million of special charges related to non-cash interest accretion on the bankruptcy settlement obligations.</w:t>
      </w:r>
    </w:p>
    <w:p>
      <w:pPr>
        <w:spacing w:after="0" w:line="17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Other nonoperating expense, net increased $72 million in the first quarter of 2015 from the 2014 period. The first quarter of 2015 included $80 million of foreign currency losses as compared to $2 million of net foreign currency gains in the 2014 period. The increase in foreign currency losses during the first quarter of 2015 was driven primarily by the strengthening of the U.S. dollar in foreign currency transactions relative to other currencies, principally in Latin American and European markets including a 17% decrease in the value of the Brazilian real, a 10% decrease in the value of the Euro and a 4% decrease in the value of the British pound in the first quarter of 2015. These foreign currency losses were offset in part by a net special credit of $8 million primarily due to a $17 million early debt extinguishment gain associated with the repayment of American’s AAdvantage loan with Citibank and a $9 million charge principally related to a non-cash write off of unamortized debt discount associated with the prepayment of certain aircraft financings.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quarter of 2015, American realized operating income of $760 million and net income of $569 million. American’s first quarter 2015 net income included net special operating charges of $200 million and total net special charges of $200 million. Excluding the effects of these special charges, American realized operating income of $960 million and net income of $769 million.</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quarter of 2014, American realized operating income of $578 million and net income of $401 million. American’s first quarter 2014 net income included net special operating credits of $215 million and total net special credits of $164 million. Excluding the effects of these special credits, American realized operating income of $363 million and net income of $237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American’s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Special items: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15"/>
                <w:szCs w:val="15"/>
                <w:color w:val="auto"/>
              </w:rPr>
              <w:t>(4)</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excluding special items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The 2015 first quarter mainline operating special items totaled a net charge of $198 million, which principally included $148 million of merger integration expenses related to information technology, professional fees, severance, share-based compensation, fleet restructuring, re-branding of aircraft and airport facilities, relocation and training. In addition, American recorded a net $64 million charge principally related to its new pilot joint collective bargaining agreement. These charges were offset in part by a net $6 million credit for bankruptcy related items primarily consisting of fair value adjustments for bankruptcy settlement obligations.</w:t>
      </w:r>
    </w:p>
    <w:p>
      <w:pPr>
        <w:spacing w:after="0" w:line="80" w:lineRule="exact"/>
        <w:rPr>
          <w:rFonts w:ascii="Arial" w:cs="Arial" w:eastAsia="Arial" w:hAnsi="Arial"/>
          <w:sz w:val="15"/>
          <w:szCs w:val="15"/>
          <w:color w:val="auto"/>
        </w:rPr>
      </w:pPr>
    </w:p>
    <w:p>
      <w:pPr>
        <w:jc w:val="both"/>
        <w:ind w:left="460"/>
        <w:spacing w:after="0" w:line="257" w:lineRule="auto"/>
        <w:rPr>
          <w:rFonts w:ascii="Arial" w:cs="Arial" w:eastAsia="Arial" w:hAnsi="Arial"/>
          <w:sz w:val="15"/>
          <w:szCs w:val="15"/>
          <w:color w:val="auto"/>
        </w:rPr>
      </w:pPr>
      <w:r>
        <w:rPr>
          <w:rFonts w:ascii="Arial" w:cs="Arial" w:eastAsia="Arial" w:hAnsi="Arial"/>
          <w:sz w:val="18"/>
          <w:szCs w:val="18"/>
          <w:color w:val="auto"/>
        </w:rPr>
        <w:t>The 2014 first quarter mainline operating special items totaled a net credit of $216 million, which principally included a $305 million gain on the sale of Slots at Ronald Reagan Washington National Airport and a net $56 million credit for bankruptcy related items primarily consisting of fair value adjustments for bankruptcy settlement obligations. These special credits were offset in part by $134 million of merger integration expenses related to alignment of labor union contracts, information technology, professional fees, severance and retention, share-based compensation, re-branding of aircraft and airport facilities, relocation and training.</w:t>
      </w:r>
    </w:p>
    <w:p>
      <w:pPr>
        <w:spacing w:after="0" w:line="93"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The 2015 and 2014 first quarter regional operating special items principally related to merger integration expenses.</w:t>
      </w:r>
    </w:p>
    <w:p>
      <w:pPr>
        <w:spacing w:after="0" w:line="130" w:lineRule="exact"/>
        <w:rPr>
          <w:rFonts w:ascii="Arial" w:cs="Arial" w:eastAsia="Arial" w:hAnsi="Arial"/>
          <w:sz w:val="15"/>
          <w:szCs w:val="15"/>
          <w:color w:val="auto"/>
        </w:rPr>
      </w:pPr>
    </w:p>
    <w:p>
      <w:pPr>
        <w:jc w:val="both"/>
        <w:ind w:left="460" w:hanging="452"/>
        <w:spacing w:after="0" w:line="264"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The 2015 first quarter nonoperating special items totaled a net credit of $8 million primarily due to a $17 million early debt extinguishment gain associated with the repayment of American’s AAdvantage loan with Citibank, offset in part by a $9 million charge principally related to a non-cash write off of unamortized debt discount associated with the prepayment of certain aircraft financings.</w:t>
      </w:r>
    </w:p>
    <w:p>
      <w:pPr>
        <w:spacing w:after="0" w:line="73" w:lineRule="exact"/>
        <w:rPr>
          <w:rFonts w:ascii="Arial" w:cs="Arial" w:eastAsia="Arial" w:hAnsi="Arial"/>
          <w:sz w:val="15"/>
          <w:szCs w:val="15"/>
          <w:color w:val="auto"/>
        </w:rPr>
      </w:pPr>
    </w:p>
    <w:p>
      <w:pPr>
        <w:ind w:left="460"/>
        <w:spacing w:after="0" w:line="277" w:lineRule="auto"/>
        <w:rPr>
          <w:rFonts w:ascii="Arial" w:cs="Arial" w:eastAsia="Arial" w:hAnsi="Arial"/>
          <w:sz w:val="15"/>
          <w:szCs w:val="15"/>
          <w:color w:val="auto"/>
        </w:rPr>
      </w:pPr>
      <w:r>
        <w:rPr>
          <w:rFonts w:ascii="Arial" w:cs="Arial" w:eastAsia="Arial" w:hAnsi="Arial"/>
          <w:sz w:val="18"/>
          <w:szCs w:val="18"/>
          <w:color w:val="auto"/>
        </w:rPr>
        <w:t>The 2014 first quarter nonoperating special items totaled a net charge of $44 million principally due to non-cash interest accretion of $27 million on the bankruptcy settlement obligations and $13 million for Venezuelan foreign currency losses.</w:t>
      </w:r>
    </w:p>
    <w:p>
      <w:pPr>
        <w:spacing w:after="0" w:line="75" w:lineRule="exact"/>
        <w:rPr>
          <w:rFonts w:ascii="Arial" w:cs="Arial" w:eastAsia="Arial" w:hAnsi="Arial"/>
          <w:sz w:val="15"/>
          <w:szCs w:val="15"/>
          <w:color w:val="auto"/>
        </w:rPr>
      </w:pPr>
    </w:p>
    <w:p>
      <w:pPr>
        <w:ind w:left="460" w:right="20" w:hanging="452"/>
        <w:spacing w:after="0" w:line="27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The 2015 and 2014 first quarter tax special items were the result of a non-cash deferred income tax provision related to certain indefinite-lived intangible assets.</w:t>
      </w:r>
    </w:p>
    <w:p>
      <w:pPr>
        <w:spacing w:after="0" w:line="27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At December 31, 2014, American had approximately $10.3 billion of gross NOL Carryforwards to reduce future federal taxable income, substantially all of which are expected to be available for use in 2015. American is a member of AAG’s consolidated federal and certain state income tax returns. The amount of federal and state NOL Carryforwards available in those returns is $10.1 billion and $4.6 billion, respectively, substantially all of which is expected to be available for use in 2015. The federal NOL Carryforwards will expire beginning in 2022 if unused. These NOL Carryforwards include an unrealized tax benefit of $712 million related to the implementation of share-based compensation accounting guidance that will be recorded in equity when realized. American also had approximately $3.9 billion of NOL Carryforwards to reduce future state taxable income at December 31, 2014, which will expire in years 2015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the Chapter 11 Cases. The general limitation rules of Section 382 for a debtor in a bankruptcy case are liberalized where the ownership change occurs upon emergence from bankruptcy. American elected to be covered by certain special rules for federal income tax purposes that permit approximately $9.5 billion of its federal NOL Carryforwards to be utilized without regard to the Section 382 annual limitation rules. Similar limitations may apply for state income tax purposes. American’s ability to utilize any new NOL Carryforwards arising after the ownership change is not affected by the annual limitation rules imposed by Section 382 unless another ownership change occurs.</w:t>
      </w:r>
    </w:p>
    <w:p>
      <w:pPr>
        <w:spacing w:after="0" w:line="17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At December 31, 2014, American had an AMT credit carryforward of approximately $435 million available for federal income tax purposes, which is available for an indefinite period. American’s net deferred tax assets, which include the NOL Carryforwards, are subject to a full valuation allowance. At December 31, 2014, the federal and state valuation allowances were $5.1 billion and $208 million, respectively. In accordance with GAAP, utilization of the NOL Carryforwards after December 9, 2013 will result in a corresponding decrease in the valuation allowance and offset American’s tax provision dollar for dollar.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American considers many factors in evaluating the realizability of its deferred tax assets including risks associated with merger integration as well as other factors, which continue to be affected by conditions beyond American’s control, such as the condition of the economy, the level and volatility of fuel prices and travel demand. American has concluded as of March 31, 2015 that the valuation allowance was still needed on its deferred tax asset based on the weight of the factors described above.</w:t>
      </w:r>
    </w:p>
    <w:p>
      <w:pPr>
        <w:spacing w:after="0" w:line="17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the three months ended March 31, 2015, American recorded a special $8 million non-cash deferred income tax provision related to certain indefinite-lived intangible assets.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the three months ended March 31, 2014, American recorded a special $7 million non-cash deferred income tax provision related to certain indefinite-lived intangible assets and $4 million of state and international income tax expense related to certain states and countries where NOLs were limited or unavailable to be used.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Compared to Three Months Ended March 31,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0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1160" w:type="dxa"/>
            <w:vAlign w:val="bottom"/>
            <w:gridSpan w:val="2"/>
          </w:tcPr>
          <w:p>
            <w:pPr>
              <w:jc w:val="center"/>
              <w:ind w:left="117"/>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7"/>
          </w:tcPr>
          <w:p>
            <w:pPr>
              <w:jc w:val="right"/>
              <w:ind w:right="357"/>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4,906</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Regional passenger</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669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726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7"/>
        </w:trPr>
        <w:tc>
          <w:tcPr>
            <w:tcW w:w="50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5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quarter of 2015 decreased $100 million, or 1.5%, from the 2014 period principally due to winter storm flight cancellations, competitive capacity growth in our key markets and foreign currency devaluation. Significant changes in the components of operating revenues are as follows:</w:t>
      </w:r>
    </w:p>
    <w:p>
      <w:pPr>
        <w:spacing w:after="0" w:line="87" w:lineRule="exact"/>
        <w:rPr>
          <w:sz w:val="20"/>
          <w:szCs w:val="20"/>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Mainline passenger revenues decreased $216 million, or 4.4%, in the first quarter of 2015 from the 2014 period due a decrease in ASMs and yield.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Regional passenger revenues increased $30 million, or 4.4%, in the first quarter of 2015 from the 2014 period due to higher ASMs, offset in part by a decrease in yield.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revenues increased $92 million, or 12.7%, in the first quarter of 2015 from the 2014 period driven primarily by higher revenues associated with American’s frequent flyer program.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8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4"/>
              </w:rPr>
              <w:t>(In millions, except percentage changes)</w:t>
            </w: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1,398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Special items, net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Fuel</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0"/>
        </w:trPr>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Total operating expenses in the first quarter of 2015 decreased $282 million, or 4.8%, from the 2014 period. Significant changes in the components of mainline operating expenses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Aircraft fuel and related taxes decreased $801 million, or 42.8%, in the first quarter of 2015 from the 2014 period primarily due to a decrease in the average price per gallon of fuel and gallons of fuel consumed.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Salaries, wages and benefits increased $187 million, or 13.4%, in the first quarter of 2015 from the 2014 period primarily due to increased costs associated with the new pilot and flight attendant joint collective bargaining agreements.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Selling expenses decreased $49 million, or 17.3%, in the first quarter of 2015 from the 2014 period primarily due to lower contractually negotiated rates for certain commissions and booking fees.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Depreciation and amortization increased $22 million, or 10.7%, in the first quarter of 2015 from the 2014 period primarily due to new purchased aircraft deliveries since the end of the 2014 first quarter as American continues its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Total regional expenses decreased $30 million, or 4.0%, in the first quarter of 2015 to $728 million from $758 million in the 2014 period. The period over period decrease was primarily due to a $92 million decrease in fuel costs offset by higher other regional expenses due to an increase in capacity.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140" w:type="dxa"/>
            <w:vAlign w:val="bottom"/>
            <w:gridSpan w:val="2"/>
          </w:tcPr>
          <w:p>
            <w:pPr>
              <w:jc w:val="center"/>
              <w:ind w:left="5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7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8"/>
          </w:tcPr>
          <w:p>
            <w:pPr>
              <w:jc w:val="right"/>
              <w:ind w:right="37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860" w:type="dxa"/>
            <w:vAlign w:val="bottom"/>
            <w:gridSpan w:val="3"/>
          </w:tcPr>
          <w:p>
            <w:pPr>
              <w:jc w:val="right"/>
              <w:ind w:right="228"/>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60" w:type="dxa"/>
            <w:vAlign w:val="bottom"/>
            <w:gridSpan w:val="2"/>
          </w:tcPr>
          <w:p>
            <w:pPr>
              <w:jc w:val="right"/>
              <w:ind w:right="228"/>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Interest income was $6 million and $7 million in the first quarter of 2015 and 2014, respectively. American’s short-term investments in each period consisted of highly liquid investments which provided nominal returns.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of capitalized interest decreased $42 million, or 24.9%, in the first quarter of 2015 from the 2014 period. The 2014 period included $27 million of special charges related to non-cash interest accretion on the bankruptcy settlement obligations.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Other nonoperating expense, net increased $58 million in the first quarter of 2015 from the 2014 period. The first quarter of 2015 included $68 million of foreign currency losses as compared to $3 million of net foreign currency gains in the 2014 period. The increase in foreign currency losses during the first quarter of 2015 was driven primarily by the strengthening of the U.S. dollar in</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foreign currency transactions relative to other currencies, principally in Latin American and European markets including a 17% decrease in the value of the Brazilian real, a 10% decrease in the value of the Euro and a 4% decrease in the value of the British pound in the first quarter of 2015. These foreign currency losses were offset in part by a net special credit of $8 million primarily due to a $17 million early debt extinguishment gain associated with the repayment of American’s AAdvantage loan with Citibank and a $9 million charge principally related to a non-cash write off of unamortized debt discount associated with the prepayment of certain aircraft financings.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As of March 31, 2015, AAG’s total cash, short-term investments and restricted cash and short-term investments was $9.9 billion, of which $757 million was restricted. Additional detail is provided in the table below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AAG</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American</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March 31, 2015</w:t>
            </w:r>
          </w:p>
        </w:tc>
        <w:tc>
          <w:tcPr>
            <w:tcW w:w="6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2015</w:t>
            </w:r>
          </w:p>
        </w:tc>
        <w:tc>
          <w:tcPr>
            <w:tcW w:w="58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100" w:type="dxa"/>
            <w:vAlign w:val="bottom"/>
          </w:tcPr>
          <w:p>
            <w:pPr>
              <w:spacing w:after="0"/>
              <w:rPr>
                <w:sz w:val="12"/>
                <w:szCs w:val="12"/>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8,125</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6,309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4,853</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Total cash, short-term investments and restricted cash and</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9,930</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8,077</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6,383</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Our restricted cash and short-term investments related primarily to collateral held to support projected workers’ compensation obligations.</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2015, we had approximately $644 million of unrestricted cash and short-term investments held in Venezuelan bolivars. This balance includes approximately $621 million valued at 6.3 bolivars to the U.S. dollar and approximately $23 million valued at 12.0 bolivars to the U.S. dollar,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Our cash balance held in Venezuelan bolivars decreased $12 million from the December 31, 2014 balance of $656 million, due to payments made in bolivars for local operating expenditures.</w:t>
      </w:r>
    </w:p>
    <w:p>
      <w:pPr>
        <w:spacing w:after="0" w:line="193"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additional uncertainty posed by the February 2015 changes to the foreign exchange regulations and the continued deterioration of economic conditions in Venezuela.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 economic and political</w:t>
      </w:r>
      <w:r>
        <w:rPr>
          <w:rFonts w:ascii="Arial" w:cs="Arial" w:eastAsia="Arial" w:hAnsi="Arial"/>
          <w:sz w:val="17"/>
          <w:szCs w:val="17"/>
          <w:color w:val="auto"/>
        </w:rPr>
        <w:t xml:space="preserve"> </w:t>
      </w:r>
      <w:r>
        <w:rPr>
          <w:rFonts w:ascii="Arial" w:cs="Arial" w:eastAsia="Arial" w:hAnsi="Arial"/>
          <w:sz w:val="17"/>
          <w:szCs w:val="17"/>
          <w:i w:val="1"/>
          <w:iCs w:val="1"/>
          <w:color w:val="auto"/>
        </w:rPr>
        <w:t>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On January 27, 2015, we announced that our Board of Directors had authorized a new $2.0 billion share repurchase program to be completed by the end of 2016. Shares repurchased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The program does not obligate us to repurchase any specific number of shares and may be suspended at any time at our discretion. During the three months ended March 31, 2015, we repurchased 3.8 million shares of AAG Common Stock for $190 million at a weighted average cost per share of $49.47.</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Paid</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Also on January 27, 2015, we announced that our Board of Directors had declared a $0.10 per share dividend for shareholders of record on February 9, 2015, and payable on February 23, 2015. The total cash payment for dividends during the three months ended March 31, 2015 was $70 million. 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our discretion.</w:t>
      </w:r>
    </w:p>
    <w:p>
      <w:pPr>
        <w:spacing w:after="0" w:line="18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addition, in April 2015, we announced that our Board of Directors had declared a $0.10 per share dividend for shareholders of record on May 4, 2015, and payable on May 18,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Net cash provided by operating activities was $2.5 billion and $1.3 billion for the first three months of 2015 and 2014, respectively, a period-over-period increase of $1.2 billion. This increase in cash flows generated from operating activities was principally due to improved operating profitability in the first quarter of 2015 resulting primarily from a $1.4 billion, or 42.2%, decline in mainline and regional fuel expense.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was $3.2 billion and $943 million for the first three months of 2015 and 2014, respectively.</w:t>
      </w:r>
    </w:p>
    <w:p>
      <w:pPr>
        <w:spacing w:after="0" w:line="225"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Principal investing activities in the 2015 period included expenditures of $1.4 billion for property and equipment, consisting primarily of the purchase of newly delivered aircraft including nine Bombardier CRJ900 aircraft, five Airbus A321 family aircraft, four Airbus A319 aircraft, four Boeing 737 aircraft, two Boeing 787 aircraft, two Embraer 175 aircraft and one Boeing 777 aircraft as well as $1.8 billion in net purchases of short-term investments.</w:t>
      </w:r>
    </w:p>
    <w:p>
      <w:pPr>
        <w:spacing w:after="0" w:line="147"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Principal investing activities in the 2014 period included expenditures of $1.0 billion for property and equipment, consisting primarily of the purchase of aircraft, including five Boeing 737 family aircraft, one Boeing 777 aircraft, nine A320 family aircraft and one A330 aircraft, as well as pre-delivery deposits for certain aircraft on order, and $294 million in net purchases of short-term investments. These cash outflows were offset in part by proceeds from the sale of DCA Slots of $307 million and an $88 million decrease in restricted cash and short-term investments due to lower collateral requirements with respect to projected workers’ compensation obligations.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Net cash provided by financing activities was $762 million as compared to net cash used in financing activities of $194 million for the first three months of 2015 and 2014, respectively.</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Principal financing activities in the 2015 period included proceeds from the issuance of $1.8 billion of debt, primarily including the $500 million issuance of 4.625% senior notes and $1.0 billion issuance of certain EETC equipment notes. These cash inflows were offset in part by debt repayments of $746 million, including the $400 million repayment of American’s Advantage loan with Citibank, $181 million in stock repurchases and $70 million in dividend payments.</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Principal financing activities in the 2014 period included debt repayments of $501 million, including a $100 million prepayment on American’s 7.50% Senior Secured Notes, and $84 million of cash payments for tax withholdings associated with equity distributions to employees. These cash outflows were offset in part by proceeds from the issuance of debt of $224 million due to the issuance of EETC equipment notes associated with aircraft deliveries in 2014 and proceeds from sale-leaseback transactions of $165 million related to the financing of four Boeing 737 family aircraft.</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Net cash provided by operating activities was $2.3 billion and $742 million for the first three months of 2015 and 2014, respectively, a period-over-period increase of $1.5 billion. This increase in cash flows generated from operating activities was principally due to improved operating profitability in the first quarter of 2015 resulting primarily from an $893 million, or 42.1%, decline in mainline and regional fuel expense.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was $2.7 billion and $234 million for the first three months of 2015 and 2014, respectively.</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Principal investing activities in the 2015 period included expenditures of $1.2 billion for property and equipment, consisting primarily of the purchase of newly delivered aircraft including nine Bombardier CRJ900 aircraft, four Airbus A319 aircraft, four Boeing 737 aircraft, two Boeing 787 aircraft, two Embraer 175 aircraft and one Boeing 777 aircraft as well as $1.6 billion in net purchases of short term investments.</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Principal investing activities in the 2014 period included expenditures of $722 million for property and equipment, consisting primarily of the purchase of aircraft, including five Boeing 737 family aircraft, one Boeing 777 aircraft and five A320 family aircraft, as well as pre-delivery deposits for certain aircraft on order. These cash outflows were offset in part by proceeds from the sale of DCA Slots of $299 million and $183 million in net sales of short-term investments.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Net cash provided by financing activities was $529 million as compared to net cash used in financing activities of $354 million for the first three months of 2015 and 2014, respectively.</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Principal financing activities in the 2015 period included proceeds from the issuance of $1.2 billion of debt, primarily including the $1.0 billion issuance of certain EETC equipment notes. These cash inflows were offset in part by debt repayments of $680 million including the $400 million prepayment of American’s Advantage loan with Citibank.</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Principal financing activities in the 2014 period included debt repayments of $430 million, including a $100 million prepayment on American’s 7.50% Senior Secured Notes and $84 million of cash funding to AAG for tax withholdings associated with equity distributions to employees. These cash outflows were offset in part by proceeds from sale-leaseback transactions of $165 million related to the financing of four Boeing 737 family aircraft.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March 31, 2015, AAG and American had $19.0 billion and $11.8 billion, respectively, in long-term debt and capital leases (including current maturities and before debt discount). See Note 7 to AAG’s condensed consolidated financial statements in Part I, Item 1A and Note 5 to American’s condensed consolidated financial statements in Part I, Item 1B for further information on all indebtedness as of March 31, 2015. Our significant indebtedness includes the 2013 Credit Facilities, the 2013 Citicorp Credit Facility and the 2014 Credit Facilities described below.</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2013 Credit Facilities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On June 27, 2013, American and AAG entered into a Credit and Guaranty Agreement (as amended, the 2013 Credit Agreement) with certain lenders. The 2013 Credit Agreement provides for a term loan facility (the 2013 Term Loan Facility) that is scheduled to mature on June 27, 2019, unless otherwise extended by the applicable parties. As of March 31, 2015, $1.9 billion was outstanding under the 2013 Term Loan Facility.</w:t>
      </w:r>
    </w:p>
    <w:p>
      <w:pPr>
        <w:spacing w:after="0" w:line="166"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The 2013 Credit Agreement originally provided for a $1.0 billion revolving credit facility (the 2013 Revolving Facility and, together with the 2013 Term Loan Facility, the 2013 Credit Facilities) scheduled to mature on June 27, 2018, unless otherwise extended by the applicable parties. The 2013 Term Loan Facility is repayable in quarterly installments in an amount equal to 0.25% of the original principal amount thereof with any unpaid balance due on the maturity date of the 2013 Term Loan Facility. The 2013 Revolving Facility provided that American may from time to time borrow, repay and reborrow loans thereunder and have letters of credit issued thereunder in an aggregate amount outstanding at any time of up to $1.0 billion. On October 10, 2014, American and AAG amended the 2013 Credit Agreement to extend the maturity date of the 2013 Revolving Facility to October 10, 2019 and increased the commitments thereunder to an aggregate amount of $1.4 billion while reducing the letter of credit commitments thereunder to $300 million. As of March 31, 2015, there were no borrowings or letters of credit outstanding under the 2013 Revolving Facility.</w:t>
      </w:r>
    </w:p>
    <w:p>
      <w:pPr>
        <w:spacing w:after="0" w:line="17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2013 Term Loan Facility) plus an applicable LIBOR margin. The applicable LIBOR margin is 3.00% for borrowings under both the 2013 Term Loan Facility and the 2013 Revolving Facility.</w:t>
      </w:r>
    </w:p>
    <w:p>
      <w:pPr>
        <w:spacing w:after="0" w:line="18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Subject to certain limitations and exceptions, the 2013 Credit Facilities are secured by certain collateral, including certain route authorities and certain take-off and landing rights and gate leaseholds at certain airports. American is required to maintain a certain minimum ratio of appraised value of the collateral to the outstanding loans under the 2013 Credit Facilities as more fully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w:t>
      </w:r>
    </w:p>
    <w:p>
      <w:pPr>
        <w:spacing w:after="0" w:line="16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2013 Credit Facilities contain events of default customary for similar financings, including cross default to other material indebtedness. Upon the occurrence of an event of default, the outstanding obligations under the 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2013 Citicorp Credit Facility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23, 2013, US Airways entered into a term loan credit facility (the 2013 Citicorp Credit Facility) with Citicorp North America, Inc., as administrative agent, and a syndicate of lenders. US Airways Group and certain other subsidiaries of US Airways Group are guarantors of the 2013 Citicorp Credit Facility agreement. In connection with the closing of the Merger, AAG and American entered into a joinder to the 2013 Citicorp Credit Facility loan agreement pursuant to which AAG and American became guarantors under such agreement.</w:t>
      </w:r>
    </w:p>
    <w:p>
      <w:pPr>
        <w:spacing w:after="0" w:line="18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2013 Citicorp Credit Facility consists of tranche B-1 term loans (Tranche B-1) and tranche B-2 term loans (Tranche B-2). As of March 31, 2015, $990 million was outstanding under Tranche B-1 and $594 million was outstanding under Tranche B-2. Voluntary prepayments may be made at any time.</w:t>
      </w:r>
    </w:p>
    <w:p>
      <w:pPr>
        <w:spacing w:after="0" w:line="124"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As of March 31, 2015, the 2013 Citicorp Credit Facility bears interest at an index rate plus an applicable index margin or, at US Airways’ option, LIBOR (subject to a floor of 0.75%) plus an applicable LIBOR margin. The applicable LIBOR margin is 2.75% for Tranche B-1 and 2.25% for Tranche B-2.</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certain limitations and exceptions, the obligations of US Airways under the 2013 Citicorp Credit Facility are secured by liens on certain take-off and landing rights at certain airports, and certain other assets of US Airways. US Airways is required to maintain a certain minimum ratio of appraised value of the collateral to the outstanding loans under the 2013 Citicorp Credit Facility as more fully described below in “</w:t>
      </w:r>
      <w:r>
        <w:rPr>
          <w:rFonts w:ascii="Arial" w:cs="Arial" w:eastAsia="Arial" w:hAnsi="Arial"/>
          <w:sz w:val="18"/>
          <w:szCs w:val="18"/>
          <w:i w:val="1"/>
          <w:iCs w:val="1"/>
          <w:color w:val="auto"/>
        </w:rPr>
        <w:t>Collateral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8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The 2013 Citicorp Credit Facility agreement contains events of default customary for similar financings, including a cross-default provision to certain other material indebtedness of US Airways and certain of its affiliates. Upon the occurrence of an event of default, the outstanding obligations under the 2013 Citicorp Credit Facility may be accelerated and become due and payable immediately. In addition, if a “change of control” (as defined in the 2013 Citicorp Credit Facility agreement) occurs, US Airways will (absent an amendment or waiver) be required to repay the outstanding loans in full together with accrued interest thereon to the date of such prepayment. The 2013 Citicorp Credit Facility agreement includes affirmative, negative and financial covenants that, among other things, (a) require AAG and its restricted subsidiaries to maintain unrestricted liquidity of not less than $2.0 billion, with not less than $750 million held in accounts subject to control agreements, and (b) restrict the ability of US Airways Group, its subsidiaries party to the 2013 Citicorp Credit Facility, AAG and American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On October 10, 2014, American, AAG, US Airways Group and US Airways entered into a Credit and Guaranty Agreement (the 2014 Credit Agreement) with certain lenders. The 2014 Credit Agreement provides for a $750 million term loan facility (the 2014 Term Loan Facility) and a $400 million revolving credit facility (the 2014 Revolving Facility and, together with the 2014 Term Loan Facility, the 2014 Credit Facilities). As of March 31, 2015, $750 million was outstanding under the 2014 Term Loan Facility. The 2014 Revolving Facility provides that American may from time to time borrow, repay and reborrow loans thereunder. American may have letters of credit issued under the 2014 Revolving Facility in an aggregate amount outstanding at any time up to $300 million. As of March 31, 2015, there were no borrowings or letters of credit outstanding under the 2014 Revolving Facility.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as more fully described below in “</w:t>
      </w:r>
      <w:r>
        <w:rPr>
          <w:rFonts w:ascii="Arial" w:cs="Arial" w:eastAsia="Arial" w:hAnsi="Arial"/>
          <w:sz w:val="18"/>
          <w:szCs w:val="18"/>
          <w:i w:val="1"/>
          <w:iCs w:val="1"/>
          <w:color w:val="auto"/>
        </w:rPr>
        <w:t>Collateral Related Covenants</w:t>
      </w:r>
      <w:r>
        <w:rPr>
          <w:rFonts w:ascii="Arial" w:cs="Arial" w:eastAsia="Arial" w:hAnsi="Arial"/>
          <w:sz w:val="18"/>
          <w:szCs w:val="18"/>
          <w:color w:val="auto"/>
        </w:rPr>
        <w:t>.”</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2014 Term Loan Facility and 2014 Revolving Facility mature on October 10, 2021 and October 10, 2019, respectively, unless otherwise extended by the applicable parties. The 2014 Term Loan Facility is repayable in annual installments in an amount equal to 1.00% of the original principal balance with any unpaid balance due on the maturity date of the 2014 Term Loan Facility. Voluntary prepayments may be made by American at any time, with a premium of 1.00% applicable to certain prepayments made prior to the date that is six months following October 10, 2014.</w:t>
      </w:r>
    </w:p>
    <w:p>
      <w:pPr>
        <w:spacing w:after="0" w:line="17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2014 Credit Facilities bear interest at an index rate plus an applicable index margin or, at American’s option, LIBOR (subject to a floor of 0.75% in the case of the 2014 Term Loan Facility) plus an applicable LIBOR margin. As of March 31, 2015, the applicable LIBOR margins were 3.50% and 3.00% for borrowings under the 2014 Term Loan Facility and the 2014 Revolving Facility, respectively, and if American had a corporate credit rating of Ba3 or higher from Moody’s and BB- or higher from S&amp;P, the applicable LIBOR margin was 3.25% under the 2014 Term Loan Facility.</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2014 Credit Facilities contain events of default customary for similar financings, including cross default to other material indebtedness. Upon the occurrence of an event of default, the outstanding obligations under the 2014 Credit Facilities may be accelerated and become due and payable immediately. In addition, if a “change of control” (as defined in the 2014 Credit Agreement) occurs with respect to AAG, American will (absent an amendment or waiver) be required to repay at par the loans outstanding under the 2014 Credit Facilities and terminate the 2014 Revolving Facility.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19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April 20, 2015, American refinanced its $750 million term loan facility (the new 2015 Term Loan Facility) to reduce the LIBOR margin from 3.50% to 3.00% and entered into certain amendments to reflect the release of certain existing collateral and the addition of certain new collateral and to allow American to make future modifications to the collateral pledged. For more information on these amendments, see Part II, Item 5. Other Information.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2015-1 EETCs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March 2015, American created two pass-through trusts which issued approximately $1.2 billion aggregate face amount of Series 2015-1 Class A and Class B EETCs in connection with the financing of 28 aircraft currently owned or scheduled to be delivered from July 2015 to September 2015 (the 2015 EETC Aircraft). The 2015-1 EETCs represent fractional undivided interests in the respective pass-through trusts and are not obligations of American. Proceeds received from the sale of EETCs are initially held by a depository in escrow for the benefit of the certificate holders until American issues equipment notes to the pass-through trusts, which purchase the notes with a portion of the escrowed funds. These escrowed funds are not guaranteed by American and are not reported as debt on the Company’s condensed consolidated balance sheet because the proceeds held by the depository are not American’s assets.</w:t>
      </w:r>
    </w:p>
    <w:p>
      <w:pPr>
        <w:spacing w:after="0" w:line="189"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As of March 31, 2015, $1.0 billion of the escrowed proceeds from the 2015-1 EETCs have been used to purchase equipment notes issued by American in two series: Series A equipment notes in the amount of $796 million bearing interest at 3.375% per annum and Series B equipment notes in the amount of $223 million bearing interest at 3.70% per annum. Interest and principal payments on the equipment notes are payable semiannually in May and November of each year, beginning in November 2015. The final payments on the Series A and Series B equipment notes will be due in May 2027 and May 2023, respectively. These equipment notes are secured by liens on 19 of the 2015 EETC Aircraft. The remaining $195 million of escrowed proceeds will be used to purchase equipment notes as the remaining nine new aircraft are delivered.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4.625% Senior Notes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March 2015, AAG issued $500 million aggregate principal amount of 4.625% senior notes due 2020 (the 4.625% senior notes). These notes bear interest at a rate of 4.625% per annum and are payable semi-annually in arrears on each March 1 and September 1, beginning on September 1, 2015. The 4.625% senior notes mature on March 1, 2020 and are fully and unconditionally guaranteed by American, US Airways Group and US Airways. The 4.625% senior notes are senior unsecured obligations of AAG. The indenture for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4.625% senior notes contains covenants and events of default generally customary for similar financings. In addition, if AAG experiences specific kinds of changes of control, AAG must offer to repurchase the 4.625% senior notes in whole or in part at a repurchase price of 101% of the aggregate principal amount plus accrued and unpaid interest, if any, to (but not including) the repurchase date. Upon the occurrence of certain events of default, the 4.625% senior notes may be accelerated and become due and payable.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Aircraft Financing Transactions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first quarter of 2015, we entered into loan agreements to borrow $247 million in connection with the financing of certain aircraft deliveries. The notes mature in 2025 through 2027 and bear interest at a rate of LIBOR plus an applicable margin.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AAdvantage Loan</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American had the right to repay in cash, without premium or penalty, any or all of the amounts owed to Citibank under the AAdvantage Loan. Effective January 2, 2015, American exercised its loan repayment right with respect to the full value of the outstanding balance to Citibank for $400 million. In connection with the repayment, in the first quarter of 2015, American recognized an early debt extinguishment gain of approximately $17 million.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1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Certain of our debt financing agreements contain loan to value ratio covenants and require us to periodically appraise the collateral. Pursuant to such agreements, if the loan to value ratio exceeds a specified threshold, we are required, as applicable, to pledge additional qualifying collateral (which in some cases may include cash collateral), or pay down such financing, in whole or in part, with premium (if any). Specifically, American is required to meet collateral coverage tests on a periodic basis on the 2013 Credit Facilities and the 2014 Credit Facilities, and US Airways is required to meet such tests on the 2013 Citicorp Credit Facility. We were in compliance with the collateral coverage tests for the 2013 Credit Facilities, 2013 Citicorp Credit Facility and the 2014 Credit Facilities as of the most recent measurement dates.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credit ratings as of March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S&amp;P Local</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Fitch</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149"/>
        </w:trPr>
        <w:tc>
          <w:tcPr>
            <w:tcW w:w="11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Issuer Credit</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Issuer Default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r>
      <w:tr>
        <w:trPr>
          <w:trHeight w:val="17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Rating</w:t>
            </w: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7"/>
              </w:rPr>
              <w:t>Credit Rating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Family Rating</w:t>
            </w:r>
          </w:p>
        </w:tc>
      </w:tr>
      <w:tr>
        <w:trPr>
          <w:trHeight w:val="210"/>
        </w:trPr>
        <w:tc>
          <w:tcPr>
            <w:tcW w:w="7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Airlines Group.</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w:t>
            </w:r>
          </w:p>
        </w:tc>
        <w:tc>
          <w:tcPr>
            <w:tcW w:w="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B+</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B1</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American Airlines</w:t>
            </w:r>
          </w:p>
        </w:tc>
        <w:tc>
          <w:tcPr>
            <w:tcW w:w="146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B+</w:t>
            </w: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B+</w:t>
            </w:r>
          </w:p>
        </w:tc>
        <w:tc>
          <w:tcPr>
            <w:tcW w:w="900" w:type="dxa"/>
            <w:vAlign w:val="bottom"/>
          </w:tcPr>
          <w:p>
            <w:pPr>
              <w:jc w:val="right"/>
              <w:ind w:right="321"/>
              <w:spacing w:after="0"/>
              <w:rPr>
                <w:sz w:val="20"/>
                <w:szCs w:val="20"/>
                <w:color w:val="auto"/>
              </w:rPr>
            </w:pPr>
            <w:r>
              <w:rPr>
                <w:rFonts w:ascii="Arial" w:cs="Arial" w:eastAsia="Arial" w:hAnsi="Arial"/>
                <w:sz w:val="18"/>
                <w:szCs w:val="18"/>
                <w:color w:val="auto"/>
              </w:rPr>
              <w:t>*</w:t>
            </w:r>
          </w:p>
        </w:tc>
      </w:tr>
      <w:tr>
        <w:trPr>
          <w:trHeight w:val="121"/>
        </w:trPr>
        <w:tc>
          <w:tcPr>
            <w:tcW w:w="1160" w:type="dxa"/>
            <w:vAlign w:val="bottom"/>
            <w:tcBorders>
              <w:bottom w:val="single" w:sz="8" w:color="auto"/>
            </w:tcBorders>
          </w:tcPr>
          <w:p>
            <w:pPr>
              <w:spacing w:after="0"/>
              <w:rPr>
                <w:sz w:val="10"/>
                <w:szCs w:val="10"/>
                <w:color w:val="auto"/>
              </w:rPr>
            </w:pPr>
          </w:p>
        </w:tc>
        <w:tc>
          <w:tcPr>
            <w:tcW w:w="6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7520" w:type="dxa"/>
            <w:vAlign w:val="bottom"/>
            <w:gridSpan w:val="2"/>
          </w:tcPr>
          <w:p>
            <w:pPr>
              <w:spacing w:after="0"/>
              <w:rPr>
                <w:sz w:val="20"/>
                <w:szCs w:val="20"/>
                <w:color w:val="auto"/>
              </w:rPr>
            </w:pPr>
            <w:r>
              <w:rPr>
                <w:rFonts w:ascii="Arial" w:cs="Arial" w:eastAsia="Arial" w:hAnsi="Arial"/>
                <w:sz w:val="18"/>
                <w:szCs w:val="18"/>
                <w:color w:val="auto"/>
              </w:rPr>
              <w:t>*  The credit agency does not rate this category for the respective entity.</w:t>
            </w: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2"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March 31, 2015, we have definitive purchase agreements with Airbus, Boeing and other manufacturers for the acquisition of the following mainline and regional aircraft: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Remainder</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2020 and</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2015</w:t>
            </w: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Thereafter</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Airbus</w:t>
            </w:r>
          </w:p>
        </w:tc>
        <w:tc>
          <w:tcPr>
            <w:tcW w:w="60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A320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A320neo</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A350 XWB</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1"/>
              </w:rPr>
              <w:t>Boeing</w:t>
            </w:r>
          </w:p>
        </w:tc>
        <w:tc>
          <w:tcPr>
            <w:tcW w:w="604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737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737 MAX</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777-300 ER</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Bombardier</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CRJ900 </w:t>
            </w:r>
            <w:r>
              <w:rPr>
                <w:rFonts w:ascii="Arial" w:cs="Arial" w:eastAsia="Arial" w:hAnsi="Arial"/>
                <w:sz w:val="15"/>
                <w:szCs w:val="15"/>
                <w:color w:val="auto"/>
              </w:rPr>
              <w:t>(1)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Embraer</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ERJ175 </w:t>
            </w:r>
            <w:r>
              <w:rPr>
                <w:rFonts w:ascii="Arial" w:cs="Arial" w:eastAsia="Arial" w:hAnsi="Arial"/>
                <w:sz w:val="15"/>
                <w:szCs w:val="15"/>
                <w:color w:val="auto"/>
              </w:rPr>
              <w:t>(1)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gridSpan w:val="4"/>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79"/>
              </w:rPr>
              <w:t>100</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line="27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have agreements for 55 spare engines to be delivered in 2015 and beyond. Under all of our aircraft and engine purchase agreements, our total future commitments as of March 31, 2015 are expected to be as follows (approximately,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Remainder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2020 and</w:t>
            </w:r>
          </w:p>
        </w:tc>
        <w:tc>
          <w:tcPr>
            <w:tcW w:w="8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of 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 xml:space="preserve">Payments for American aircraft commitments and certain engines </w:t>
            </w:r>
            <w:r>
              <w:rPr>
                <w:rFonts w:ascii="Arial" w:cs="Arial" w:eastAsia="Arial" w:hAnsi="Arial"/>
                <w:sz w:val="15"/>
                <w:szCs w:val="15"/>
                <w:color w:val="auto"/>
                <w:w w:val="98"/>
              </w:rPr>
              <w:t>(1)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4,366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$3,216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2,581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w w:val="95"/>
              </w:rPr>
              <w:t xml:space="preserve">Payments for US Airways aircraft commitments and certain engines </w:t>
            </w:r>
            <w:r>
              <w:rPr>
                <w:rFonts w:ascii="Arial" w:cs="Arial" w:eastAsia="Arial" w:hAnsi="Arial"/>
                <w:sz w:val="15"/>
                <w:szCs w:val="15"/>
                <w:color w:val="auto"/>
                <w:w w:val="95"/>
              </w:rPr>
              <w:t>(1)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765</w:t>
            </w: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$1,037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308"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7"/>
          <w:szCs w:val="17"/>
          <w:color w:val="auto"/>
        </w:rPr>
        <w:t>These amounts are net of purchase deposits currently held by the manufacturers and include all commitments for regional aircraft. American has granted Boeing a security interest in its purchase deposits with Boeing. Our purchase deposits totaled $1.3 billion as of March 31, 2015.</w:t>
      </w:r>
    </w:p>
    <w:p>
      <w:pPr>
        <w:spacing w:after="0" w:line="146"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6"/>
          <w:szCs w:val="16"/>
          <w:color w:val="auto"/>
        </w:rPr>
        <w:t>In April 2015, we amended our delivery agreement with Boeing to defer four 787 aircraft from 2016 to 2017 and one 787 aircraft from 2017 to 2018.</w:t>
      </w:r>
    </w:p>
    <w:p>
      <w:pPr>
        <w:spacing w:after="0" w:line="24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As of March 31, 2015, we did not have financing commitments for the following aircraft currently on order and scheduled to be delivered through 2017: 74 Airbus A320 family aircraft, 10 Airbus A320neo aircraft, six Airbus A350 XWB aircraft, 14 Boeing 737 family aircraft, three Boeing 737 MAX aircraft, three Boeing 777-300 ER aircraft, and 32 Boeing 787 family aircraft. In addition, we did not have financing commitments in place for aircraft currently on order and scheduled to be delivered in 2018 and beyond. See Part II, Item 1A. Risk Factors – “</w:t>
      </w:r>
      <w:r>
        <w:rPr>
          <w:rFonts w:ascii="Arial" w:cs="Arial" w:eastAsia="Arial" w:hAnsi="Arial"/>
          <w:sz w:val="18"/>
          <w:szCs w:val="18"/>
          <w:i w:val="1"/>
          <w:iCs w:val="1"/>
          <w:color w:val="auto"/>
        </w:rPr>
        <w:t>We will need to obtain sufficient financing or other</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to operate successfully</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Card Processing</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We have agreements with companies that process customer credit card transactions for the sale of air travel and other services. Credit card processors have financial risk associated with tickets purchased for travel because, although the processor generally forwards the cash related to the purchase to us soon after the purchase is completed, the air travel generally occurs after that time, and the processor may have liability if we do not ultimately provide the air travel. Our agreements allow these processing companies, under certain conditions, to hold an amount of our cash (referred to as a “holdback”) equal to a portion of advance ticket sales that have been processed by that company, but for which we have not yet provided the air transportation. We are not currently required to maintain any holdbacks pursuant to these requirements. Certain of our agreements provide that these holdback requirements can be modified at the discretion of the processing companies, up to the estimated liability for future air travel purchased with the respective credit cards, upon the occurrence of specified events, including material adverse changes in our financial condition. The amount that the processing companies may withhold also varies as a result of changes in financial risk due to seasonal fluctuations in ticket volume. Additional holdback requirements will reduce our liquidity in the form of unrestricted cash by the amount of the holdbacks.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Pension Funding Obligation</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Employee Retirement Income Security Act of 1974 (ERISA), the Pension Funding Equity Act of 2004, the Pension Protection Act of 2006, the Pension Relief Act of 2010 and the Moving Ahead for Progress in the 21st Century Act of 2012.</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Based on our current funding assumptions, we have no minimum required contributions until 2019. Currently, our minimum funding obligation for our pension plans is subject to temporary favorable rules that are scheduled to expire at the end of 2017. Upon expiration of these rules, our funding obligations are likely to increase materially. The amount of these obligations will depend on the performance of our investments held in trust by the pension plans, interest rates for determining liabilities and our actuarial experience.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 Agreements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January 3, 2015, we reached a tentative agreement with the Allied Pilots Association on a five-year joint collective bargaining agreement, which was ratified on January 30, 2015. The new, higher pay rates were implemented retroactive to December 2, 2014. We estimate that the ratified contract will increase our 2015 cost of pilot compensation and benefits by approximately $650 million, of which $99 million has been reflected as a special charge in our first quarter condensed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our off-balance sheet arrangements as set forth in our 2014 AAG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 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future cash contractual obligations as of March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Remainder</w:t>
            </w: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0"/>
                <w:szCs w:val="10"/>
                <w:color w:val="auto"/>
              </w:rPr>
            </w:pPr>
          </w:p>
        </w:tc>
        <w:tc>
          <w:tcPr>
            <w:tcW w:w="9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2020 and</w:t>
            </w: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of 2015</w:t>
            </w: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2,818</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5,675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Commitments for aircraft and engine purchases </w:t>
            </w:r>
            <w:r>
              <w:rPr>
                <w:rFonts w:ascii="Arial" w:cs="Arial" w:eastAsia="Arial" w:hAnsi="Arial"/>
                <w:sz w:val="15"/>
                <w:szCs w:val="15"/>
                <w:color w:val="auto"/>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4,404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5,414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23,612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10,917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15"/>
                <w:szCs w:val="15"/>
                <w:color w:val="auto"/>
              </w:rPr>
              <w:t>(7)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Retiree medical and other purchase obligations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American Contractual Obligations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23,562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60,499</w:t>
            </w:r>
          </w:p>
        </w:tc>
        <w:tc>
          <w:tcPr>
            <w:tcW w:w="0" w:type="dxa"/>
            <w:vAlign w:val="bottom"/>
          </w:tcPr>
          <w:p>
            <w:pPr>
              <w:spacing w:after="0"/>
              <w:rPr>
                <w:sz w:val="1"/>
                <w:szCs w:val="1"/>
                <w:color w:val="auto"/>
              </w:rPr>
            </w:pPr>
          </w:p>
        </w:tc>
      </w:tr>
      <w:tr>
        <w:trPr>
          <w:trHeight w:val="324"/>
        </w:trPr>
        <w:tc>
          <w:tcPr>
            <w:tcW w:w="4840" w:type="dxa"/>
            <w:vAlign w:val="bottom"/>
          </w:tcPr>
          <w:p>
            <w:pPr>
              <w:spacing w:after="0"/>
              <w:rPr>
                <w:sz w:val="20"/>
                <w:szCs w:val="20"/>
                <w:color w:val="auto"/>
              </w:rPr>
            </w:pPr>
            <w:r>
              <w:rPr>
                <w:rFonts w:ascii="Arial" w:cs="Arial" w:eastAsia="Arial" w:hAnsi="Arial"/>
                <w:sz w:val="18"/>
                <w:szCs w:val="18"/>
                <w:i w:val="1"/>
                <w:iCs w:val="1"/>
                <w:color w:val="auto"/>
                <w:w w:val="99"/>
              </w:rPr>
              <w:t>AAG Parent, US Airways Group and Other AAG Subsidiaries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for aircraft and engine purchases </w:t>
            </w:r>
            <w:r>
              <w:rPr>
                <w:rFonts w:ascii="Arial" w:cs="Arial" w:eastAsia="Arial" w:hAnsi="Arial"/>
                <w:sz w:val="15"/>
                <w:szCs w:val="15"/>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Retiree medical and other purchase obligations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AAG Contractual Obligations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10,982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10,967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12,309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27,993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81,103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7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Amounts represent contractual amounts due. For American, excludes $31 million and for US Airways Group, excludes $18 million of unamortized debt discount as of March 31, 2015.</w:t>
      </w:r>
    </w:p>
    <w:p>
      <w:pPr>
        <w:spacing w:after="0" w:line="75" w:lineRule="exact"/>
        <w:rPr>
          <w:rFonts w:ascii="Arial" w:cs="Arial" w:eastAsia="Arial" w:hAnsi="Arial"/>
          <w:sz w:val="15"/>
          <w:szCs w:val="15"/>
          <w:color w:val="auto"/>
        </w:rPr>
      </w:pPr>
    </w:p>
    <w:p>
      <w:pPr>
        <w:ind w:left="460" w:hanging="452"/>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For variable-rate debt, future interest obligations are estimated using the current forward rates at March 31,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64"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For American, includes $5.2 billion of future principal payments and $1.3 billion of future interest payments, respectively, and for US Airways Group, includes $2.7 billion of future principal payments and $857 million of future interest payments, respectively, as of March 31, 2015, related to EETCs associated with mortgage financings for the purchase of certain aircraft.</w:t>
      </w:r>
    </w:p>
    <w:p>
      <w:pPr>
        <w:spacing w:after="0" w:line="86" w:lineRule="exact"/>
        <w:rPr>
          <w:rFonts w:ascii="Arial" w:cs="Arial" w:eastAsia="Arial" w:hAnsi="Arial"/>
          <w:sz w:val="15"/>
          <w:szCs w:val="15"/>
          <w:color w:val="auto"/>
        </w:rPr>
      </w:pPr>
    </w:p>
    <w:p>
      <w:pPr>
        <w:ind w:left="460" w:hanging="452"/>
        <w:spacing w:after="0" w:line="27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 obligations of American and US Airways Group.</w:t>
      </w:r>
    </w:p>
    <w:p>
      <w:pPr>
        <w:spacing w:after="0" w:line="75" w:lineRule="exact"/>
        <w:rPr>
          <w:rFonts w:ascii="Arial" w:cs="Arial" w:eastAsia="Arial" w:hAnsi="Arial"/>
          <w:sz w:val="15"/>
          <w:szCs w:val="15"/>
          <w:color w:val="auto"/>
        </w:rPr>
      </w:pPr>
    </w:p>
    <w:p>
      <w:pPr>
        <w:ind w:left="460" w:right="20" w:hanging="452"/>
        <w:spacing w:after="0" w:line="27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For American, includes $269 million and for US Airways Group, includes $1.7 billion of future minimum lease payments related to EETCs associated with leveraged lease financings of certain aircraft as of March 31, 2015.</w:t>
      </w:r>
    </w:p>
    <w:p>
      <w:pPr>
        <w:spacing w:after="0" w:line="75" w:lineRule="exact"/>
        <w:rPr>
          <w:rFonts w:ascii="Arial" w:cs="Arial" w:eastAsia="Arial" w:hAnsi="Arial"/>
          <w:sz w:val="15"/>
          <w:szCs w:val="15"/>
          <w:color w:val="auto"/>
        </w:rPr>
      </w:pPr>
    </w:p>
    <w:p>
      <w:pPr>
        <w:ind w:left="460" w:hanging="452"/>
        <w:spacing w:after="0" w:line="308"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51" w:lineRule="exact"/>
        <w:rPr>
          <w:rFonts w:ascii="Arial" w:cs="Arial" w:eastAsia="Arial" w:hAnsi="Arial"/>
          <w:sz w:val="14"/>
          <w:szCs w:val="14"/>
          <w:color w:val="auto"/>
        </w:rPr>
      </w:pPr>
    </w:p>
    <w:p>
      <w:pPr>
        <w:ind w:left="460" w:hanging="452"/>
        <w:spacing w:after="0" w:line="27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Includes minimum pension contributions based on actuarially determined estimates and other postretirement benefit payments based on estimated payments through 2024. See Note 8 to American’s condensed consolidated financial statements in Part I, Item 1B.</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2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In light of our significant financial commitments related to, among other things, new aircraft and the servicing and amortization of existing debt and equipment leasing arrangements,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the 2013 Credit Facilities, the 2014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8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the first quarter of 2015, there were no changes to our critical accounting policies and estimates from those disclosed in the consolidated financial statements and accompanying notes contained in our 2014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We are currently evaluating the requirements of ASU 2014-09 and have not yet determined its impact on our condensed consolidated financial statements.</w:t>
      </w:r>
    </w:p>
    <w:p>
      <w:pPr>
        <w:spacing w:after="0" w:line="19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April 2015, the FASB issued ASU 2015-03, “Interest - Imputation of Interest (Subtopic 835-30): Simplifying the Presentation of Debt Issuance Costs.” The update requires debt issuance costs related to a recognized debt liability be presented in the balance sheet as a direct deduction from the carrying amount of the related debt liability instead of being presented as an asset. Debt disclosures will include the face amount of the debt liability and the effective interest rate. The update requires retrospective application and represents a change in accounting principle. The update is effective for fiscal years beginning after December 15, 2015. Early adoption is permitted for financial statements that have not been previously issued. ASU 2015-03 is not expected to have a material impact on our condensed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u w:val="single" w:color="auto"/>
          <w:color w:val="auto"/>
        </w:rPr>
        <w:t>AAG’s Market Risk Sensitive Instruments and Positions</w:t>
      </w:r>
    </w:p>
    <w:p>
      <w:pPr>
        <w:jc w:val="both"/>
        <w:ind w:right="20" w:firstLine="456"/>
        <w:spacing w:after="0" w:line="27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2014 10-K except as updated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During the second quarter of 2014, we sold our portfolio of fuel hedging contracts that were scheduled to settle on or after June 30, 2014. We have not entered into any transactions to hedge our fuel consumption since December 9, 2013 and, accordingly, as of March 31, 2015,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2015 forecasted mainline and regional fuel consumption is presently approximately 4.3 billion gallons, and based on this forecast, a one cent per gallon increase in aviation fuel price would result in a $43 million increase in annual expense.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Japanese yen and various Latin American currencies, particularly the Venezuelan bolivar, Brazilian real and Argentine peso. We do not currently have a foreign currency hedge program related to our foreign currency-denominated ticket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2015, we had approximately $644 million of unrestricted cash and short-term investments held in Venezuelan bolivars. This balance includes approximately $621 million valued at 6.3 bolivars to the U.S. dollar and approximately $23 million valued at 12.0 bolivars to the U.S. dollar,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Our cash balance held in Venezuelan bolivars decreased $12 million from the December 31, 2014 balance of $656 million, due to payments made in bolivars for local operating expenditures.</w:t>
      </w:r>
    </w:p>
    <w:p>
      <w:pPr>
        <w:spacing w:after="0" w:line="193"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additional uncertainty posed by the February 2015 changes to the foreign exchange regulations and the continued deterioration of economic conditions in Venezuela.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 to economic and political</w:t>
      </w:r>
      <w:r>
        <w:rPr>
          <w:rFonts w:ascii="Arial" w:cs="Arial" w:eastAsia="Arial" w:hAnsi="Arial"/>
          <w:sz w:val="17"/>
          <w:szCs w:val="17"/>
          <w:color w:val="auto"/>
        </w:rPr>
        <w:t xml:space="preserve"> </w:t>
      </w:r>
      <w:r>
        <w:rPr>
          <w:rFonts w:ascii="Arial" w:cs="Arial" w:eastAsia="Arial" w:hAnsi="Arial"/>
          <w:sz w:val="17"/>
          <w:szCs w:val="17"/>
          <w:i w:val="1"/>
          <w:iCs w:val="1"/>
          <w:color w:val="auto"/>
        </w:rPr>
        <w:t>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American’s Market Risk Sensitive Instruments and Positions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American’s primary market risk exposures include the price of aircraft fuel, foreign currency exchange rates and interest rate risk. American’s exposure to these market risks has not changed materially from its exposure discussed in its 2014 10-K except as updated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second quarter of 2014, American sold its portfolio of fuel hedging contracts that were scheduled to settle on or after June 30, 2014. American has not entered into any transactions to hedge its fuel consumption since December 9, 2013 and, accordingly, as of March 31, 2015, American did not have any fuel hedging contracts outstanding. As such, and assuming American does not enter into any future transactions to hedge its fuel consumption, American will continue to be fully exposed to fluctuations in fuel prices. American’s current policy is not to enter into transactions to hedge its fuel consumption, although American reviews that policy from time to time based on market conditions and other factors. American’s 2015 forecasted mainline and regional fuel consumption is presently approximately 2.8 billion gallons, and based on this forecast, a one cent per gallon increase in aviation fuel price would result in a $28 million increase in annual expense.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 is exposed to the effect of foreign exchange rate fluctuations on the U.S. dollar value of foreign currency-denominated operating revenues and expenses. American’s largest exposure comes from the British pound, Euro, Canadian dollar, Japanese yen and various Latin American currencies, particularly the Venezuelan bolivar, Brazilian real and Argentine peso. American does not currently have a foreign currency hedge program related to its foreign currency-denominated ticket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of March 31, 2015, American had approximately $644 million of unrestricted cash and short-term investments held in Venezuelan bolivars. This balance includes approximately $621 million valued at 6.3 bolivars to the U.S. dollar and approximately $23 million valued at 12.0 bolivars to the U.S. dollar, with the rate depending on the date American submitted its repatriation request to the Venezuelan government. These rates are materially more favorable than the exchange rates currently prevailing for other transactions conducted outside of the Venezuelan government’s currency exchange system. American’s cash balance held in Venezuelan bolivars decreased $12 million from the December 31, 2014 balance of $656 million, due to payments made in bolivars for local operating expenditures.</w:t>
      </w:r>
    </w:p>
    <w:p>
      <w:pPr>
        <w:spacing w:after="0" w:line="193"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During 2014, American significantly reduced capacity in the Venezuelan market and is no longer accepting bolivars as payment for airline tickets. American is monitoring this situation closely and continues to evaluate its holdings of Venezuelan bolivars for additional foreign currency losses or other accounting adjustments, which could be material, particularly in light of the additional uncertainty posed by the February 2015 changes to the foreign exchange regulations and the continued deterioration of economic conditions in Venezuela. More generally, fluctuations in foreign currencies, including devaluations, cannot be predicted by American and can significantly affect the value of American’s assets located outside the United States. These conditions, as well as any further delays, devaluations or imposition of more stringent repatriation restrictions, may materially adversely affect American’s business, results of operations and financial condition. See Part II, Item 1A. Risk Factors – “</w:t>
      </w:r>
      <w:r>
        <w:rPr>
          <w:rFonts w:ascii="Arial" w:cs="Arial" w:eastAsia="Arial" w:hAnsi="Arial"/>
          <w:sz w:val="17"/>
          <w:szCs w:val="17"/>
          <w:i w:val="1"/>
          <w:iCs w:val="1"/>
          <w:color w:val="auto"/>
        </w:rPr>
        <w:t>We operate a global business with international operations that are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economic and political instability and have been, and in the future may continue to be, adversely affected by numerous events, circumstances or government actions beyond our control</w:t>
      </w:r>
      <w:r>
        <w:rPr>
          <w:rFonts w:ascii="Arial" w:cs="Arial" w:eastAsia="Arial" w:hAnsi="Arial"/>
          <w:sz w:val="17"/>
          <w:szCs w:val="17"/>
          <w:color w:val="auto"/>
        </w:rPr>
        <w:t>” for additional discussion of this and other currency risks.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March 31, 2015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March 31,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9, 2013, AAG acquired US Airways Group and its subsidiaries. We are in the process of integrating policies, processes, people, technology and operations for the post-Merger combined company, and we will continue to evaluate the impact of any related changes to our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and associated updates and improvements to the combined control environment, during the quarter ended March 31, 2015, there has been no change in AAG’s or American’s internal control over financial reporting that has materially affected, or is reasonably likely to materially affect, AAG’s and American’s internal control over financial reporting.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March 31, 2015.</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the Chapter 11 Cases. On October 21, 2013,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178" w:lineRule="exact"/>
        <w:rPr>
          <w:sz w:val="20"/>
          <w:szCs w:val="20"/>
          <w:color w:val="auto"/>
        </w:rPr>
      </w:pPr>
    </w:p>
    <w:p>
      <w:pPr>
        <w:jc w:val="both"/>
        <w:ind w:firstLine="456"/>
        <w:spacing w:after="0" w:line="267" w:lineRule="auto"/>
        <w:rPr>
          <w:sz w:val="20"/>
          <w:szCs w:val="20"/>
          <w:color w:val="auto"/>
        </w:rPr>
      </w:pPr>
      <w:r>
        <w:rPr>
          <w:rFonts w:ascii="Arial" w:cs="Arial" w:eastAsia="Arial" w:hAnsi="Arial"/>
          <w:sz w:val="17"/>
          <w:szCs w:val="17"/>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December 31, 2014, the Disputed Claims Reserve held 26.8 million shares of AAG Common Stock pending distribution of those shares in accordance with the Plan. On February 10, 2015, approximately 0.8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we repurchased less than 0.1 million shares of AAG Common Stock for an aggregate of $4 million from the Disputed Claims Reserve at the then prevailing market price in order to fund cash tax obligations resulting from this distribution. As of March 31, 2015, there were approximately 26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93"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We have denied both grievances and intend to defend these matters vigorously.</w:t>
      </w:r>
    </w:p>
    <w:p>
      <w:pPr>
        <w:spacing w:after="0" w:line="183"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claim or seek preliminary injunctive relief requiring the carriers to hold separate their assets. On June 2, 2014, plaintiffs filed an amended motion for leave to file a second amended and supplemental complaint. On March 31, 2015, the Court denied plaintiffs’ motion. There is currently no trial date set. We believe this lawsuit is without merit and intend to vigorously defend against the allegations.</w:t>
      </w:r>
    </w:p>
    <w:p>
      <w:pPr>
        <w:spacing w:after="0" w:line="181"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i w:val="1"/>
          <w:iCs w:val="1"/>
          <w:color w:val="auto"/>
        </w:rPr>
        <w:t>US Airways Sabre Matter</w:t>
      </w:r>
      <w:r>
        <w:rPr>
          <w:rFonts w:ascii="Arial" w:cs="Arial" w:eastAsia="Arial" w:hAnsi="Arial"/>
          <w:sz w:val="17"/>
          <w:szCs w:val="17"/>
          <w:color w:val="auto"/>
        </w:rPr>
        <w:t>. On April 21, 2011, US Airways filed an antitrust lawsuit against Sabre Holdings Corporation, Sabre Inc. and Sabre Travel</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Limited (collectively, Sabre) in the Federal District Court for the Southern District of New York. The lawsuit, as amended to date, alleges, among other things, that Sabre has engaged in anticompetitive practices to preserve its market power by restricting our ability to distribute our products to our customers. The lawsuit also alleges that these actions have permitted Sabre to charge supracompetitive booking fees and to use technologies that are not as robust and as efficient as alternatives in a competitive market. The lawsuit seeks money damages. Sabre filed a motion to dismiss the case, which the court denied in part and granted in part in September 2011, allowing two of the four counts in the complaint to proceed. In January 2015, the court denied in part and granted in part Sabre’s motions for summary judgment. A trial date is expected to be set soon. We intend to pursue our claims against Sabre vigorously, but there can be no assurance of the outcome of this litigation.</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and our subsidiaries are also engaged in other legal proceedings from time to time. Legal proceedings can be complex and take many</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our common stock or our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76" w:lineRule="exact"/>
        <w:rPr>
          <w:sz w:val="20"/>
          <w:szCs w:val="20"/>
          <w:color w:val="auto"/>
        </w:rPr>
      </w:pPr>
    </w:p>
    <w:p>
      <w:pPr>
        <w:jc w:val="right"/>
        <w:ind w:right="6300"/>
        <w:spacing w:after="0"/>
        <w:rPr>
          <w:sz w:val="20"/>
          <w:szCs w:val="20"/>
          <w:color w:val="auto"/>
        </w:rPr>
      </w:pPr>
      <w:r>
        <w:rPr>
          <w:rFonts w:ascii="Arial" w:cs="Arial" w:eastAsia="Arial" w:hAnsi="Arial"/>
          <w:sz w:val="16"/>
          <w:szCs w:val="16"/>
          <w:b w:val="1"/>
          <w:bCs w:val="1"/>
          <w:color w:val="auto"/>
        </w:rPr>
        <w:t>Risk Factors Relating to the Company and Industry-Related Risks</w:t>
      </w:r>
    </w:p>
    <w:p>
      <w:pPr>
        <w:spacing w:after="0" w:line="144" w:lineRule="exact"/>
        <w:rPr>
          <w:sz w:val="20"/>
          <w:szCs w:val="20"/>
          <w:color w:val="auto"/>
        </w:rPr>
      </w:pPr>
    </w:p>
    <w:p>
      <w:pPr>
        <w:jc w:val="right"/>
        <w:ind w:right="6340"/>
        <w:spacing w:after="0"/>
        <w:rPr>
          <w:sz w:val="20"/>
          <w:szCs w:val="20"/>
          <w:color w:val="auto"/>
        </w:rPr>
      </w:pPr>
      <w:r>
        <w:rPr>
          <w:rFonts w:ascii="Arial" w:cs="Arial" w:eastAsia="Arial" w:hAnsi="Arial"/>
          <w:sz w:val="17"/>
          <w:szCs w:val="17"/>
          <w:b w:val="1"/>
          <w:bCs w:val="1"/>
          <w:i w:val="1"/>
          <w:iCs w:val="1"/>
          <w:color w:val="auto"/>
        </w:rPr>
        <w:t>We could experience significant operating losses in the future.</w:t>
      </w:r>
    </w:p>
    <w:p>
      <w:pPr>
        <w:spacing w:after="0" w:line="1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For a number of reasons, including those addressed in these risk factors, we might fail to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7"/>
          <w:szCs w:val="17"/>
          <w:i w:val="1"/>
          <w:iCs w:val="1"/>
          <w:color w:val="auto"/>
        </w:rPr>
        <w:t>The airline industry is intensely competitive and dynamic”</w:t>
      </w:r>
      <w:r>
        <w:rPr>
          <w:rFonts w:ascii="Arial" w:cs="Arial" w:eastAsia="Arial" w:hAnsi="Arial"/>
          <w:sz w:val="17"/>
          <w:szCs w:val="17"/>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286"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continued to be volatile in the first three months of 2015.</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Because of the amount of fuel needed to operate our business, even a relatively small increase in the price of fuel can have a material adverse aggregate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8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Our aviation fuel purchase contracts generally do not provide meaningful price protection against increases in fuel costs. Prior to the closing of the Merger, we sought to manage the risk of fuel price increases by using derivative contracts. During the second quarter of 2014, we sold our portfolio of fuel hedging contracts that were scheduled to settle on or after June 30, 2014. We have not entered into any transactions to hedge our fuel consumption since December 9, 2013 and, accordingly, as of March 31, 2015, we did not have any fuel hedging contracts outstanding.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8"/>
          <w:szCs w:val="18"/>
          <w:i w:val="1"/>
          <w:iCs w:val="1"/>
          <w:color w:val="auto"/>
        </w:rPr>
        <w:t>AAG Market Risk Sensitive Instruments and Positions – Aircraft Fuel”</w:t>
      </w:r>
      <w:r>
        <w:rPr>
          <w:rFonts w:ascii="Arial" w:cs="Arial" w:eastAsia="Arial" w:hAnsi="Arial"/>
          <w:sz w:val="18"/>
          <w:szCs w:val="18"/>
          <w:color w:val="auto"/>
        </w:rPr>
        <w:t xml:space="preserve"> and “</w:t>
      </w:r>
      <w:r>
        <w:rPr>
          <w:rFonts w:ascii="Arial" w:cs="Arial" w:eastAsia="Arial" w:hAnsi="Arial"/>
          <w:sz w:val="18"/>
          <w:szCs w:val="18"/>
          <w:i w:val="1"/>
          <w:iCs w:val="1"/>
          <w:color w:val="auto"/>
        </w:rPr>
        <w:t>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Airlines Market Risk Sensitive Instruments and Positions – Aircraft Fuel.”</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6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Low-cost carriers have a profound impact on industry revenues. Using the advantage of low unit costs, these carriers offer lower fares in order to shift demand from larger, more established airlines.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overall performance. For example, as a result of divestitures completed in connection with gaining regulatory approval for the Merger, low-fare, low-cost carriers have gained additional access in a number of markets, including DCA, a Slot-controlled airport. In addition, the Wright Amendment Reform Act reduced, and has now eliminated all, domestic non-stop geographic restrictions on operations by Southwest Airlines and other carriers at DAL. The two gates at DAL that we divested as part of our settlement of antitrust litigation related to the Merger have been allocated to Virgin America, a low-cost carrier. The changed operating rules at DAL and that divestiture have increased low-cost carrier competition for our hub at DFW. The actions of the low-cost carriers, including those described above, could have a material adverse effect on our operations and financial performance.</w:t>
      </w:r>
    </w:p>
    <w:p>
      <w:pPr>
        <w:spacing w:after="0" w:line="169"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Our presence in international markets is not as extensive as that of some of our competitors. We derived approximately 33% of our operating revenues in 2014 from operations outside of the U.S., as measured and reported to the DOT. In providing international air transportation, we compete with U.S. airlines to provide scheduled passenger and cargo service between the U.S. and various overseas locations, foreign investor-owned airlines, and foreign state-owned or state-affiliated airlines, including carriers based in the Middle East, the three largest of which we believe benefit from significant government subsidies. In addition, open skies agreements with an increasing number of countries around the world provide international airlines with open access to U.S. markets. During 2014, international capacity grew more quickly than domestic service creating a very competitive operating environment. See “</w:t>
      </w:r>
      <w:r>
        <w:rPr>
          <w:rFonts w:ascii="Arial" w:cs="Arial" w:eastAsia="Arial" w:hAnsi="Arial"/>
          <w:sz w:val="17"/>
          <w:szCs w:val="17"/>
          <w:i w:val="1"/>
          <w:iCs w:val="1"/>
          <w:color w:val="auto"/>
        </w:rPr>
        <w:t>Our business is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extensive government regulation, which may result in increases in our costs, disruptions to our operations, limits on our operating flexibility, reductions in the demand for air travel, and competitive disadvantages</w:t>
      </w:r>
      <w:r>
        <w:rPr>
          <w:rFonts w:ascii="Arial" w:cs="Arial" w:eastAsia="Arial" w:hAnsi="Arial"/>
          <w:sz w:val="17"/>
          <w:szCs w:val="17"/>
          <w:color w:val="auto"/>
        </w:rPr>
        <w:t>”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implemented a joint business agreement (JBA) with British Airways, Iberia and Finnair, and antitrust-immunized cooperation with British Airways, Iberia, Finnair and Royal Jordanian. In addition, we have implemented an antitrust-immunized JBA with Japan Airlines and a JBA with Qantas Airways. No assurances can be given as to any benefits that we may derive from such arrangements or any other arrangements that may ultimately be implemented.</w:t>
      </w:r>
    </w:p>
    <w:p>
      <w:pPr>
        <w:spacing w:after="0" w:line="18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Merger involves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We must devote significant management attention and resources to integrating our business practices, cultures and operations. Potential difficulties we may encounter as part of the integration process include the following:</w:t>
      </w:r>
    </w:p>
    <w:p>
      <w:pPr>
        <w:spacing w:after="0" w:line="77" w:lineRule="exact"/>
        <w:rPr>
          <w:sz w:val="20"/>
          <w:szCs w:val="20"/>
          <w:color w:val="auto"/>
        </w:rPr>
      </w:pPr>
    </w:p>
    <w:p>
      <w:pPr>
        <w:ind w:left="900" w:right="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challenge of integrating complex systems, operating procedures, regulatory compliance programs, technology, aircraft fleets, networks, and other assets in a manner that minimizes any adverse impact on customers, suppliers, employees, and other constituencies;</w:t>
      </w:r>
    </w:p>
    <w:p>
      <w:pPr>
        <w:spacing w:after="0" w:line="51"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effects of divestitures and other operational commitments in connection with the settlement of the litigation brought by the Department of Justice (DOJ) and certain states prior to the closing of the Merger, including those involving DAL and DCA;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including designing and implementing an integrated customer reservations system, that will be necessary to operate American and US Airways as a single airline and to achieve cost synergies by eliminating redundancies in the businesses;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We face challenges in integrating our computer, communications and other technology systems”</w:t>
      </w:r>
      <w:r>
        <w:rPr>
          <w:rFonts w:ascii="Arial" w:cs="Arial" w:eastAsia="Arial" w:hAnsi="Arial"/>
          <w:sz w:val="18"/>
          <w:szCs w:val="18"/>
          <w:color w:val="auto"/>
        </w:rPr>
        <w:t xml:space="preserve"> below.</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Accordingly, we may not be able to realize the contemplated benefits of the Merger fully, or at all, or it may take longer and cost more to realize such benefits than expected.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92"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respond to business opportunities and to withstand operating risks that are customary in the industry;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75" w:lineRule="exact"/>
        <w:rPr>
          <w:rFonts w:ascii="Arial" w:cs="Arial" w:eastAsia="Arial" w:hAnsi="Arial"/>
          <w:sz w:val="18"/>
          <w:szCs w:val="18"/>
          <w:color w:val="auto"/>
        </w:rPr>
      </w:pPr>
    </w:p>
    <w:p>
      <w:pPr>
        <w:jc w:val="both"/>
        <w:ind w:left="1460" w:hanging="547"/>
        <w:spacing w:after="0" w:line="264"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86"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7"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We estimate that, based on our commitments as of March 31, 2015, our planned aggregate expenditures for aircraft purchase commitments and certain engines on a consolidated basis for calendar years 2015-2019 would be approximately $21.0 billion, of which $18.2 billion represents commitments by American. We also currently anticipate cash transition costs to integrate our businesses following the Merger to be approximately $1.2 billion, although these costs could exceed our expectations.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as of March 31, 2015, we did not have financing commitments for the following aircraft currently on order and scheduled to be delivered through 2017: 74 Airbus A320 family aircraft, 10 Airbus A320neo aircraft, six Airbus A350 XWB aircraft, 14 Boeing 737 family aircraft, three Boeing 737 MAX aircraft, three Boeing 777-300 ER aircraft, and 32 Boeing 787 family aircraft. In addition, we did not have financing commitments in place for aircraft currently on order and scheduled to be delivered in 2018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8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2013 Credit Facilities, the 2013 Citicorp Credit Facility, the 2014 Credit Facility and other of our floating rate debt, and accordingly, our interest expense for any particular period may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w:t>
      </w:r>
    </w:p>
    <w:p>
      <w:pPr>
        <w:spacing w:after="0" w:line="297"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high level of fixed obligations may limit our ability to fund general corporate requirements and obtain additional financing, may limit our flexibility in responding to competitive developments and causes our business to be vulnerable to adverse economic and industry conditions.</w:t>
      </w:r>
    </w:p>
    <w:p>
      <w:pPr>
        <w:spacing w:after="0" w:line="16"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post-employment benefit funding obligations, which may adversely affect our liquidity, results of operations and financial condition.</w:t>
      </w:r>
    </w:p>
    <w:p>
      <w:pPr>
        <w:spacing w:after="0" w:line="62"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temporary favorable rules that are scheduled to expire at the end of 2017. Upon the expiration of those rules, our funding obligations are likely to increase materially. In addition, we may have significant obligations for other post-employment benefits, the ultimate amount of which depends on, among other things, the outcome of an adversary proceeding related to retiree medical and life insurance obligations filed in the Chapter 11 cases.</w:t>
      </w:r>
    </w:p>
    <w:p>
      <w:pPr>
        <w:spacing w:after="0" w:line="28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62"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terms of our 2013 Credit Facilities, the 2013 Citicorp Credit Facility and the 2014 Credit Facilities require us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us and the other obligors thereunder to hold not less than $750 million (subject to partial reductions upon certain reductions in the outstanding amount of the loan) of that amount in accounts subject to control agreements.</w:t>
      </w:r>
    </w:p>
    <w:p>
      <w:pPr>
        <w:spacing w:after="0" w:line="15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ability to comply with these liquidity covenants while paying the fixed costs associated with our contractual obligations and our other expenses, including significant pension and other post-employment funding obligations and cash transition costs associated with the Merger, will depend on our operating performance and cash flow, which are seasonal, as well as factors including fuel costs and general economic and political conditions.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15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 balances to higher percentages up to and including 100% of relevant advanced ticket sales could materially reduce our liquidity. Likewise, other of our commercial agreements contain provisions that allow other entities to impose less favorable terms, including the acceleration of amounts due, in the event of material adverse changes in our financial condition.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Relations between air carriers and labor unions in the U.S. are governed by the Railway Labor Act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w:t>
      </w:r>
    </w:p>
    <w:p>
      <w:pPr>
        <w:spacing w:after="0" w:line="18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2014 10-K.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As of December 31, 2014, approximately 82%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City, Philadelphia, Phoenix and Washington, D.C. Substantially all of our flights either originate in or fly into one of these locations. A significant interruption or disruption in service at one of our hubs resulting from ATC delays, weather conditions, natural disasters, growth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28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disrupt our operations and harm our reputation, business, results of operations and financial condition.</w:t>
      </w:r>
    </w:p>
    <w:p>
      <w:pPr>
        <w:spacing w:after="0" w:line="62"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Our business requires the appropriate and secure utilization of customer, employee, business partner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 significant data security breach or our failure to comply with applicable U.S. or foreign data security regulations or other data security standards may expose us to litigation, claims for contract breach, fines, sanctions or other penalties, which could disrupt our operations, harm our reputation and materially and adversely affect our business, results of operations and financial condition.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296"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78"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 or Slot exemptions at DCA and three New York City airports: Newark Liberty, JFK and LaGuardia.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w:t>
      </w:r>
    </w:p>
    <w:p>
      <w:pPr>
        <w:spacing w:after="0" w:line="17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connection with the settlement of litigation relating to the Merger brought by the DOJ and certain states, we entered into settlement agreements that provide for certain asset divestitures including 52 slot pairs at DCA, 17 Slot pairs at LaGuardia and gates and related ground facilities necessary to operate those Slot pairs, and two gates at each of Boston Logan International Airport, Chicago O’Hare International Airport, DAL, Los Angeles International Airport and Miami International Airport. Our settlement agreements also require our airlines to maintain certain hub operations and continue to provide service to certain specified communities for limited periods of time. In addition, we entered into a related settlement with the U.S. Department of Transportation (DOT) related to small community service from DCA. Further, as a consequence of the Merger clearance process in the EU, we made one pair of London Heathrow Slots available for use by another carrier and, along with our JBA partners, we made one pair of London Heathrow Slots available to competitors for use for up to six years in different markets.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ability to provide service can also be impaired at airports, such as Chicago O’Hare and Los Angeles International, where the airport gate and other facilities are inadequate to accommodate all of the service that we would like to provide.</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incur problems with any of our third-party regional operators or third-party service providers, our operations could be adversely affected by a resulting decline in revenue or negative public perception about our services.</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and other risk factors, such as a bankruptcy restructuring of any of the regional operators.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8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We rely on third-party distribution channels, including those provided by or through global distribution systems (GDSs) (e.g., Amadeus, Sabre and Travelport), conventional travel agents and online travel agents (OTAs) (e.g., Expedia and Orbitz and Travelocity, both of which will be owned by Expedia if previously announced transactions are completed),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9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Airlines are subject to extensive domestic and international regulatory requirements. In the last several years, Congress has passed laws, and the DOT, the FAA, the U.S.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addition, the FAA recently issued its final regulations governing pilot rest periods and work hours for all airlines certificated under Part 121 of the Federal Aviation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The rule, which became effective on January 4, 2014, impacts the required amount and timing of rest periods for pilots between work assignments and modifies duty and rest requirements based on the time of day, number of scheduled segments, flight types, time zones, and other factors. These regulations, or other regulations, could have a material adverse effect on us and the industry.</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new disclosures concerning airline fares and ancillary fees such as baggage fees. The DOT has been aggressively investigating alleged violations of these new rules. Other DOT rules apply to post-ticket purchase price increases and an expansion of tarmac delay regulations to international airlines.</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76" w:lineRule="exact"/>
        <w:rPr>
          <w:sz w:val="20"/>
          <w:szCs w:val="20"/>
          <w:color w:val="auto"/>
        </w:rPr>
      </w:pPr>
    </w:p>
    <w:p>
      <w:pPr>
        <w:ind w:left="900" w:right="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 (for example, a “passenger bill of rights”);</w:t>
      </w:r>
    </w:p>
    <w:p>
      <w:pPr>
        <w:spacing w:after="0" w:line="153"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Any significant reduction in air traffic capacity at key airports in the U.S. or overseas could have a material adverse effect on our business, results of operations and financial condition. In addition, the ATC system is not successfully managing the growing demand for U.S. air travel. ATC towers are frequently understaffed in certain of our hubs, and air traffic controllers rely on outdated technologies that routinely overwhelm the system and compel airlines to fly inefficient, indirect routes. The ATC system’s inability to handle existing travel demand has led government agencies to implement short-term capacity constraints during peak travel periods in certain markets, resulting in delays and disruptions of air traffic. The outdated technologies also cause the ATC to be less resilient in the event of a failure. For example, the ATC systems in Chicago took weeks to recover following a fire in the ATC tower at ORD, which resulted in thousands of cancelled flights.</w:t>
      </w:r>
    </w:p>
    <w:p>
      <w:pPr>
        <w:spacing w:after="0" w:line="18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14, 2012, the FAA Modernization and Reform Act of 2012 was signed. The law provides funding for the FAA to rebuild its ATC system, including switching from radar to a GPS-based system. It is uncertain when any improvements to the ATC system will take effect. Failure to update the ATC system in a timely manner and the substantial funding requirements that may be imposed on airlines of a modernized ATC system may have a material adverse effect on our business.</w:t>
      </w:r>
    </w:p>
    <w:p>
      <w:pPr>
        <w:spacing w:after="0" w:line="18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took effect in March 2008, provides airlines from the U.S. and EU member states open access to each other’s markets, with freedom of pricing and unlimited rights to fly from the U.S. to any airport in the EU, including London Heathrow. As a result of the agreement, we face increased competition in these markets, including London Heathrow.</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TSA security screening fees, which were recently increased),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6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8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6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We have recently implemented several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8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140"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3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operate a global business with operations outside of the U.S. from which AAG derived approximately 33% of its operating revenues in 2014, as measured and reported to the DOT. Our current international activities and prospects have been and in the future could be adversely affected by reversals or delays in the opening of foreign markets, increased competition in international markets, exchange controls or other restrictions on repatriation of funds, currency and political risks (including changes in exchange rates and currency devaluations, which are more likely in countries with exchange controls such as Venezuela and Argentina), environmental regulation, increases in taxes and fees and changes in international government regulation of our operations, including the inability to obtain or retain needed route authorities and/or Slots.</w:t>
      </w:r>
    </w:p>
    <w:p>
      <w:pPr>
        <w:spacing w:after="0" w:line="193"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For example, the business environment in Venezuela has been challenging, with economic uncertainty fueled by currency devaluation, high inflation and governmental restrictions, including currency exchange and payment controls, price controls and the possibility of expropriation of property or other resources. As of March 31, 2015, we had approximately $644 million of unrestricted cash and short-term investments held in Venezuelan bolivars. This balance includes approximately $621 million valued at 6.3 bolivars to the U.S. dollar and approximately $23 million valued at 12.0 bolivars to the U.S. dollar, with the rate depending on the date we submitted our repatriation request to the Venezuelan government. These rates are materially more favorable than the exchange rates currently prevailing for other transactions conducted outside of the Venezuelan government’s currency exchange system. Our cash balance held in Venezuelan bolivars decreased $12 million from the December 31, 2014 balance of $656 million, due to payments made in bolivars for local operating expenditures.</w:t>
      </w:r>
    </w:p>
    <w:p>
      <w:pPr>
        <w:spacing w:after="0" w:line="17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During 2014, we significantly reduced capacity in the Venezuelan market and we are no longer accepting bolivars as payment for airline tickets. We are monitoring this situation closely and continue to evaluate our holdings of Venezuelan bolivars for additional foreign currency losses or other accounting adjustments, which could be material, particularly in light of the continued deterioration of economic conditions in Venezuela and the additional uncertainty posed by the February 2015 changes to the foreign exchange regulations, which created three new additional markets, as well as a new exchange rate to be utilized in those markets. The new exchange rate for transactions effected on those markets is intended to fluctuate based on supply and demand and was approximately 197 bolivars to the dollar as of April 21, 2015 (as reported by the Venezuelan Central Bank). Although the new regulations do not abolish the prior exchange rates at which we are valuing our bolivar balances, it is still uncertain what impact these new regulations will have on the foreign exchange environment or whether the Venezuelan government will announce further changes to the foreign exchange regulations that may have the effect of materially adversely affecting our ability to repatriate the local currency we hold in Venezuela or the exchange rate applicable thereto.</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many forms of environmental regulation and may incur substantial costs as a result.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8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 U.S. Environmental Protection Agency (EPA) has proposed changes to underground storage tank regulations that could affect certain airport fuel hydrant systems. A final rule has not yet been issued, but when implemented, airport systems that fall within threshold requirements may need to be modified in order to comply with applicable regulations. Additionally, the EPA has proposed the draft 2013 National Pollutant Discharge Elimination System General Permit for Stormwater Discharges from Industrial Activities. This permit would impose new limitations on certain discharges along with mandatory best management practices. Concurrently, California adopted a revised State Industrial General Permit for Stormwater Discharges on April 1, 2014, which becomes effective July 1, 2015. This permit places additional reporting and monitoring requirements on permittees and requires implementation of mandatory best management practices. Cost estimates to comply with the above permitting requirements have not been defined, but American and US Airways along with other airlines would share a portion of these costs at applicable airports. In addition to the proposed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8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54"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GHG emissions, in April 2013 the EU suspended for one year application of the ETS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amended the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Ultimately, the scope and application of ETS or other emissions trading schemes to our operations, now or in the near future, remains uncertain. We do not anticipate any significant emissions allowance expenditures in 2015. Beyond 2015,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or offsets and the number of future flights subject to ETS or other emissions-related requirements. These costs have not been completely defined and could fluctuate.</w:t>
      </w:r>
    </w:p>
    <w:p>
      <w:pPr>
        <w:spacing w:after="0" w:line="17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Similarly, within the U.S., there is an increasing trend toward regulating GHG emissions directly under the Clean Air Act (CAA). In response to a 2012 ruling by the U.S. District Court for the District of Columbia requiring the EPA to make a final determination on whether aircraft GHG emissions cause or contribute to air pollution which may reasonably be anticipated to endanger public health or welfare, the EPA announced in September 2014 that it is in the process of making such determination and anticipates proposing an endangerment finding by May 2015. If the EPA makes a positive endangerment finding, the EPA is obligated under the CAA to set GHG emission standards for aircraft. In addition, several states have adopted or are considering initiatives to regulate emissions of GHGs, primarily through the planned development of GHG emissions inventories and/or regional GHG cap and trade programs. 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6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274"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62"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We are highly dependent on technology and automated systems to operate our business and achieve low operating costs. These technologies and systems include our computerized airline reservation systems,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8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including designing and implementing an integrated customer reservations system, that will be necessary to operate US Airways and American as a single airline and to achieve cost synergies by eliminating redundancies in the businesses.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6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74"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that we operate, an aircraft that is operated under our brand by one of our regional operators or an aircraft that is operated by an airline that is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275"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25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3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76" w:lineRule="exact"/>
        <w:rPr>
          <w:sz w:val="20"/>
          <w:szCs w:val="20"/>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225"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particular, an outbreak of a contagious disease such as the Ebola virus, Severe Acute Respiratory Syndrome, H1N1 influenza virus, avian flu, or any other influenza-type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higher than normal number of pilot retirements and a potential shortage of pilots could adversely affect us.</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and our regional partners. On January 4, 2014, more stringent pilot flight and duty time requirements under Part 117 of the Federal Aviation Regulations took effect. The FAA also recently issued regulations that increase the flight experience required for pilots working for airlines certificated under Part 121 of the Federal Aviation Regulations. These and other factors could contribute to a shortage of qualified pilots, particularly for our regional partners, which now face increased competition from large, mainline carriers to hire pilots. If we or our regional partners are unable to hire adequate numbers of pilots, we may experience disruptions, increased costs of operations and other adverse effects.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 lawsuit filed in connection with the Merger remains pending, and this lawsuit could have a material adverse impact on our business.</w:t>
      </w:r>
    </w:p>
    <w:p>
      <w:pPr>
        <w:spacing w:after="0" w:line="12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US Airways Group, US Airways, AMR and American were named as defendants in a private antitrust lawsuit in connection with the Merger. The complaint alleges that the effect of the Merger may be to substantially lessen competition or tend to create a monopoly in violation of Section 7 of the Clayton Antitrust Act. The relief sought in the complaint includes an injunction against the Merger, or divestiture. In January 2014, the complaint was amended to add a claim for money damages and to request injunctive relief requiring the carriers to hold separate their assets. In March 2014, the Court allowed plaintiffs to add certain allegations but denied plaintiffs’ requests to add a damages claim or seek preliminary injunctive relief requiring the carriers to hold separate their assets, and in June 2014 plaintiffs filed an amended motion for leave to file a second amended and supplemental complaint. This lawsuit could result in an obligation to pay damages or terms, conditions, requirements, limitations, costs or restrictions that would impose additional material costs on or materially limit our revenues, or materially limit some of the synergies and other benefits we anticipate following the Merger.</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Under the Internal Revenue Code of 1986, as amended (the Code), a corporation is generally allowed a deduction for NOL Carryforwards. As of December 31, 2014, we had available NOL Carryforwards of approximately $10.1 billion for regular federal income tax purposes which will expire, if unused, beginning in 2022, and approximately $4.6 billion for state income tax purposes which will expire, if unused, between 2015 and 2034. As of December 31, 2014, the amount of NOL Carryforwards for state income tax purposes that will expire, if unused, in 2015 is $83 million. Our NOL Carryforwards are subject to adjustment on audit by the Internal Revenue Service and the respective state taxing authorities.</w:t>
      </w:r>
    </w:p>
    <w:p>
      <w:pPr>
        <w:spacing w:after="0" w:line="17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shareholders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 approximately $9.0 billion of our federal NOL Carryforwards to be utilized without regard to the annual limitation generally imposed by Section 382. If the special rules do not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69"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shareholders.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7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79"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The application of the acquisition method of accounting resulted in AAG recording a significant amount of goodwill, which amount is tested for impairment at least annually. In addition, AAG and American may never realize the full value of their respective intangible assets or long-lived assets, causing them to record material impairment charges.</w:t>
      </w:r>
    </w:p>
    <w:p>
      <w:pPr>
        <w:spacing w:after="0" w:line="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accordance with applicable acquisition accounting rules, AAG recorded goodwill on its consolidated balance sheet to the extent the US Airways Group acquisition purchase price exceeded the net fair value of US Airways Group’s tangible and intangible assets and liabilities as of the acquisition date. Goodwill is not amortized, but is tested for impairment at least annually. Also, in accordance with applicable accounting standards, AAG and American will be required to test their respective indefinite-lived intangible assets for impairment on an annual basis, or more frequently if conditions indicate that an impairment may have occurred. In addition, AAG and American are required to test certain of their other assets for impairment if conditions indicate that an impairment may have occurred.</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Future impairment of goodwill or other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AAG’s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market price of AAG Common Stock may fluctuate substantially due to a variety of factors, many of which are beyond our control, including:</w:t>
      </w:r>
    </w:p>
    <w:p>
      <w:pPr>
        <w:spacing w:after="0" w:line="142"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RSUs, SARs, or similar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33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73"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As part of a capital deployment program, in July 2014, our Board of Directors authorized a $1.0 billion share repurchase program, which was completed in 2014, and in January 2015, our Board of Directors authorized a new $2.0 billion share repurchase program to be completed no later than December 31, 2016. Share repurchases under the share repurchase program may be made through a variety of methods, which may include open market purchases, privately negotiated transactions, block trades or accelerated share repurchase transactions. This share repurchase program does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 may be limited, suspended or discontinued at any time without prior notice.</w:t>
      </w:r>
    </w:p>
    <w:p>
      <w:pPr>
        <w:spacing w:after="0" w:line="17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Although our Board of Directors declared cash dividends in July 2014, October 2014, January 2015 and April 2015, as part of the capital deployment program, 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our discretion. We will continue to retain future earnings to develop our business, as opportunities arise, and evaluate on 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8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repurchases of AAG Common Stock pursuant to our share repurchase program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 and any future dividends could diminish our cash reserves, which may impact our ability to finance future growth and to pursue possible future strategic opportunities and acquisitions. Further, our share repurchase program may fluctuate such that our cash flow may be insufficient to fully cover our share repurchases. Although our share repurchase program is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7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3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provisions of our Certificate of Incorporation and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87"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2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interests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including AAG Common Stock, AAG Series A Preferred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9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3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displays information with respect to our purchases of shares of AAG Common Stock during the three months ended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26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Total number of shares</w:t>
            </w:r>
          </w:p>
        </w:tc>
        <w:tc>
          <w:tcPr>
            <w:tcW w:w="240" w:type="dxa"/>
            <w:vAlign w:val="bottom"/>
          </w:tcPr>
          <w:p>
            <w:pPr>
              <w:spacing w:after="0"/>
              <w:rPr>
                <w:sz w:val="14"/>
                <w:szCs w:val="14"/>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Maximum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4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rPr>
              <w:t>Total number</w:t>
            </w:r>
          </w:p>
        </w:tc>
        <w:tc>
          <w:tcPr>
            <w:tcW w:w="1300" w:type="dxa"/>
            <w:vAlign w:val="bottom"/>
            <w:gridSpan w:val="3"/>
            <w:vMerge w:val="continue"/>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shares that may 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64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26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purchased under the plan or program</w:t>
            </w:r>
          </w:p>
        </w:tc>
        <w:tc>
          <w:tcPr>
            <w:tcW w:w="0" w:type="dxa"/>
            <w:vAlign w:val="bottom"/>
          </w:tcPr>
          <w:p>
            <w:pPr>
              <w:spacing w:after="0"/>
              <w:rPr>
                <w:sz w:val="1"/>
                <w:szCs w:val="1"/>
                <w:color w:val="auto"/>
              </w:rPr>
            </w:pPr>
          </w:p>
        </w:tc>
      </w:tr>
      <w:tr>
        <w:trPr>
          <w:trHeight w:val="171"/>
        </w:trPr>
        <w:tc>
          <w:tcPr>
            <w:tcW w:w="42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20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7"/>
              </w:rPr>
              <w:t>of shares purchased</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2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 xml:space="preserve">announced plan or program </w:t>
            </w:r>
            <w:r>
              <w:rPr>
                <w:rFonts w:ascii="Arial" w:cs="Arial" w:eastAsia="Arial" w:hAnsi="Arial"/>
                <w:sz w:val="12"/>
                <w:szCs w:val="12"/>
                <w:b w:val="1"/>
                <w:bCs w:val="1"/>
                <w:color w:val="auto"/>
                <w:w w:val="91"/>
              </w:rPr>
              <w:t>(a)</w:t>
            </w:r>
          </w:p>
        </w:tc>
        <w:tc>
          <w:tcPr>
            <w:tcW w:w="24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vMerge w:val="continue"/>
            <w:shd w:val="clear" w:color="auto" w:fill="CCEEFF"/>
          </w:tcPr>
          <w:p>
            <w:pPr>
              <w:spacing w:after="0"/>
              <w:rPr>
                <w:sz w:val="18"/>
                <w:szCs w:val="18"/>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040" w:type="dxa"/>
            <w:vAlign w:val="bottom"/>
            <w:gridSpan w:val="2"/>
          </w:tcPr>
          <w:p>
            <w:pPr>
              <w:jc w:val="right"/>
              <w:ind w:right="640"/>
              <w:spacing w:after="0"/>
              <w:rPr>
                <w:sz w:val="20"/>
                <w:szCs w:val="20"/>
                <w:color w:val="auto"/>
              </w:rPr>
            </w:pPr>
            <w:r>
              <w:rPr>
                <w:rFonts w:ascii="Arial" w:cs="Arial" w:eastAsia="Arial" w:hAnsi="Arial"/>
                <w:sz w:val="18"/>
                <w:szCs w:val="18"/>
                <w:color w:val="auto"/>
              </w:rPr>
              <w:t>1,167,223</w:t>
            </w:r>
            <w:r>
              <w:rPr>
                <w:rFonts w:ascii="Arial" w:cs="Arial" w:eastAsia="Arial" w:hAnsi="Arial"/>
                <w:sz w:val="15"/>
                <w:szCs w:val="15"/>
                <w:color w:val="auto"/>
              </w:rPr>
              <w:t>(b)</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48.21</w:t>
            </w:r>
          </w:p>
        </w:tc>
        <w:tc>
          <w:tcPr>
            <w:tcW w:w="2600" w:type="dxa"/>
            <w:vAlign w:val="bottom"/>
            <w:gridSpan w:val="2"/>
          </w:tcPr>
          <w:p>
            <w:pPr>
              <w:jc w:val="right"/>
              <w:ind w:right="680"/>
              <w:spacing w:after="0"/>
              <w:rPr>
                <w:sz w:val="20"/>
                <w:szCs w:val="20"/>
                <w:color w:val="auto"/>
              </w:rPr>
            </w:pPr>
            <w:r>
              <w:rPr>
                <w:rFonts w:ascii="Arial" w:cs="Arial" w:eastAsia="Arial" w:hAnsi="Arial"/>
                <w:sz w:val="18"/>
                <w:szCs w:val="18"/>
                <w:color w:val="auto"/>
              </w:rPr>
              <w:t>1,079,993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2015</w:t>
            </w:r>
          </w:p>
        </w:tc>
        <w:tc>
          <w:tcPr>
            <w:tcW w:w="2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2,757,102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49.90</w:t>
            </w:r>
          </w:p>
        </w:tc>
        <w:tc>
          <w:tcPr>
            <w:tcW w:w="2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2,757,102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hanging="452"/>
        <w:spacing w:after="0" w:line="297" w:lineRule="auto"/>
        <w:tabs>
          <w:tab w:leader="none" w:pos="460" w:val="left"/>
        </w:tabs>
        <w:numPr>
          <w:ilvl w:val="0"/>
          <w:numId w:val="42"/>
        </w:numPr>
        <w:rPr>
          <w:rFonts w:ascii="Arial" w:cs="Arial" w:eastAsia="Arial" w:hAnsi="Arial"/>
          <w:sz w:val="14"/>
          <w:szCs w:val="14"/>
          <w:color w:val="auto"/>
        </w:rPr>
      </w:pPr>
      <w:r>
        <w:rPr>
          <w:rFonts w:ascii="Arial" w:cs="Arial" w:eastAsia="Arial" w:hAnsi="Arial"/>
          <w:sz w:val="16"/>
          <w:szCs w:val="16"/>
          <w:color w:val="auto"/>
        </w:rPr>
        <w:t>On January 27, 2015, we announced that our Board of Directors had authorized a new $2.0 billion share repurchase program to be completed by the end of 2016. Share repurchases under the share repurchase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This share repurchase program does not obligate us to repurchase any specific number of shares for any fixed period, and may be suspended at any time our discretion.</w:t>
      </w:r>
    </w:p>
    <w:p>
      <w:pPr>
        <w:spacing w:after="0" w:line="63" w:lineRule="exact"/>
        <w:rPr>
          <w:rFonts w:ascii="Arial" w:cs="Arial" w:eastAsia="Arial" w:hAnsi="Arial"/>
          <w:sz w:val="14"/>
          <w:szCs w:val="14"/>
          <w:color w:val="auto"/>
        </w:rPr>
      </w:pPr>
    </w:p>
    <w:p>
      <w:pPr>
        <w:jc w:val="both"/>
        <w:ind w:left="460" w:hanging="452"/>
        <w:spacing w:after="0" w:line="264"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Separate from our share repurchase program, in February 2015 we repurchased 87,230 shares of AAG Common Stock for an aggregate of $4 million from the Disputed Claims Reserve at the then prevailing market price in order to fund cash tax obligations resulting from distributions by the Disputed Claims Reserve.</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Repricing of Term Loans Under Existing Secured Credit Facilities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20, 2015, American Airlines, Inc., as borrower, American Airlines Group Inc., US Airways Group, Inc. and US Airways, Inc., as guarantors, Citibank N.A., as administrative agent and as collateral agent and certain lenders entered into a First Amendment and Restatement Agreement in order to</w:t>
      </w:r>
    </w:p>
    <w:p>
      <w:pPr>
        <w:jc w:val="both"/>
        <w:ind w:firstLine="8"/>
        <w:spacing w:after="0" w:line="285" w:lineRule="auto"/>
        <w:tabs>
          <w:tab w:leader="none" w:pos="2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refinance the outstanding term loans (the Outstanding Term Loans) issued under the Credit Agreement, dated as of October 10, 2014 (the Original Credit Agreement), among American Airlines, Inc., as borrower, American Airlines Group Inc., US Airways Group, Inc. and US Airways, Inc., as guarantors, Citibank N.A., as administrative agent and collateral agent and the various lenders party thereto with new term loans issued under an amendment and restatement of the Original Credit Agreement (as amended and restated, the Amended and Restated Credit Agreement) in the same principal amount and on the same terms as the Outstanding Term Loans but with a margin over LIBOR of 3.00% (reduced from 3.50%) and with certain modifications relating to collateral as described below, (ii) amend and restate the Original Credit Agreement on the terms set forth in the Amended and Restated Credit Agreement to permit American Airlines, Inc. to modify the collateral securing the loans outstanding under the Amended and Restated Credit Agreement (subject to compliance with the minimum collateral coverage ratio) and add a covenant requiring American Airlines, Inc. to ensure that the collateral securing the loans outstanding under the Amended and Restated Credit Agreement include one or more specified categories of assets at all times, (iii) amend and restate the Security Agreement (Slot, Foreign Gate Leaseholds and Route Authorities), dated October 10, 2014, by and between American Airlines, Inc. and Citibank, N.A., as collateral agent (as amended and restated, the Amended and Restated SGR Security Agreement), to add US Airways, Inc. as a grantor with respect to airport take-off and landing slots and foreign gate leaseholds at London’s Heathrow airport, in each case, to the extent used in non-stop scheduled air carrier service of US Airways, Inc. between such airport and each of Philadelphia, Pennsylvania and Charlotte, North Carolina together with the related route authorities and (iv) release a portion of the collateral securing the loans issued under the Original Credit Agreement.</w:t>
      </w:r>
    </w:p>
    <w:p>
      <w:pPr>
        <w:spacing w:after="0" w:line="31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listed in the Exhibit Index following the signature pages to this report are filed as part of, or incorporated by reference into, this report.</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American Airlines Group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23, 2015</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23, 2015</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020" w:type="dxa"/>
            <w:vAlign w:val="bottom"/>
            <w:gridSpan w:val="2"/>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24"/>
                <w:szCs w:val="24"/>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960" w:hanging="854"/>
        <w:spacing w:after="0" w:line="264"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Supplemental Agreement No. 2, dated as of March 6, 2015, to Purchase Agreement No. 03735 by and between American Airlines, Inc. and The Boeing Company, dated February 1, 2013 Relating to Boeing Model 737 MAX Aircraft, as amended, restated, amended and restated, supplemented or otherwise modified.*</w:t>
      </w:r>
    </w:p>
    <w:p>
      <w:pPr>
        <w:spacing w:after="0" w:line="73" w:lineRule="exact"/>
        <w:rPr>
          <w:sz w:val="20"/>
          <w:szCs w:val="20"/>
          <w:color w:val="auto"/>
        </w:rPr>
      </w:pPr>
    </w:p>
    <w:p>
      <w:pPr>
        <w:jc w:val="both"/>
        <w:ind w:left="960" w:hanging="854"/>
        <w:spacing w:after="0" w:line="264"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Supplemental Agreement No. 5, dated as of January 20, 2015, to Purchase Agreement No. 3219 by and between The Boeing Company and American Airlines, Inc., dated as of October 15, 2008, Relating to Boeing Model 787 Aircraft, as amended, restated, amended and restated, supplemented or otherwise modified.*</w:t>
      </w:r>
    </w:p>
    <w:p>
      <w:pPr>
        <w:spacing w:after="0" w:line="73"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of American Airlines Group Inc. for the three months ended March 31, 2015 and 2014.</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Computation of ratio of earnings to fixed charges of American Airlines, Inc. for the three months ended March 31, 2015 and 2014.</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AAG Chief Executive Officer pursuant to Rule 13a-14(a).</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AAG Chief Financial Officer pursuant to Rule 13a-14(a).</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American Chief Executive Officer pursuant to Rule 13a-14(a).</w:t>
      </w:r>
    </w:p>
    <w:p>
      <w:pPr>
        <w:spacing w:after="0" w:line="117"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Certification of American Chief Financial Officer pursuant to Rule 13a-14(a).</w:t>
      </w:r>
    </w:p>
    <w:p>
      <w:pPr>
        <w:spacing w:after="0" w:line="117" w:lineRule="exact"/>
        <w:rPr>
          <w:sz w:val="20"/>
          <w:szCs w:val="20"/>
          <w:color w:val="auto"/>
        </w:rPr>
      </w:pPr>
    </w:p>
    <w:p>
      <w:pPr>
        <w:jc w:val="both"/>
        <w:ind w:left="960" w:hanging="854"/>
        <w:spacing w:after="0" w:line="277" w:lineRule="auto"/>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Rule 13a-14(b) and section 906 of the Sarbanes-Oxley Act of 2002 (subsections (a) and (b) of section 1350, chapter 63 of title 18, United States Code).</w:t>
      </w:r>
    </w:p>
    <w:p>
      <w:pPr>
        <w:spacing w:after="0" w:line="62" w:lineRule="exact"/>
        <w:rPr>
          <w:sz w:val="20"/>
          <w:szCs w:val="20"/>
          <w:color w:val="auto"/>
        </w:rPr>
      </w:pPr>
    </w:p>
    <w:p>
      <w:pPr>
        <w:jc w:val="both"/>
        <w:ind w:left="960" w:hanging="854"/>
        <w:spacing w:after="0" w:line="277" w:lineRule="auto"/>
        <w:tabs>
          <w:tab w:leader="none" w:pos="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Rule 13a-14(b) and section 906 of the Sarbanes-Oxley Act of 2002 (subsections (a) and (b) of section 1350, chapter 63 of title 18, United States Code).</w:t>
      </w:r>
    </w:p>
    <w:p>
      <w:pPr>
        <w:spacing w:after="0" w:line="6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52" w:lineRule="exact"/>
        <w:rPr>
          <w:sz w:val="20"/>
          <w:szCs w:val="20"/>
          <w:color w:val="auto"/>
        </w:rPr>
      </w:pPr>
    </w:p>
    <w:p>
      <w:pPr>
        <w:ind w:left="5620" w:right="4560" w:hanging="5612"/>
        <w:spacing w:after="0" w:line="449"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 88</w:t>
      </w:r>
    </w:p>
    <w:p>
      <w:pPr>
        <w:sectPr>
          <w:pgSz w:w="11900" w:h="16838" w:orient="portrait"/>
          <w:cols w:equalWidth="0" w:num="1">
            <w:col w:w="11420"/>
          </w:cols>
          <w:pgMar w:left="240" w:top="45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03735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Boeing Model 737 MAX Aircraft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SUPPLEMENTAL AGREEMENT No. 2 (</w:t>
      </w:r>
      <w:r>
        <w:rPr>
          <w:rFonts w:ascii="Arial" w:cs="Arial" w:eastAsia="Arial" w:hAnsi="Arial"/>
          <w:sz w:val="18"/>
          <w:szCs w:val="18"/>
          <w:b w:val="1"/>
          <w:bCs w:val="1"/>
          <w:i w:val="1"/>
          <w:iCs w:val="1"/>
          <w:color w:val="auto"/>
        </w:rPr>
        <w:t>SA-2</w:t>
      </w:r>
      <w:r>
        <w:rPr>
          <w:rFonts w:ascii="Arial" w:cs="Arial" w:eastAsia="Arial" w:hAnsi="Arial"/>
          <w:sz w:val="18"/>
          <w:szCs w:val="18"/>
          <w:i w:val="1"/>
          <w:iCs w:val="1"/>
          <w:color w:val="auto"/>
        </w:rPr>
        <w:t>)</w:t>
      </w:r>
      <w:r>
        <w:rPr>
          <w:rFonts w:ascii="Arial" w:cs="Arial" w:eastAsia="Arial" w:hAnsi="Arial"/>
          <w:sz w:val="18"/>
          <w:szCs w:val="18"/>
          <w:color w:val="auto"/>
        </w:rPr>
        <w:t xml:space="preserve">, entered into as of </w:t>
      </w:r>
      <w:r>
        <w:rPr>
          <w:rFonts w:ascii="Arial" w:cs="Arial" w:eastAsia="Arial" w:hAnsi="Arial"/>
          <w:sz w:val="18"/>
          <w:szCs w:val="18"/>
          <w:u w:val="single" w:color="auto"/>
          <w:color w:val="auto"/>
        </w:rPr>
        <w:t>March 6</w:t>
      </w:r>
      <w:r>
        <w:rPr>
          <w:rFonts w:ascii="Arial" w:cs="Arial" w:eastAsia="Arial" w:hAnsi="Arial"/>
          <w:sz w:val="18"/>
          <w:szCs w:val="18"/>
          <w:color w:val="auto"/>
        </w:rPr>
        <w:t>, 2015 (</w:t>
      </w:r>
      <w:r>
        <w:rPr>
          <w:rFonts w:ascii="Arial" w:cs="Arial" w:eastAsia="Arial" w:hAnsi="Arial"/>
          <w:sz w:val="18"/>
          <w:szCs w:val="18"/>
          <w:b w:val="1"/>
          <w:bCs w:val="1"/>
          <w:i w:val="1"/>
          <w:iCs w:val="1"/>
          <w:color w:val="auto"/>
        </w:rPr>
        <w:t>SA-2 Effective Date</w:t>
      </w:r>
      <w:r>
        <w:rPr>
          <w:rFonts w:ascii="Arial" w:cs="Arial" w:eastAsia="Arial" w:hAnsi="Arial"/>
          <w:sz w:val="18"/>
          <w:szCs w:val="18"/>
          <w:color w:val="auto"/>
        </w:rPr>
        <w:t>), by and between THE BOEING COMPANY, a Delaware corporation with offices in Washington state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WHEREAS, Boeing and Customer entered into Purchase Agreement No. 03735 dated February 1, 2013 relating to Boeing Model 737 MAX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therefore in such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WHEREAS, Customer and Boeing desire to amend the Purchase Agreement to:</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the [*CTR] to incorporate [*CTR] for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[*CTR] and [*CTR];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[*CTR]; and</w:t>
      </w:r>
    </w:p>
    <w:p>
      <w:pPr>
        <w:spacing w:after="0" w:line="131" w:lineRule="exact"/>
        <w:rPr>
          <w:sz w:val="20"/>
          <w:szCs w:val="20"/>
          <w:color w:val="auto"/>
        </w:rPr>
      </w:pPr>
    </w:p>
    <w:p>
      <w:pPr>
        <w:ind w:left="9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Letter Agreement No. AAL-PA-03735-LA-1106661R1 entitled [*CTR] to incorporate correlative changes given the preceding revisions to the Performance Guarantees.</w:t>
      </w:r>
    </w:p>
    <w:p>
      <w:pPr>
        <w:spacing w:after="0" w:line="103"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SA-2, Page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the parties agree that the Purchase Agreement is amended as set forth below and otherwise agree as follows:</w:t>
      </w:r>
    </w:p>
    <w:p>
      <w:pPr>
        <w:spacing w:after="0" w:line="37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xml:space="preserve"> to the Purchase Agreement is replaced in its entirety by the revised “</w:t>
      </w:r>
      <w:r>
        <w:rPr>
          <w:rFonts w:ascii="Arial" w:cs="Arial" w:eastAsia="Arial" w:hAnsi="Arial"/>
          <w:sz w:val="18"/>
          <w:szCs w:val="18"/>
          <w:u w:val="single" w:color="auto"/>
          <w:color w:val="auto"/>
        </w:rPr>
        <w:t>Table Of Contents</w:t>
      </w:r>
      <w:r>
        <w:rPr>
          <w:rFonts w:ascii="Arial" w:cs="Arial" w:eastAsia="Arial" w:hAnsi="Arial"/>
          <w:sz w:val="18"/>
          <w:szCs w:val="18"/>
          <w:color w:val="auto"/>
        </w:rPr>
        <w:t>” (attached hereto and identified by an “SA-2” legend) to reflect changes made to the Purchase Agreement by SA-2.</w:t>
      </w:r>
    </w:p>
    <w:p>
      <w:pPr>
        <w:spacing w:after="0" w:line="31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Letter Agreements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2.1 Letter Agreement AAL-PA-03735-LA-1106657 entitled [*CTR] is replaced in its entirety by AAL PA-03735-LA-1106657R1 (attached hereto and identified by an “SA-2 legend, </w:t>
      </w:r>
      <w:r>
        <w:rPr>
          <w:rFonts w:ascii="Arial" w:cs="Arial" w:eastAsia="Arial" w:hAnsi="Arial"/>
          <w:sz w:val="18"/>
          <w:szCs w:val="18"/>
          <w:b w:val="1"/>
          <w:bCs w:val="1"/>
          <w:i w:val="1"/>
          <w:iCs w:val="1"/>
          <w:color w:val="auto"/>
        </w:rPr>
        <w:t>Revised [</w:t>
      </w:r>
      <w:r>
        <w:rPr>
          <w:rFonts w:ascii="Arial" w:cs="Arial" w:eastAsia="Arial" w:hAnsi="Arial"/>
          <w:sz w:val="18"/>
          <w:szCs w:val="18"/>
          <w:color w:val="auto"/>
        </w:rPr>
        <w:t>*CTR</w:t>
      </w:r>
      <w:r>
        <w:rPr>
          <w:rFonts w:ascii="Arial" w:cs="Arial" w:eastAsia="Arial" w:hAnsi="Arial"/>
          <w:sz w:val="18"/>
          <w:szCs w:val="18"/>
          <w:b w:val="1"/>
          <w:bCs w:val="1"/>
          <w:i w:val="1"/>
          <w:iCs w:val="1"/>
          <w:color w:val="auto"/>
        </w:rPr>
        <w:t>] Letter</w:t>
      </w:r>
      <w:r>
        <w:rPr>
          <w:rFonts w:ascii="Arial" w:cs="Arial" w:eastAsia="Arial" w:hAnsi="Arial"/>
          <w:sz w:val="18"/>
          <w:szCs w:val="18"/>
          <w:color w:val="auto"/>
        </w:rPr>
        <w:t>) in order to reflect changes in accordance with this SA-2.</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2.2 Letter Agreement AAL-PA-03735-LA-1106663 entitled [*CTR] is replaced in its entirety by AAL PA-03735-LA-1106663R1 (attached hereto and identified by an “SA-2 legend, </w:t>
      </w:r>
      <w:r>
        <w:rPr>
          <w:rFonts w:ascii="Arial" w:cs="Arial" w:eastAsia="Arial" w:hAnsi="Arial"/>
          <w:sz w:val="18"/>
          <w:szCs w:val="18"/>
          <w:b w:val="1"/>
          <w:bCs w:val="1"/>
          <w:i w:val="1"/>
          <w:iCs w:val="1"/>
          <w:color w:val="auto"/>
        </w:rPr>
        <w:t>Revised [</w:t>
      </w:r>
      <w:r>
        <w:rPr>
          <w:rFonts w:ascii="Arial" w:cs="Arial" w:eastAsia="Arial" w:hAnsi="Arial"/>
          <w:sz w:val="18"/>
          <w:szCs w:val="18"/>
          <w:color w:val="auto"/>
        </w:rPr>
        <w:t>*CTR</w:t>
      </w:r>
      <w:r>
        <w:rPr>
          <w:rFonts w:ascii="Arial" w:cs="Arial" w:eastAsia="Arial" w:hAnsi="Arial"/>
          <w:sz w:val="18"/>
          <w:szCs w:val="18"/>
          <w:b w:val="1"/>
          <w:bCs w:val="1"/>
          <w:i w:val="1"/>
          <w:iCs w:val="1"/>
          <w:color w:val="auto"/>
        </w:rPr>
        <w:t>] Letter</w:t>
      </w:r>
      <w:r>
        <w:rPr>
          <w:rFonts w:ascii="Arial" w:cs="Arial" w:eastAsia="Arial" w:hAnsi="Arial"/>
          <w:sz w:val="18"/>
          <w:szCs w:val="18"/>
          <w:color w:val="auto"/>
        </w:rPr>
        <w:t>) in order to reflect changes in accordance with this SA-2.</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2.3 Letter Agreement AAL-PA-03735-LA-1106664 entitled [*CTR] is replaced in its entirety by AAL PA-03735-LA-1106664R1 (attached hereto and identified by an “SA-2 legend, </w:t>
      </w:r>
      <w:r>
        <w:rPr>
          <w:rFonts w:ascii="Arial" w:cs="Arial" w:eastAsia="Arial" w:hAnsi="Arial"/>
          <w:sz w:val="18"/>
          <w:szCs w:val="18"/>
          <w:b w:val="1"/>
          <w:bCs w:val="1"/>
          <w:i w:val="1"/>
          <w:iCs w:val="1"/>
          <w:color w:val="auto"/>
        </w:rPr>
        <w:t>Revised [</w:t>
      </w:r>
      <w:r>
        <w:rPr>
          <w:rFonts w:ascii="Arial" w:cs="Arial" w:eastAsia="Arial" w:hAnsi="Arial"/>
          <w:sz w:val="18"/>
          <w:szCs w:val="18"/>
          <w:color w:val="auto"/>
        </w:rPr>
        <w:t>*CTR</w:t>
      </w:r>
      <w:r>
        <w:rPr>
          <w:rFonts w:ascii="Arial" w:cs="Arial" w:eastAsia="Arial" w:hAnsi="Arial"/>
          <w:sz w:val="18"/>
          <w:szCs w:val="18"/>
          <w:b w:val="1"/>
          <w:bCs w:val="1"/>
          <w:i w:val="1"/>
          <w:iCs w:val="1"/>
          <w:color w:val="auto"/>
        </w:rPr>
        <w:t>] Letter</w:t>
      </w:r>
      <w:r>
        <w:rPr>
          <w:rFonts w:ascii="Arial" w:cs="Arial" w:eastAsia="Arial" w:hAnsi="Arial"/>
          <w:sz w:val="18"/>
          <w:szCs w:val="18"/>
          <w:color w:val="auto"/>
        </w:rPr>
        <w:t>) in order to reflect changes in accordance with this SA-2.</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2.4 Letter Agreement AAL-PA-03735-LA-1106661R1 entitled [*CTR] is replaced in its entirety by AAL-PA-03735-LA-1106661R2 (attached hereto and identified by an “SA-2 legend, </w:t>
      </w:r>
      <w:r>
        <w:rPr>
          <w:rFonts w:ascii="Arial" w:cs="Arial" w:eastAsia="Arial" w:hAnsi="Arial"/>
          <w:sz w:val="18"/>
          <w:szCs w:val="18"/>
          <w:b w:val="1"/>
          <w:bCs w:val="1"/>
          <w:i w:val="1"/>
          <w:iCs w:val="1"/>
          <w:color w:val="auto"/>
        </w:rPr>
        <w:t>Revised [</w:t>
      </w:r>
      <w:r>
        <w:rPr>
          <w:rFonts w:ascii="Arial" w:cs="Arial" w:eastAsia="Arial" w:hAnsi="Arial"/>
          <w:sz w:val="18"/>
          <w:szCs w:val="18"/>
          <w:color w:val="auto"/>
        </w:rPr>
        <w:t>*CTR</w:t>
      </w:r>
      <w:r>
        <w:rPr>
          <w:rFonts w:ascii="Arial" w:cs="Arial" w:eastAsia="Arial" w:hAnsi="Arial"/>
          <w:sz w:val="18"/>
          <w:szCs w:val="18"/>
          <w:b w:val="1"/>
          <w:bCs w:val="1"/>
          <w:i w:val="1"/>
          <w:iCs w:val="1"/>
          <w:color w:val="auto"/>
        </w:rPr>
        <w:t>] Letter</w:t>
      </w:r>
      <w:r>
        <w:rPr>
          <w:rFonts w:ascii="Arial" w:cs="Arial" w:eastAsia="Arial" w:hAnsi="Arial"/>
          <w:sz w:val="18"/>
          <w:szCs w:val="18"/>
          <w:color w:val="auto"/>
        </w:rPr>
        <w:t>) in order to reflect changes in accordance with this SA-2.</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Revised [*CTR] Letter, Revised [*CTR] Letter, Revised [*CTR] Letter and the Revised [*CTR] Letter are collectively referred to as the </w:t>
      </w:r>
      <w:r>
        <w:rPr>
          <w:rFonts w:ascii="Arial" w:cs="Arial" w:eastAsia="Arial" w:hAnsi="Arial"/>
          <w:sz w:val="18"/>
          <w:szCs w:val="18"/>
          <w:b w:val="1"/>
          <w:bCs w:val="1"/>
          <w:i w:val="1"/>
          <w:iCs w:val="1"/>
          <w:color w:val="auto"/>
        </w:rPr>
        <w:t>Revised Letter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w:t>
      </w:r>
    </w:p>
    <w:p>
      <w:pPr>
        <w:spacing w:after="0" w:line="3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3.1 The Purchase Agreement is amended as set forth above, by the table of contents and by the Revised Letter Agreements. All other terms and conditions of the Purchase Agreement remain unchanged and are in full force and effect. The Table of Contents and Revised Letter Agreements are incorporated into this SA-2 by this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8840" w:type="dxa"/>
            <w:vAlign w:val="bottom"/>
          </w:tcPr>
          <w:p>
            <w:pPr>
              <w:ind w:left="1840"/>
              <w:spacing w:after="0"/>
              <w:rPr>
                <w:sz w:val="20"/>
                <w:szCs w:val="20"/>
                <w:color w:val="auto"/>
              </w:rPr>
            </w:pPr>
            <w:r>
              <w:rPr>
                <w:rFonts w:ascii="Arial" w:cs="Arial" w:eastAsia="Arial" w:hAnsi="Arial"/>
                <w:sz w:val="18"/>
                <w:szCs w:val="18"/>
                <w:i w:val="1"/>
                <w:iCs w:val="1"/>
                <w:color w:val="auto"/>
              </w:rPr>
              <w:t>[This space intentionally left blank]</w:t>
            </w:r>
          </w:p>
        </w:tc>
      </w:tr>
      <w:tr>
        <w:trPr>
          <w:trHeight w:val="365"/>
        </w:trPr>
        <w:tc>
          <w:tcPr>
            <w:tcW w:w="2580" w:type="dxa"/>
            <w:vAlign w:val="bottom"/>
          </w:tcPr>
          <w:p>
            <w:pPr>
              <w:spacing w:after="0"/>
              <w:rPr>
                <w:sz w:val="20"/>
                <w:szCs w:val="20"/>
                <w:color w:val="auto"/>
              </w:rPr>
            </w:pPr>
            <w:r>
              <w:rPr>
                <w:rFonts w:ascii="Arial" w:cs="Arial" w:eastAsia="Arial" w:hAnsi="Arial"/>
                <w:sz w:val="18"/>
                <w:szCs w:val="18"/>
                <w:color w:val="auto"/>
              </w:rPr>
              <w:t>PA 03735</w:t>
            </w:r>
          </w:p>
        </w:tc>
        <w:tc>
          <w:tcPr>
            <w:tcW w:w="8840" w:type="dxa"/>
            <w:vAlign w:val="bottom"/>
          </w:tcPr>
          <w:p>
            <w:pPr>
              <w:ind w:left="7880"/>
              <w:spacing w:after="0"/>
              <w:rPr>
                <w:sz w:val="20"/>
                <w:szCs w:val="20"/>
                <w:color w:val="auto"/>
              </w:rPr>
            </w:pPr>
            <w:r>
              <w:rPr>
                <w:rFonts w:ascii="Arial" w:cs="Arial" w:eastAsia="Arial" w:hAnsi="Arial"/>
                <w:sz w:val="18"/>
                <w:szCs w:val="18"/>
                <w:color w:val="auto"/>
                <w:w w:val="87"/>
              </w:rPr>
              <w:t>SA-2, Page 2</w:t>
            </w:r>
          </w:p>
        </w:tc>
      </w:tr>
    </w:tbl>
    <w:p>
      <w:pPr>
        <w:jc w:val="center"/>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AGREED AND ACCEPTED this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BOEING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-916940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Fleet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3404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sectPr>
          <w:pgSz w:w="11900" w:h="16838" w:orient="portrait"/>
          <w:cols w:equalWidth="0" w:num="2">
            <w:col w:w="5340" w:space="720"/>
            <w:col w:w="5360"/>
          </w:cols>
          <w:pgMar w:left="240" w:top="274" w:right="239" w:bottom="1440" w:gutter="0" w:footer="0" w:header="0"/>
        </w:sect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SA-2, Page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60" w:type="dxa"/>
            <w:vAlign w:val="bottom"/>
          </w:tcPr>
          <w:p>
            <w:pPr>
              <w:ind w:left="28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ARTICLES</w:t>
            </w:r>
          </w:p>
        </w:tc>
        <w:tc>
          <w:tcPr>
            <w:tcW w:w="9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71"/>
        </w:trPr>
        <w:tc>
          <w:tcPr>
            <w:tcW w:w="7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20" w:type="dxa"/>
            <w:vAlign w:val="bottom"/>
            <w:gridSpan w:val="2"/>
            <w:vMerge w:val="restart"/>
          </w:tcPr>
          <w:p>
            <w:pPr>
              <w:ind w:left="100"/>
              <w:spacing w:after="0"/>
              <w:rPr>
                <w:sz w:val="20"/>
                <w:szCs w:val="20"/>
                <w:color w:val="auto"/>
              </w:rPr>
            </w:pPr>
            <w:r>
              <w:rPr>
                <w:rFonts w:ascii="Arial" w:cs="Arial" w:eastAsia="Arial" w:hAnsi="Arial"/>
                <w:sz w:val="18"/>
                <w:szCs w:val="18"/>
                <w:color w:val="auto"/>
              </w:rPr>
              <w:t>Quantity, Model and Description</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20" w:type="dxa"/>
            <w:vAlign w:val="bottom"/>
            <w:gridSpan w:val="2"/>
            <w:vMerge w:val="continue"/>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1160" w:type="dxa"/>
            <w:vAlign w:val="bottom"/>
            <w:gridSpan w:val="2"/>
          </w:tcPr>
          <w:p>
            <w:pPr>
              <w:jc w:val="center"/>
              <w:ind w:right="350"/>
              <w:spacing w:after="0" w:line="195" w:lineRule="exact"/>
              <w:rPr>
                <w:sz w:val="20"/>
                <w:szCs w:val="20"/>
                <w:color w:val="auto"/>
              </w:rPr>
            </w:pPr>
            <w:r>
              <w:rPr>
                <w:rFonts w:ascii="Arial" w:cs="Arial" w:eastAsia="Arial" w:hAnsi="Arial"/>
                <w:sz w:val="18"/>
                <w:szCs w:val="18"/>
                <w:color w:val="auto"/>
                <w:w w:val="97"/>
              </w:rPr>
              <w:t>Article 1.</w:t>
            </w:r>
          </w:p>
        </w:tc>
        <w:tc>
          <w:tcPr>
            <w:tcW w:w="90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97"/>
              </w:rPr>
              <w:t>Article 2.</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Delivery Schedule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97"/>
              </w:rPr>
              <w:t>Article 3.</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97"/>
              </w:rPr>
              <w:t>Article 4.</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Payment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97"/>
              </w:rPr>
              <w:t>Article 5.</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Additional Terms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98"/>
              </w:rPr>
              <w:t>Article 6</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Confidentiality</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TABLE</w:t>
            </w:r>
          </w:p>
        </w:tc>
        <w:tc>
          <w:tcPr>
            <w:tcW w:w="2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spacing w:after="0"/>
              <w:rPr>
                <w:sz w:val="24"/>
                <w:szCs w:val="24"/>
                <w:color w:val="auto"/>
              </w:rPr>
            </w:pPr>
          </w:p>
        </w:tc>
        <w:tc>
          <w:tcPr>
            <w:tcW w:w="1160" w:type="dxa"/>
            <w:vAlign w:val="bottom"/>
            <w:gridSpan w:val="2"/>
          </w:tcPr>
          <w:p>
            <w:pPr>
              <w:jc w:val="center"/>
              <w:ind w:right="370"/>
              <w:spacing w:after="0"/>
              <w:rPr>
                <w:sz w:val="20"/>
                <w:szCs w:val="20"/>
                <w:color w:val="auto"/>
              </w:rPr>
            </w:pPr>
            <w:r>
              <w:rPr>
                <w:rFonts w:ascii="Arial" w:cs="Arial" w:eastAsia="Arial" w:hAnsi="Arial"/>
                <w:sz w:val="18"/>
                <w:szCs w:val="18"/>
                <w:color w:val="auto"/>
                <w:w w:val="89"/>
              </w:rPr>
              <w:t>1R1.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Aircraft Information Table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65"/>
        </w:trPr>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2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Pr>
          <w:p>
            <w:pPr>
              <w:jc w:val="center"/>
              <w:ind w:right="630"/>
              <w:spacing w:after="0"/>
              <w:rPr>
                <w:sz w:val="20"/>
                <w:szCs w:val="20"/>
                <w:color w:val="auto"/>
              </w:rPr>
            </w:pPr>
            <w:r>
              <w:rPr>
                <w:rFonts w:ascii="Arial" w:cs="Arial" w:eastAsia="Arial" w:hAnsi="Arial"/>
                <w:sz w:val="18"/>
                <w:szCs w:val="18"/>
                <w:color w:val="auto"/>
              </w:rPr>
              <w:t>A.</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Aircraft Configuration</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610"/>
              <w:spacing w:after="0"/>
              <w:rPr>
                <w:sz w:val="20"/>
                <w:szCs w:val="20"/>
                <w:color w:val="auto"/>
              </w:rPr>
            </w:pPr>
            <w:r>
              <w:rPr>
                <w:rFonts w:ascii="Arial" w:cs="Arial" w:eastAsia="Arial" w:hAnsi="Arial"/>
                <w:sz w:val="18"/>
                <w:szCs w:val="18"/>
                <w:color w:val="auto"/>
                <w:w w:val="93"/>
              </w:rPr>
              <w:t>B.</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Aircraft Delivery Requirements and Responsibilities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center"/>
              <w:ind w:right="610"/>
              <w:spacing w:after="0"/>
              <w:rPr>
                <w:sz w:val="20"/>
                <w:szCs w:val="20"/>
                <w:color w:val="auto"/>
              </w:rPr>
            </w:pPr>
            <w:r>
              <w:rPr>
                <w:rFonts w:ascii="Arial" w:cs="Arial" w:eastAsia="Arial" w:hAnsi="Arial"/>
                <w:sz w:val="18"/>
                <w:szCs w:val="18"/>
                <w:color w:val="auto"/>
                <w:w w:val="88"/>
              </w:rPr>
              <w:t>C.</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Definitions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SUPPLEMENTAL EXHIBITS</w:t>
            </w:r>
          </w:p>
        </w:tc>
        <w:tc>
          <w:tcPr>
            <w:tcW w:w="8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1160" w:type="dxa"/>
            <w:vAlign w:val="bottom"/>
            <w:gridSpan w:val="2"/>
          </w:tcPr>
          <w:p>
            <w:pPr>
              <w:jc w:val="center"/>
              <w:ind w:right="370"/>
              <w:spacing w:after="0"/>
              <w:rPr>
                <w:sz w:val="20"/>
                <w:szCs w:val="20"/>
                <w:color w:val="auto"/>
              </w:rPr>
            </w:pPr>
            <w:r>
              <w:rPr>
                <w:rFonts w:ascii="Arial" w:cs="Arial" w:eastAsia="Arial" w:hAnsi="Arial"/>
                <w:sz w:val="18"/>
                <w:szCs w:val="18"/>
                <w:color w:val="auto"/>
                <w:w w:val="97"/>
              </w:rPr>
              <w:t>AE1.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60" w:type="dxa"/>
            <w:vAlign w:val="bottom"/>
            <w:gridSpan w:val="2"/>
          </w:tcPr>
          <w:p>
            <w:pPr>
              <w:jc w:val="center"/>
              <w:ind w:right="370"/>
              <w:spacing w:after="0"/>
              <w:rPr>
                <w:sz w:val="20"/>
                <w:szCs w:val="20"/>
                <w:color w:val="auto"/>
              </w:rPr>
            </w:pPr>
            <w:r>
              <w:rPr>
                <w:rFonts w:ascii="Arial" w:cs="Arial" w:eastAsia="Arial" w:hAnsi="Arial"/>
                <w:sz w:val="18"/>
                <w:szCs w:val="18"/>
                <w:color w:val="auto"/>
                <w:w w:val="91"/>
              </w:rPr>
              <w:t>BFE1.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BFE Variables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89"/>
              </w:rPr>
              <w:t>CS1.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Customer Support Variables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92"/>
              </w:rPr>
              <w:t>EE1.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60" w:type="dxa"/>
            <w:vAlign w:val="bottom"/>
            <w:gridSpan w:val="2"/>
          </w:tcPr>
          <w:p>
            <w:pPr>
              <w:jc w:val="center"/>
              <w:ind w:right="350"/>
              <w:spacing w:after="0"/>
              <w:rPr>
                <w:sz w:val="20"/>
                <w:szCs w:val="20"/>
                <w:color w:val="auto"/>
              </w:rPr>
            </w:pPr>
            <w:r>
              <w:rPr>
                <w:rFonts w:ascii="Arial" w:cs="Arial" w:eastAsia="Arial" w:hAnsi="Arial"/>
                <w:sz w:val="18"/>
                <w:szCs w:val="18"/>
                <w:color w:val="auto"/>
                <w:w w:val="89"/>
              </w:rPr>
              <w:t>SLP1.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LETTER AGREEMENTS</w:t>
            </w:r>
          </w:p>
        </w:tc>
        <w:tc>
          <w:tcPr>
            <w:tcW w:w="2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60" w:type="dxa"/>
            <w:vAlign w:val="bottom"/>
            <w:gridSpan w:val="3"/>
          </w:tcPr>
          <w:p>
            <w:pPr>
              <w:spacing w:after="0"/>
              <w:rPr>
                <w:sz w:val="20"/>
                <w:szCs w:val="20"/>
                <w:color w:val="auto"/>
              </w:rPr>
            </w:pPr>
            <w:r>
              <w:rPr>
                <w:rFonts w:ascii="Arial" w:cs="Arial" w:eastAsia="Arial" w:hAnsi="Arial"/>
                <w:sz w:val="18"/>
                <w:szCs w:val="18"/>
                <w:color w:val="auto"/>
              </w:rPr>
              <w:t>LA-1106648</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Special Matters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LA-1106649</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LA-1106650R1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LA-1106651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LA-1106652</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Aircraft Model Substitution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LA-1106654</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AGTA Terms Revisions for MAX</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LA-1106655</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Open Matters – 737 MAX</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gridSpan w:val="3"/>
          </w:tcPr>
          <w:p>
            <w:pPr>
              <w:spacing w:after="0"/>
              <w:rPr>
                <w:sz w:val="20"/>
                <w:szCs w:val="20"/>
                <w:color w:val="auto"/>
              </w:rPr>
            </w:pPr>
            <w:r>
              <w:rPr>
                <w:rFonts w:ascii="Arial" w:cs="Arial" w:eastAsia="Arial" w:hAnsi="Arial"/>
                <w:sz w:val="18"/>
                <w:szCs w:val="18"/>
                <w:color w:val="auto"/>
              </w:rPr>
              <w:t>LA-1106656R1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LA-1106657R1</w:t>
            </w:r>
          </w:p>
        </w:tc>
        <w:tc>
          <w:tcPr>
            <w:tcW w:w="9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LA-1106663 R1</w:t>
            </w:r>
          </w:p>
        </w:tc>
        <w:tc>
          <w:tcPr>
            <w:tcW w:w="9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0"/>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LA-1106664 R1</w:t>
            </w:r>
          </w:p>
        </w:tc>
        <w:tc>
          <w:tcPr>
            <w:tcW w:w="9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LA-1106658</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LA-1106659R1</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LA-1106660</w:t>
            </w:r>
          </w:p>
        </w:tc>
        <w:tc>
          <w:tcPr>
            <w:tcW w:w="9020" w:type="dxa"/>
            <w:vAlign w:val="bottom"/>
            <w:gridSpan w:val="2"/>
          </w:tcPr>
          <w:p>
            <w:pPr>
              <w:ind w:left="100"/>
              <w:spacing w:after="0"/>
              <w:rPr>
                <w:sz w:val="20"/>
                <w:szCs w:val="20"/>
                <w:color w:val="auto"/>
              </w:rPr>
            </w:pPr>
            <w:r>
              <w:rPr>
                <w:rFonts w:ascii="Arial" w:cs="Arial" w:eastAsia="Arial" w:hAnsi="Arial"/>
                <w:sz w:val="18"/>
                <w:szCs w:val="18"/>
                <w:color w:val="auto"/>
              </w:rPr>
              <w:t>Spare Parts Initial Provisioning</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60" w:type="dxa"/>
            <w:vAlign w:val="bottom"/>
            <w:gridSpan w:val="3"/>
          </w:tcPr>
          <w:p>
            <w:pPr>
              <w:spacing w:after="0"/>
              <w:rPr>
                <w:sz w:val="20"/>
                <w:szCs w:val="20"/>
                <w:color w:val="auto"/>
              </w:rPr>
            </w:pPr>
            <w:r>
              <w:rPr>
                <w:rFonts w:ascii="Arial" w:cs="Arial" w:eastAsia="Arial" w:hAnsi="Arial"/>
                <w:sz w:val="18"/>
                <w:szCs w:val="18"/>
                <w:color w:val="auto"/>
              </w:rPr>
              <w:t>PA 03735</w:t>
            </w:r>
          </w:p>
        </w:tc>
        <w:tc>
          <w:tcPr>
            <w:tcW w:w="260" w:type="dxa"/>
            <w:vAlign w:val="bottom"/>
          </w:tcPr>
          <w:p>
            <w:pPr>
              <w:spacing w:after="0"/>
              <w:rPr>
                <w:sz w:val="24"/>
                <w:szCs w:val="24"/>
                <w:color w:val="auto"/>
              </w:rPr>
            </w:pPr>
          </w:p>
        </w:tc>
        <w:tc>
          <w:tcPr>
            <w:tcW w:w="8760" w:type="dxa"/>
            <w:vAlign w:val="bottom"/>
          </w:tcPr>
          <w:p>
            <w:pPr>
              <w:ind w:left="2560"/>
              <w:spacing w:after="0"/>
              <w:rPr>
                <w:sz w:val="20"/>
                <w:szCs w:val="20"/>
                <w:color w:val="auto"/>
              </w:rPr>
            </w:pPr>
            <w:r>
              <w:rPr>
                <w:rFonts w:ascii="Arial" w:cs="Arial" w:eastAsia="Arial" w:hAnsi="Arial"/>
                <w:sz w:val="18"/>
                <w:szCs w:val="18"/>
                <w:color w:val="auto"/>
              </w:rPr>
              <w:t>TABLE OF CONTENTS, Page 1 of 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80" w:type="dxa"/>
            <w:vAlign w:val="bottom"/>
            <w:gridSpan w:val="2"/>
          </w:tcPr>
          <w:p>
            <w:pPr>
              <w:jc w:val="right"/>
              <w:ind w:right="4148"/>
              <w:spacing w:after="0"/>
              <w:rPr>
                <w:sz w:val="20"/>
                <w:szCs w:val="20"/>
                <w:color w:val="auto"/>
              </w:rPr>
            </w:pPr>
            <w:r>
              <w:rPr>
                <w:rFonts w:ascii="Arial" w:cs="Arial" w:eastAsia="Arial" w:hAnsi="Arial"/>
                <w:sz w:val="18"/>
                <w:szCs w:val="18"/>
                <w:b w:val="1"/>
                <w:bCs w:val="1"/>
                <w:color w:val="auto"/>
              </w:rPr>
              <w:t>TABLE OF CONTENTS, continued</w:t>
            </w:r>
          </w:p>
        </w:tc>
        <w:tc>
          <w:tcPr>
            <w:tcW w:w="0" w:type="dxa"/>
            <w:vAlign w:val="bottom"/>
          </w:tcPr>
          <w:p>
            <w:pPr>
              <w:spacing w:after="0"/>
              <w:rPr>
                <w:sz w:val="1"/>
                <w:szCs w:val="1"/>
                <w:color w:val="auto"/>
              </w:rPr>
            </w:pPr>
          </w:p>
        </w:tc>
      </w:tr>
      <w:tr>
        <w:trPr>
          <w:trHeight w:val="274"/>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LETTER AGREEMENTS, continued</w:t>
            </w:r>
          </w:p>
        </w:tc>
        <w:tc>
          <w:tcPr>
            <w:tcW w:w="6640" w:type="dxa"/>
            <w:vAlign w:val="bottom"/>
          </w:tcPr>
          <w:p>
            <w:pPr>
              <w:spacing w:after="0"/>
              <w:rPr>
                <w:sz w:val="23"/>
                <w:szCs w:val="23"/>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65"/>
        </w:trPr>
        <w:tc>
          <w:tcPr>
            <w:tcW w:w="4040" w:type="dxa"/>
            <w:vAlign w:val="bottom"/>
            <w:tcBorders>
              <w:bottom w:val="single" w:sz="8" w:color="auto"/>
            </w:tcBorders>
            <w:gridSpan w:val="3"/>
            <w:vMerge w:val="continue"/>
          </w:tcPr>
          <w:p>
            <w:pPr>
              <w:spacing w:after="0"/>
              <w:rPr>
                <w:sz w:val="14"/>
                <w:szCs w:val="14"/>
                <w:color w:val="auto"/>
              </w:rPr>
            </w:pPr>
          </w:p>
        </w:tc>
        <w:tc>
          <w:tcPr>
            <w:tcW w:w="664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96"/>
        </w:trPr>
        <w:tc>
          <w:tcPr>
            <w:tcW w:w="1400" w:type="dxa"/>
            <w:vAlign w:val="bottom"/>
          </w:tcPr>
          <w:p>
            <w:pPr>
              <w:spacing w:after="0"/>
              <w:rPr>
                <w:sz w:val="20"/>
                <w:szCs w:val="20"/>
                <w:color w:val="auto"/>
              </w:rPr>
            </w:pPr>
            <w:r>
              <w:rPr>
                <w:rFonts w:ascii="Arial" w:cs="Arial" w:eastAsia="Arial" w:hAnsi="Arial"/>
                <w:sz w:val="18"/>
                <w:szCs w:val="18"/>
                <w:b w:val="1"/>
                <w:bCs w:val="1"/>
                <w:color w:val="auto"/>
              </w:rPr>
              <w:t>LA-1106661R2</w:t>
            </w:r>
          </w:p>
        </w:tc>
        <w:tc>
          <w:tcPr>
            <w:tcW w:w="26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7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LA-1106667</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[*CTR]</w:t>
            </w:r>
          </w:p>
        </w:tc>
        <w:tc>
          <w:tcPr>
            <w:tcW w:w="6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LA-1106668</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[*CTR]</w:t>
            </w:r>
          </w:p>
        </w:tc>
        <w:tc>
          <w:tcPr>
            <w:tcW w:w="6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LA-1106669</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[*CTR]</w:t>
            </w:r>
          </w:p>
        </w:tc>
        <w:tc>
          <w:tcPr>
            <w:tcW w:w="6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LA-1106670</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Confidentiality</w:t>
            </w:r>
          </w:p>
        </w:tc>
        <w:tc>
          <w:tcPr>
            <w:tcW w:w="6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LA-1106671R1</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Miscellaneous Commitments</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8"/>
                <w:szCs w:val="18"/>
                <w:color w:val="auto"/>
              </w:rPr>
              <w:t>LA-1106672</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[*CTR]</w:t>
            </w:r>
          </w:p>
        </w:tc>
        <w:tc>
          <w:tcPr>
            <w:tcW w:w="6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Arial" w:cs="Arial" w:eastAsia="Arial" w:hAnsi="Arial"/>
                <w:sz w:val="18"/>
                <w:szCs w:val="18"/>
                <w:color w:val="auto"/>
              </w:rPr>
              <w:t>LA-1106673</w:t>
            </w:r>
            <w:r>
              <w:rPr>
                <w:rFonts w:ascii="Arial" w:cs="Arial" w:eastAsia="Arial" w:hAnsi="Arial"/>
                <w:sz w:val="18"/>
                <w:szCs w:val="18"/>
                <w:b w:val="1"/>
                <w:bCs w:val="1"/>
                <w:color w:val="auto"/>
              </w:rPr>
              <w:t>*</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CS1 Special Matters</w:t>
            </w:r>
          </w:p>
        </w:tc>
        <w:tc>
          <w:tcPr>
            <w:tcW w:w="6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LA-1106677</w:t>
            </w:r>
          </w:p>
        </w:tc>
        <w:tc>
          <w:tcPr>
            <w:tcW w:w="2640" w:type="dxa"/>
            <w:vAlign w:val="bottom"/>
            <w:gridSpan w:val="2"/>
          </w:tcPr>
          <w:p>
            <w:pPr>
              <w:ind w:left="260"/>
              <w:spacing w:after="0"/>
              <w:rPr>
                <w:sz w:val="20"/>
                <w:szCs w:val="20"/>
                <w:color w:val="auto"/>
              </w:rPr>
            </w:pPr>
            <w:r>
              <w:rPr>
                <w:rFonts w:ascii="Arial" w:cs="Arial" w:eastAsia="Arial" w:hAnsi="Arial"/>
                <w:sz w:val="18"/>
                <w:szCs w:val="18"/>
                <w:color w:val="auto"/>
              </w:rPr>
              <w:t>[*CTR]</w:t>
            </w:r>
          </w:p>
        </w:tc>
        <w:tc>
          <w:tcPr>
            <w:tcW w:w="6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 - This is an intended gap as there are no Letter Agreements LA-1106674 through LA-1106676 incorporated by the Purchase Agreement.</w:t>
      </w:r>
    </w:p>
    <w:p>
      <w:pPr>
        <w:sectPr>
          <w:pgSz w:w="11900" w:h="16838" w:orient="portrait"/>
          <w:cols w:equalWidth="0" w:num="1">
            <w:col w:w="11420"/>
          </w:cols>
          <w:pgMar w:left="240" w:top="270"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PA 03735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120"/>
        <w:spacing w:after="0"/>
        <w:rPr>
          <w:sz w:val="20"/>
          <w:szCs w:val="20"/>
          <w:color w:val="auto"/>
        </w:rPr>
      </w:pPr>
      <w:r>
        <w:rPr>
          <w:rFonts w:ascii="Arial" w:cs="Arial" w:eastAsia="Arial" w:hAnsi="Arial"/>
          <w:sz w:val="16"/>
          <w:szCs w:val="16"/>
          <w:color w:val="auto"/>
        </w:rPr>
        <w:t>TABLE OF CONTENTS, Page 2 of 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SA-2</w:t>
      </w:r>
    </w:p>
    <w:p>
      <w:pPr>
        <w:spacing w:after="0" w:line="35" w:lineRule="exact"/>
        <w:rPr>
          <w:sz w:val="20"/>
          <w:szCs w:val="20"/>
          <w:color w:val="auto"/>
        </w:rPr>
      </w:pPr>
    </w:p>
    <w:p>
      <w:pPr>
        <w:sectPr>
          <w:pgSz w:w="11900" w:h="16838" w:orient="portrait"/>
          <w:cols w:equalWidth="0" w:num="3">
            <w:col w:w="3760" w:space="720"/>
            <w:col w:w="5840" w:space="720"/>
            <w:col w:w="380"/>
          </w:cols>
          <w:pgMar w:left="240" w:top="270" w:right="239" w:bottom="1440" w:gutter="0" w:footer="0" w:header="0"/>
          <w:type w:val="continuous"/>
        </w:sectPr>
      </w:pPr>
    </w:p>
    <w:p>
      <w:pPr>
        <w:spacing w:after="0"/>
        <w:rPr>
          <w:sz w:val="20"/>
          <w:szCs w:val="20"/>
          <w:color w:val="auto"/>
        </w:rPr>
      </w:pPr>
      <w:r>
        <w:rPr>
          <w:rFonts w:ascii="Arial" w:cs="Arial" w:eastAsia="Arial" w:hAnsi="Arial"/>
          <w:sz w:val="17"/>
          <w:szCs w:val="17"/>
          <w:color w:val="auto"/>
        </w:rPr>
        <w:t>BOEING PROPRIETARY</w:t>
      </w:r>
    </w:p>
    <w:p>
      <w:pPr>
        <w:sectPr>
          <w:pgSz w:w="11900" w:h="16838" w:orient="portrait"/>
          <w:cols w:equalWidth="0" w:num="1">
            <w:col w:w="11420"/>
          </w:cols>
          <w:pgMar w:left="240" w:top="270" w:right="239" w:bottom="1440" w:gutter="0" w:footer="0" w:header="0"/>
          <w:type w:val="continuous"/>
        </w:sectPr>
      </w:pP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94" w:name="page95"/>
    <w:bookmarkEnd w:id="94"/>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86230" cy="377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86230" cy="3771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AAL-PA-03735-LA-1106657R1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600" w:space="560"/>
            <w:col w:w="102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Purchase Agreement No. 03735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737-MAX aircraft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380"/>
            <w:col w:w="10260"/>
          </w:cols>
          <w:pgMar w:left="240" w:top="274" w:right="239" w:bottom="1440" w:gutter="0" w:footer="0" w:header="0"/>
          <w:type w:val="continuous"/>
        </w:sectPr>
      </w:pPr>
    </w:p>
    <w:p>
      <w:pPr>
        <w:spacing w:after="0" w:line="1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amends and supplements the Purchase Agreement. All terms used but not defined in this Letter Agreement shall have the same meaning as in the Purchase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Boeing agrees to provide Customer with the [*CTR] in the Attachment. The Attachment sets forth [*CTR] for 737-7. [*CTR] Notwithstanding the provision of the [*CTR] in the Attachment, Boeing and Customer will work together in good faith to communicate the [*CTR] that will be offered prior to Customer [*CTR].</w:t>
      </w:r>
    </w:p>
    <w:p>
      <w:pPr>
        <w:spacing w:after="0" w:line="33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ectPr>
          <w:pgSz w:w="11900" w:h="16838" w:orient="portrait"/>
          <w:cols w:equalWidth="0" w:num="1">
            <w:col w:w="11420"/>
          </w:cols>
          <w:pgMar w:left="240" w:top="274" w:right="2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AAL-PA-03735-LA-1106657R1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pacing w:after="0" w:line="46" w:lineRule="exact"/>
        <w:rPr>
          <w:sz w:val="20"/>
          <w:szCs w:val="20"/>
          <w:color w:val="auto"/>
        </w:rPr>
      </w:pPr>
    </w:p>
    <w:p>
      <w:pPr>
        <w:sectPr>
          <w:pgSz w:w="11900" w:h="16838" w:orient="portrait"/>
          <w:cols w:equalWidth="0" w:num="2">
            <w:col w:w="9880" w:space="720"/>
            <w:col w:w="82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95" w:name="page96"/>
    <w:bookmarkEnd w:id="95"/>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586230" cy="3771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77190"/>
                    </a:xfrm>
                    <a:prstGeom prst="rect">
                      <a:avLst/>
                    </a:prstGeom>
                    <a:noFill/>
                  </pic:spPr>
                </pic:pic>
              </a:graphicData>
            </a:graphic>
          </wp:anchor>
        </w:drawing>
        <w:t>Confidential Treatment</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3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6, 2015</w:t>
            </w:r>
          </w:p>
        </w:tc>
      </w:tr>
      <w:tr>
        <w:trPr>
          <w:trHeight w:val="45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Fleet Planning</w:t>
            </w:r>
          </w:p>
        </w:tc>
      </w:tr>
    </w:tbl>
    <w:p>
      <w:pPr>
        <w:spacing w:after="0" w:line="161" w:lineRule="exact"/>
        <w:rPr>
          <w:sz w:val="20"/>
          <w:szCs w:val="20"/>
          <w:color w:val="auto"/>
        </w:rPr>
      </w:pPr>
    </w:p>
    <w:p>
      <w:pPr>
        <w:sectPr>
          <w:pgSz w:w="11900" w:h="16838" w:orient="portrait"/>
          <w:cols w:equalWidth="0" w:num="1">
            <w:col w:w="11420"/>
          </w:cols>
          <w:pgMar w:left="240" w:top="1016" w:right="239" w:bottom="1440" w:gutter="0" w:footer="0" w:header="0"/>
        </w:sectPr>
      </w:pPr>
    </w:p>
    <w:p>
      <w:pPr>
        <w:spacing w:after="0"/>
        <w:rPr>
          <w:sz w:val="20"/>
          <w:szCs w:val="20"/>
          <w:color w:val="auto"/>
        </w:rPr>
      </w:pPr>
      <w:r>
        <w:rPr>
          <w:rFonts w:ascii="Arial" w:cs="Arial" w:eastAsia="Arial" w:hAnsi="Arial"/>
          <w:sz w:val="17"/>
          <w:szCs w:val="17"/>
          <w:color w:val="auto"/>
        </w:rPr>
        <w:t>AAL-PA-03735-LA-1106657R1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2 of 2</w:t>
      </w:r>
    </w:p>
    <w:p>
      <w:pPr>
        <w:spacing w:after="0" w:line="46" w:lineRule="exact"/>
        <w:rPr>
          <w:sz w:val="20"/>
          <w:szCs w:val="20"/>
          <w:color w:val="auto"/>
        </w:rPr>
      </w:pPr>
    </w:p>
    <w:p>
      <w:pPr>
        <w:sectPr>
          <w:pgSz w:w="11900" w:h="16838" w:orient="portrait"/>
          <w:cols w:equalWidth="0" w:num="2">
            <w:col w:w="9880" w:space="720"/>
            <w:col w:w="820"/>
          </w:cols>
          <w:pgMar w:left="240" w:top="1016"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1016" w:right="239" w:bottom="1440" w:gutter="0" w:footer="0" w:header="0"/>
          <w:type w:val="continuous"/>
        </w:sect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6"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300" w:type="dxa"/>
            <w:vAlign w:val="bottom"/>
          </w:tcPr>
          <w:p>
            <w:pPr>
              <w:jc w:val="center"/>
              <w:ind w:right="4034"/>
              <w:spacing w:after="0"/>
              <w:rPr>
                <w:sz w:val="20"/>
                <w:szCs w:val="20"/>
                <w:color w:val="auto"/>
              </w:rPr>
            </w:pPr>
            <w:r>
              <w:rPr>
                <w:rFonts w:ascii="Arial" w:cs="Arial" w:eastAsia="Arial" w:hAnsi="Arial"/>
                <w:sz w:val="18"/>
                <w:szCs w:val="18"/>
                <w:b w:val="1"/>
                <w:bCs w:val="1"/>
                <w:color w:val="auto"/>
              </w:rPr>
              <w:t>[*CTR]</w:t>
            </w:r>
          </w:p>
        </w:tc>
      </w:tr>
      <w:tr>
        <w:trPr>
          <w:trHeight w:val="43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300" w:type="dxa"/>
            <w:vAlign w:val="bottom"/>
          </w:tcPr>
          <w:p>
            <w:pPr>
              <w:jc w:val="center"/>
              <w:ind w:right="4034"/>
              <w:spacing w:after="0"/>
              <w:rPr>
                <w:sz w:val="20"/>
                <w:szCs w:val="20"/>
                <w:color w:val="auto"/>
              </w:rPr>
            </w:pPr>
            <w:r>
              <w:rPr>
                <w:rFonts w:ascii="Arial" w:cs="Arial" w:eastAsia="Arial" w:hAnsi="Arial"/>
                <w:sz w:val="18"/>
                <w:szCs w:val="18"/>
                <w:b w:val="1"/>
                <w:bCs w:val="1"/>
                <w:color w:val="auto"/>
              </w:rPr>
              <w:t>FOR AMERICAN AIRLINES, INC.</w:t>
            </w:r>
          </w:p>
        </w:tc>
      </w:tr>
      <w:tr>
        <w:trPr>
          <w:trHeight w:val="407"/>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SECTION</w:t>
            </w:r>
          </w:p>
        </w:tc>
        <w:tc>
          <w:tcPr>
            <w:tcW w:w="3400" w:type="dxa"/>
            <w:vAlign w:val="bottom"/>
          </w:tcPr>
          <w:p>
            <w:pPr>
              <w:spacing w:after="0"/>
              <w:rPr>
                <w:sz w:val="24"/>
                <w:szCs w:val="24"/>
                <w:color w:val="auto"/>
              </w:rPr>
            </w:pPr>
          </w:p>
        </w:tc>
        <w:tc>
          <w:tcPr>
            <w:tcW w:w="7300" w:type="dxa"/>
            <w:vAlign w:val="bottom"/>
          </w:tcPr>
          <w:p>
            <w:pPr>
              <w:ind w:left="1500"/>
              <w:spacing w:after="0"/>
              <w:rPr>
                <w:sz w:val="20"/>
                <w:szCs w:val="20"/>
                <w:color w:val="auto"/>
              </w:rPr>
            </w:pPr>
            <w:r>
              <w:rPr>
                <w:rFonts w:ascii="Arial" w:cs="Arial" w:eastAsia="Arial" w:hAnsi="Arial"/>
                <w:sz w:val="14"/>
                <w:szCs w:val="14"/>
                <w:b w:val="1"/>
                <w:bCs w:val="1"/>
                <w:color w:val="auto"/>
              </w:rPr>
              <w:t>CONTENTS</w:t>
            </w:r>
          </w:p>
        </w:tc>
      </w:tr>
      <w:tr>
        <w:trPr>
          <w:trHeight w:val="309"/>
        </w:trPr>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1</w:t>
            </w:r>
          </w:p>
        </w:tc>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AIRCRAFT MODEL APPLICABILITY</w:t>
            </w:r>
          </w:p>
        </w:tc>
        <w:tc>
          <w:tcPr>
            <w:tcW w:w="7300" w:type="dxa"/>
            <w:vAlign w:val="bottom"/>
          </w:tcPr>
          <w:p>
            <w:pPr>
              <w:spacing w:after="0"/>
              <w:rPr>
                <w:sz w:val="24"/>
                <w:szCs w:val="24"/>
                <w:color w:val="auto"/>
              </w:rPr>
            </w:pPr>
          </w:p>
        </w:tc>
      </w:tr>
      <w:tr>
        <w:trPr>
          <w:trHeight w:val="324"/>
        </w:trPr>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2</w:t>
            </w:r>
          </w:p>
        </w:tc>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FLIGHT PERFORMANCE</w:t>
            </w:r>
          </w:p>
        </w:tc>
        <w:tc>
          <w:tcPr>
            <w:tcW w:w="7300" w:type="dxa"/>
            <w:vAlign w:val="bottom"/>
          </w:tcPr>
          <w:p>
            <w:pPr>
              <w:spacing w:after="0"/>
              <w:rPr>
                <w:sz w:val="24"/>
                <w:szCs w:val="24"/>
                <w:color w:val="auto"/>
              </w:rPr>
            </w:pPr>
          </w:p>
        </w:tc>
      </w:tr>
      <w:tr>
        <w:trPr>
          <w:trHeight w:val="324"/>
        </w:trPr>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3</w:t>
            </w:r>
          </w:p>
        </w:tc>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AIRCRAFT CONFIGURATION</w:t>
            </w:r>
          </w:p>
        </w:tc>
        <w:tc>
          <w:tcPr>
            <w:tcW w:w="7300" w:type="dxa"/>
            <w:vAlign w:val="bottom"/>
          </w:tcPr>
          <w:p>
            <w:pPr>
              <w:spacing w:after="0"/>
              <w:rPr>
                <w:sz w:val="24"/>
                <w:szCs w:val="24"/>
                <w:color w:val="auto"/>
              </w:rPr>
            </w:pPr>
          </w:p>
        </w:tc>
      </w:tr>
      <w:tr>
        <w:trPr>
          <w:trHeight w:val="324"/>
        </w:trPr>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4</w:t>
            </w:r>
          </w:p>
        </w:tc>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GUARANTEE CONDITIONS</w:t>
            </w:r>
          </w:p>
        </w:tc>
        <w:tc>
          <w:tcPr>
            <w:tcW w:w="7300" w:type="dxa"/>
            <w:vAlign w:val="bottom"/>
          </w:tcPr>
          <w:p>
            <w:pPr>
              <w:spacing w:after="0"/>
              <w:rPr>
                <w:sz w:val="24"/>
                <w:szCs w:val="24"/>
                <w:color w:val="auto"/>
              </w:rPr>
            </w:pPr>
          </w:p>
        </w:tc>
      </w:tr>
      <w:tr>
        <w:trPr>
          <w:trHeight w:val="324"/>
        </w:trPr>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5</w:t>
            </w:r>
          </w:p>
        </w:tc>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GUARANTEE COMPLIANCE</w:t>
            </w:r>
          </w:p>
        </w:tc>
        <w:tc>
          <w:tcPr>
            <w:tcW w:w="7300" w:type="dxa"/>
            <w:vAlign w:val="bottom"/>
          </w:tcPr>
          <w:p>
            <w:pPr>
              <w:spacing w:after="0"/>
              <w:rPr>
                <w:sz w:val="24"/>
                <w:szCs w:val="24"/>
                <w:color w:val="auto"/>
              </w:rPr>
            </w:pPr>
          </w:p>
        </w:tc>
      </w:tr>
      <w:tr>
        <w:trPr>
          <w:trHeight w:val="324"/>
        </w:trPr>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6</w:t>
            </w:r>
          </w:p>
        </w:tc>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EXCLUSIVE GUARANTEES</w:t>
            </w:r>
          </w:p>
        </w:tc>
        <w:tc>
          <w:tcPr>
            <w:tcW w:w="7300" w:type="dxa"/>
            <w:vAlign w:val="bottom"/>
          </w:tcPr>
          <w:p>
            <w:pPr>
              <w:spacing w:after="0"/>
              <w:rPr>
                <w:sz w:val="24"/>
                <w:szCs w:val="24"/>
                <w:color w:val="auto"/>
              </w:rPr>
            </w:pPr>
          </w:p>
        </w:tc>
      </w:tr>
      <w:tr>
        <w:trPr>
          <w:trHeight w:val="350"/>
        </w:trPr>
        <w:tc>
          <w:tcPr>
            <w:tcW w:w="4120" w:type="dxa"/>
            <w:vAlign w:val="bottom"/>
            <w:gridSpan w:val="2"/>
          </w:tcPr>
          <w:p>
            <w:pPr>
              <w:spacing w:after="0"/>
              <w:rPr>
                <w:sz w:val="20"/>
                <w:szCs w:val="20"/>
                <w:color w:val="auto"/>
              </w:rPr>
            </w:pPr>
            <w:r>
              <w:rPr>
                <w:rFonts w:ascii="Arial" w:cs="Arial" w:eastAsia="Arial" w:hAnsi="Arial"/>
                <w:sz w:val="18"/>
                <w:szCs w:val="18"/>
                <w:color w:val="auto"/>
              </w:rPr>
              <w:t>P.A. No. 03735</w:t>
            </w:r>
          </w:p>
        </w:tc>
        <w:tc>
          <w:tcPr>
            <w:tcW w:w="7300" w:type="dxa"/>
            <w:vAlign w:val="bottom"/>
          </w:tcPr>
          <w:p>
            <w:pPr>
              <w:spacing w:after="0"/>
              <w:rPr>
                <w:sz w:val="24"/>
                <w:szCs w:val="24"/>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AERO-B-BBA4-M12-0764A</w:t>
            </w:r>
          </w:p>
        </w:tc>
        <w:tc>
          <w:tcPr>
            <w:tcW w:w="7300" w:type="dxa"/>
            <w:vAlign w:val="bottom"/>
          </w:tcPr>
          <w:p>
            <w:pPr>
              <w:ind w:left="650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AIRCRAFT MODEL APPLICABILITY</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guarantees contained in this Attachment (the [*CTR]) are applicable [*CTR]</w:t>
      </w:r>
    </w:p>
    <w:p>
      <w:pPr>
        <w:spacing w:after="0" w:line="370" w:lineRule="exact"/>
        <w:rPr>
          <w:sz w:val="20"/>
          <w:szCs w:val="20"/>
          <w:color w:val="auto"/>
        </w:rPr>
      </w:pPr>
    </w:p>
    <w:p>
      <w:pPr>
        <w:ind w:left="680" w:hanging="672"/>
        <w:spacing w:after="0"/>
        <w:tabs>
          <w:tab w:leader="none" w:pos="6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FLIGHT PERFORMANCE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Mission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2.1.1    Mission Payload</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payload for a stage length of [*CTR] nautical miles in still air (representative [*CTR]) using the conditions and operating rules defined below, shall not be less than the following guarantee value:</w:t>
      </w:r>
    </w:p>
    <w:p>
      <w:pPr>
        <w:spacing w:after="0" w:line="19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Conditions and operating rules:</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Stage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Length:</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stage length is defined as the sum of the distances for the climbout maneuver, climb, cruise, and descent.</w:t>
      </w:r>
    </w:p>
    <w:p>
      <w:pPr>
        <w:spacing w:after="0" w:line="369"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jc w:val="center"/>
        <w:ind w:left="680"/>
        <w:spacing w:after="0"/>
        <w:rPr>
          <w:sz w:val="20"/>
          <w:szCs w:val="20"/>
          <w:color w:val="auto"/>
        </w:rPr>
      </w:pPr>
      <w:r>
        <w:rPr>
          <w:rFonts w:ascii="Arial" w:cs="Arial" w:eastAsia="Arial" w:hAnsi="Arial"/>
          <w:sz w:val="16"/>
          <w:szCs w:val="16"/>
          <w:color w:val="auto"/>
        </w:rPr>
        <w:t>Takeoff: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The takeoff gross weight shall conform to FAA Regulations.</w:t>
      </w:r>
    </w:p>
    <w:p>
      <w:pPr>
        <w:sectPr>
          <w:pgSz w:w="11900" w:h="16838" w:orient="portrait"/>
          <w:cols w:equalWidth="0" w:num="1">
            <w:col w:w="11420"/>
          </w:cols>
          <w:pgMar w:left="240" w:top="274" w:right="239" w:bottom="1440" w:gutter="0" w:footer="0" w:header="0"/>
          <w:type w:val="continuous"/>
        </w:sectPr>
      </w:pP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Climbout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Maneuver: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346" w:lineRule="exact"/>
        <w:rPr>
          <w:sz w:val="20"/>
          <w:szCs w:val="20"/>
          <w:color w:val="auto"/>
        </w:rPr>
      </w:pPr>
    </w:p>
    <w:p>
      <w:pPr>
        <w:sectPr>
          <w:pgSz w:w="11900" w:h="16838" w:orient="portrait"/>
          <w:cols w:equalWidth="0" w:num="2">
            <w:col w:w="1500" w:space="580"/>
            <w:col w:w="9340"/>
          </w:cols>
          <w:pgMar w:left="240" w:top="274" w:right="239" w:bottom="1440" w:gutter="0" w:footer="0" w:header="0"/>
          <w:type w:val="continuous"/>
        </w:sectPr>
      </w:pPr>
    </w:p>
    <w:p>
      <w:pPr>
        <w:ind w:left="720"/>
        <w:spacing w:after="0"/>
        <w:rPr>
          <w:sz w:val="20"/>
          <w:szCs w:val="20"/>
          <w:color w:val="auto"/>
        </w:rPr>
      </w:pPr>
      <w:r>
        <w:rPr>
          <w:rFonts w:ascii="Arial" w:cs="Arial" w:eastAsia="Arial" w:hAnsi="Arial"/>
          <w:sz w:val="17"/>
          <w:szCs w:val="17"/>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AERO-B-BBA4-M12-0764A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AAL-PA-03735-LA-1106657R1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p>
      <w:pPr>
        <w:spacing w:after="0" w:line="25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Cruise: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jc w:val="center"/>
        <w:ind w:left="700"/>
        <w:spacing w:after="0"/>
        <w:rPr>
          <w:sz w:val="20"/>
          <w:szCs w:val="20"/>
          <w:color w:val="auto"/>
        </w:rPr>
      </w:pPr>
      <w:r>
        <w:rPr>
          <w:rFonts w:ascii="Arial" w:cs="Arial" w:eastAsia="Arial" w:hAnsi="Arial"/>
          <w:sz w:val="15"/>
          <w:szCs w:val="15"/>
          <w:color w:val="auto"/>
        </w:rPr>
        <w:t>Descent: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Approach</w:t>
      </w:r>
    </w:p>
    <w:p>
      <w:pPr>
        <w:spacing w:after="0" w:line="23"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Landing</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549" w:lineRule="exact"/>
        <w:rPr>
          <w:sz w:val="20"/>
          <w:szCs w:val="20"/>
          <w:color w:val="auto"/>
        </w:rPr>
      </w:pPr>
    </w:p>
    <w:p>
      <w:pPr>
        <w:sectPr>
          <w:pgSz w:w="11900" w:h="16838" w:orient="portrait"/>
          <w:cols w:equalWidth="0" w:num="2">
            <w:col w:w="1960" w:space="1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46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Taxi-In (shall be consumed from the reserve fuel):</w:t>
      </w:r>
    </w:p>
    <w:p>
      <w:pPr>
        <w:spacing w:after="0" w:line="4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AERO-B-BBA4-M12-0764A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Usable reserve fuel remaining upon completion of the approach and landing maneuver: [*CTR]</w:t>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For information purposes, the [*CTR]</w:t>
      </w:r>
    </w:p>
    <w:p>
      <w:pPr>
        <w:spacing w:after="0" w:line="14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Mission Block Fuel</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block fuel for a stage length of [*CTR] pound payload using the conditions and operating rules defined below, shall not be more than the following guarantee value:</w:t>
      </w:r>
    </w:p>
    <w:p>
      <w:pPr>
        <w:spacing w:after="0" w:line="7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Conditions and operating rules:</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Stage Length:</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stage length is defined as the sum of the distances for the climbout maneuver, climb, cruise, and descent.</w:t>
      </w:r>
    </w:p>
    <w:p>
      <w:pPr>
        <w:spacing w:after="0" w:line="140" w:lineRule="exact"/>
        <w:rPr>
          <w:sz w:val="20"/>
          <w:szCs w:val="20"/>
          <w:color w:val="auto"/>
        </w:rPr>
      </w:pPr>
    </w:p>
    <w:p>
      <w:pPr>
        <w:sectPr>
          <w:pgSz w:w="11900" w:h="16838" w:orient="portrait"/>
          <w:cols w:equalWidth="0" w:num="2">
            <w:col w:w="1720" w:space="360"/>
            <w:col w:w="9340"/>
          </w:cols>
          <w:pgMar w:left="240" w:top="274"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Block Fuel: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block fuel is defined as the sum of the fuel used for taxi-out, takeoff and climbout maneuver, climb, cruise, descent, approach and landing maneuver, and taxi-in.</w:t>
      </w:r>
    </w:p>
    <w:p>
      <w:pPr>
        <w:spacing w:after="0" w:line="62" w:lineRule="exact"/>
        <w:rPr>
          <w:sz w:val="20"/>
          <w:szCs w:val="20"/>
          <w:color w:val="auto"/>
        </w:rPr>
      </w:pPr>
    </w:p>
    <w:p>
      <w:pPr>
        <w:sectPr>
          <w:pgSz w:w="11900" w:h="16838" w:orient="portrait"/>
          <w:cols w:equalWidth="0" w:num="2">
            <w:col w:w="1560" w:space="520"/>
            <w:col w:w="9340"/>
          </w:cols>
          <w:pgMar w:left="240" w:top="274" w:right="239" w:bottom="1440" w:gutter="0" w:footer="0" w:header="0"/>
          <w:type w:val="continuous"/>
        </w:sectPr>
      </w:pPr>
    </w:p>
    <w:p>
      <w:pPr>
        <w:jc w:val="center"/>
        <w:ind w:left="680"/>
        <w:spacing w:after="0"/>
        <w:rPr>
          <w:sz w:val="20"/>
          <w:szCs w:val="20"/>
          <w:color w:val="auto"/>
        </w:rPr>
      </w:pPr>
      <w:r>
        <w:rPr>
          <w:rFonts w:ascii="Arial" w:cs="Arial" w:eastAsia="Arial" w:hAnsi="Arial"/>
          <w:sz w:val="16"/>
          <w:szCs w:val="16"/>
          <w:color w:val="auto"/>
        </w:rPr>
        <w:t>Takeoff: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6"/>
          <w:szCs w:val="16"/>
          <w:color w:val="auto"/>
        </w:rPr>
        <w:t>The takeoff gross weight is not limited by the airport conditions.</w:t>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Maximum takeoff thrust is used for the takeoff.</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The takeoff gross weight shall conform to FAA Regulations.</w:t>
      </w:r>
    </w:p>
    <w:p>
      <w:pPr>
        <w:sectPr>
          <w:pgSz w:w="11900" w:h="16838" w:orient="portrait"/>
          <w:cols w:equalWidth="0" w:num="1">
            <w:col w:w="11420"/>
          </w:cols>
          <w:pgMar w:left="240" w:top="274" w:right="239" w:bottom="1440" w:gutter="0" w:footer="0" w:header="0"/>
          <w:type w:val="continuous"/>
        </w:sectPr>
      </w:pPr>
    </w:p>
    <w:p>
      <w:pPr>
        <w:spacing w:after="0" w:line="1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Climbout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Maneuver: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333" w:lineRule="exact"/>
        <w:rPr>
          <w:sz w:val="20"/>
          <w:szCs w:val="20"/>
          <w:color w:val="auto"/>
        </w:rPr>
      </w:pPr>
    </w:p>
    <w:p>
      <w:pPr>
        <w:sectPr>
          <w:pgSz w:w="11900" w:h="16838" w:orient="portrait"/>
          <w:cols w:equalWidth="0" w:num="2">
            <w:col w:w="1500" w:space="580"/>
            <w:col w:w="9340"/>
          </w:cols>
          <w:pgMar w:left="240" w:top="274" w:right="239" w:bottom="1440" w:gutter="0" w:footer="0" w:header="0"/>
          <w:type w:val="continuous"/>
        </w:sectPr>
      </w:pPr>
    </w:p>
    <w:p>
      <w:pPr>
        <w:ind w:left="720"/>
        <w:spacing w:after="0"/>
        <w:rPr>
          <w:sz w:val="20"/>
          <w:szCs w:val="20"/>
          <w:color w:val="auto"/>
        </w:rPr>
      </w:pPr>
      <w:r>
        <w:rPr>
          <w:rFonts w:ascii="Arial" w:cs="Arial" w:eastAsia="Arial" w:hAnsi="Arial"/>
          <w:sz w:val="17"/>
          <w:szCs w:val="17"/>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2080"/>
              <w:spacing w:after="0"/>
              <w:rPr>
                <w:sz w:val="20"/>
                <w:szCs w:val="20"/>
                <w:color w:val="auto"/>
              </w:rPr>
            </w:pPr>
            <w:r>
              <w:rPr>
                <w:rFonts w:ascii="Arial" w:cs="Arial" w:eastAsia="Arial" w:hAnsi="Arial"/>
                <w:sz w:val="18"/>
                <w:szCs w:val="18"/>
                <w:color w:val="auto"/>
              </w:rPr>
              <w:t>[*CTR]</w:t>
            </w:r>
          </w:p>
        </w:tc>
        <w:tc>
          <w:tcPr>
            <w:tcW w:w="4800" w:type="dxa"/>
            <w:vAlign w:val="bottom"/>
          </w:tcPr>
          <w:p>
            <w:pPr>
              <w:spacing w:after="0"/>
              <w:rPr>
                <w:sz w:val="20"/>
                <w:szCs w:val="20"/>
                <w:color w:val="auto"/>
              </w:rPr>
            </w:pPr>
          </w:p>
        </w:tc>
      </w:tr>
      <w:tr>
        <w:trPr>
          <w:trHeight w:val="324"/>
        </w:trPr>
        <w:tc>
          <w:tcPr>
            <w:tcW w:w="6620" w:type="dxa"/>
            <w:vAlign w:val="bottom"/>
          </w:tcPr>
          <w:p>
            <w:pPr>
              <w:ind w:left="2080"/>
              <w:spacing w:after="0"/>
              <w:rPr>
                <w:sz w:val="20"/>
                <w:szCs w:val="20"/>
                <w:color w:val="auto"/>
              </w:rPr>
            </w:pPr>
            <w:r>
              <w:rPr>
                <w:rFonts w:ascii="Arial" w:cs="Arial" w:eastAsia="Arial" w:hAnsi="Arial"/>
                <w:sz w:val="18"/>
                <w:szCs w:val="18"/>
                <w:color w:val="auto"/>
              </w:rPr>
              <w:t>[*CTR]</w:t>
            </w:r>
          </w:p>
        </w:tc>
        <w:tc>
          <w:tcPr>
            <w:tcW w:w="4800" w:type="dxa"/>
            <w:vAlign w:val="bottom"/>
          </w:tcPr>
          <w:p>
            <w:pPr>
              <w:spacing w:after="0"/>
              <w:rPr>
                <w:sz w:val="24"/>
                <w:szCs w:val="24"/>
                <w:color w:val="auto"/>
              </w:rPr>
            </w:pPr>
          </w:p>
        </w:tc>
      </w:tr>
      <w:tr>
        <w:trPr>
          <w:trHeight w:val="350"/>
        </w:trPr>
        <w:tc>
          <w:tcPr>
            <w:tcW w:w="6620" w:type="dxa"/>
            <w:vAlign w:val="bottom"/>
          </w:tcPr>
          <w:p>
            <w:pPr>
              <w:spacing w:after="0"/>
              <w:rPr>
                <w:sz w:val="20"/>
                <w:szCs w:val="20"/>
                <w:color w:val="auto"/>
              </w:rPr>
            </w:pPr>
            <w:r>
              <w:rPr>
                <w:rFonts w:ascii="Arial" w:cs="Arial" w:eastAsia="Arial" w:hAnsi="Arial"/>
                <w:sz w:val="18"/>
                <w:szCs w:val="18"/>
                <w:color w:val="auto"/>
              </w:rPr>
              <w:t>P.A. No. 03735</w:t>
            </w:r>
          </w:p>
        </w:tc>
        <w:tc>
          <w:tcPr>
            <w:tcW w:w="48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AERO-B-BBA4-M12-0764A</w:t>
            </w:r>
          </w:p>
        </w:tc>
        <w:tc>
          <w:tcPr>
            <w:tcW w:w="4800" w:type="dxa"/>
            <w:vAlign w:val="bottom"/>
          </w:tcPr>
          <w:p>
            <w:pPr>
              <w:ind w:left="400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AAL-PA-03735-LA-1106657R1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5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Cruise: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jc w:val="center"/>
        <w:ind w:left="700"/>
        <w:spacing w:after="0"/>
        <w:rPr>
          <w:sz w:val="20"/>
          <w:szCs w:val="20"/>
          <w:color w:val="auto"/>
        </w:rPr>
      </w:pPr>
      <w:r>
        <w:rPr>
          <w:rFonts w:ascii="Arial" w:cs="Arial" w:eastAsia="Arial" w:hAnsi="Arial"/>
          <w:sz w:val="15"/>
          <w:szCs w:val="15"/>
          <w:color w:val="auto"/>
        </w:rPr>
        <w:t>Descent: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Approach</w:t>
      </w:r>
    </w:p>
    <w:p>
      <w:pPr>
        <w:spacing w:after="0" w:line="23"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Landing</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549" w:lineRule="exact"/>
        <w:rPr>
          <w:sz w:val="20"/>
          <w:szCs w:val="20"/>
          <w:color w:val="auto"/>
        </w:rPr>
      </w:pPr>
    </w:p>
    <w:p>
      <w:pPr>
        <w:sectPr>
          <w:pgSz w:w="11900" w:h="16838" w:orient="portrait"/>
          <w:cols w:equalWidth="0" w:num="2">
            <w:col w:w="1960" w:space="1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46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Takeoff and Climbout Maneuver:</w:t>
      </w:r>
    </w:p>
    <w:p>
      <w:pPr>
        <w:spacing w:after="0" w:line="3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Approach and Landing Maneuver:</w:t>
      </w:r>
    </w:p>
    <w:p>
      <w:pPr>
        <w:spacing w:after="0" w:line="4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AERO-B-BBA4-M12-0764A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right="2580"/>
        <w:spacing w:after="0" w:line="389" w:lineRule="auto"/>
        <w:rPr>
          <w:sz w:val="20"/>
          <w:szCs w:val="20"/>
          <w:color w:val="auto"/>
        </w:rPr>
      </w:pPr>
      <w:r>
        <w:rPr>
          <w:rFonts w:ascii="Arial" w:cs="Arial" w:eastAsia="Arial" w:hAnsi="Arial"/>
          <w:sz w:val="18"/>
          <w:szCs w:val="18"/>
          <w:color w:val="auto"/>
        </w:rPr>
        <w:t>Usable reserve fuel remaining upon completion of the approach and landing maneuver: [*CTR] For information purposes, the [*CTR]</w:t>
      </w:r>
    </w:p>
    <w:p>
      <w:pPr>
        <w:spacing w:after="0"/>
        <w:tabs>
          <w:tab w:leader="none" w:pos="6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b w:val="1"/>
          <w:bCs w:val="1"/>
          <w:color w:val="auto"/>
        </w:rPr>
        <w:t>[*CTR]</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[*CTR] (representative of a [Lima to Dallas route]) using the conditions and operating rules defined below, shall not be less than the following guarantee value: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0"/>
                <w:szCs w:val="20"/>
                <w:color w:val="auto"/>
              </w:rPr>
            </w:pPr>
          </w:p>
        </w:tc>
      </w:tr>
      <w:tr>
        <w:trPr>
          <w:trHeight w:val="324"/>
        </w:trPr>
        <w:tc>
          <w:tcPr>
            <w:tcW w:w="10280" w:type="dxa"/>
            <w:vAlign w:val="bottom"/>
            <w:gridSpan w:val="2"/>
          </w:tcPr>
          <w:p>
            <w:pPr>
              <w:ind w:left="720"/>
              <w:spacing w:after="0"/>
              <w:rPr>
                <w:sz w:val="20"/>
                <w:szCs w:val="20"/>
                <w:color w:val="auto"/>
              </w:rPr>
            </w:pPr>
            <w:r>
              <w:rPr>
                <w:rFonts w:ascii="Arial" w:cs="Arial" w:eastAsia="Arial" w:hAnsi="Arial"/>
                <w:sz w:val="18"/>
                <w:szCs w:val="18"/>
                <w:color w:val="auto"/>
              </w:rPr>
              <w:t>Conditions and operating rules:</w:t>
            </w:r>
          </w:p>
        </w:tc>
        <w:tc>
          <w:tcPr>
            <w:tcW w:w="1140" w:type="dxa"/>
            <w:vAlign w:val="bottom"/>
          </w:tcPr>
          <w:p>
            <w:pPr>
              <w:spacing w:after="0"/>
              <w:rPr>
                <w:sz w:val="24"/>
                <w:szCs w:val="24"/>
                <w:color w:val="auto"/>
              </w:rPr>
            </w:pPr>
          </w:p>
        </w:tc>
      </w:tr>
      <w:tr>
        <w:trPr>
          <w:trHeight w:val="324"/>
        </w:trPr>
        <w:tc>
          <w:tcPr>
            <w:tcW w:w="1900" w:type="dxa"/>
            <w:vAlign w:val="bottom"/>
          </w:tcPr>
          <w:p>
            <w:pPr>
              <w:ind w:left="720"/>
              <w:spacing w:after="0"/>
              <w:rPr>
                <w:sz w:val="20"/>
                <w:szCs w:val="20"/>
                <w:color w:val="auto"/>
              </w:rPr>
            </w:pPr>
            <w:r>
              <w:rPr>
                <w:rFonts w:ascii="Arial" w:cs="Arial" w:eastAsia="Arial" w:hAnsi="Arial"/>
                <w:sz w:val="18"/>
                <w:szCs w:val="18"/>
                <w:color w:val="auto"/>
              </w:rPr>
              <w:t>Stage Length:</w:t>
            </w:r>
          </w:p>
        </w:tc>
        <w:tc>
          <w:tcPr>
            <w:tcW w:w="8380" w:type="dxa"/>
            <w:vAlign w:val="bottom"/>
          </w:tcPr>
          <w:p>
            <w:pPr>
              <w:ind w:left="180"/>
              <w:spacing w:after="0"/>
              <w:rPr>
                <w:sz w:val="20"/>
                <w:szCs w:val="20"/>
                <w:color w:val="auto"/>
              </w:rPr>
            </w:pPr>
            <w:r>
              <w:rPr>
                <w:rFonts w:ascii="Arial" w:cs="Arial" w:eastAsia="Arial" w:hAnsi="Arial"/>
                <w:sz w:val="18"/>
                <w:szCs w:val="18"/>
                <w:color w:val="auto"/>
                <w:w w:val="93"/>
              </w:rPr>
              <w:t>The stage length is defined as the sum of the distances for the climbout maneuver, climb, cruise, and descent.</w:t>
            </w:r>
          </w:p>
        </w:tc>
        <w:tc>
          <w:tcPr>
            <w:tcW w:w="1140" w:type="dxa"/>
            <w:vAlign w:val="bottom"/>
          </w:tcPr>
          <w:p>
            <w:pPr>
              <w:spacing w:after="0"/>
              <w:rPr>
                <w:sz w:val="24"/>
                <w:szCs w:val="24"/>
                <w:color w:val="auto"/>
              </w:rPr>
            </w:pPr>
          </w:p>
        </w:tc>
      </w:tr>
      <w:tr>
        <w:trPr>
          <w:trHeight w:val="324"/>
        </w:trPr>
        <w:tc>
          <w:tcPr>
            <w:tcW w:w="1900" w:type="dxa"/>
            <w:vAlign w:val="bottom"/>
          </w:tcPr>
          <w:p>
            <w:pPr>
              <w:ind w:left="720"/>
              <w:spacing w:after="0"/>
              <w:rPr>
                <w:sz w:val="20"/>
                <w:szCs w:val="20"/>
                <w:color w:val="auto"/>
              </w:rPr>
            </w:pPr>
            <w:r>
              <w:rPr>
                <w:rFonts w:ascii="Arial" w:cs="Arial" w:eastAsia="Arial" w:hAnsi="Arial"/>
                <w:sz w:val="18"/>
                <w:szCs w:val="18"/>
                <w:color w:val="auto"/>
              </w:rPr>
              <w:t>Takeoff:</w:t>
            </w: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24"/>
        </w:trPr>
        <w:tc>
          <w:tcPr>
            <w:tcW w:w="190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r>
      <w:tr>
        <w:trPr>
          <w:trHeight w:val="350"/>
        </w:trPr>
        <w:tc>
          <w:tcPr>
            <w:tcW w:w="1900" w:type="dxa"/>
            <w:vAlign w:val="bottom"/>
          </w:tcPr>
          <w:p>
            <w:pPr>
              <w:spacing w:after="0"/>
              <w:rPr>
                <w:sz w:val="20"/>
                <w:szCs w:val="20"/>
                <w:color w:val="auto"/>
              </w:rPr>
            </w:pPr>
            <w:r>
              <w:rPr>
                <w:rFonts w:ascii="Arial" w:cs="Arial" w:eastAsia="Arial" w:hAnsi="Arial"/>
                <w:sz w:val="18"/>
                <w:szCs w:val="18"/>
                <w:color w:val="auto"/>
              </w:rPr>
              <w:t>P.A. No. 03735</w:t>
            </w:r>
          </w:p>
        </w:tc>
        <w:tc>
          <w:tcPr>
            <w:tcW w:w="8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0280" w:type="dxa"/>
            <w:vAlign w:val="bottom"/>
            <w:gridSpan w:val="2"/>
          </w:tcPr>
          <w:p>
            <w:pPr>
              <w:spacing w:after="0"/>
              <w:rPr>
                <w:sz w:val="20"/>
                <w:szCs w:val="20"/>
                <w:color w:val="auto"/>
              </w:rPr>
            </w:pPr>
            <w:r>
              <w:rPr>
                <w:rFonts w:ascii="Arial" w:cs="Arial" w:eastAsia="Arial" w:hAnsi="Arial"/>
                <w:sz w:val="18"/>
                <w:szCs w:val="18"/>
                <w:color w:val="auto"/>
              </w:rPr>
              <w:t>AERO-B-BBA4-M12-0764A</w:t>
            </w:r>
          </w:p>
        </w:tc>
        <w:tc>
          <w:tcPr>
            <w:tcW w:w="1140" w:type="dxa"/>
            <w:vAlign w:val="bottom"/>
          </w:tcPr>
          <w:p>
            <w:pPr>
              <w:ind w:left="3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The takeoff gross weight shall conform to FAA Regulations.</w:t>
            </w:r>
          </w:p>
        </w:tc>
        <w:tc>
          <w:tcPr>
            <w:tcW w:w="2900" w:type="dxa"/>
            <w:vAlign w:val="bottom"/>
          </w:tcPr>
          <w:p>
            <w:pPr>
              <w:spacing w:after="0"/>
              <w:rPr>
                <w:sz w:val="20"/>
                <w:szCs w:val="20"/>
                <w:color w:val="auto"/>
              </w:rPr>
            </w:pPr>
          </w:p>
        </w:tc>
      </w:tr>
      <w:tr>
        <w:trPr>
          <w:trHeight w:val="310"/>
        </w:trPr>
        <w:tc>
          <w:tcPr>
            <w:tcW w:w="2020" w:type="dxa"/>
            <w:vAlign w:val="bottom"/>
            <w:gridSpan w:val="2"/>
          </w:tcPr>
          <w:p>
            <w:pPr>
              <w:ind w:left="720"/>
              <w:spacing w:after="0"/>
              <w:rPr>
                <w:sz w:val="20"/>
                <w:szCs w:val="20"/>
                <w:color w:val="auto"/>
              </w:rPr>
            </w:pPr>
            <w:r>
              <w:rPr>
                <w:rFonts w:ascii="Arial" w:cs="Arial" w:eastAsia="Arial" w:hAnsi="Arial"/>
                <w:sz w:val="18"/>
                <w:szCs w:val="18"/>
                <w:color w:val="auto"/>
              </w:rPr>
              <w:t>Climbout</w:t>
            </w: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230"/>
        </w:trPr>
        <w:tc>
          <w:tcPr>
            <w:tcW w:w="2020" w:type="dxa"/>
            <w:vAlign w:val="bottom"/>
            <w:gridSpan w:val="2"/>
          </w:tcPr>
          <w:p>
            <w:pPr>
              <w:ind w:left="720"/>
              <w:spacing w:after="0"/>
              <w:rPr>
                <w:sz w:val="20"/>
                <w:szCs w:val="20"/>
                <w:color w:val="auto"/>
              </w:rPr>
            </w:pPr>
            <w:r>
              <w:rPr>
                <w:rFonts w:ascii="Arial" w:cs="Arial" w:eastAsia="Arial" w:hAnsi="Arial"/>
                <w:sz w:val="18"/>
                <w:szCs w:val="18"/>
                <w:color w:val="auto"/>
              </w:rPr>
              <w:t>Maneuver:</w:t>
            </w:r>
          </w:p>
        </w:tc>
        <w:tc>
          <w:tcPr>
            <w:tcW w:w="65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324"/>
        </w:trPr>
        <w:tc>
          <w:tcPr>
            <w:tcW w:w="1360" w:type="dxa"/>
            <w:vAlign w:val="bottom"/>
          </w:tcPr>
          <w:p>
            <w:pPr>
              <w:ind w:left="720"/>
              <w:spacing w:after="0"/>
              <w:rPr>
                <w:sz w:val="20"/>
                <w:szCs w:val="20"/>
                <w:color w:val="auto"/>
              </w:rPr>
            </w:pPr>
            <w:r>
              <w:rPr>
                <w:rFonts w:ascii="Arial" w:cs="Arial" w:eastAsia="Arial" w:hAnsi="Arial"/>
                <w:sz w:val="18"/>
                <w:szCs w:val="18"/>
                <w:color w:val="auto"/>
              </w:rPr>
              <w:t>Climb:</w:t>
            </w: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ind w:left="720"/>
              <w:spacing w:after="0"/>
              <w:rPr>
                <w:sz w:val="20"/>
                <w:szCs w:val="20"/>
                <w:color w:val="auto"/>
              </w:rPr>
            </w:pPr>
            <w:r>
              <w:rPr>
                <w:rFonts w:ascii="Arial" w:cs="Arial" w:eastAsia="Arial" w:hAnsi="Arial"/>
                <w:sz w:val="18"/>
                <w:szCs w:val="18"/>
                <w:color w:val="auto"/>
              </w:rPr>
              <w:t>Cruise:</w:t>
            </w: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ind w:left="720"/>
              <w:spacing w:after="0"/>
              <w:rPr>
                <w:sz w:val="20"/>
                <w:szCs w:val="20"/>
                <w:color w:val="auto"/>
              </w:rPr>
            </w:pPr>
            <w:r>
              <w:rPr>
                <w:rFonts w:ascii="Arial" w:cs="Arial" w:eastAsia="Arial" w:hAnsi="Arial"/>
                <w:sz w:val="18"/>
                <w:szCs w:val="18"/>
                <w:color w:val="auto"/>
                <w:w w:val="87"/>
              </w:rPr>
              <w:t>Descent:</w:t>
            </w: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10"/>
        </w:trPr>
        <w:tc>
          <w:tcPr>
            <w:tcW w:w="2020" w:type="dxa"/>
            <w:vAlign w:val="bottom"/>
            <w:gridSpan w:val="2"/>
          </w:tcPr>
          <w:p>
            <w:pPr>
              <w:ind w:left="720"/>
              <w:spacing w:after="0"/>
              <w:rPr>
                <w:sz w:val="20"/>
                <w:szCs w:val="20"/>
                <w:color w:val="auto"/>
              </w:rPr>
            </w:pPr>
            <w:r>
              <w:rPr>
                <w:rFonts w:ascii="Arial" w:cs="Arial" w:eastAsia="Arial" w:hAnsi="Arial"/>
                <w:sz w:val="18"/>
                <w:szCs w:val="18"/>
                <w:color w:val="auto"/>
              </w:rPr>
              <w:t>Approach</w:t>
            </w: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216"/>
        </w:trPr>
        <w:tc>
          <w:tcPr>
            <w:tcW w:w="1360" w:type="dxa"/>
            <w:vAlign w:val="bottom"/>
          </w:tcPr>
          <w:p>
            <w:pPr>
              <w:ind w:left="720"/>
              <w:spacing w:after="0"/>
              <w:rPr>
                <w:sz w:val="20"/>
                <w:szCs w:val="20"/>
                <w:color w:val="auto"/>
              </w:rPr>
            </w:pPr>
            <w:r>
              <w:rPr>
                <w:rFonts w:ascii="Arial" w:cs="Arial" w:eastAsia="Arial" w:hAnsi="Arial"/>
                <w:sz w:val="18"/>
                <w:szCs w:val="18"/>
                <w:color w:val="auto"/>
              </w:rPr>
              <w:t>and</w:t>
            </w:r>
          </w:p>
        </w:tc>
        <w:tc>
          <w:tcPr>
            <w:tcW w:w="660" w:type="dxa"/>
            <w:vAlign w:val="bottom"/>
          </w:tcPr>
          <w:p>
            <w:pPr>
              <w:spacing w:after="0"/>
              <w:rPr>
                <w:sz w:val="20"/>
                <w:szCs w:val="20"/>
                <w:color w:val="auto"/>
              </w:rPr>
            </w:pPr>
            <w:r>
              <w:rPr>
                <w:rFonts w:ascii="Arial" w:cs="Arial" w:eastAsia="Arial" w:hAnsi="Arial"/>
                <w:sz w:val="18"/>
                <w:szCs w:val="18"/>
                <w:color w:val="auto"/>
                <w:w w:val="99"/>
              </w:rPr>
              <w:t>Landing</w:t>
            </w:r>
          </w:p>
        </w:tc>
        <w:tc>
          <w:tcPr>
            <w:tcW w:w="65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2020" w:type="dxa"/>
            <w:vAlign w:val="bottom"/>
            <w:gridSpan w:val="2"/>
          </w:tcPr>
          <w:p>
            <w:pPr>
              <w:ind w:left="720"/>
              <w:spacing w:after="0"/>
              <w:rPr>
                <w:sz w:val="20"/>
                <w:szCs w:val="20"/>
                <w:color w:val="auto"/>
              </w:rPr>
            </w:pPr>
            <w:r>
              <w:rPr>
                <w:rFonts w:ascii="Arial" w:cs="Arial" w:eastAsia="Arial" w:hAnsi="Arial"/>
                <w:sz w:val="18"/>
                <w:szCs w:val="18"/>
                <w:color w:val="auto"/>
              </w:rPr>
              <w:t>Maneuver:</w:t>
            </w:r>
          </w:p>
        </w:tc>
        <w:tc>
          <w:tcPr>
            <w:tcW w:w="65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324"/>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tcPr>
          <w:p>
            <w:pPr>
              <w:ind w:left="60"/>
              <w:spacing w:after="0"/>
              <w:rPr>
                <w:sz w:val="20"/>
                <w:szCs w:val="20"/>
                <w:color w:val="auto"/>
              </w:rPr>
            </w:pPr>
            <w:r>
              <w:rPr>
                <w:rFonts w:ascii="Arial" w:cs="Arial" w:eastAsia="Arial" w:hAnsi="Arial"/>
                <w:sz w:val="18"/>
                <w:szCs w:val="18"/>
                <w:color w:val="auto"/>
              </w:rPr>
              <w:t>[*CTR]</w:t>
            </w:r>
          </w:p>
        </w:tc>
        <w:tc>
          <w:tcPr>
            <w:tcW w:w="2900" w:type="dxa"/>
            <w:vAlign w:val="bottom"/>
          </w:tcPr>
          <w:p>
            <w:pPr>
              <w:spacing w:after="0"/>
              <w:rPr>
                <w:sz w:val="24"/>
                <w:szCs w:val="24"/>
                <w:color w:val="auto"/>
              </w:rPr>
            </w:pPr>
          </w:p>
        </w:tc>
      </w:tr>
      <w:tr>
        <w:trPr>
          <w:trHeight w:val="350"/>
        </w:trPr>
        <w:tc>
          <w:tcPr>
            <w:tcW w:w="1360" w:type="dxa"/>
            <w:vAlign w:val="bottom"/>
          </w:tcPr>
          <w:p>
            <w:pPr>
              <w:spacing w:after="0"/>
              <w:rPr>
                <w:sz w:val="20"/>
                <w:szCs w:val="20"/>
                <w:color w:val="auto"/>
              </w:rPr>
            </w:pPr>
            <w:r>
              <w:rPr>
                <w:rFonts w:ascii="Arial" w:cs="Arial" w:eastAsia="Arial" w:hAnsi="Arial"/>
                <w:sz w:val="18"/>
                <w:szCs w:val="18"/>
                <w:color w:val="auto"/>
              </w:rPr>
              <w:t>P.A. No. 03735</w:t>
            </w:r>
          </w:p>
        </w:tc>
        <w:tc>
          <w:tcPr>
            <w:tcW w:w="6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0"/>
        </w:trPr>
        <w:tc>
          <w:tcPr>
            <w:tcW w:w="8520" w:type="dxa"/>
            <w:vAlign w:val="bottom"/>
            <w:gridSpan w:val="3"/>
          </w:tcPr>
          <w:p>
            <w:pPr>
              <w:spacing w:after="0"/>
              <w:rPr>
                <w:sz w:val="20"/>
                <w:szCs w:val="20"/>
                <w:color w:val="auto"/>
              </w:rPr>
            </w:pPr>
            <w:r>
              <w:rPr>
                <w:rFonts w:ascii="Arial" w:cs="Arial" w:eastAsia="Arial" w:hAnsi="Arial"/>
                <w:sz w:val="18"/>
                <w:szCs w:val="18"/>
                <w:color w:val="auto"/>
              </w:rPr>
              <w:t>AERO-B-BBA4-M12-0764A</w:t>
            </w:r>
          </w:p>
        </w:tc>
        <w:tc>
          <w:tcPr>
            <w:tcW w:w="2900" w:type="dxa"/>
            <w:vAlign w:val="bottom"/>
          </w:tcPr>
          <w:p>
            <w:pPr>
              <w:ind w:left="210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AAL-PA-03735-LA-1106657R1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720" w:space="2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right="2580"/>
        <w:spacing w:after="0" w:line="396" w:lineRule="auto"/>
        <w:rPr>
          <w:sz w:val="20"/>
          <w:szCs w:val="20"/>
          <w:color w:val="auto"/>
        </w:rPr>
      </w:pPr>
      <w:r>
        <w:rPr>
          <w:rFonts w:ascii="Arial" w:cs="Arial" w:eastAsia="Arial" w:hAnsi="Arial"/>
          <w:sz w:val="18"/>
          <w:szCs w:val="18"/>
          <w:color w:val="auto"/>
        </w:rPr>
        <w:t>Usable reserve fuel remaining upon completion of the approach and landing maneuver: [*CTR] For information purposes, the [*CTR]</w:t>
      </w:r>
    </w:p>
    <w:p>
      <w:pPr>
        <w:sectPr>
          <w:pgSz w:w="11900" w:h="16838" w:orient="portrait"/>
          <w:cols w:equalWidth="0" w:num="1">
            <w:col w:w="11420"/>
          </w:cols>
          <w:pgMar w:left="240" w:top="274" w:right="239" w:bottom="1440" w:gutter="0" w:footer="0" w:header="0"/>
          <w:type w:val="continuous"/>
        </w:sectPr>
      </w:pPr>
    </w:p>
    <w:p>
      <w:pPr>
        <w:spacing w:after="0" w:line="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b w:val="1"/>
          <w:bCs w:val="1"/>
          <w:color w:val="auto"/>
        </w:rPr>
        <w:t>[*CTR]</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[*CTR] (representative of a [*CTR]) using the conditions and operating rules defined below, shall not be less than the following guarantee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0"/>
                <w:szCs w:val="20"/>
                <w:color w:val="auto"/>
              </w:rPr>
            </w:pPr>
          </w:p>
        </w:tc>
      </w:tr>
      <w:tr>
        <w:trPr>
          <w:trHeight w:val="324"/>
        </w:trPr>
        <w:tc>
          <w:tcPr>
            <w:tcW w:w="10220" w:type="dxa"/>
            <w:vAlign w:val="bottom"/>
            <w:gridSpan w:val="2"/>
          </w:tcPr>
          <w:p>
            <w:pPr>
              <w:ind w:left="820"/>
              <w:spacing w:after="0"/>
              <w:rPr>
                <w:sz w:val="20"/>
                <w:szCs w:val="20"/>
                <w:color w:val="auto"/>
              </w:rPr>
            </w:pPr>
            <w:r>
              <w:rPr>
                <w:rFonts w:ascii="Arial" w:cs="Arial" w:eastAsia="Arial" w:hAnsi="Arial"/>
                <w:sz w:val="18"/>
                <w:szCs w:val="18"/>
                <w:color w:val="auto"/>
              </w:rPr>
              <w:t>Conditions and operating rules:</w:t>
            </w:r>
          </w:p>
        </w:tc>
        <w:tc>
          <w:tcPr>
            <w:tcW w:w="1200" w:type="dxa"/>
            <w:vAlign w:val="bottom"/>
          </w:tcPr>
          <w:p>
            <w:pPr>
              <w:spacing w:after="0"/>
              <w:rPr>
                <w:sz w:val="24"/>
                <w:szCs w:val="24"/>
                <w:color w:val="auto"/>
              </w:rPr>
            </w:pPr>
          </w:p>
        </w:tc>
      </w:tr>
      <w:tr>
        <w:trPr>
          <w:trHeight w:val="310"/>
        </w:trPr>
        <w:tc>
          <w:tcPr>
            <w:tcW w:w="1680" w:type="dxa"/>
            <w:vAlign w:val="bottom"/>
          </w:tcPr>
          <w:p>
            <w:pPr>
              <w:ind w:left="820"/>
              <w:spacing w:after="0"/>
              <w:rPr>
                <w:sz w:val="20"/>
                <w:szCs w:val="20"/>
                <w:color w:val="auto"/>
              </w:rPr>
            </w:pPr>
            <w:r>
              <w:rPr>
                <w:rFonts w:ascii="Arial" w:cs="Arial" w:eastAsia="Arial" w:hAnsi="Arial"/>
                <w:sz w:val="18"/>
                <w:szCs w:val="18"/>
                <w:color w:val="auto"/>
              </w:rPr>
              <w:t>Stage</w:t>
            </w:r>
          </w:p>
        </w:tc>
        <w:tc>
          <w:tcPr>
            <w:tcW w:w="8540" w:type="dxa"/>
            <w:vAlign w:val="bottom"/>
          </w:tcPr>
          <w:p>
            <w:pPr>
              <w:ind w:left="280"/>
              <w:spacing w:after="0"/>
              <w:rPr>
                <w:sz w:val="20"/>
                <w:szCs w:val="20"/>
                <w:color w:val="auto"/>
              </w:rPr>
            </w:pPr>
            <w:r>
              <w:rPr>
                <w:rFonts w:ascii="Arial" w:cs="Arial" w:eastAsia="Arial" w:hAnsi="Arial"/>
                <w:sz w:val="18"/>
                <w:szCs w:val="18"/>
                <w:color w:val="auto"/>
                <w:w w:val="94"/>
              </w:rPr>
              <w:t>The stage length is defined as the sum of the distances for the climbout maneuver, climb, cruise, and descent.</w:t>
            </w:r>
          </w:p>
        </w:tc>
        <w:tc>
          <w:tcPr>
            <w:tcW w:w="1200" w:type="dxa"/>
            <w:vAlign w:val="bottom"/>
          </w:tcPr>
          <w:p>
            <w:pPr>
              <w:spacing w:after="0"/>
              <w:rPr>
                <w:sz w:val="24"/>
                <w:szCs w:val="24"/>
                <w:color w:val="auto"/>
              </w:rPr>
            </w:pPr>
          </w:p>
        </w:tc>
      </w:tr>
      <w:tr>
        <w:trPr>
          <w:trHeight w:val="230"/>
        </w:trPr>
        <w:tc>
          <w:tcPr>
            <w:tcW w:w="1680" w:type="dxa"/>
            <w:vAlign w:val="bottom"/>
          </w:tcPr>
          <w:p>
            <w:pPr>
              <w:ind w:left="820"/>
              <w:spacing w:after="0"/>
              <w:rPr>
                <w:sz w:val="20"/>
                <w:szCs w:val="20"/>
                <w:color w:val="auto"/>
              </w:rPr>
            </w:pPr>
            <w:r>
              <w:rPr>
                <w:rFonts w:ascii="Arial" w:cs="Arial" w:eastAsia="Arial" w:hAnsi="Arial"/>
                <w:sz w:val="18"/>
                <w:szCs w:val="18"/>
                <w:color w:val="auto"/>
              </w:rPr>
              <w:t>Length:</w:t>
            </w:r>
          </w:p>
        </w:tc>
        <w:tc>
          <w:tcPr>
            <w:tcW w:w="85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1680" w:type="dxa"/>
            <w:vAlign w:val="bottom"/>
          </w:tcPr>
          <w:p>
            <w:pPr>
              <w:ind w:left="820"/>
              <w:spacing w:after="0"/>
              <w:rPr>
                <w:sz w:val="20"/>
                <w:szCs w:val="20"/>
                <w:color w:val="auto"/>
              </w:rPr>
            </w:pPr>
            <w:r>
              <w:rPr>
                <w:rFonts w:ascii="Arial" w:cs="Arial" w:eastAsia="Arial" w:hAnsi="Arial"/>
                <w:sz w:val="18"/>
                <w:szCs w:val="18"/>
                <w:color w:val="auto"/>
              </w:rPr>
              <w:t>Takeoff:</w:t>
            </w:r>
          </w:p>
        </w:tc>
        <w:tc>
          <w:tcPr>
            <w:tcW w:w="8540" w:type="dxa"/>
            <w:vAlign w:val="bottom"/>
          </w:tcPr>
          <w:p>
            <w:pPr>
              <w:ind w:left="28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324"/>
        </w:trPr>
        <w:tc>
          <w:tcPr>
            <w:tcW w:w="1680" w:type="dxa"/>
            <w:vAlign w:val="bottom"/>
          </w:tcPr>
          <w:p>
            <w:pPr>
              <w:spacing w:after="0"/>
              <w:rPr>
                <w:sz w:val="24"/>
                <w:szCs w:val="24"/>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324"/>
        </w:trPr>
        <w:tc>
          <w:tcPr>
            <w:tcW w:w="1680" w:type="dxa"/>
            <w:vAlign w:val="bottom"/>
          </w:tcPr>
          <w:p>
            <w:pPr>
              <w:spacing w:after="0"/>
              <w:rPr>
                <w:sz w:val="24"/>
                <w:szCs w:val="24"/>
                <w:color w:val="auto"/>
              </w:rPr>
            </w:pPr>
          </w:p>
        </w:tc>
        <w:tc>
          <w:tcPr>
            <w:tcW w:w="8540" w:type="dxa"/>
            <w:vAlign w:val="bottom"/>
          </w:tcPr>
          <w:p>
            <w:pPr>
              <w:ind w:left="28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350"/>
        </w:trPr>
        <w:tc>
          <w:tcPr>
            <w:tcW w:w="1680" w:type="dxa"/>
            <w:vAlign w:val="bottom"/>
          </w:tcPr>
          <w:p>
            <w:pPr>
              <w:spacing w:after="0"/>
              <w:rPr>
                <w:sz w:val="20"/>
                <w:szCs w:val="20"/>
                <w:color w:val="auto"/>
              </w:rPr>
            </w:pPr>
            <w:r>
              <w:rPr>
                <w:rFonts w:ascii="Arial" w:cs="Arial" w:eastAsia="Arial" w:hAnsi="Arial"/>
                <w:sz w:val="18"/>
                <w:szCs w:val="18"/>
                <w:color w:val="auto"/>
              </w:rPr>
              <w:t>P.A. No. 03735</w:t>
            </w:r>
          </w:p>
        </w:tc>
        <w:tc>
          <w:tcPr>
            <w:tcW w:w="8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0220" w:type="dxa"/>
            <w:vAlign w:val="bottom"/>
            <w:gridSpan w:val="2"/>
          </w:tcPr>
          <w:p>
            <w:pPr>
              <w:spacing w:after="0"/>
              <w:rPr>
                <w:sz w:val="20"/>
                <w:szCs w:val="20"/>
                <w:color w:val="auto"/>
              </w:rPr>
            </w:pPr>
            <w:r>
              <w:rPr>
                <w:rFonts w:ascii="Arial" w:cs="Arial" w:eastAsia="Arial" w:hAnsi="Arial"/>
                <w:sz w:val="18"/>
                <w:szCs w:val="18"/>
                <w:color w:val="auto"/>
              </w:rPr>
              <w:t>AERO-B-BBA4-M12-0764A</w:t>
            </w:r>
          </w:p>
        </w:tc>
        <w:tc>
          <w:tcPr>
            <w:tcW w:w="1200" w:type="dxa"/>
            <w:vAlign w:val="bottom"/>
          </w:tcPr>
          <w:p>
            <w:pPr>
              <w:ind w:left="40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5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The following [*CTR] are specified with reference to the [*CTR]:</w:t>
      </w:r>
    </w:p>
    <w:p>
      <w:pPr>
        <w:sectPr>
          <w:pgSz w:w="11900" w:h="16838" w:orient="portrait"/>
          <w:cols w:equalWidth="0" w:num="1">
            <w:col w:w="11420"/>
          </w:cols>
          <w:pgMar w:left="240" w:top="274" w:right="239" w:bottom="1440" w:gutter="0" w:footer="0" w:header="0"/>
        </w:sectPr>
      </w:pPr>
    </w:p>
    <w:p>
      <w:pPr>
        <w:spacing w:after="0" w:line="259" w:lineRule="exact"/>
        <w:rPr>
          <w:sz w:val="20"/>
          <w:szCs w:val="20"/>
          <w:color w:val="auto"/>
        </w:rPr>
      </w:pPr>
    </w:p>
    <w:p>
      <w:pPr>
        <w:ind w:left="7300"/>
        <w:spacing w:after="0"/>
        <w:rPr>
          <w:sz w:val="20"/>
          <w:szCs w:val="20"/>
          <w:color w:val="auto"/>
        </w:rPr>
      </w:pPr>
      <w:r>
        <w:rPr>
          <w:rFonts w:ascii="Arial" w:cs="Arial" w:eastAsia="Arial" w:hAnsi="Arial"/>
          <w:sz w:val="12"/>
          <w:szCs w:val="12"/>
          <w:color w:val="auto"/>
        </w:rPr>
        <w:t>Distance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Height</w:t>
      </w:r>
    </w:p>
    <w:p>
      <w:pPr>
        <w:spacing w:after="0" w:line="27" w:lineRule="exact"/>
        <w:rPr>
          <w:sz w:val="20"/>
          <w:szCs w:val="20"/>
          <w:color w:val="auto"/>
        </w:rPr>
      </w:pPr>
    </w:p>
    <w:p>
      <w:pPr>
        <w:sectPr>
          <w:pgSz w:w="11900" w:h="16838" w:orient="portrait"/>
          <w:cols w:equalWidth="0" w:num="2">
            <w:col w:w="7800" w:space="280"/>
            <w:col w:w="3340"/>
          </w:cols>
          <w:pgMar w:left="240" w:top="274" w:right="239" w:bottom="1440" w:gutter="0" w:footer="0" w:header="0"/>
          <w:type w:val="continuous"/>
        </w:sectPr>
      </w:pPr>
    </w:p>
    <w:p>
      <w:pPr>
        <w:spacing w:after="0" w:line="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1.</w:t>
      </w:r>
    </w:p>
    <w:p>
      <w:pPr>
        <w:spacing w:after="0" w:line="17"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2.</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0" w:lineRule="exact"/>
        <w:rPr>
          <w:sz w:val="20"/>
          <w:szCs w:val="20"/>
          <w:color w:val="auto"/>
        </w:rPr>
      </w:pPr>
    </w:p>
    <w:p>
      <w:pPr>
        <w:sectPr>
          <w:pgSz w:w="11900" w:h="16838" w:orient="portrait"/>
          <w:cols w:equalWidth="0" w:num="3">
            <w:col w:w="6560" w:space="720"/>
            <w:col w:w="560" w:space="160"/>
            <w:col w:w="3420"/>
          </w:cols>
          <w:pgMar w:left="240" w:top="274" w:right="239" w:bottom="1440" w:gutter="0" w:footer="0" w:header="0"/>
          <w:type w:val="continuous"/>
        </w:sectPr>
      </w:pPr>
    </w:p>
    <w:p>
      <w:pPr>
        <w:spacing w:after="0" w:line="2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The takeoff gross weight shall conform to FAA Regulations.</w:t>
      </w:r>
    </w:p>
    <w:p>
      <w:pPr>
        <w:sectPr>
          <w:pgSz w:w="11900" w:h="16838" w:orient="portrait"/>
          <w:cols w:equalWidth="0" w:num="1">
            <w:col w:w="11420"/>
          </w:cols>
          <w:pgMar w:left="240" w:top="274" w:right="239" w:bottom="1440" w:gutter="0" w:footer="0" w:header="0"/>
          <w:type w:val="continuous"/>
        </w:sectPr>
      </w:pP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Climbout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Maneuver: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333" w:lineRule="exact"/>
        <w:rPr>
          <w:sz w:val="20"/>
          <w:szCs w:val="20"/>
          <w:color w:val="auto"/>
        </w:rPr>
      </w:pPr>
    </w:p>
    <w:p>
      <w:pPr>
        <w:sectPr>
          <w:pgSz w:w="11900" w:h="16838" w:orient="portrait"/>
          <w:cols w:equalWidth="0" w:num="2">
            <w:col w:w="1500" w:space="580"/>
            <w:col w:w="9340"/>
          </w:cols>
          <w:pgMar w:left="240" w:top="274" w:right="239" w:bottom="1440" w:gutter="0" w:footer="0" w:header="0"/>
          <w:type w:val="continuous"/>
        </w:sectPr>
      </w:pPr>
    </w:p>
    <w:p>
      <w:pPr>
        <w:ind w:left="720"/>
        <w:spacing w:after="0"/>
        <w:rPr>
          <w:sz w:val="20"/>
          <w:szCs w:val="20"/>
          <w:color w:val="auto"/>
        </w:rPr>
      </w:pPr>
      <w:r>
        <w:rPr>
          <w:rFonts w:ascii="Arial" w:cs="Arial" w:eastAsia="Arial" w:hAnsi="Arial"/>
          <w:sz w:val="17"/>
          <w:szCs w:val="17"/>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Cruise: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AERO-B-BBA4-M12-0764A</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AAL-PA-03735-LA-1106657R1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5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jc w:val="center"/>
        <w:ind w:left="700"/>
        <w:spacing w:after="0"/>
        <w:rPr>
          <w:sz w:val="20"/>
          <w:szCs w:val="20"/>
          <w:color w:val="auto"/>
        </w:rPr>
      </w:pPr>
      <w:r>
        <w:rPr>
          <w:rFonts w:ascii="Arial" w:cs="Arial" w:eastAsia="Arial" w:hAnsi="Arial"/>
          <w:sz w:val="15"/>
          <w:szCs w:val="15"/>
          <w:color w:val="auto"/>
        </w:rPr>
        <w:t>Descent: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Approach</w:t>
      </w:r>
    </w:p>
    <w:p>
      <w:pPr>
        <w:spacing w:after="0" w:line="23"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Landing</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549" w:lineRule="exact"/>
        <w:rPr>
          <w:sz w:val="20"/>
          <w:szCs w:val="20"/>
          <w:color w:val="auto"/>
        </w:rPr>
      </w:pPr>
    </w:p>
    <w:p>
      <w:pPr>
        <w:sectPr>
          <w:pgSz w:w="11900" w:h="16838" w:orient="portrait"/>
          <w:cols w:equalWidth="0" w:num="2">
            <w:col w:w="1960" w:space="12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46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right="2460"/>
        <w:spacing w:after="0" w:line="414" w:lineRule="auto"/>
        <w:rPr>
          <w:sz w:val="20"/>
          <w:szCs w:val="20"/>
          <w:color w:val="auto"/>
        </w:rPr>
      </w:pPr>
      <w:r>
        <w:rPr>
          <w:rFonts w:ascii="Arial" w:cs="Arial" w:eastAsia="Arial" w:hAnsi="Arial"/>
          <w:sz w:val="18"/>
          <w:szCs w:val="18"/>
          <w:color w:val="auto"/>
        </w:rPr>
        <w:t>Usable reserve fuel remaining upon completion of the approach and landing maneuver: [*CTR] For information purposes, the [*CTR]</w:t>
      </w:r>
    </w:p>
    <w:p>
      <w:pPr>
        <w:sectPr>
          <w:pgSz w:w="11900" w:h="16838" w:orient="portrait"/>
          <w:cols w:equalWidth="0" w:num="1">
            <w:col w:w="11420"/>
          </w:cols>
          <w:pgMar w:left="240" w:top="27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AERO-B-BBA4-M12-0764A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b w:val="1"/>
          <w:bCs w:val="1"/>
          <w:color w:val="auto"/>
        </w:rPr>
        <w:t>[*CTR]</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[*CTR] (representative of a [*CTR]) using the conditions and operating rules defined below, shall not be less than the following guarantee value:</w:t>
      </w:r>
    </w:p>
    <w:p>
      <w:pPr>
        <w:spacing w:after="0" w:line="7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Conditions and operating rules:</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Length:</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stage length is defined as the sum of the distances for the climbout maneuver, climb, cruise, and descent.</w:t>
      </w:r>
    </w:p>
    <w:p>
      <w:pPr>
        <w:spacing w:after="0" w:line="356" w:lineRule="exact"/>
        <w:rPr>
          <w:sz w:val="20"/>
          <w:szCs w:val="20"/>
          <w:color w:val="auto"/>
        </w:rPr>
      </w:pPr>
    </w:p>
    <w:p>
      <w:pPr>
        <w:sectPr>
          <w:pgSz w:w="11900" w:h="16838" w:orient="portrait"/>
          <w:cols w:equalWidth="0" w:num="2">
            <w:col w:w="1380" w:space="580"/>
            <w:col w:w="9460"/>
          </w:cols>
          <w:pgMar w:left="240" w:top="274" w:right="2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Takeoff: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420" w:space="5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The following [*CTR] are specified with reference to the [*CTR]</w:t>
      </w:r>
    </w:p>
    <w:p>
      <w:pPr>
        <w:sectPr>
          <w:pgSz w:w="11900" w:h="16838" w:orient="portrait"/>
          <w:cols w:equalWidth="0" w:num="1">
            <w:col w:w="11420"/>
          </w:cols>
          <w:pgMar w:left="240" w:top="274" w:right="239" w:bottom="1440" w:gutter="0" w:footer="0" w:header="0"/>
          <w:type w:val="continuous"/>
        </w:sectPr>
      </w:pPr>
    </w:p>
    <w:p>
      <w:pPr>
        <w:spacing w:after="0" w:line="259" w:lineRule="exact"/>
        <w:rPr>
          <w:sz w:val="20"/>
          <w:szCs w:val="20"/>
          <w:color w:val="auto"/>
        </w:rPr>
      </w:pPr>
    </w:p>
    <w:p>
      <w:pPr>
        <w:ind w:left="7300"/>
        <w:spacing w:after="0"/>
        <w:rPr>
          <w:sz w:val="20"/>
          <w:szCs w:val="20"/>
          <w:color w:val="auto"/>
        </w:rPr>
      </w:pPr>
      <w:r>
        <w:rPr>
          <w:rFonts w:ascii="Arial" w:cs="Arial" w:eastAsia="Arial" w:hAnsi="Arial"/>
          <w:sz w:val="12"/>
          <w:szCs w:val="12"/>
          <w:color w:val="auto"/>
        </w:rPr>
        <w:t>Distance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Height</w:t>
      </w:r>
    </w:p>
    <w:p>
      <w:pPr>
        <w:spacing w:after="0" w:line="27" w:lineRule="exact"/>
        <w:rPr>
          <w:sz w:val="20"/>
          <w:szCs w:val="20"/>
          <w:color w:val="auto"/>
        </w:rPr>
      </w:pPr>
    </w:p>
    <w:p>
      <w:pPr>
        <w:sectPr>
          <w:pgSz w:w="11900" w:h="16838" w:orient="portrait"/>
          <w:cols w:equalWidth="0" w:num="2">
            <w:col w:w="7800" w:space="280"/>
            <w:col w:w="3340"/>
          </w:cols>
          <w:pgMar w:left="240" w:top="274" w:right="239" w:bottom="1440" w:gutter="0" w:footer="0" w:header="0"/>
          <w:type w:val="continuous"/>
        </w:sectPr>
      </w:pPr>
    </w:p>
    <w:p>
      <w:pPr>
        <w:spacing w:after="0" w:line="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1.</w:t>
      </w:r>
    </w:p>
    <w:p>
      <w:pPr>
        <w:spacing w:after="0" w:line="17"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2.</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sectPr>
          <w:pgSz w:w="11900" w:h="16838" w:orient="portrait"/>
          <w:cols w:equalWidth="0" w:num="3">
            <w:col w:w="6560" w:space="720"/>
            <w:col w:w="560" w:space="160"/>
            <w:col w:w="342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AERO-B-BBA4-M12-0764A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51" w:lineRule="exact"/>
        <w:rPr>
          <w:sz w:val="20"/>
          <w:szCs w:val="20"/>
          <w:color w:val="auto"/>
        </w:rPr>
      </w:pPr>
    </w:p>
    <w:p>
      <w:pPr>
        <w:ind w:left="820"/>
        <w:spacing w:after="0"/>
        <w:tabs>
          <w:tab w:leader="none" w:pos="1940" w:val="left"/>
        </w:tabs>
        <w:rPr>
          <w:sz w:val="20"/>
          <w:szCs w:val="20"/>
          <w:color w:val="auto"/>
        </w:rPr>
      </w:pPr>
      <w:r>
        <w:rPr>
          <w:rFonts w:ascii="Arial" w:cs="Arial" w:eastAsia="Arial" w:hAnsi="Arial"/>
          <w:sz w:val="18"/>
          <w:szCs w:val="18"/>
          <w:color w:val="auto"/>
        </w:rPr>
        <w:t>Climbout</w:t>
      </w:r>
      <w:r>
        <w:rPr>
          <w:sz w:val="20"/>
          <w:szCs w:val="20"/>
          <w:color w:val="auto"/>
        </w:rPr>
        <w:tab/>
      </w:r>
      <w:r>
        <w:rPr>
          <w:rFonts w:ascii="Arial" w:cs="Arial" w:eastAsia="Arial" w:hAnsi="Arial"/>
          <w:sz w:val="18"/>
          <w:szCs w:val="18"/>
          <w:color w:val="auto"/>
        </w:rPr>
        <w:t>[*CTR]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820"/>
        <w:spacing w:after="0"/>
        <w:tabs>
          <w:tab w:leader="none" w:pos="1940" w:val="left"/>
        </w:tabs>
        <w:rPr>
          <w:sz w:val="20"/>
          <w:szCs w:val="20"/>
          <w:color w:val="auto"/>
        </w:rPr>
      </w:pPr>
      <w:r>
        <w:rPr>
          <w:rFonts w:ascii="Arial" w:cs="Arial" w:eastAsia="Arial" w:hAnsi="Arial"/>
          <w:sz w:val="18"/>
          <w:szCs w:val="18"/>
          <w:color w:val="auto"/>
        </w:rPr>
        <w:t>Climb:</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820"/>
        <w:spacing w:after="0"/>
        <w:tabs>
          <w:tab w:leader="none" w:pos="1940" w:val="left"/>
        </w:tabs>
        <w:rPr>
          <w:sz w:val="20"/>
          <w:szCs w:val="20"/>
          <w:color w:val="auto"/>
        </w:rPr>
      </w:pPr>
      <w:r>
        <w:rPr>
          <w:rFonts w:ascii="Arial" w:cs="Arial" w:eastAsia="Arial" w:hAnsi="Arial"/>
          <w:sz w:val="18"/>
          <w:szCs w:val="18"/>
          <w:color w:val="auto"/>
        </w:rPr>
        <w:t>Cruise: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8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820"/>
        <w:spacing w:after="0"/>
        <w:tabs>
          <w:tab w:leader="none" w:pos="194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8"/>
          <w:szCs w:val="18"/>
          <w:color w:val="auto"/>
        </w:rPr>
        <w:t>[*CTR]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and Landing</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0"/>
                <w:szCs w:val="20"/>
                <w:color w:val="auto"/>
              </w:rPr>
            </w:pPr>
          </w:p>
        </w:tc>
      </w:tr>
      <w:tr>
        <w:trPr>
          <w:trHeight w:val="350"/>
        </w:trPr>
        <w:tc>
          <w:tcPr>
            <w:tcW w:w="6560" w:type="dxa"/>
            <w:vAlign w:val="bottom"/>
          </w:tcPr>
          <w:p>
            <w:pPr>
              <w:spacing w:after="0"/>
              <w:rPr>
                <w:sz w:val="20"/>
                <w:szCs w:val="20"/>
                <w:color w:val="auto"/>
              </w:rPr>
            </w:pPr>
            <w:r>
              <w:rPr>
                <w:rFonts w:ascii="Arial" w:cs="Arial" w:eastAsia="Arial" w:hAnsi="Arial"/>
                <w:sz w:val="18"/>
                <w:szCs w:val="18"/>
                <w:color w:val="auto"/>
              </w:rPr>
              <w:t>P.A. No. 03735</w:t>
            </w:r>
          </w:p>
        </w:tc>
        <w:tc>
          <w:tcPr>
            <w:tcW w:w="4860" w:type="dxa"/>
            <w:vAlign w:val="bottom"/>
          </w:tcPr>
          <w:p>
            <w:pPr>
              <w:spacing w:after="0"/>
              <w:rPr>
                <w:sz w:val="24"/>
                <w:szCs w:val="24"/>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AERO-B-BBA4-M12-0764A</w:t>
            </w:r>
          </w:p>
        </w:tc>
        <w:tc>
          <w:tcPr>
            <w:tcW w:w="4860" w:type="dxa"/>
            <w:vAlign w:val="bottom"/>
          </w:tcPr>
          <w:p>
            <w:pPr>
              <w:ind w:left="406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AAL-PA-03735-LA-1106657R1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p>
      <w:pPr>
        <w:spacing w:after="0" w:line="2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460"/>
            <w:col w:w="934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2080" w:right="2460"/>
        <w:spacing w:after="0" w:line="396" w:lineRule="auto"/>
        <w:rPr>
          <w:sz w:val="20"/>
          <w:szCs w:val="20"/>
          <w:color w:val="auto"/>
        </w:rPr>
      </w:pPr>
      <w:r>
        <w:rPr>
          <w:rFonts w:ascii="Arial" w:cs="Arial" w:eastAsia="Arial" w:hAnsi="Arial"/>
          <w:sz w:val="18"/>
          <w:szCs w:val="18"/>
          <w:color w:val="auto"/>
        </w:rPr>
        <w:t>Usable reserve fuel remaining upon completion of the approach and landing maneuver: [*CTR] For information purposes, the [*CTR]</w:t>
      </w:r>
    </w:p>
    <w:p>
      <w:pPr>
        <w:sectPr>
          <w:pgSz w:w="11900" w:h="16838" w:orient="portrait"/>
          <w:cols w:equalWidth="0" w:num="1">
            <w:col w:w="11420"/>
          </w:cols>
          <w:pgMar w:left="240" w:top="274" w:right="239" w:bottom="1440" w:gutter="0" w:footer="0" w:header="0"/>
          <w:type w:val="continuous"/>
        </w:sectPr>
      </w:pPr>
    </w:p>
    <w:p>
      <w:pPr>
        <w:spacing w:after="0" w:line="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Operational Empty Weight Basis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Operational Empty Weight (OEW) derived in Paragraph 2.1.7 is the basis for the [*CTR] of Paragraphs 2.1.1, 2.1.2, 2.1.3, 2.1.4, and 2.1.5.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AERO-B-BBA4-M12-0764A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w w:val="84"/>
              </w:rPr>
              <w:t>2.1.7</w:t>
            </w:r>
          </w:p>
        </w:tc>
        <w:tc>
          <w:tcPr>
            <w:tcW w:w="4620" w:type="dxa"/>
            <w:vAlign w:val="bottom"/>
          </w:tcPr>
          <w:p>
            <w:pPr>
              <w:ind w:left="320"/>
              <w:spacing w:after="0"/>
              <w:rPr>
                <w:sz w:val="20"/>
                <w:szCs w:val="20"/>
                <w:color w:val="auto"/>
              </w:rPr>
            </w:pPr>
            <w:r>
              <w:rPr>
                <w:rFonts w:ascii="Arial" w:cs="Arial" w:eastAsia="Arial" w:hAnsi="Arial"/>
                <w:sz w:val="18"/>
                <w:szCs w:val="18"/>
                <w:b w:val="1"/>
                <w:bCs w:val="1"/>
                <w:color w:val="auto"/>
              </w:rPr>
              <w:t>737-7 Weight Summary – [*CTR]</w:t>
            </w: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Pounds</w:t>
            </w:r>
          </w:p>
        </w:tc>
        <w:tc>
          <w:tcPr>
            <w:tcW w:w="60" w:type="dxa"/>
            <w:vAlign w:val="bottom"/>
          </w:tcPr>
          <w:p>
            <w:pPr>
              <w:spacing w:after="0"/>
              <w:rPr>
                <w:sz w:val="24"/>
                <w:szCs w:val="24"/>
                <w:color w:val="auto"/>
              </w:rPr>
            </w:pPr>
          </w:p>
        </w:tc>
      </w:tr>
      <w:tr>
        <w:trPr>
          <w:trHeight w:val="318"/>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Standard Model Specification MEW</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4980" w:type="dxa"/>
            <w:vAlign w:val="bottom"/>
            <w:gridSpan w:val="2"/>
          </w:tcPr>
          <w:p>
            <w:pPr>
              <w:spacing w:after="0"/>
              <w:rPr>
                <w:sz w:val="20"/>
                <w:szCs w:val="20"/>
                <w:color w:val="auto"/>
              </w:rPr>
            </w:pPr>
            <w:r>
              <w:rPr>
                <w:rFonts w:ascii="Arial" w:cs="Arial" w:eastAsia="Arial" w:hAnsi="Arial"/>
                <w:sz w:val="18"/>
                <w:szCs w:val="18"/>
                <w:color w:val="auto"/>
              </w:rPr>
              <w:t>Configuration Specification [*CTR]</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36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360" w:type="dxa"/>
            <w:vAlign w:val="bottom"/>
          </w:tcPr>
          <w:p>
            <w:pPr>
              <w:spacing w:after="0"/>
              <w:rPr>
                <w:sz w:val="18"/>
                <w:szCs w:val="18"/>
                <w:color w:val="auto"/>
              </w:rPr>
            </w:pPr>
          </w:p>
        </w:tc>
        <w:tc>
          <w:tcPr>
            <w:tcW w:w="4620" w:type="dxa"/>
            <w:vAlign w:val="bottom"/>
          </w:tcPr>
          <w:p>
            <w:pPr>
              <w:ind w:left="72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360" w:type="dxa"/>
            <w:vAlign w:val="bottom"/>
          </w:tcPr>
          <w:p>
            <w:pPr>
              <w:spacing w:after="0"/>
              <w:rPr>
                <w:sz w:val="18"/>
                <w:szCs w:val="18"/>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36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[*CTR]</w:t>
            </w: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 Manufacturer’s Empty Weight (MEW)</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36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Standard and Operational Items Allowance</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36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(Paragraph 2.1.8)</w:t>
            </w: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 Operational Empty Weight (OEW)</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92"/>
        </w:trPr>
        <w:tc>
          <w:tcPr>
            <w:tcW w:w="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60" w:type="dxa"/>
            <w:vAlign w:val="bottom"/>
            <w:gridSpan w:val="8"/>
          </w:tcPr>
          <w:p>
            <w:pPr>
              <w:jc w:val="right"/>
              <w:ind w:right="3280"/>
              <w:spacing w:after="0"/>
              <w:rPr>
                <w:sz w:val="20"/>
                <w:szCs w:val="20"/>
                <w:color w:val="auto"/>
              </w:rPr>
            </w:pPr>
            <w:r>
              <w:rPr>
                <w:rFonts w:ascii="Arial" w:cs="Arial" w:eastAsia="Arial" w:hAnsi="Arial"/>
                <w:sz w:val="14"/>
                <w:szCs w:val="14"/>
                <w:color w:val="auto"/>
              </w:rPr>
              <w:t>Quantity   Pounds    Pounds</w:t>
            </w:r>
          </w:p>
        </w:tc>
      </w:tr>
      <w:tr>
        <w:trPr>
          <w:trHeight w:val="20"/>
        </w:trPr>
        <w:tc>
          <w:tcPr>
            <w:tcW w:w="49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r>
      <w:tr>
        <w:trPr>
          <w:trHeight w:val="318"/>
        </w:trPr>
        <w:tc>
          <w:tcPr>
            <w:tcW w:w="4980" w:type="dxa"/>
            <w:vAlign w:val="bottom"/>
            <w:gridSpan w:val="2"/>
          </w:tcPr>
          <w:p>
            <w:pPr>
              <w:spacing w:after="0"/>
              <w:rPr>
                <w:sz w:val="20"/>
                <w:szCs w:val="20"/>
                <w:color w:val="auto"/>
              </w:rPr>
            </w:pPr>
            <w:r>
              <w:rPr>
                <w:rFonts w:ascii="Arial" w:cs="Arial" w:eastAsia="Arial" w:hAnsi="Arial"/>
                <w:sz w:val="18"/>
                <w:szCs w:val="18"/>
                <w:color w:val="auto"/>
              </w:rPr>
              <w:t>* [*CTR]</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40" w:type="dxa"/>
            <w:vAlign w:val="bottom"/>
            <w:gridSpan w:val="5"/>
          </w:tcPr>
          <w:p>
            <w:pPr>
              <w:jc w:val="right"/>
              <w:ind w:right="3200"/>
              <w:spacing w:after="0"/>
              <w:rPr>
                <w:sz w:val="20"/>
                <w:szCs w:val="20"/>
                <w:color w:val="auto"/>
              </w:rPr>
            </w:pPr>
            <w:r>
              <w:rPr>
                <w:rFonts w:ascii="Arial" w:cs="Arial" w:eastAsia="Arial" w:hAnsi="Arial"/>
                <w:sz w:val="18"/>
                <w:szCs w:val="18"/>
                <w:color w:val="auto"/>
              </w:rPr>
              <w:t>[*CTR]</w:t>
            </w:r>
          </w:p>
        </w:tc>
      </w:tr>
      <w:tr>
        <w:trPr>
          <w:trHeight w:val="310"/>
        </w:trPr>
        <w:tc>
          <w:tcPr>
            <w:tcW w:w="36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[*CTR]</w:t>
            </w:r>
          </w:p>
        </w:tc>
        <w:tc>
          <w:tcPr>
            <w:tcW w:w="6440" w:type="dxa"/>
            <w:vAlign w:val="bottom"/>
            <w:gridSpan w:val="9"/>
          </w:tcPr>
          <w:p>
            <w:pPr>
              <w:jc w:val="right"/>
              <w:ind w:right="3860"/>
              <w:spacing w:after="0"/>
              <w:rPr>
                <w:sz w:val="20"/>
                <w:szCs w:val="20"/>
                <w:color w:val="auto"/>
              </w:rPr>
            </w:pPr>
            <w:r>
              <w:rPr>
                <w:rFonts w:ascii="Arial" w:cs="Arial" w:eastAsia="Arial" w:hAnsi="Arial"/>
                <w:sz w:val="18"/>
                <w:szCs w:val="18"/>
                <w:color w:val="auto"/>
              </w:rPr>
              <w:t>[*CTR] [*CTR]</w:t>
            </w:r>
          </w:p>
        </w:tc>
      </w:tr>
      <w:tr>
        <w:trPr>
          <w:trHeight w:val="216"/>
        </w:trPr>
        <w:tc>
          <w:tcPr>
            <w:tcW w:w="3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[*CTR]</w:t>
            </w:r>
          </w:p>
        </w:tc>
        <w:tc>
          <w:tcPr>
            <w:tcW w:w="6440" w:type="dxa"/>
            <w:vAlign w:val="bottom"/>
            <w:gridSpan w:val="9"/>
          </w:tcPr>
          <w:p>
            <w:pPr>
              <w:jc w:val="right"/>
              <w:ind w:right="3860"/>
              <w:spacing w:after="0"/>
              <w:rPr>
                <w:sz w:val="20"/>
                <w:szCs w:val="20"/>
                <w:color w:val="auto"/>
              </w:rPr>
            </w:pPr>
            <w:r>
              <w:rPr>
                <w:rFonts w:ascii="Arial" w:cs="Arial" w:eastAsia="Arial" w:hAnsi="Arial"/>
                <w:sz w:val="18"/>
                <w:szCs w:val="18"/>
                <w:color w:val="auto"/>
              </w:rPr>
              <w:t>[*CTR] [*CTR]</w:t>
            </w:r>
          </w:p>
        </w:tc>
      </w:tr>
      <w:tr>
        <w:trPr>
          <w:trHeight w:val="216"/>
        </w:trPr>
        <w:tc>
          <w:tcPr>
            <w:tcW w:w="3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[*CTR]</w:t>
            </w:r>
          </w:p>
        </w:tc>
        <w:tc>
          <w:tcPr>
            <w:tcW w:w="6440" w:type="dxa"/>
            <w:vAlign w:val="bottom"/>
            <w:gridSpan w:val="9"/>
          </w:tcPr>
          <w:p>
            <w:pPr>
              <w:jc w:val="right"/>
              <w:ind w:right="3860"/>
              <w:spacing w:after="0"/>
              <w:rPr>
                <w:sz w:val="20"/>
                <w:szCs w:val="20"/>
                <w:color w:val="auto"/>
              </w:rPr>
            </w:pPr>
            <w:r>
              <w:rPr>
                <w:rFonts w:ascii="Arial" w:cs="Arial" w:eastAsia="Arial" w:hAnsi="Arial"/>
                <w:sz w:val="18"/>
                <w:szCs w:val="18"/>
                <w:color w:val="auto"/>
              </w:rPr>
              <w:t>[*CTR] [*CTR]</w:t>
            </w:r>
          </w:p>
        </w:tc>
      </w:tr>
      <w:tr>
        <w:trPr>
          <w:trHeight w:val="216"/>
        </w:trPr>
        <w:tc>
          <w:tcPr>
            <w:tcW w:w="3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[*CTR]</w:t>
            </w:r>
          </w:p>
        </w:tc>
        <w:tc>
          <w:tcPr>
            <w:tcW w:w="6440" w:type="dxa"/>
            <w:vAlign w:val="bottom"/>
            <w:gridSpan w:val="9"/>
          </w:tcPr>
          <w:p>
            <w:pPr>
              <w:jc w:val="right"/>
              <w:ind w:right="3860"/>
              <w:spacing w:after="0"/>
              <w:rPr>
                <w:sz w:val="20"/>
                <w:szCs w:val="20"/>
                <w:color w:val="auto"/>
              </w:rPr>
            </w:pPr>
            <w:r>
              <w:rPr>
                <w:rFonts w:ascii="Arial" w:cs="Arial" w:eastAsia="Arial" w:hAnsi="Arial"/>
                <w:sz w:val="18"/>
                <w:szCs w:val="18"/>
                <w:color w:val="auto"/>
              </w:rPr>
              <w:t>[*CTR] [*CTR]</w:t>
            </w:r>
          </w:p>
        </w:tc>
      </w:tr>
      <w:tr>
        <w:trPr>
          <w:trHeight w:val="230"/>
        </w:trPr>
        <w:tc>
          <w:tcPr>
            <w:tcW w:w="3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[*CTR]</w:t>
            </w:r>
          </w:p>
        </w:tc>
        <w:tc>
          <w:tcPr>
            <w:tcW w:w="6440" w:type="dxa"/>
            <w:vAlign w:val="bottom"/>
            <w:gridSpan w:val="9"/>
          </w:tcPr>
          <w:p>
            <w:pPr>
              <w:jc w:val="right"/>
              <w:ind w:right="3860"/>
              <w:spacing w:after="0"/>
              <w:rPr>
                <w:sz w:val="20"/>
                <w:szCs w:val="20"/>
                <w:color w:val="auto"/>
              </w:rPr>
            </w:pPr>
            <w:r>
              <w:rPr>
                <w:rFonts w:ascii="Arial" w:cs="Arial" w:eastAsia="Arial" w:hAnsi="Arial"/>
                <w:sz w:val="18"/>
                <w:szCs w:val="18"/>
                <w:color w:val="auto"/>
              </w:rPr>
              <w:t>[*CTR] [*CTR]</w:t>
            </w:r>
          </w:p>
        </w:tc>
      </w:tr>
      <w:tr>
        <w:trPr>
          <w:trHeight w:val="350"/>
        </w:trPr>
        <w:tc>
          <w:tcPr>
            <w:tcW w:w="4980" w:type="dxa"/>
            <w:vAlign w:val="bottom"/>
            <w:gridSpan w:val="2"/>
          </w:tcPr>
          <w:p>
            <w:pPr>
              <w:spacing w:after="0"/>
              <w:rPr>
                <w:sz w:val="20"/>
                <w:szCs w:val="20"/>
                <w:color w:val="auto"/>
              </w:rPr>
            </w:pPr>
            <w:r>
              <w:rPr>
                <w:rFonts w:ascii="Arial" w:cs="Arial" w:eastAsia="Arial" w:hAnsi="Arial"/>
                <w:sz w:val="18"/>
                <w:szCs w:val="18"/>
                <w:color w:val="auto"/>
              </w:rPr>
              <w:t>P.A. No. 03735</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AERO-B-BBA4-M12-0764A</w:t>
            </w: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w w:val="84"/>
              </w:rPr>
              <w:t>2.1.8</w:t>
            </w:r>
          </w:p>
        </w:tc>
        <w:tc>
          <w:tcPr>
            <w:tcW w:w="5640" w:type="dxa"/>
            <w:vAlign w:val="bottom"/>
          </w:tcPr>
          <w:p>
            <w:pPr>
              <w:ind w:left="320"/>
              <w:spacing w:after="0"/>
              <w:rPr>
                <w:sz w:val="20"/>
                <w:szCs w:val="20"/>
                <w:color w:val="auto"/>
              </w:rPr>
            </w:pPr>
            <w:r>
              <w:rPr>
                <w:rFonts w:ascii="Arial" w:cs="Arial" w:eastAsia="Arial" w:hAnsi="Arial"/>
                <w:sz w:val="18"/>
                <w:szCs w:val="18"/>
                <w:b w:val="1"/>
                <w:bCs w:val="1"/>
                <w:color w:val="auto"/>
              </w:rPr>
              <w:t>Standard and Operational Items Allowance</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Qty</w:t>
            </w:r>
          </w:p>
        </w:tc>
        <w:tc>
          <w:tcPr>
            <w:tcW w:w="2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Pounds</w:t>
            </w:r>
          </w:p>
        </w:tc>
        <w:tc>
          <w:tcPr>
            <w:tcW w:w="22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Pounds</w:t>
            </w:r>
          </w:p>
        </w:tc>
        <w:tc>
          <w:tcPr>
            <w:tcW w:w="300" w:type="dxa"/>
            <w:vAlign w:val="bottom"/>
          </w:tcPr>
          <w:p>
            <w:pPr>
              <w:spacing w:after="0"/>
              <w:rPr>
                <w:sz w:val="24"/>
                <w:szCs w:val="2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Pounds</w:t>
            </w:r>
          </w:p>
        </w:tc>
      </w:tr>
      <w:tr>
        <w:trPr>
          <w:trHeight w:val="20"/>
        </w:trPr>
        <w:tc>
          <w:tcPr>
            <w:tcW w:w="60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Standard Items Allowance</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36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Unusable Fuel</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Oil</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Oxygen Equipment</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Passenger Portable</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Crew Masks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Miscellaneous Equipment</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Crash Axe</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Megaphones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Flashlights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Smoke Hoods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Galley Structure &amp; Fixed Inserts</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Operational Items Allowance</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36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Crew and Crew Baggage</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Flight Crew (incl. baggage)</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Cabin Crew (incl. baggage)</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Catering Allowance &amp; Removable Inserts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First Class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Economy Class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Passenger Service Equipment</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Potable Water [*CTR]</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Waste Tank Disinfectant</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Emergency Equipment</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[*CTR]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Escape Slides - Forward and Aft</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Life Vests - Crew and Passengers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Life Rafts</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Auto Radio Beacon (ELT)</w:t>
            </w:r>
          </w:p>
        </w:tc>
        <w:tc>
          <w:tcPr>
            <w:tcW w:w="2720" w:type="dxa"/>
            <w:vAlign w:val="bottom"/>
            <w:gridSpan w:val="3"/>
          </w:tcPr>
          <w:p>
            <w:pPr>
              <w:ind w:left="1980"/>
              <w:spacing w:after="0"/>
              <w:rPr>
                <w:sz w:val="20"/>
                <w:szCs w:val="20"/>
                <w:color w:val="auto"/>
              </w:rPr>
            </w:pPr>
            <w:r>
              <w:rPr>
                <w:rFonts w:ascii="Arial" w:cs="Arial" w:eastAsia="Arial" w:hAnsi="Arial"/>
                <w:sz w:val="18"/>
                <w:szCs w:val="18"/>
                <w:color w:val="auto"/>
              </w:rPr>
              <w:t>[*CTR]</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Total Standard and Operational Items Allowance</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50"/>
        </w:trPr>
        <w:tc>
          <w:tcPr>
            <w:tcW w:w="6000" w:type="dxa"/>
            <w:vAlign w:val="bottom"/>
            <w:gridSpan w:val="2"/>
          </w:tcPr>
          <w:p>
            <w:pPr>
              <w:spacing w:after="0"/>
              <w:rPr>
                <w:sz w:val="20"/>
                <w:szCs w:val="20"/>
                <w:color w:val="auto"/>
              </w:rPr>
            </w:pPr>
            <w:r>
              <w:rPr>
                <w:rFonts w:ascii="Arial" w:cs="Arial" w:eastAsia="Arial" w:hAnsi="Arial"/>
                <w:sz w:val="18"/>
                <w:szCs w:val="18"/>
                <w:color w:val="auto"/>
              </w:rPr>
              <w:t>P.A. No. 03735</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AERO-B-BBA4-M12-0764A</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center"/>
              <w:ind w:left="30"/>
              <w:spacing w:after="0"/>
              <w:rPr>
                <w:sz w:val="20"/>
                <w:szCs w:val="20"/>
                <w:color w:val="auto"/>
              </w:rPr>
            </w:pPr>
            <w:r>
              <w:rPr>
                <w:rFonts w:ascii="Arial" w:cs="Arial" w:eastAsia="Arial" w:hAnsi="Arial"/>
                <w:sz w:val="18"/>
                <w:szCs w:val="18"/>
                <w:color w:val="auto"/>
                <w:w w:val="88"/>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39" w:lineRule="exact"/>
        <w:rPr>
          <w:sz w:val="20"/>
          <w:szCs w:val="20"/>
          <w:color w:val="auto"/>
        </w:rPr>
      </w:pPr>
    </w:p>
    <w:p>
      <w:pPr>
        <w:ind w:left="680" w:hanging="672"/>
        <w:spacing w:after="0"/>
        <w:tabs>
          <w:tab w:leader="none" w:pos="6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AIRCRAFT CONFIGURATION</w:t>
      </w:r>
    </w:p>
    <w:p>
      <w:pPr>
        <w:spacing w:after="0" w:line="131"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The guarantees contained in this Attachment are based on the Aircraft configuration as defined in Boeing Document [*CTR] by the Purchase Agreement to be [*CTR] into the Customer’s Detail Specification (herein referred to as the Detail Specification). Appropriate adjustment shall be made for changes in such Detail Specification approved by the Customer and Boeing or otherwise allowed by the Purchase Agreement which cause changes to the flight performance and/or weight and balance of the Aircraft. Such adjustment shall be accounted for by Boeing in its evidence of compliance with the guarantees.</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[*CTR]</w:t>
      </w:r>
    </w:p>
    <w:p>
      <w:pPr>
        <w:spacing w:after="0" w:line="121" w:lineRule="exact"/>
        <w:rPr>
          <w:sz w:val="20"/>
          <w:szCs w:val="20"/>
          <w:color w:val="auto"/>
        </w:rPr>
      </w:pPr>
    </w:p>
    <w:p>
      <w:pPr>
        <w:ind w:left="700" w:right="20" w:hanging="7"/>
        <w:spacing w:after="0" w:line="277" w:lineRule="auto"/>
        <w:tabs>
          <w:tab w:leader="none" w:pos="963"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to the Detail Specification or any other changes mutually agreed upon between the Customer and Boeing or otherwise allowed by the Purchase Agreement.</w:t>
      </w:r>
    </w:p>
    <w:p>
      <w:pPr>
        <w:spacing w:after="0" w:line="62" w:lineRule="exact"/>
        <w:rPr>
          <w:rFonts w:ascii="Arial" w:cs="Arial" w:eastAsia="Arial" w:hAnsi="Arial"/>
          <w:sz w:val="18"/>
          <w:szCs w:val="18"/>
          <w:color w:val="auto"/>
        </w:rPr>
      </w:pPr>
    </w:p>
    <w:p>
      <w:pPr>
        <w:ind w:left="940" w:hanging="247"/>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difference between the component weight allowances given in Appendix E of the Detail Specification and the actual weights.</w:t>
      </w:r>
    </w:p>
    <w:p>
      <w:pPr>
        <w:spacing w:after="0" w:line="370" w:lineRule="exact"/>
        <w:rPr>
          <w:sz w:val="20"/>
          <w:szCs w:val="20"/>
          <w:color w:val="auto"/>
        </w:rPr>
      </w:pPr>
    </w:p>
    <w:p>
      <w:pPr>
        <w:ind w:left="680" w:hanging="672"/>
        <w:spacing w:after="0"/>
        <w:tabs>
          <w:tab w:leader="none" w:pos="6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1"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All guaranteed performance data are based on the International Standard Atmosphere (ISA) and specified variations therefrom; altitudes are pressure altitudes.</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For the purposes of these 737-7 [*CTR] the Federal Aviation Administration (FAA) regulations referred to in this Attachment are, unless otherwise specified, the [*CTR]</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In the event a change is made to any law, governmental regulation or requirement, or in the interpretation of any such law, governmental regulation or requirement that affects the certification basis for the Aircraft as described in Paragraph 4.2, and as a result thereof, a change is made to the configuration and/or the performance of the Aircraft in order to obtain certification, the guarantees set forth in this Attachment shall be appropriately modified to reflect any such change.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AERO-B-BBA4-M12-0764A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AAL-PA-03735-LA-1106657R1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39"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The [*CTR], and with the Aircraft [*CTR] unless otherwise specified. The [*CTR] unless otherwise specified. [*CTR] will be used for [*CTR] as required.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*CTR] in Paragraph 2.1.7. [*CTR] unless otherwise specified. The [*CTR]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374" w:lineRule="exact"/>
        <w:rPr>
          <w:sz w:val="20"/>
          <w:szCs w:val="20"/>
          <w:color w:val="auto"/>
        </w:rPr>
      </w:pPr>
    </w:p>
    <w:p>
      <w:pPr>
        <w:ind w:left="680" w:hanging="672"/>
        <w:spacing w:after="0"/>
        <w:tabs>
          <w:tab w:leader="none" w:pos="6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Compliance with the guarantees of Section 2 shall be based on the conditions specified in those sections, the Aircraft configuration of Section 3 and the guarantee conditions of Section 4.</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*CTR] on the FAA approved Airplane Flight Manual for the Model 737-7.</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color w:val="auto"/>
        </w:rPr>
        <w:t>The data derived from tests shall be adjusted as required by conventional methods of correction, interpolation or extrapolation in accordance with established engineering practices to show compliance with these guarantees.</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color w:val="auto"/>
        </w:rPr>
        <w:t>Compliance shall be based on the performance of the airframe and engines in combination, and shall not be contingent on the engine meeting its manufacturer’s performance specification.</w:t>
      </w:r>
    </w:p>
    <w:p>
      <w:pPr>
        <w:spacing w:after="0" w:line="319" w:lineRule="exact"/>
        <w:rPr>
          <w:sz w:val="20"/>
          <w:szCs w:val="20"/>
          <w:color w:val="auto"/>
        </w:rPr>
      </w:pPr>
    </w:p>
    <w:p>
      <w:pPr>
        <w:ind w:left="680" w:hanging="672"/>
        <w:spacing w:after="0"/>
        <w:tabs>
          <w:tab w:leader="none" w:pos="6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only [*CTR] applicable to the Aircraft are those set forth in this Attachment.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AERO-B-BBA4-M12-0764A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3" w:name="page114"/>
    <w:bookmarkEnd w:id="113"/>
    <w:p>
      <w:pPr>
        <w:ind w:left="9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86230" cy="377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86230" cy="377190"/>
                    </a:xfrm>
                    <a:prstGeom prst="rect">
                      <a:avLst/>
                    </a:prstGeom>
                    <a:noFill/>
                  </pic:spPr>
                </pic:pic>
              </a:graphicData>
            </a:graphic>
          </wp:anchor>
        </w:drawing>
      </w:r>
    </w:p>
    <w:p>
      <w:pPr>
        <w:spacing w:after="0" w:line="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AAL-PA-03735-LA-1106663R1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760" w:space="720"/>
            <w:col w:w="99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Purchase Agreement No. 03735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737-MAX aircraft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700"/>
            <w:col w:w="9940"/>
          </w:cols>
          <w:pgMar w:left="240" w:top="274" w:right="239" w:bottom="1440" w:gutter="0" w:footer="0" w:header="0"/>
          <w:type w:val="continuous"/>
        </w:sectPr>
      </w:pPr>
    </w:p>
    <w:p>
      <w:pPr>
        <w:spacing w:after="0" w:line="1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amends and supplements the Purchase Agreement. All terms used but not defined in this Letter Agreement shall have the same meaning as in the Purchase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Boeing agrees to provide Customer with the [*CTR] in the Attachment. The Attachment sets forth [*CTR] for 737-8. [*CTR] Notwithstanding the provision of the [*CTR] in the Attachment, Boeing and Customer will work together in good faith to communicate the [*CTR] that will be offered prior to Customer [*CTR]</w:t>
      </w:r>
    </w:p>
    <w:p>
      <w:pPr>
        <w:spacing w:after="0" w:line="33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ectPr>
          <w:pgSz w:w="11900" w:h="16838" w:orient="portrait"/>
          <w:cols w:equalWidth="0" w:num="1">
            <w:col w:w="11420"/>
          </w:cols>
          <w:pgMar w:left="240" w:top="274" w:right="2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AAL-PA-03735-LA-1106663R1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pacing w:after="0" w:line="46" w:lineRule="exact"/>
        <w:rPr>
          <w:sz w:val="20"/>
          <w:szCs w:val="20"/>
          <w:color w:val="auto"/>
        </w:rPr>
      </w:pPr>
    </w:p>
    <w:p>
      <w:pPr>
        <w:sectPr>
          <w:pgSz w:w="11900" w:h="16838" w:orient="portrait"/>
          <w:cols w:equalWidth="0" w:num="2">
            <w:col w:w="9880" w:space="720"/>
            <w:col w:w="82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14" w:name="page115"/>
    <w:bookmarkEnd w:id="114"/>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86230" cy="377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77190"/>
                    </a:xfrm>
                    <a:prstGeom prst="rect">
                      <a:avLst/>
                    </a:prstGeom>
                    <a:noFill/>
                  </pic:spPr>
                </pic:pic>
              </a:graphicData>
            </a:graphic>
          </wp:anchor>
        </w:drawing>
        <w:t>Confidential Treatment</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6840" w:type="dxa"/>
            <w:vAlign w:val="bottom"/>
          </w:tcPr>
          <w:p>
            <w:pPr>
              <w:spacing w:after="0"/>
              <w:rPr>
                <w:sz w:val="20"/>
                <w:szCs w:val="20"/>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Fleet Planning</w:t>
            </w:r>
          </w:p>
        </w:tc>
        <w:tc>
          <w:tcPr>
            <w:tcW w:w="6840" w:type="dxa"/>
            <w:vAlign w:val="bottom"/>
          </w:tcPr>
          <w:p>
            <w:pPr>
              <w:spacing w:after="0"/>
              <w:rPr>
                <w:sz w:val="24"/>
                <w:szCs w:val="24"/>
                <w:color w:val="auto"/>
              </w:rPr>
            </w:pPr>
          </w:p>
        </w:tc>
      </w:tr>
      <w:tr>
        <w:trPr>
          <w:trHeight w:val="357"/>
        </w:trPr>
        <w:tc>
          <w:tcPr>
            <w:tcW w:w="4580" w:type="dxa"/>
            <w:vAlign w:val="bottom"/>
            <w:gridSpan w:val="2"/>
          </w:tcPr>
          <w:p>
            <w:pPr>
              <w:spacing w:after="0"/>
              <w:rPr>
                <w:sz w:val="20"/>
                <w:szCs w:val="20"/>
                <w:color w:val="auto"/>
              </w:rPr>
            </w:pPr>
            <w:r>
              <w:rPr>
                <w:rFonts w:ascii="Arial" w:cs="Arial" w:eastAsia="Arial" w:hAnsi="Arial"/>
                <w:sz w:val="18"/>
                <w:szCs w:val="18"/>
                <w:color w:val="auto"/>
              </w:rPr>
              <w:t>AAL-PA-03735-LA-1106663R1</w:t>
            </w:r>
          </w:p>
        </w:tc>
        <w:tc>
          <w:tcPr>
            <w:tcW w:w="6840" w:type="dxa"/>
            <w:vAlign w:val="bottom"/>
          </w:tcPr>
          <w:p>
            <w:pPr>
              <w:spacing w:after="0"/>
              <w:rPr>
                <w:sz w:val="24"/>
                <w:szCs w:val="24"/>
                <w:color w:val="auto"/>
              </w:rPr>
            </w:pPr>
          </w:p>
        </w:tc>
      </w:tr>
      <w:tr>
        <w:trPr>
          <w:trHeight w:val="212"/>
        </w:trPr>
        <w:tc>
          <w:tcPr>
            <w:tcW w:w="4580" w:type="dxa"/>
            <w:vAlign w:val="bottom"/>
            <w:gridSpan w:val="2"/>
          </w:tcPr>
          <w:p>
            <w:pPr>
              <w:spacing w:after="0"/>
              <w:rPr>
                <w:sz w:val="20"/>
                <w:szCs w:val="20"/>
                <w:color w:val="auto"/>
              </w:rPr>
            </w:pPr>
            <w:r>
              <w:rPr>
                <w:rFonts w:ascii="Arial" w:cs="Arial" w:eastAsia="Arial" w:hAnsi="Arial"/>
                <w:sz w:val="18"/>
                <w:szCs w:val="18"/>
                <w:color w:val="auto"/>
              </w:rPr>
              <w:t>[*CTR]</w:t>
            </w:r>
          </w:p>
        </w:tc>
        <w:tc>
          <w:tcPr>
            <w:tcW w:w="6840" w:type="dxa"/>
            <w:vAlign w:val="bottom"/>
          </w:tcPr>
          <w:p>
            <w:pPr>
              <w:ind w:left="6020"/>
              <w:spacing w:after="0"/>
              <w:rPr>
                <w:sz w:val="20"/>
                <w:szCs w:val="20"/>
                <w:color w:val="auto"/>
              </w:rPr>
            </w:pPr>
            <w:r>
              <w:rPr>
                <w:rFonts w:ascii="Arial" w:cs="Arial" w:eastAsia="Arial" w:hAnsi="Arial"/>
                <w:sz w:val="18"/>
                <w:szCs w:val="18"/>
                <w:color w:val="auto"/>
                <w:w w:val="86"/>
              </w:rPr>
              <w:t>Page 2 of 2</w:t>
            </w:r>
          </w:p>
        </w:tc>
      </w:tr>
      <w:tr>
        <w:trPr>
          <w:trHeight w:val="234"/>
        </w:trPr>
        <w:tc>
          <w:tcPr>
            <w:tcW w:w="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840" w:type="dxa"/>
            <w:vAlign w:val="bottom"/>
          </w:tcPr>
          <w:p>
            <w:pPr>
              <w:ind w:left="100"/>
              <w:spacing w:after="0"/>
              <w:rPr>
                <w:sz w:val="20"/>
                <w:szCs w:val="20"/>
                <w:color w:val="auto"/>
              </w:rPr>
            </w:pPr>
            <w:r>
              <w:rPr>
                <w:rFonts w:ascii="Arial" w:cs="Arial" w:eastAsia="Arial" w:hAnsi="Arial"/>
                <w:sz w:val="18"/>
                <w:szCs w:val="18"/>
                <w:b w:val="1"/>
                <w:bCs w:val="1"/>
                <w:color w:val="auto"/>
              </w:rPr>
              <w:t>BOEING PROPRIETARY</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7"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280" w:type="dxa"/>
            <w:vAlign w:val="bottom"/>
          </w:tcPr>
          <w:p>
            <w:pPr>
              <w:jc w:val="center"/>
              <w:ind w:right="4054"/>
              <w:spacing w:after="0"/>
              <w:rPr>
                <w:sz w:val="20"/>
                <w:szCs w:val="20"/>
                <w:color w:val="auto"/>
              </w:rPr>
            </w:pPr>
            <w:r>
              <w:rPr>
                <w:rFonts w:ascii="Arial" w:cs="Arial" w:eastAsia="Arial" w:hAnsi="Arial"/>
                <w:sz w:val="18"/>
                <w:szCs w:val="18"/>
                <w:b w:val="1"/>
                <w:bCs w:val="1"/>
                <w:color w:val="auto"/>
              </w:rPr>
              <w:t>[*CTR]</w:t>
            </w:r>
          </w:p>
        </w:tc>
      </w:tr>
      <w:tr>
        <w:trPr>
          <w:trHeight w:val="432"/>
        </w:trPr>
        <w:tc>
          <w:tcPr>
            <w:tcW w:w="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280" w:type="dxa"/>
            <w:vAlign w:val="bottom"/>
          </w:tcPr>
          <w:p>
            <w:pPr>
              <w:jc w:val="center"/>
              <w:ind w:right="4054"/>
              <w:spacing w:after="0"/>
              <w:rPr>
                <w:sz w:val="20"/>
                <w:szCs w:val="20"/>
                <w:color w:val="auto"/>
              </w:rPr>
            </w:pPr>
            <w:r>
              <w:rPr>
                <w:rFonts w:ascii="Arial" w:cs="Arial" w:eastAsia="Arial" w:hAnsi="Arial"/>
                <w:sz w:val="18"/>
                <w:szCs w:val="18"/>
                <w:b w:val="1"/>
                <w:bCs w:val="1"/>
                <w:color w:val="auto"/>
              </w:rPr>
              <w:t>FOR AMERICAN AIRLINES, INC.</w:t>
            </w:r>
          </w:p>
        </w:tc>
      </w:tr>
      <w:tr>
        <w:trPr>
          <w:trHeight w:val="407"/>
        </w:trPr>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SECTION</w:t>
            </w:r>
          </w:p>
        </w:tc>
        <w:tc>
          <w:tcPr>
            <w:tcW w:w="3400" w:type="dxa"/>
            <w:vAlign w:val="bottom"/>
          </w:tcPr>
          <w:p>
            <w:pPr>
              <w:spacing w:after="0"/>
              <w:rPr>
                <w:sz w:val="24"/>
                <w:szCs w:val="24"/>
                <w:color w:val="auto"/>
              </w:rPr>
            </w:pPr>
          </w:p>
        </w:tc>
        <w:tc>
          <w:tcPr>
            <w:tcW w:w="7280" w:type="dxa"/>
            <w:vAlign w:val="bottom"/>
          </w:tcPr>
          <w:p>
            <w:pPr>
              <w:ind w:left="1580"/>
              <w:spacing w:after="0"/>
              <w:rPr>
                <w:sz w:val="20"/>
                <w:szCs w:val="20"/>
                <w:color w:val="auto"/>
              </w:rPr>
            </w:pPr>
            <w:r>
              <w:rPr>
                <w:rFonts w:ascii="Arial" w:cs="Arial" w:eastAsia="Arial" w:hAnsi="Arial"/>
                <w:sz w:val="14"/>
                <w:szCs w:val="14"/>
                <w:b w:val="1"/>
                <w:bCs w:val="1"/>
                <w:color w:val="auto"/>
              </w:rPr>
              <w:t>CONTENTS</w:t>
            </w:r>
          </w:p>
        </w:tc>
      </w:tr>
      <w:tr>
        <w:trPr>
          <w:trHeight w:val="309"/>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1</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AIRCRAFT MODEL APPLICABILITY</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2</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FLIGHT PERFORMANCE</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3</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AIRCRAFT CONFIGURATION</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4</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GUARANTEE CONDITIONS</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5</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GUARANTEE COMPLIANCE</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6</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EXCLUSIVE GUARANTEES</w:t>
            </w:r>
          </w:p>
        </w:tc>
        <w:tc>
          <w:tcPr>
            <w:tcW w:w="7280" w:type="dxa"/>
            <w:vAlign w:val="bottom"/>
          </w:tcPr>
          <w:p>
            <w:pPr>
              <w:spacing w:after="0"/>
              <w:rPr>
                <w:sz w:val="24"/>
                <w:szCs w:val="24"/>
                <w:color w:val="auto"/>
              </w:rPr>
            </w:pPr>
          </w:p>
        </w:tc>
      </w:tr>
      <w:tr>
        <w:trPr>
          <w:trHeight w:val="350"/>
        </w:trPr>
        <w:tc>
          <w:tcPr>
            <w:tcW w:w="4140" w:type="dxa"/>
            <w:vAlign w:val="bottom"/>
            <w:gridSpan w:val="2"/>
          </w:tcPr>
          <w:p>
            <w:pPr>
              <w:spacing w:after="0"/>
              <w:rPr>
                <w:sz w:val="20"/>
                <w:szCs w:val="20"/>
                <w:color w:val="auto"/>
              </w:rPr>
            </w:pPr>
            <w:r>
              <w:rPr>
                <w:rFonts w:ascii="Arial" w:cs="Arial" w:eastAsia="Arial" w:hAnsi="Arial"/>
                <w:sz w:val="18"/>
                <w:szCs w:val="18"/>
                <w:color w:val="auto"/>
              </w:rPr>
              <w:t>P.A. No. 03735</w:t>
            </w:r>
          </w:p>
        </w:tc>
        <w:tc>
          <w:tcPr>
            <w:tcW w:w="7280" w:type="dxa"/>
            <w:vAlign w:val="bottom"/>
          </w:tcPr>
          <w:p>
            <w:pPr>
              <w:spacing w:after="0"/>
              <w:rPr>
                <w:sz w:val="24"/>
                <w:szCs w:val="24"/>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AERO-B-BBA4-M12-0761B</w:t>
            </w:r>
          </w:p>
        </w:tc>
        <w:tc>
          <w:tcPr>
            <w:tcW w:w="7280" w:type="dxa"/>
            <w:vAlign w:val="bottom"/>
          </w:tcPr>
          <w:p>
            <w:pPr>
              <w:ind w:left="648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AIRCRAFT MODEL APPLICABILITY</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guarantees contained in this Attachment (the [*CTR]) are applicable to the [*CTR]</w:t>
      </w:r>
    </w:p>
    <w:p>
      <w:pPr>
        <w:spacing w:after="0" w:line="370" w:lineRule="exact"/>
        <w:rPr>
          <w:sz w:val="20"/>
          <w:szCs w:val="20"/>
          <w:color w:val="auto"/>
        </w:rPr>
      </w:pPr>
    </w:p>
    <w:p>
      <w:pPr>
        <w:ind w:left="680" w:hanging="672"/>
        <w:spacing w:after="0"/>
        <w:tabs>
          <w:tab w:leader="none" w:pos="6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FLIGHT PERFORMANCE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Mission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2.1.1    Mission Payload</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payload for a stage length of [*CTR] nautical miles in still air (representative of a [*CTR]) using the conditions and operating rules defined below, shall not be less than the following guarantee value:</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Conditions and operating rules:</w:t>
      </w:r>
    </w:p>
    <w:p>
      <w:pPr>
        <w:spacing w:after="0" w:line="131"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Stage Length:</w:t>
      </w:r>
      <w:r>
        <w:rPr>
          <w:sz w:val="20"/>
          <w:szCs w:val="20"/>
          <w:color w:val="auto"/>
        </w:rPr>
        <w:tab/>
      </w:r>
      <w:r>
        <w:rPr>
          <w:rFonts w:ascii="Arial" w:cs="Arial" w:eastAsia="Arial" w:hAnsi="Arial"/>
          <w:sz w:val="16"/>
          <w:szCs w:val="16"/>
          <w:color w:val="auto"/>
        </w:rPr>
        <w:t>The stage length is defined as the sum of the distances for the climbout maneuver, climb, cruise, and descent.</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Takeoff:</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takeoff gross weight shall conform to FAA Regulations.</w:t>
      </w:r>
    </w:p>
    <w:p>
      <w:pPr>
        <w:spacing w:after="0" w:line="131"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Climbout</w:t>
      </w:r>
      <w:r>
        <w:rPr>
          <w:sz w:val="20"/>
          <w:szCs w:val="20"/>
          <w:color w:val="auto"/>
        </w:rPr>
        <w:tab/>
      </w:r>
      <w:r>
        <w:rPr>
          <w:rFonts w:ascii="Arial" w:cs="Arial" w:eastAsia="Arial" w:hAnsi="Arial"/>
          <w:sz w:val="18"/>
          <w:szCs w:val="18"/>
          <w:color w:val="auto"/>
        </w:rPr>
        <w:t>[*CTR]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0"/>
                <w:szCs w:val="20"/>
                <w:color w:val="auto"/>
              </w:rPr>
            </w:pPr>
          </w:p>
        </w:tc>
      </w:tr>
      <w:tr>
        <w:trPr>
          <w:trHeight w:val="324"/>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4"/>
                <w:szCs w:val="24"/>
                <w:color w:val="auto"/>
              </w:rPr>
            </w:pPr>
          </w:p>
        </w:tc>
      </w:tr>
      <w:tr>
        <w:trPr>
          <w:trHeight w:val="324"/>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4"/>
                <w:szCs w:val="24"/>
                <w:color w:val="auto"/>
              </w:rPr>
            </w:pPr>
          </w:p>
        </w:tc>
      </w:tr>
      <w:tr>
        <w:trPr>
          <w:trHeight w:val="350"/>
        </w:trPr>
        <w:tc>
          <w:tcPr>
            <w:tcW w:w="6560" w:type="dxa"/>
            <w:vAlign w:val="bottom"/>
          </w:tcPr>
          <w:p>
            <w:pPr>
              <w:spacing w:after="0"/>
              <w:rPr>
                <w:sz w:val="20"/>
                <w:szCs w:val="20"/>
                <w:color w:val="auto"/>
              </w:rPr>
            </w:pPr>
            <w:r>
              <w:rPr>
                <w:rFonts w:ascii="Arial" w:cs="Arial" w:eastAsia="Arial" w:hAnsi="Arial"/>
                <w:sz w:val="18"/>
                <w:szCs w:val="18"/>
                <w:color w:val="auto"/>
              </w:rPr>
              <w:t>P.A. No. 03735</w:t>
            </w:r>
          </w:p>
        </w:tc>
        <w:tc>
          <w:tcPr>
            <w:tcW w:w="4860" w:type="dxa"/>
            <w:vAlign w:val="bottom"/>
          </w:tcPr>
          <w:p>
            <w:pPr>
              <w:spacing w:after="0"/>
              <w:rPr>
                <w:sz w:val="24"/>
                <w:szCs w:val="24"/>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AERO-B-BBA4-M12-0761B</w:t>
            </w:r>
          </w:p>
        </w:tc>
        <w:tc>
          <w:tcPr>
            <w:tcW w:w="4860" w:type="dxa"/>
            <w:vAlign w:val="bottom"/>
          </w:tcPr>
          <w:p>
            <w:pPr>
              <w:ind w:left="406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AAL-PA-03735-LA-1106663R1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Cruise: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Takeoff and Climbout Maneuver:</w:t>
      </w:r>
    </w:p>
    <w:p>
      <w:pPr>
        <w:spacing w:after="0" w:line="3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Approach and Landing Maneuver:</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Usable reserve fuel remaining upon completion of the approach and landing maneuver: [*CTR]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information purposes, the [*CTR]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Mission Block Fuel</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block fuel for a stage length of [*CTR] pound payload using the conditions and operating rules defined below, shall not be more than the following guarantee value:</w:t>
      </w:r>
    </w:p>
    <w:p>
      <w:pPr>
        <w:spacing w:after="0" w:line="62" w:lineRule="exact"/>
        <w:rPr>
          <w:sz w:val="20"/>
          <w:szCs w:val="20"/>
          <w:color w:val="auto"/>
        </w:rPr>
      </w:pPr>
    </w:p>
    <w:p>
      <w:pPr>
        <w:ind w:left="1960"/>
        <w:spacing w:after="0"/>
        <w:tabs>
          <w:tab w:leader="none" w:pos="4020" w:val="left"/>
        </w:tabs>
        <w:rPr>
          <w:sz w:val="20"/>
          <w:szCs w:val="20"/>
          <w:color w:val="auto"/>
        </w:rPr>
      </w:pPr>
      <w:r>
        <w:rPr>
          <w:rFonts w:ascii="Arial" w:cs="Arial" w:eastAsia="Arial" w:hAnsi="Arial"/>
          <w:sz w:val="18"/>
          <w:szCs w:val="18"/>
          <w:color w:val="auto"/>
        </w:rPr>
        <w:t>GUARANTEE: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Conditions and operating rules: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ind w:left="720"/>
              <w:spacing w:after="0"/>
              <w:rPr>
                <w:sz w:val="20"/>
                <w:szCs w:val="20"/>
                <w:color w:val="auto"/>
              </w:rPr>
            </w:pPr>
            <w:r>
              <w:rPr>
                <w:rFonts w:ascii="Arial" w:cs="Arial" w:eastAsia="Arial" w:hAnsi="Arial"/>
                <w:sz w:val="18"/>
                <w:szCs w:val="18"/>
                <w:color w:val="auto"/>
                <w:w w:val="98"/>
              </w:rPr>
              <w:t>Stage Length:</w:t>
            </w:r>
          </w:p>
        </w:tc>
        <w:tc>
          <w:tcPr>
            <w:tcW w:w="8380" w:type="dxa"/>
            <w:vAlign w:val="bottom"/>
          </w:tcPr>
          <w:p>
            <w:pPr>
              <w:ind w:left="120"/>
              <w:spacing w:after="0"/>
              <w:rPr>
                <w:sz w:val="20"/>
                <w:szCs w:val="20"/>
                <w:color w:val="auto"/>
              </w:rPr>
            </w:pPr>
            <w:r>
              <w:rPr>
                <w:rFonts w:ascii="Arial" w:cs="Arial" w:eastAsia="Arial" w:hAnsi="Arial"/>
                <w:sz w:val="18"/>
                <w:szCs w:val="18"/>
                <w:color w:val="auto"/>
                <w:w w:val="94"/>
              </w:rPr>
              <w:t>The stage length is defined as the sum of the distances for the climbout maneuver, climb, cruise, and descent.</w:t>
            </w:r>
          </w:p>
        </w:tc>
        <w:tc>
          <w:tcPr>
            <w:tcW w:w="1200" w:type="dxa"/>
            <w:vAlign w:val="bottom"/>
          </w:tcPr>
          <w:p>
            <w:pPr>
              <w:spacing w:after="0"/>
              <w:rPr>
                <w:sz w:val="20"/>
                <w:szCs w:val="20"/>
                <w:color w:val="auto"/>
              </w:rPr>
            </w:pPr>
          </w:p>
        </w:tc>
      </w:tr>
      <w:tr>
        <w:trPr>
          <w:trHeight w:val="310"/>
        </w:trPr>
        <w:tc>
          <w:tcPr>
            <w:tcW w:w="1840" w:type="dxa"/>
            <w:vAlign w:val="bottom"/>
          </w:tcPr>
          <w:p>
            <w:pPr>
              <w:ind w:left="720"/>
              <w:spacing w:after="0"/>
              <w:rPr>
                <w:sz w:val="20"/>
                <w:szCs w:val="20"/>
                <w:color w:val="auto"/>
              </w:rPr>
            </w:pPr>
            <w:r>
              <w:rPr>
                <w:rFonts w:ascii="Arial" w:cs="Arial" w:eastAsia="Arial" w:hAnsi="Arial"/>
                <w:sz w:val="18"/>
                <w:szCs w:val="18"/>
                <w:color w:val="auto"/>
              </w:rPr>
              <w:t>Block Fuel:</w:t>
            </w:r>
          </w:p>
        </w:tc>
        <w:tc>
          <w:tcPr>
            <w:tcW w:w="9580" w:type="dxa"/>
            <w:vAlign w:val="bottom"/>
            <w:gridSpan w:val="2"/>
          </w:tcPr>
          <w:p>
            <w:pPr>
              <w:ind w:left="120"/>
              <w:spacing w:after="0"/>
              <w:rPr>
                <w:sz w:val="20"/>
                <w:szCs w:val="20"/>
                <w:color w:val="auto"/>
              </w:rPr>
            </w:pPr>
            <w:r>
              <w:rPr>
                <w:rFonts w:ascii="Arial" w:cs="Arial" w:eastAsia="Arial" w:hAnsi="Arial"/>
                <w:sz w:val="18"/>
                <w:szCs w:val="18"/>
                <w:color w:val="auto"/>
                <w:w w:val="91"/>
              </w:rPr>
              <w:t>The block fuel is defined as the sum of the fuel used for taxi-out, takeoff and climbout maneuver, climb, cruise, descent, approach</w:t>
            </w:r>
          </w:p>
        </w:tc>
      </w:tr>
      <w:tr>
        <w:trPr>
          <w:trHeight w:val="230"/>
        </w:trPr>
        <w:tc>
          <w:tcPr>
            <w:tcW w:w="184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and landing maneuver, and taxi-in.</w:t>
            </w:r>
          </w:p>
        </w:tc>
        <w:tc>
          <w:tcPr>
            <w:tcW w:w="1200" w:type="dxa"/>
            <w:vAlign w:val="bottom"/>
          </w:tcPr>
          <w:p>
            <w:pPr>
              <w:spacing w:after="0"/>
              <w:rPr>
                <w:sz w:val="20"/>
                <w:szCs w:val="20"/>
                <w:color w:val="auto"/>
              </w:rPr>
            </w:pPr>
          </w:p>
        </w:tc>
      </w:tr>
      <w:tr>
        <w:trPr>
          <w:trHeight w:val="324"/>
        </w:trPr>
        <w:tc>
          <w:tcPr>
            <w:tcW w:w="1840" w:type="dxa"/>
            <w:vAlign w:val="bottom"/>
          </w:tcPr>
          <w:p>
            <w:pPr>
              <w:ind w:left="720"/>
              <w:spacing w:after="0"/>
              <w:rPr>
                <w:sz w:val="20"/>
                <w:szCs w:val="20"/>
                <w:color w:val="auto"/>
              </w:rPr>
            </w:pPr>
            <w:r>
              <w:rPr>
                <w:rFonts w:ascii="Arial" w:cs="Arial" w:eastAsia="Arial" w:hAnsi="Arial"/>
                <w:sz w:val="18"/>
                <w:szCs w:val="18"/>
                <w:color w:val="auto"/>
              </w:rPr>
              <w:t>Takeoff:</w:t>
            </w:r>
          </w:p>
        </w:tc>
        <w:tc>
          <w:tcPr>
            <w:tcW w:w="8380" w:type="dxa"/>
            <w:vAlign w:val="bottom"/>
          </w:tcPr>
          <w:p>
            <w:pPr>
              <w:ind w:left="12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324"/>
        </w:trPr>
        <w:tc>
          <w:tcPr>
            <w:tcW w:w="1840" w:type="dxa"/>
            <w:vAlign w:val="bottom"/>
          </w:tcPr>
          <w:p>
            <w:pPr>
              <w:spacing w:after="0"/>
              <w:rPr>
                <w:sz w:val="24"/>
                <w:szCs w:val="24"/>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324"/>
        </w:trPr>
        <w:tc>
          <w:tcPr>
            <w:tcW w:w="1840" w:type="dxa"/>
            <w:vAlign w:val="bottom"/>
          </w:tcPr>
          <w:p>
            <w:pPr>
              <w:spacing w:after="0"/>
              <w:rPr>
                <w:sz w:val="24"/>
                <w:szCs w:val="24"/>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324"/>
        </w:trPr>
        <w:tc>
          <w:tcPr>
            <w:tcW w:w="1840" w:type="dxa"/>
            <w:vAlign w:val="bottom"/>
          </w:tcPr>
          <w:p>
            <w:pPr>
              <w:spacing w:after="0"/>
              <w:rPr>
                <w:sz w:val="24"/>
                <w:szCs w:val="24"/>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The takeoff gross weight shall conform to FAA Regulations.</w:t>
            </w:r>
          </w:p>
        </w:tc>
        <w:tc>
          <w:tcPr>
            <w:tcW w:w="1200" w:type="dxa"/>
            <w:vAlign w:val="bottom"/>
          </w:tcPr>
          <w:p>
            <w:pPr>
              <w:spacing w:after="0"/>
              <w:rPr>
                <w:sz w:val="24"/>
                <w:szCs w:val="24"/>
                <w:color w:val="auto"/>
              </w:rPr>
            </w:pPr>
          </w:p>
        </w:tc>
      </w:tr>
      <w:tr>
        <w:trPr>
          <w:trHeight w:val="310"/>
        </w:trPr>
        <w:tc>
          <w:tcPr>
            <w:tcW w:w="1840" w:type="dxa"/>
            <w:vAlign w:val="bottom"/>
          </w:tcPr>
          <w:p>
            <w:pPr>
              <w:ind w:left="720"/>
              <w:spacing w:after="0"/>
              <w:rPr>
                <w:sz w:val="20"/>
                <w:szCs w:val="20"/>
                <w:color w:val="auto"/>
              </w:rPr>
            </w:pPr>
            <w:r>
              <w:rPr>
                <w:rFonts w:ascii="Arial" w:cs="Arial" w:eastAsia="Arial" w:hAnsi="Arial"/>
                <w:sz w:val="18"/>
                <w:szCs w:val="18"/>
                <w:color w:val="auto"/>
              </w:rPr>
              <w:t>Climbout</w:t>
            </w:r>
          </w:p>
        </w:tc>
        <w:tc>
          <w:tcPr>
            <w:tcW w:w="8380" w:type="dxa"/>
            <w:vAlign w:val="bottom"/>
          </w:tcPr>
          <w:p>
            <w:pPr>
              <w:ind w:left="12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230"/>
        </w:trPr>
        <w:tc>
          <w:tcPr>
            <w:tcW w:w="1840" w:type="dxa"/>
            <w:vAlign w:val="bottom"/>
          </w:tcPr>
          <w:p>
            <w:pPr>
              <w:ind w:left="720"/>
              <w:spacing w:after="0"/>
              <w:rPr>
                <w:sz w:val="20"/>
                <w:szCs w:val="20"/>
                <w:color w:val="auto"/>
              </w:rPr>
            </w:pPr>
            <w:r>
              <w:rPr>
                <w:rFonts w:ascii="Arial" w:cs="Arial" w:eastAsia="Arial" w:hAnsi="Arial"/>
                <w:sz w:val="18"/>
                <w:szCs w:val="18"/>
                <w:color w:val="auto"/>
              </w:rPr>
              <w:t>Maneuver:</w:t>
            </w:r>
          </w:p>
        </w:tc>
        <w:tc>
          <w:tcPr>
            <w:tcW w:w="8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1840" w:type="dxa"/>
            <w:vAlign w:val="bottom"/>
          </w:tcPr>
          <w:p>
            <w:pPr>
              <w:ind w:left="720"/>
              <w:spacing w:after="0"/>
              <w:rPr>
                <w:sz w:val="20"/>
                <w:szCs w:val="20"/>
                <w:color w:val="auto"/>
              </w:rPr>
            </w:pPr>
            <w:r>
              <w:rPr>
                <w:rFonts w:ascii="Arial" w:cs="Arial" w:eastAsia="Arial" w:hAnsi="Arial"/>
                <w:sz w:val="18"/>
                <w:szCs w:val="18"/>
                <w:color w:val="auto"/>
              </w:rPr>
              <w:t>Climb:</w:t>
            </w:r>
          </w:p>
        </w:tc>
        <w:tc>
          <w:tcPr>
            <w:tcW w:w="8380" w:type="dxa"/>
            <w:vAlign w:val="bottom"/>
          </w:tcPr>
          <w:p>
            <w:pPr>
              <w:ind w:left="120"/>
              <w:spacing w:after="0"/>
              <w:rPr>
                <w:sz w:val="20"/>
                <w:szCs w:val="20"/>
                <w:color w:val="auto"/>
              </w:rPr>
            </w:pPr>
            <w:r>
              <w:rPr>
                <w:rFonts w:ascii="Arial" w:cs="Arial" w:eastAsia="Arial" w:hAnsi="Arial"/>
                <w:sz w:val="18"/>
                <w:szCs w:val="18"/>
                <w:color w:val="auto"/>
              </w:rPr>
              <w:t>[*CTR]</w:t>
            </w:r>
          </w:p>
        </w:tc>
        <w:tc>
          <w:tcPr>
            <w:tcW w:w="1200" w:type="dxa"/>
            <w:vAlign w:val="bottom"/>
          </w:tcPr>
          <w:p>
            <w:pPr>
              <w:spacing w:after="0"/>
              <w:rPr>
                <w:sz w:val="24"/>
                <w:szCs w:val="24"/>
                <w:color w:val="auto"/>
              </w:rPr>
            </w:pPr>
          </w:p>
        </w:tc>
      </w:tr>
      <w:tr>
        <w:trPr>
          <w:trHeight w:val="350"/>
        </w:trPr>
        <w:tc>
          <w:tcPr>
            <w:tcW w:w="1840" w:type="dxa"/>
            <w:vAlign w:val="bottom"/>
          </w:tcPr>
          <w:p>
            <w:pPr>
              <w:spacing w:after="0"/>
              <w:rPr>
                <w:sz w:val="20"/>
                <w:szCs w:val="20"/>
                <w:color w:val="auto"/>
              </w:rPr>
            </w:pPr>
            <w:r>
              <w:rPr>
                <w:rFonts w:ascii="Arial" w:cs="Arial" w:eastAsia="Arial" w:hAnsi="Arial"/>
                <w:sz w:val="18"/>
                <w:szCs w:val="18"/>
                <w:color w:val="auto"/>
              </w:rPr>
              <w:t>P.A. No. 03735</w:t>
            </w:r>
          </w:p>
        </w:tc>
        <w:tc>
          <w:tcPr>
            <w:tcW w:w="8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0220" w:type="dxa"/>
            <w:vAlign w:val="bottom"/>
            <w:gridSpan w:val="2"/>
          </w:tcPr>
          <w:p>
            <w:pPr>
              <w:spacing w:after="0"/>
              <w:rPr>
                <w:sz w:val="20"/>
                <w:szCs w:val="20"/>
                <w:color w:val="auto"/>
              </w:rPr>
            </w:pPr>
            <w:r>
              <w:rPr>
                <w:rFonts w:ascii="Arial" w:cs="Arial" w:eastAsia="Arial" w:hAnsi="Arial"/>
                <w:sz w:val="18"/>
                <w:szCs w:val="18"/>
                <w:color w:val="auto"/>
              </w:rPr>
              <w:t>AERO-B-BBA4-M12-0761B</w:t>
            </w:r>
          </w:p>
        </w:tc>
        <w:tc>
          <w:tcPr>
            <w:tcW w:w="1200" w:type="dxa"/>
            <w:vAlign w:val="bottom"/>
          </w:tcPr>
          <w:p>
            <w:pPr>
              <w:ind w:left="40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AAL-PA-03735-LA-1106663R1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Cruise: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right="2580"/>
        <w:spacing w:after="0" w:line="396" w:lineRule="auto"/>
        <w:rPr>
          <w:sz w:val="20"/>
          <w:szCs w:val="20"/>
          <w:color w:val="auto"/>
        </w:rPr>
      </w:pPr>
      <w:r>
        <w:rPr>
          <w:rFonts w:ascii="Arial" w:cs="Arial" w:eastAsia="Arial" w:hAnsi="Arial"/>
          <w:sz w:val="18"/>
          <w:szCs w:val="18"/>
          <w:color w:val="auto"/>
        </w:rPr>
        <w:t>Usable reserve fuel remaining upon completion of the approach and landing maneuver: [*CTR] For information purposes, the [*CTR]</w:t>
      </w:r>
    </w:p>
    <w:p>
      <w:pPr>
        <w:spacing w:after="0" w:line="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b w:val="1"/>
          <w:bCs w:val="1"/>
          <w:color w:val="auto"/>
        </w:rPr>
        <w:t>[*CTR]</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[*CTR] (representative of a [*CTR]) using the conditions and operating rules defined below, shall not be less than the following guarantee value:</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Conditions and operating rules:</w:t>
      </w:r>
    </w:p>
    <w:p>
      <w:pPr>
        <w:spacing w:after="0" w:line="131"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Stage Length:</w:t>
      </w:r>
      <w:r>
        <w:rPr>
          <w:sz w:val="20"/>
          <w:szCs w:val="20"/>
          <w:color w:val="auto"/>
        </w:rPr>
        <w:tab/>
      </w:r>
      <w:r>
        <w:rPr>
          <w:rFonts w:ascii="Arial" w:cs="Arial" w:eastAsia="Arial" w:hAnsi="Arial"/>
          <w:sz w:val="16"/>
          <w:szCs w:val="16"/>
          <w:color w:val="auto"/>
        </w:rPr>
        <w:t>The stage length is defined as the sum of the distances for the climbout maneuver, climb, cruise, and descent.</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Takeoff:</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0"/>
                <w:szCs w:val="20"/>
                <w:color w:val="auto"/>
              </w:rPr>
            </w:pPr>
          </w:p>
        </w:tc>
      </w:tr>
      <w:tr>
        <w:trPr>
          <w:trHeight w:val="324"/>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4"/>
                <w:szCs w:val="24"/>
                <w:color w:val="auto"/>
              </w:rPr>
            </w:pPr>
          </w:p>
        </w:tc>
      </w:tr>
      <w:tr>
        <w:trPr>
          <w:trHeight w:val="350"/>
        </w:trPr>
        <w:tc>
          <w:tcPr>
            <w:tcW w:w="6560" w:type="dxa"/>
            <w:vAlign w:val="bottom"/>
          </w:tcPr>
          <w:p>
            <w:pPr>
              <w:spacing w:after="0"/>
              <w:rPr>
                <w:sz w:val="20"/>
                <w:szCs w:val="20"/>
                <w:color w:val="auto"/>
              </w:rPr>
            </w:pPr>
            <w:r>
              <w:rPr>
                <w:rFonts w:ascii="Arial" w:cs="Arial" w:eastAsia="Arial" w:hAnsi="Arial"/>
                <w:sz w:val="18"/>
                <w:szCs w:val="18"/>
                <w:color w:val="auto"/>
              </w:rPr>
              <w:t>P.A. No. 03735</w:t>
            </w:r>
          </w:p>
        </w:tc>
        <w:tc>
          <w:tcPr>
            <w:tcW w:w="4860" w:type="dxa"/>
            <w:vAlign w:val="bottom"/>
          </w:tcPr>
          <w:p>
            <w:pPr>
              <w:spacing w:after="0"/>
              <w:rPr>
                <w:sz w:val="24"/>
                <w:szCs w:val="24"/>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AERO-B-BBA4-M12-0761B</w:t>
            </w:r>
          </w:p>
        </w:tc>
        <w:tc>
          <w:tcPr>
            <w:tcW w:w="4860" w:type="dxa"/>
            <w:vAlign w:val="bottom"/>
          </w:tcPr>
          <w:p>
            <w:pPr>
              <w:ind w:left="406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following [*CTR] are specified with reference to the [*CTR]:</w:t>
      </w:r>
    </w:p>
    <w:p>
      <w:pPr>
        <w:sectPr>
          <w:pgSz w:w="11900" w:h="16838" w:orient="portrait"/>
          <w:cols w:equalWidth="0" w:num="1">
            <w:col w:w="11420"/>
          </w:cols>
          <w:pgMar w:left="240" w:top="274" w:right="239" w:bottom="1440" w:gutter="0" w:footer="0" w:header="0"/>
        </w:sectPr>
      </w:pPr>
    </w:p>
    <w:p>
      <w:pPr>
        <w:spacing w:after="0" w:line="271" w:lineRule="exact"/>
        <w:rPr>
          <w:sz w:val="20"/>
          <w:szCs w:val="20"/>
          <w:color w:val="auto"/>
        </w:rPr>
      </w:pPr>
    </w:p>
    <w:p>
      <w:pPr>
        <w:ind w:left="7300"/>
        <w:spacing w:after="0"/>
        <w:rPr>
          <w:sz w:val="20"/>
          <w:szCs w:val="20"/>
          <w:color w:val="auto"/>
        </w:rPr>
      </w:pPr>
      <w:r>
        <w:rPr>
          <w:rFonts w:ascii="Arial" w:cs="Arial" w:eastAsia="Arial" w:hAnsi="Arial"/>
          <w:sz w:val="12"/>
          <w:szCs w:val="12"/>
          <w:color w:val="auto"/>
        </w:rPr>
        <w:t>Distance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Height</w:t>
      </w:r>
    </w:p>
    <w:p>
      <w:pPr>
        <w:spacing w:after="0" w:line="27" w:lineRule="exact"/>
        <w:rPr>
          <w:sz w:val="20"/>
          <w:szCs w:val="20"/>
          <w:color w:val="auto"/>
        </w:rPr>
      </w:pPr>
    </w:p>
    <w:p>
      <w:pPr>
        <w:sectPr>
          <w:pgSz w:w="11900" w:h="16838" w:orient="portrait"/>
          <w:cols w:equalWidth="0" w:num="2">
            <w:col w:w="7800" w:space="280"/>
            <w:col w:w="3340"/>
          </w:cols>
          <w:pgMar w:left="240" w:top="274" w:right="239" w:bottom="1440" w:gutter="0" w:footer="0" w:header="0"/>
          <w:type w:val="continuous"/>
        </w:sectPr>
      </w:pPr>
    </w:p>
    <w:p>
      <w:pPr>
        <w:spacing w:after="0" w:line="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1.</w:t>
      </w:r>
    </w:p>
    <w:p>
      <w:pPr>
        <w:spacing w:after="0" w:line="17"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2.</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sectPr>
          <w:pgSz w:w="11900" w:h="16838" w:orient="portrait"/>
          <w:cols w:equalWidth="0" w:num="3">
            <w:col w:w="6560" w:space="720"/>
            <w:col w:w="560" w:space="160"/>
            <w:col w:w="342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takeoff gross weight shall conform to FAA Regulations.</w:t>
      </w:r>
    </w:p>
    <w:p>
      <w:pPr>
        <w:sectPr>
          <w:pgSz w:w="11900" w:h="16838" w:orient="portrait"/>
          <w:cols w:equalWidth="0" w:num="1">
            <w:col w:w="11420"/>
          </w:cols>
          <w:pgMar w:left="240" w:top="274" w:right="239" w:bottom="1440" w:gutter="0" w:footer="0" w:header="0"/>
          <w:type w:val="continuous"/>
        </w:sectPr>
      </w:pP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Climbout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Maneuver: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333" w:lineRule="exact"/>
        <w:rPr>
          <w:sz w:val="20"/>
          <w:szCs w:val="20"/>
          <w:color w:val="auto"/>
        </w:rPr>
      </w:pPr>
    </w:p>
    <w:p>
      <w:pPr>
        <w:sectPr>
          <w:pgSz w:w="11900" w:h="16838" w:orient="portrait"/>
          <w:cols w:equalWidth="0" w:num="2">
            <w:col w:w="1500" w:space="460"/>
            <w:col w:w="9460"/>
          </w:cols>
          <w:pgMar w:left="240" w:top="274" w:right="239" w:bottom="1440" w:gutter="0" w:footer="0" w:header="0"/>
          <w:type w:val="continuous"/>
        </w:sectPr>
      </w:pPr>
    </w:p>
    <w:p>
      <w:pPr>
        <w:jc w:val="center"/>
        <w:ind w:left="700"/>
        <w:spacing w:after="0"/>
        <w:rPr>
          <w:sz w:val="20"/>
          <w:szCs w:val="20"/>
          <w:color w:val="auto"/>
        </w:rPr>
      </w:pPr>
      <w:r>
        <w:rPr>
          <w:rFonts w:ascii="Arial" w:cs="Arial" w:eastAsia="Arial" w:hAnsi="Arial"/>
          <w:sz w:val="17"/>
          <w:szCs w:val="17"/>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240" w:space="72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Cruise: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240" w:space="72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5"/>
          <w:szCs w:val="15"/>
          <w:color w:val="auto"/>
        </w:rPr>
        <w:t>Descent: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40" w:space="62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AAL-PA-03735-LA-1106663R1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right="2580"/>
        <w:spacing w:after="0" w:line="418" w:lineRule="auto"/>
        <w:rPr>
          <w:sz w:val="20"/>
          <w:szCs w:val="20"/>
          <w:color w:val="auto"/>
        </w:rPr>
      </w:pPr>
      <w:r>
        <w:rPr>
          <w:rFonts w:ascii="Arial" w:cs="Arial" w:eastAsia="Arial" w:hAnsi="Arial"/>
          <w:sz w:val="18"/>
          <w:szCs w:val="18"/>
          <w:color w:val="auto"/>
        </w:rPr>
        <w:t>Usable reserve fuel remaining upon completion of the approach and landing maneuver: [*CTR] For information purposes, the [*CTR]</w:t>
      </w:r>
    </w:p>
    <w:p>
      <w:pPr>
        <w:sectPr>
          <w:pgSz w:w="11900" w:h="16838" w:orient="portrait"/>
          <w:cols w:equalWidth="0" w:num="1">
            <w:col w:w="11420"/>
          </w:cols>
          <w:pgMar w:left="240" w:top="274" w:right="239" w:bottom="1440" w:gutter="0" w:footer="0" w:header="0"/>
          <w:type w:val="continuous"/>
        </w:sectPr>
      </w:pP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b w:val="1"/>
          <w:bCs w:val="1"/>
          <w:color w:val="auto"/>
        </w:rPr>
        <w:t>[*CTR]</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[*CTR] (representative of a [*CTR]) using the conditions and operating rules defined below, shall not be less than the following guarantee value:</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Conditions and operating rules:</w:t>
      </w:r>
    </w:p>
    <w:p>
      <w:pPr>
        <w:spacing w:after="0" w:line="131"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Stage Length:</w:t>
      </w:r>
      <w:r>
        <w:rPr>
          <w:sz w:val="20"/>
          <w:szCs w:val="20"/>
          <w:color w:val="auto"/>
        </w:rPr>
        <w:tab/>
      </w:r>
      <w:r>
        <w:rPr>
          <w:rFonts w:ascii="Arial" w:cs="Arial" w:eastAsia="Arial" w:hAnsi="Arial"/>
          <w:sz w:val="16"/>
          <w:szCs w:val="16"/>
          <w:color w:val="auto"/>
        </w:rPr>
        <w:t>The stage length is defined as the sum of the distances for the climbout maneuver, climb, cruise, and descent.</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Takeoff:</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20" w:space="6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The following [*CTR] are specified with reference to the [*CTR]</w:t>
      </w:r>
    </w:p>
    <w:p>
      <w:pPr>
        <w:sectPr>
          <w:pgSz w:w="11900" w:h="16838" w:orient="portrait"/>
          <w:cols w:equalWidth="0" w:num="1">
            <w:col w:w="11420"/>
          </w:cols>
          <w:pgMar w:left="240" w:top="274" w:right="239" w:bottom="1440" w:gutter="0" w:footer="0" w:header="0"/>
          <w:type w:val="continuous"/>
        </w:sectPr>
      </w:pPr>
    </w:p>
    <w:p>
      <w:pPr>
        <w:spacing w:after="0" w:line="259" w:lineRule="exact"/>
        <w:rPr>
          <w:sz w:val="20"/>
          <w:szCs w:val="20"/>
          <w:color w:val="auto"/>
        </w:rPr>
      </w:pPr>
    </w:p>
    <w:p>
      <w:pPr>
        <w:ind w:left="7300"/>
        <w:spacing w:after="0"/>
        <w:rPr>
          <w:sz w:val="20"/>
          <w:szCs w:val="20"/>
          <w:color w:val="auto"/>
        </w:rPr>
      </w:pPr>
      <w:r>
        <w:rPr>
          <w:rFonts w:ascii="Arial" w:cs="Arial" w:eastAsia="Arial" w:hAnsi="Arial"/>
          <w:sz w:val="12"/>
          <w:szCs w:val="12"/>
          <w:color w:val="auto"/>
        </w:rPr>
        <w:t>Distance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Height</w:t>
      </w:r>
    </w:p>
    <w:p>
      <w:pPr>
        <w:spacing w:after="0" w:line="27" w:lineRule="exact"/>
        <w:rPr>
          <w:sz w:val="20"/>
          <w:szCs w:val="20"/>
          <w:color w:val="auto"/>
        </w:rPr>
      </w:pPr>
    </w:p>
    <w:p>
      <w:pPr>
        <w:sectPr>
          <w:pgSz w:w="11900" w:h="16838" w:orient="portrait"/>
          <w:cols w:equalWidth="0" w:num="2">
            <w:col w:w="7800" w:space="280"/>
            <w:col w:w="3340"/>
          </w:cols>
          <w:pgMar w:left="240" w:top="274" w:right="239" w:bottom="1440" w:gutter="0" w:footer="0" w:header="0"/>
          <w:type w:val="continuous"/>
        </w:sectPr>
      </w:pPr>
    </w:p>
    <w:p>
      <w:pPr>
        <w:spacing w:after="0" w:line="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94" w:lineRule="exact"/>
        <w:rPr>
          <w:sz w:val="20"/>
          <w:szCs w:val="20"/>
          <w:color w:val="auto"/>
        </w:rPr>
      </w:pPr>
    </w:p>
    <w:p>
      <w:pPr>
        <w:sectPr>
          <w:pgSz w:w="11900" w:h="16838" w:orient="portrait"/>
          <w:cols w:equalWidth="0" w:num="3">
            <w:col w:w="6560" w:space="720"/>
            <w:col w:w="560" w:space="160"/>
            <w:col w:w="342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takeoff gross weight shall conform to FAA Regulations.</w:t>
      </w:r>
    </w:p>
    <w:p>
      <w:pPr>
        <w:sectPr>
          <w:pgSz w:w="11900" w:h="16838" w:orient="portrait"/>
          <w:cols w:equalWidth="0" w:num="1">
            <w:col w:w="11420"/>
          </w:cols>
          <w:pgMar w:left="240" w:top="274" w:right="239" w:bottom="1440" w:gutter="0" w:footer="0" w:header="0"/>
          <w:type w:val="continuous"/>
        </w:sectPr>
      </w:pP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Climbout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Maneuver: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333" w:lineRule="exact"/>
        <w:rPr>
          <w:sz w:val="20"/>
          <w:szCs w:val="20"/>
          <w:color w:val="auto"/>
        </w:rPr>
      </w:pPr>
    </w:p>
    <w:p>
      <w:pPr>
        <w:sectPr>
          <w:pgSz w:w="11900" w:h="16838" w:orient="portrait"/>
          <w:cols w:equalWidth="0" w:num="2">
            <w:col w:w="1500" w:space="460"/>
            <w:col w:w="9460"/>
          </w:cols>
          <w:pgMar w:left="240" w:top="274" w:right="239" w:bottom="1440" w:gutter="0" w:footer="0" w:header="0"/>
          <w:type w:val="continuous"/>
        </w:sectPr>
      </w:pPr>
    </w:p>
    <w:p>
      <w:pPr>
        <w:jc w:val="center"/>
        <w:ind w:left="700"/>
        <w:spacing w:after="0"/>
        <w:rPr>
          <w:sz w:val="20"/>
          <w:szCs w:val="20"/>
          <w:color w:val="auto"/>
        </w:rPr>
      </w:pPr>
      <w:r>
        <w:rPr>
          <w:rFonts w:ascii="Arial" w:cs="Arial" w:eastAsia="Arial" w:hAnsi="Arial"/>
          <w:sz w:val="17"/>
          <w:szCs w:val="17"/>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240" w:space="72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1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Cruise: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240" w:space="72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AAL-PA-03735-LA-1106663R1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Taxi-In (shall be consumed from the reserve fuel):</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Usable reserve fuel remaining upon completion of the approach and landing maneuver: [*CTR]</w:t>
      </w:r>
    </w:p>
    <w:p>
      <w:pPr>
        <w:spacing w:after="0" w:line="131"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For information purposes, the [*CTR]. This [*CTR] which is calculated in accordance with [*CTR]. [*CTR] when needed. A [*CTR] is assumed.</w:t>
      </w:r>
    </w:p>
    <w:p>
      <w:pPr>
        <w:spacing w:after="0" w:line="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b w:val="1"/>
          <w:bCs w:val="1"/>
          <w:color w:val="auto"/>
        </w:rPr>
        <w:t>[*CTR]</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[*CTR] (representative of a [*CTR]) using the conditions and operating rules defined below, shall not be less than the following guarantee value:</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Conditions and operating rules:</w:t>
      </w:r>
    </w:p>
    <w:p>
      <w:pPr>
        <w:spacing w:after="0" w:line="131"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Stage Length:</w:t>
      </w:r>
      <w:r>
        <w:rPr>
          <w:sz w:val="20"/>
          <w:szCs w:val="20"/>
          <w:color w:val="auto"/>
        </w:rPr>
        <w:tab/>
      </w:r>
      <w:r>
        <w:rPr>
          <w:rFonts w:ascii="Arial" w:cs="Arial" w:eastAsia="Arial" w:hAnsi="Arial"/>
          <w:sz w:val="16"/>
          <w:szCs w:val="16"/>
          <w:color w:val="auto"/>
        </w:rPr>
        <w:t>The stage length is defined as the sum of the distances for the climbout maneuver, climb, cruise, and descent.</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Takeoff:</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takeoff gross weight shall conform to FAA Regulations.</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Climbout</w:t>
      </w:r>
      <w:r>
        <w:rPr>
          <w:sz w:val="20"/>
          <w:szCs w:val="20"/>
          <w:color w:val="auto"/>
        </w:rPr>
        <w:tab/>
      </w:r>
      <w:r>
        <w:rPr>
          <w:rFonts w:ascii="Arial" w:cs="Arial" w:eastAsia="Arial" w:hAnsi="Arial"/>
          <w:sz w:val="18"/>
          <w:szCs w:val="18"/>
          <w:color w:val="auto"/>
        </w:rPr>
        <w:t>[*CTR]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AAL-PA-03735-LA-1106663R1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Cruise: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Takeoff and Climbout Maneuver:</w:t>
      </w:r>
    </w:p>
    <w:p>
      <w:pPr>
        <w:spacing w:after="0" w:line="3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Approach and Landing Maneuver:</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AERO-B-BBA4-M12-0761B</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Usable reserve fuel remaining upon completion of the approach and landing maneuver: [*CTR]</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information purposes, the [*CTR]</w:t>
      </w:r>
    </w:p>
    <w:p>
      <w:pPr>
        <w:spacing w:after="0" w:line="14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Operational Empty Weight Basis</w:t>
      </w:r>
    </w:p>
    <w:p>
      <w:pPr>
        <w:spacing w:after="0" w:line="121" w:lineRule="exact"/>
        <w:rPr>
          <w:sz w:val="20"/>
          <w:szCs w:val="20"/>
          <w:color w:val="auto"/>
        </w:rPr>
      </w:pPr>
    </w:p>
    <w:p>
      <w:pPr>
        <w:ind w:left="700" w:right="20"/>
        <w:spacing w:after="0" w:line="277" w:lineRule="auto"/>
        <w:rPr>
          <w:sz w:val="20"/>
          <w:szCs w:val="20"/>
          <w:color w:val="auto"/>
        </w:rPr>
      </w:pPr>
      <w:r>
        <w:rPr>
          <w:rFonts w:ascii="Arial" w:cs="Arial" w:eastAsia="Arial" w:hAnsi="Arial"/>
          <w:sz w:val="18"/>
          <w:szCs w:val="18"/>
          <w:color w:val="auto"/>
        </w:rPr>
        <w:t>The Operational Empty Weight (OEW) derived in Paragraph 2.1.7 is the basis for the mission guarantees of Paragraphs 2.1.1, 2.1.2, 2.1.3, 2.1.4, and 2.1.5.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AERO-B-BBA4-M12-0761B</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7"/>
          <w:szCs w:val="17"/>
          <w:b w:val="1"/>
          <w:bCs w:val="1"/>
          <w:color w:val="auto"/>
        </w:rPr>
        <w:t>737-8 Weight Summary – [*CTR]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Pounds</w:t>
            </w:r>
          </w:p>
        </w:tc>
        <w:tc>
          <w:tcPr>
            <w:tcW w:w="60" w:type="dxa"/>
            <w:vAlign w:val="bottom"/>
          </w:tcPr>
          <w:p>
            <w:pPr>
              <w:spacing w:after="0"/>
              <w:rPr>
                <w:sz w:val="14"/>
                <w:szCs w:val="14"/>
                <w:color w:val="auto"/>
              </w:rPr>
            </w:pPr>
          </w:p>
        </w:tc>
      </w:tr>
      <w:tr>
        <w:trPr>
          <w:trHeight w:val="318"/>
        </w:trPr>
        <w:tc>
          <w:tcPr>
            <w:tcW w:w="5360" w:type="dxa"/>
            <w:vAlign w:val="bottom"/>
          </w:tcPr>
          <w:p>
            <w:pPr>
              <w:spacing w:after="0"/>
              <w:rPr>
                <w:sz w:val="20"/>
                <w:szCs w:val="20"/>
                <w:color w:val="auto"/>
              </w:rPr>
            </w:pPr>
            <w:r>
              <w:rPr>
                <w:rFonts w:ascii="Arial" w:cs="Arial" w:eastAsia="Arial" w:hAnsi="Arial"/>
                <w:sz w:val="18"/>
                <w:szCs w:val="18"/>
                <w:b w:val="1"/>
                <w:bCs w:val="1"/>
                <w:color w:val="auto"/>
              </w:rPr>
              <w:t>Standard Model Specification MEW</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5360" w:type="dxa"/>
            <w:vAlign w:val="bottom"/>
          </w:tcPr>
          <w:p>
            <w:pPr>
              <w:spacing w:after="0"/>
              <w:rPr>
                <w:sz w:val="20"/>
                <w:szCs w:val="20"/>
                <w:color w:val="auto"/>
              </w:rPr>
            </w:pPr>
            <w:r>
              <w:rPr>
                <w:rFonts w:ascii="Arial" w:cs="Arial" w:eastAsia="Arial" w:hAnsi="Arial"/>
                <w:sz w:val="18"/>
                <w:szCs w:val="18"/>
                <w:color w:val="auto"/>
              </w:rPr>
              <w:t>Configuration Specification [*CTR]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108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324"/>
        </w:trPr>
        <w:tc>
          <w:tcPr>
            <w:tcW w:w="53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 Manufacturer’s Empty Weight (MEW)</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24"/>
        </w:trPr>
        <w:tc>
          <w:tcPr>
            <w:tcW w:w="5360" w:type="dxa"/>
            <w:vAlign w:val="bottom"/>
          </w:tcPr>
          <w:p>
            <w:pPr>
              <w:ind w:left="360"/>
              <w:spacing w:after="0"/>
              <w:rPr>
                <w:sz w:val="20"/>
                <w:szCs w:val="20"/>
                <w:color w:val="auto"/>
              </w:rPr>
            </w:pPr>
            <w:r>
              <w:rPr>
                <w:rFonts w:ascii="Arial" w:cs="Arial" w:eastAsia="Arial" w:hAnsi="Arial"/>
                <w:sz w:val="18"/>
                <w:szCs w:val="18"/>
                <w:color w:val="auto"/>
              </w:rPr>
              <w:t>Standard and Operational Items Allowance (Paragraph 2.1.8)</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[*CTR]</w:t>
            </w:r>
          </w:p>
        </w:tc>
      </w:tr>
      <w:tr>
        <w:trPr>
          <w:trHeight w:val="324"/>
        </w:trPr>
        <w:tc>
          <w:tcPr>
            <w:tcW w:w="53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 Operational Empty Weight (OEW)</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92"/>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Quantity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4"/>
              </w:rPr>
              <w:t>Pounds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Pounds</w:t>
            </w:r>
          </w:p>
        </w:tc>
        <w:tc>
          <w:tcPr>
            <w:tcW w:w="3500" w:type="dxa"/>
            <w:vAlign w:val="bottom"/>
            <w:gridSpan w:val="3"/>
          </w:tcPr>
          <w:p>
            <w:pPr>
              <w:spacing w:after="0"/>
              <w:rPr>
                <w:sz w:val="24"/>
                <w:szCs w:val="24"/>
                <w:color w:val="auto"/>
              </w:rPr>
            </w:pPr>
          </w:p>
        </w:tc>
      </w:tr>
      <w:tr>
        <w:trPr>
          <w:trHeight w:val="318"/>
        </w:trPr>
        <w:tc>
          <w:tcPr>
            <w:tcW w:w="5360" w:type="dxa"/>
            <w:vAlign w:val="bottom"/>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gridSpan w:val="5"/>
          </w:tcPr>
          <w:p>
            <w:pPr>
              <w:jc w:val="center"/>
              <w:ind w:right="3340"/>
              <w:spacing w:after="0"/>
              <w:rPr>
                <w:sz w:val="20"/>
                <w:szCs w:val="20"/>
                <w:color w:val="auto"/>
              </w:rPr>
            </w:pPr>
            <w:r>
              <w:rPr>
                <w:rFonts w:ascii="Arial" w:cs="Arial" w:eastAsia="Arial" w:hAnsi="Arial"/>
                <w:sz w:val="18"/>
                <w:szCs w:val="18"/>
                <w:color w:val="auto"/>
              </w:rPr>
              <w:t>[*CTR]</w:t>
            </w:r>
          </w:p>
        </w:tc>
      </w:tr>
      <w:tr>
        <w:trPr>
          <w:trHeight w:val="310"/>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rPr>
              <w:t>[*CTR]</w:t>
            </w:r>
          </w:p>
        </w:tc>
        <w:tc>
          <w:tcPr>
            <w:tcW w:w="72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rPr>
              <w:t>[*CTR]</w:t>
            </w:r>
          </w:p>
        </w:tc>
        <w:tc>
          <w:tcPr>
            <w:tcW w:w="72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rPr>
              <w:t>[*CTR]</w:t>
            </w:r>
          </w:p>
        </w:tc>
        <w:tc>
          <w:tcPr>
            <w:tcW w:w="72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0"/>
        </w:trPr>
        <w:tc>
          <w:tcPr>
            <w:tcW w:w="5360" w:type="dxa"/>
            <w:vAlign w:val="bottom"/>
          </w:tcPr>
          <w:p>
            <w:pPr>
              <w:spacing w:after="0"/>
              <w:rPr>
                <w:sz w:val="20"/>
                <w:szCs w:val="20"/>
                <w:color w:val="auto"/>
              </w:rPr>
            </w:pPr>
            <w:r>
              <w:rPr>
                <w:rFonts w:ascii="Arial" w:cs="Arial" w:eastAsia="Arial" w:hAnsi="Arial"/>
                <w:sz w:val="18"/>
                <w:szCs w:val="18"/>
                <w:color w:val="auto"/>
              </w:rPr>
              <w:t>P.A. No. 03735</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AERO-B-BBA4-M12-0761B</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w w:val="84"/>
              </w:rPr>
              <w:t>2.1.8</w:t>
            </w:r>
          </w:p>
        </w:tc>
        <w:tc>
          <w:tcPr>
            <w:tcW w:w="5900" w:type="dxa"/>
            <w:vAlign w:val="bottom"/>
          </w:tcPr>
          <w:p>
            <w:pPr>
              <w:ind w:left="320"/>
              <w:spacing w:after="0"/>
              <w:rPr>
                <w:sz w:val="20"/>
                <w:szCs w:val="20"/>
                <w:color w:val="auto"/>
              </w:rPr>
            </w:pPr>
            <w:r>
              <w:rPr>
                <w:rFonts w:ascii="Arial" w:cs="Arial" w:eastAsia="Arial" w:hAnsi="Arial"/>
                <w:sz w:val="18"/>
                <w:szCs w:val="18"/>
                <w:b w:val="1"/>
                <w:bCs w:val="1"/>
                <w:color w:val="auto"/>
              </w:rPr>
              <w:t>Standard and Operational Items Allowance</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900" w:type="dxa"/>
            <w:vAlign w:val="bottom"/>
            <w:gridSpan w:val="3"/>
          </w:tcPr>
          <w:p>
            <w:pPr>
              <w:jc w:val="center"/>
              <w:ind w:left="1991"/>
              <w:spacing w:after="0"/>
              <w:rPr>
                <w:sz w:val="20"/>
                <w:szCs w:val="20"/>
                <w:color w:val="auto"/>
              </w:rPr>
            </w:pPr>
            <w:r>
              <w:rPr>
                <w:rFonts w:ascii="Arial" w:cs="Arial" w:eastAsia="Arial" w:hAnsi="Arial"/>
                <w:sz w:val="14"/>
                <w:szCs w:val="14"/>
                <w:color w:val="auto"/>
              </w:rPr>
              <w:t>Qty</w:t>
            </w:r>
          </w:p>
        </w:tc>
        <w:tc>
          <w:tcPr>
            <w:tcW w:w="800" w:type="dxa"/>
            <w:vAlign w:val="bottom"/>
            <w:gridSpan w:val="3"/>
          </w:tcPr>
          <w:p>
            <w:pPr>
              <w:jc w:val="center"/>
              <w:spacing w:after="0"/>
              <w:rPr>
                <w:sz w:val="20"/>
                <w:szCs w:val="20"/>
                <w:color w:val="auto"/>
              </w:rPr>
            </w:pPr>
            <w:r>
              <w:rPr>
                <w:rFonts w:ascii="Arial" w:cs="Arial" w:eastAsia="Arial" w:hAnsi="Arial"/>
                <w:sz w:val="14"/>
                <w:szCs w:val="14"/>
                <w:color w:val="auto"/>
                <w:w w:val="88"/>
              </w:rPr>
              <w:t>Pounds</w:t>
            </w:r>
          </w:p>
        </w:tc>
        <w:tc>
          <w:tcPr>
            <w:tcW w:w="180" w:type="dxa"/>
            <w:vAlign w:val="bottom"/>
          </w:tcPr>
          <w:p>
            <w:pPr>
              <w:spacing w:after="0"/>
              <w:rPr>
                <w:sz w:val="24"/>
                <w:szCs w:val="24"/>
                <w:color w:val="auto"/>
              </w:rPr>
            </w:pPr>
          </w:p>
        </w:tc>
        <w:tc>
          <w:tcPr>
            <w:tcW w:w="600" w:type="dxa"/>
            <w:vAlign w:val="bottom"/>
            <w:gridSpan w:val="2"/>
          </w:tcPr>
          <w:p>
            <w:pPr>
              <w:jc w:val="center"/>
              <w:ind w:right="90"/>
              <w:spacing w:after="0"/>
              <w:rPr>
                <w:sz w:val="20"/>
                <w:szCs w:val="20"/>
                <w:color w:val="auto"/>
              </w:rPr>
            </w:pPr>
            <w:r>
              <w:rPr>
                <w:rFonts w:ascii="Arial" w:cs="Arial" w:eastAsia="Arial" w:hAnsi="Arial"/>
                <w:sz w:val="14"/>
                <w:szCs w:val="14"/>
                <w:color w:val="auto"/>
                <w:w w:val="88"/>
              </w:rPr>
              <w:t>Pounds</w:t>
            </w:r>
          </w:p>
        </w:tc>
        <w:tc>
          <w:tcPr>
            <w:tcW w:w="18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84"/>
              </w:rPr>
              <w:t>Pounds</w:t>
            </w:r>
          </w:p>
        </w:tc>
      </w:tr>
      <w:tr>
        <w:trPr>
          <w:trHeight w:val="20"/>
        </w:trPr>
        <w:tc>
          <w:tcPr>
            <w:tcW w:w="62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Standard Items Allowance</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3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Unusable Fuel</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Oil</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Oxygen Equipment</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Passenger Portable</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Crew Masks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Miscellaneous Equipment</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Crash Axe</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Megaphones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Flashlights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Smoke Hoods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Galley Structure &amp; Fixed Inserts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Operational Items Allowance</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10"/>
        </w:trPr>
        <w:tc>
          <w:tcPr>
            <w:tcW w:w="3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Crew and Crew Baggage</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Flight Crew (incl. baggage)</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Cabin Crew (incl. baggage)</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Catering Allowance &amp; Removable Inserts</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First Class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Economy Class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Passenger Service Equipment</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Potable Water [*CTR]</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Waste Tank Disinfectant</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Emergency Equipment</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Escape Slides - Forward and Aft</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Life Vests - Crew and Passengers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Life Rafts</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Auto Radio Beacon (ELT)</w:t>
            </w:r>
          </w:p>
        </w:tc>
        <w:tc>
          <w:tcPr>
            <w:tcW w:w="2900" w:type="dxa"/>
            <w:vAlign w:val="bottom"/>
            <w:gridSpan w:val="3"/>
          </w:tcPr>
          <w:p>
            <w:pPr>
              <w:jc w:val="center"/>
              <w:ind w:left="2011"/>
              <w:spacing w:after="0"/>
              <w:rPr>
                <w:sz w:val="20"/>
                <w:szCs w:val="20"/>
                <w:color w:val="auto"/>
              </w:rPr>
            </w:pPr>
            <w:r>
              <w:rPr>
                <w:rFonts w:ascii="Arial" w:cs="Arial" w:eastAsia="Arial" w:hAnsi="Arial"/>
                <w:sz w:val="18"/>
                <w:szCs w:val="18"/>
                <w:color w:val="auto"/>
              </w:rPr>
              <w:t>[*CTR]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[*CTR]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 Standard and Operational Items Allowance</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r>
      <w:tr>
        <w:trPr>
          <w:trHeight w:val="350"/>
        </w:trPr>
        <w:tc>
          <w:tcPr>
            <w:tcW w:w="6260" w:type="dxa"/>
            <w:vAlign w:val="bottom"/>
            <w:gridSpan w:val="2"/>
          </w:tcPr>
          <w:p>
            <w:pPr>
              <w:spacing w:after="0"/>
              <w:rPr>
                <w:sz w:val="20"/>
                <w:szCs w:val="20"/>
                <w:color w:val="auto"/>
              </w:rPr>
            </w:pPr>
            <w:r>
              <w:rPr>
                <w:rFonts w:ascii="Arial" w:cs="Arial" w:eastAsia="Arial" w:hAnsi="Arial"/>
                <w:sz w:val="18"/>
                <w:szCs w:val="18"/>
                <w:color w:val="auto"/>
              </w:rPr>
              <w:t>P.A. No. 03735</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AERO-B-BBA4-M12-0761B</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3"/>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39" w:lineRule="exact"/>
        <w:rPr>
          <w:sz w:val="20"/>
          <w:szCs w:val="20"/>
          <w:color w:val="auto"/>
        </w:rPr>
      </w:pPr>
    </w:p>
    <w:p>
      <w:pPr>
        <w:ind w:left="680" w:hanging="672"/>
        <w:spacing w:after="0"/>
        <w:tabs>
          <w:tab w:leader="none" w:pos="6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AIRCRAFT CONFIGURATION</w:t>
      </w:r>
    </w:p>
    <w:p>
      <w:pPr>
        <w:spacing w:after="0" w:line="131"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The guarantees contained in this Attachment are based on the Aircraft configuration as defined in Boeing Document [*CTR] by the Purchase Agreement to be [*CTR] into the Customer’s Detail Specification (herein referred to as the Detail Specification). Appropriate adjustment shall be made for changes in such Detail Specification approved by the Customer and Boeing or otherwise allowed by the Purchase Agreement which cause changes to the flight performance and/or weight and balance of the Aircraft. Such adjustment shall be accounted for by Boeing in its evidence of compliance with the guarantees.</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[*CTR]</w:t>
      </w:r>
    </w:p>
    <w:p>
      <w:pPr>
        <w:spacing w:after="0" w:line="121" w:lineRule="exact"/>
        <w:rPr>
          <w:sz w:val="20"/>
          <w:szCs w:val="20"/>
          <w:color w:val="auto"/>
        </w:rPr>
      </w:pPr>
    </w:p>
    <w:p>
      <w:pPr>
        <w:ind w:left="700" w:right="20" w:hanging="7"/>
        <w:spacing w:after="0" w:line="277" w:lineRule="auto"/>
        <w:tabs>
          <w:tab w:leader="none" w:pos="9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to the Detail Specification or any other changes mutually agreed upon between the Customer and Boeing or otherwise allowed by the Purchase Agreement.</w:t>
      </w:r>
    </w:p>
    <w:p>
      <w:pPr>
        <w:spacing w:after="0" w:line="62" w:lineRule="exact"/>
        <w:rPr>
          <w:rFonts w:ascii="Arial" w:cs="Arial" w:eastAsia="Arial" w:hAnsi="Arial"/>
          <w:sz w:val="18"/>
          <w:szCs w:val="18"/>
          <w:color w:val="auto"/>
        </w:rPr>
      </w:pPr>
    </w:p>
    <w:p>
      <w:pPr>
        <w:ind w:left="940" w:hanging="247"/>
        <w:spacing w:after="0"/>
        <w:tabs>
          <w:tab w:leader="none" w:pos="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difference between the component weight allowances given in Appendix E of the Detail Specification and the actual weights.</w:t>
      </w:r>
    </w:p>
    <w:p>
      <w:pPr>
        <w:spacing w:after="0" w:line="370" w:lineRule="exact"/>
        <w:rPr>
          <w:sz w:val="20"/>
          <w:szCs w:val="20"/>
          <w:color w:val="auto"/>
        </w:rPr>
      </w:pPr>
    </w:p>
    <w:p>
      <w:pPr>
        <w:ind w:left="680" w:hanging="672"/>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1"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All guaranteed performance data are based on the International Standard Atmosphere (ISA) and specified variations therefrom; altitudes are pressure altitudes.</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For the purposes of these 737-8 [*CTR] the Federal Aviation Administration (FAA) regulations referred to in this Attachment are, unless otherwise specified, the [*CTR]</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In the event a change is made to any law, governmental regulation or requirement, or in the interpretation of any such law, governmental regulation or requirement that affects the certification basis for the Aircraft as described in Paragraph 4.2, and as a result thereof, a change is made to the configuration and/or the performance of the Aircraft in order to obtain certification, the guarantees set forth in this Attachment shall be appropriately modified to reflect any such change.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AERO-B-BBA4-M12-0761B</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AAL-PA-03735-LA-1106663R1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color w:val="auto"/>
        </w:rPr>
        <w:t>The [*CTR], and with the Aircraft [*CTR] unless otherwise specified. The [*CTR] unless otherwise specified. [*CTR]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*CTR] in Paragraph 2.1.7. [*CTR] unless otherwise specified. [*CTR]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374" w:lineRule="exact"/>
        <w:rPr>
          <w:sz w:val="20"/>
          <w:szCs w:val="20"/>
          <w:color w:val="auto"/>
        </w:rPr>
      </w:pPr>
    </w:p>
    <w:p>
      <w:pPr>
        <w:ind w:left="680" w:hanging="672"/>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Compliance with the guarantees of Section 2 shall be based on the conditions specified in those sections, the Aircraft configuration of Section 3 and the guarantee conditions of Section 4.</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*CTR] on the FAA approved Airplane Flight Manual for the Model 737-8.</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color w:val="auto"/>
        </w:rPr>
        <w:t>The data derived from tests shall be adjusted as required by conventional methods of correction, interpolation or extrapolation in accordance with established engineering practices to show compliance with these guarantees.</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color w:val="auto"/>
        </w:rPr>
        <w:t>Compliance shall be based on the performance of the airframe and engines in combination, and shall not be contingent on the engine meeting its manufacturer’s performance specification.</w:t>
      </w:r>
    </w:p>
    <w:p>
      <w:pPr>
        <w:spacing w:after="0" w:line="319"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only [*CTR] applicable to the Aircraft are those set forth in this Attachment.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AERO-B-BBA4-M12-0761B</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2" w:name="page133"/>
    <w:bookmarkEnd w:id="132"/>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86230" cy="3771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86230" cy="3771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AAL-PA-03735-LA-1106664R1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0" w:lineRule="exact"/>
        <w:rPr>
          <w:sz w:val="20"/>
          <w:szCs w:val="20"/>
          <w:color w:val="auto"/>
        </w:rPr>
      </w:pPr>
    </w:p>
    <w:p>
      <w:pPr>
        <w:sectPr>
          <w:pgSz w:w="11900" w:h="16838" w:orient="portrait"/>
          <w:cols w:equalWidth="0" w:num="2">
            <w:col w:w="760" w:space="720"/>
            <w:col w:w="9940"/>
          </w:cols>
          <w:pgMar w:left="240" w:top="274"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Agreement No. 03735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737-MAX aircraft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700"/>
            <w:col w:w="9940"/>
          </w:cols>
          <w:pgMar w:left="240" w:top="274" w:right="239" w:bottom="1440" w:gutter="0" w:footer="0" w:header="0"/>
          <w:type w:val="continuous"/>
        </w:sectPr>
      </w:pPr>
    </w:p>
    <w:p>
      <w:pPr>
        <w:spacing w:after="0" w:line="1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amends and supplements the Purchase Agreement. All terms used but not defined in this Letter Agreement shall have the same meaning as in the Purchase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Boeing agrees to provide Customer with the [*CTR] in the Attachment. The Attachment sets forth [*CTR] for 737-9. [*CTR] Notwithstanding the provision of the [*CTR] in the Attachment, Boeing and Customer will work together in good faith to communicate the [*CTR] that will be offered prior to Customer [*CTR]</w:t>
      </w:r>
    </w:p>
    <w:p>
      <w:pPr>
        <w:spacing w:after="0" w:line="33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pacing w:after="0" w:line="31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Confidential Treatment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contained herein represents confidential business information and has value precisely because it is not available generally or to other parties.</w:t>
      </w:r>
    </w:p>
    <w:p>
      <w:pPr>
        <w:sectPr>
          <w:pgSz w:w="11900" w:h="16838" w:orient="portrait"/>
          <w:cols w:equalWidth="0" w:num="1">
            <w:col w:w="11420"/>
          </w:cols>
          <w:pgMar w:left="240" w:top="274" w:right="2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AAL-PA-03735-LA-1106664R1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pacing w:after="0" w:line="46" w:lineRule="exact"/>
        <w:rPr>
          <w:sz w:val="20"/>
          <w:szCs w:val="20"/>
          <w:color w:val="auto"/>
        </w:rPr>
      </w:pPr>
    </w:p>
    <w:p>
      <w:pPr>
        <w:sectPr>
          <w:pgSz w:w="11900" w:h="16838" w:orient="portrait"/>
          <w:cols w:equalWidth="0" w:num="2">
            <w:col w:w="9880" w:space="720"/>
            <w:col w:w="82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33" w:name="page134"/>
    <w:bookmarkEnd w:id="13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586230" cy="377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77190"/>
                    </a:xfrm>
                    <a:prstGeom prst="rect">
                      <a:avLst/>
                    </a:prstGeom>
                    <a:noFill/>
                  </pic:spPr>
                </pic:pic>
              </a:graphicData>
            </a:graphic>
          </wp:anchor>
        </w:drawing>
        <w:t>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6840" w:type="dxa"/>
            <w:vAlign w:val="bottom"/>
          </w:tcPr>
          <w:p>
            <w:pPr>
              <w:spacing w:after="0"/>
              <w:rPr>
                <w:sz w:val="20"/>
                <w:szCs w:val="20"/>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Fleet Planning</w:t>
            </w:r>
          </w:p>
        </w:tc>
        <w:tc>
          <w:tcPr>
            <w:tcW w:w="6840" w:type="dxa"/>
            <w:vAlign w:val="bottom"/>
          </w:tcPr>
          <w:p>
            <w:pPr>
              <w:spacing w:after="0"/>
              <w:rPr>
                <w:sz w:val="24"/>
                <w:szCs w:val="24"/>
                <w:color w:val="auto"/>
              </w:rPr>
            </w:pPr>
          </w:p>
        </w:tc>
      </w:tr>
      <w:tr>
        <w:trPr>
          <w:trHeight w:val="357"/>
        </w:trPr>
        <w:tc>
          <w:tcPr>
            <w:tcW w:w="4580" w:type="dxa"/>
            <w:vAlign w:val="bottom"/>
            <w:gridSpan w:val="2"/>
          </w:tcPr>
          <w:p>
            <w:pPr>
              <w:spacing w:after="0"/>
              <w:rPr>
                <w:sz w:val="20"/>
                <w:szCs w:val="20"/>
                <w:color w:val="auto"/>
              </w:rPr>
            </w:pPr>
            <w:r>
              <w:rPr>
                <w:rFonts w:ascii="Arial" w:cs="Arial" w:eastAsia="Arial" w:hAnsi="Arial"/>
                <w:sz w:val="18"/>
                <w:szCs w:val="18"/>
                <w:color w:val="auto"/>
              </w:rPr>
              <w:t>AAL-PA-03735-LA-1106664R1</w:t>
            </w:r>
          </w:p>
        </w:tc>
        <w:tc>
          <w:tcPr>
            <w:tcW w:w="6840" w:type="dxa"/>
            <w:vAlign w:val="bottom"/>
          </w:tcPr>
          <w:p>
            <w:pPr>
              <w:spacing w:after="0"/>
              <w:rPr>
                <w:sz w:val="24"/>
                <w:szCs w:val="24"/>
                <w:color w:val="auto"/>
              </w:rPr>
            </w:pPr>
          </w:p>
        </w:tc>
      </w:tr>
      <w:tr>
        <w:trPr>
          <w:trHeight w:val="212"/>
        </w:trPr>
        <w:tc>
          <w:tcPr>
            <w:tcW w:w="4580" w:type="dxa"/>
            <w:vAlign w:val="bottom"/>
            <w:gridSpan w:val="2"/>
          </w:tcPr>
          <w:p>
            <w:pPr>
              <w:spacing w:after="0"/>
              <w:rPr>
                <w:sz w:val="20"/>
                <w:szCs w:val="20"/>
                <w:color w:val="auto"/>
              </w:rPr>
            </w:pPr>
            <w:r>
              <w:rPr>
                <w:rFonts w:ascii="Arial" w:cs="Arial" w:eastAsia="Arial" w:hAnsi="Arial"/>
                <w:sz w:val="18"/>
                <w:szCs w:val="18"/>
                <w:color w:val="auto"/>
              </w:rPr>
              <w:t>[*CTR]</w:t>
            </w:r>
          </w:p>
        </w:tc>
        <w:tc>
          <w:tcPr>
            <w:tcW w:w="6840" w:type="dxa"/>
            <w:vAlign w:val="bottom"/>
          </w:tcPr>
          <w:p>
            <w:pPr>
              <w:ind w:left="6020"/>
              <w:spacing w:after="0"/>
              <w:rPr>
                <w:sz w:val="20"/>
                <w:szCs w:val="20"/>
                <w:color w:val="auto"/>
              </w:rPr>
            </w:pPr>
            <w:r>
              <w:rPr>
                <w:rFonts w:ascii="Arial" w:cs="Arial" w:eastAsia="Arial" w:hAnsi="Arial"/>
                <w:sz w:val="18"/>
                <w:szCs w:val="18"/>
                <w:color w:val="auto"/>
                <w:w w:val="86"/>
              </w:rPr>
              <w:t>Page 2 of 2</w:t>
            </w:r>
          </w:p>
        </w:tc>
      </w:tr>
      <w:tr>
        <w:trPr>
          <w:trHeight w:val="234"/>
        </w:trPr>
        <w:tc>
          <w:tcPr>
            <w:tcW w:w="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840" w:type="dxa"/>
            <w:vAlign w:val="bottom"/>
          </w:tcPr>
          <w:p>
            <w:pPr>
              <w:ind w:left="100"/>
              <w:spacing w:after="0"/>
              <w:rPr>
                <w:sz w:val="20"/>
                <w:szCs w:val="20"/>
                <w:color w:val="auto"/>
              </w:rPr>
            </w:pPr>
            <w:r>
              <w:rPr>
                <w:rFonts w:ascii="Arial" w:cs="Arial" w:eastAsia="Arial" w:hAnsi="Arial"/>
                <w:sz w:val="18"/>
                <w:szCs w:val="18"/>
                <w:b w:val="1"/>
                <w:bCs w:val="1"/>
                <w:color w:val="auto"/>
              </w:rPr>
              <w:t>BOEING PROPRIETARY</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6"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280" w:type="dxa"/>
            <w:vAlign w:val="bottom"/>
          </w:tcPr>
          <w:p>
            <w:pPr>
              <w:jc w:val="center"/>
              <w:ind w:right="4054"/>
              <w:spacing w:after="0"/>
              <w:rPr>
                <w:sz w:val="20"/>
                <w:szCs w:val="20"/>
                <w:color w:val="auto"/>
              </w:rPr>
            </w:pPr>
            <w:r>
              <w:rPr>
                <w:rFonts w:ascii="Arial" w:cs="Arial" w:eastAsia="Arial" w:hAnsi="Arial"/>
                <w:sz w:val="18"/>
                <w:szCs w:val="18"/>
                <w:b w:val="1"/>
                <w:bCs w:val="1"/>
                <w:color w:val="auto"/>
              </w:rPr>
              <w:t>[*CTR]</w:t>
            </w:r>
          </w:p>
        </w:tc>
      </w:tr>
      <w:tr>
        <w:trPr>
          <w:trHeight w:val="432"/>
        </w:trPr>
        <w:tc>
          <w:tcPr>
            <w:tcW w:w="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280" w:type="dxa"/>
            <w:vAlign w:val="bottom"/>
          </w:tcPr>
          <w:p>
            <w:pPr>
              <w:jc w:val="center"/>
              <w:ind w:right="4054"/>
              <w:spacing w:after="0"/>
              <w:rPr>
                <w:sz w:val="20"/>
                <w:szCs w:val="20"/>
                <w:color w:val="auto"/>
              </w:rPr>
            </w:pPr>
            <w:r>
              <w:rPr>
                <w:rFonts w:ascii="Arial" w:cs="Arial" w:eastAsia="Arial" w:hAnsi="Arial"/>
                <w:sz w:val="18"/>
                <w:szCs w:val="18"/>
                <w:b w:val="1"/>
                <w:bCs w:val="1"/>
                <w:color w:val="auto"/>
              </w:rPr>
              <w:t>FOR AMERICAN AIRLINES, INC.</w:t>
            </w:r>
          </w:p>
        </w:tc>
      </w:tr>
      <w:tr>
        <w:trPr>
          <w:trHeight w:val="407"/>
        </w:trPr>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SECTION</w:t>
            </w:r>
          </w:p>
        </w:tc>
        <w:tc>
          <w:tcPr>
            <w:tcW w:w="3400" w:type="dxa"/>
            <w:vAlign w:val="bottom"/>
          </w:tcPr>
          <w:p>
            <w:pPr>
              <w:spacing w:after="0"/>
              <w:rPr>
                <w:sz w:val="24"/>
                <w:szCs w:val="24"/>
                <w:color w:val="auto"/>
              </w:rPr>
            </w:pPr>
          </w:p>
        </w:tc>
        <w:tc>
          <w:tcPr>
            <w:tcW w:w="7280" w:type="dxa"/>
            <w:vAlign w:val="bottom"/>
          </w:tcPr>
          <w:p>
            <w:pPr>
              <w:ind w:left="1580"/>
              <w:spacing w:after="0"/>
              <w:rPr>
                <w:sz w:val="20"/>
                <w:szCs w:val="20"/>
                <w:color w:val="auto"/>
              </w:rPr>
            </w:pPr>
            <w:r>
              <w:rPr>
                <w:rFonts w:ascii="Arial" w:cs="Arial" w:eastAsia="Arial" w:hAnsi="Arial"/>
                <w:sz w:val="14"/>
                <w:szCs w:val="14"/>
                <w:b w:val="1"/>
                <w:bCs w:val="1"/>
                <w:color w:val="auto"/>
              </w:rPr>
              <w:t>CONTENTS</w:t>
            </w:r>
          </w:p>
        </w:tc>
      </w:tr>
      <w:tr>
        <w:trPr>
          <w:trHeight w:val="309"/>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1</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AIRCRAFT MODEL APPLICABILITY</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2</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FLIGHT PERFORMANCE</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3</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AIRCRAFT CONFIGURATION</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4</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GUARANTEE CONDITIONS</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5</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GUARANTEE COMPLIANCE</w:t>
            </w:r>
          </w:p>
        </w:tc>
        <w:tc>
          <w:tcPr>
            <w:tcW w:w="7280" w:type="dxa"/>
            <w:vAlign w:val="bottom"/>
          </w:tcPr>
          <w:p>
            <w:pPr>
              <w:spacing w:after="0"/>
              <w:rPr>
                <w:sz w:val="24"/>
                <w:szCs w:val="24"/>
                <w:color w:val="auto"/>
              </w:rPr>
            </w:pPr>
          </w:p>
        </w:tc>
      </w:tr>
      <w:tr>
        <w:trPr>
          <w:trHeight w:val="324"/>
        </w:trPr>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6</w:t>
            </w:r>
          </w:p>
        </w:tc>
        <w:tc>
          <w:tcPr>
            <w:tcW w:w="3400" w:type="dxa"/>
            <w:vAlign w:val="bottom"/>
          </w:tcPr>
          <w:p>
            <w:pPr>
              <w:ind w:left="80"/>
              <w:spacing w:after="0"/>
              <w:rPr>
                <w:sz w:val="20"/>
                <w:szCs w:val="20"/>
                <w:color w:val="auto"/>
              </w:rPr>
            </w:pPr>
            <w:r>
              <w:rPr>
                <w:rFonts w:ascii="Arial" w:cs="Arial" w:eastAsia="Arial" w:hAnsi="Arial"/>
                <w:sz w:val="18"/>
                <w:szCs w:val="18"/>
                <w:b w:val="1"/>
                <w:bCs w:val="1"/>
                <w:color w:val="auto"/>
              </w:rPr>
              <w:t>EXCLUSIVE GUARANTEES</w:t>
            </w:r>
          </w:p>
        </w:tc>
        <w:tc>
          <w:tcPr>
            <w:tcW w:w="7280" w:type="dxa"/>
            <w:vAlign w:val="bottom"/>
          </w:tcPr>
          <w:p>
            <w:pPr>
              <w:spacing w:after="0"/>
              <w:rPr>
                <w:sz w:val="24"/>
                <w:szCs w:val="24"/>
                <w:color w:val="auto"/>
              </w:rPr>
            </w:pPr>
          </w:p>
        </w:tc>
      </w:tr>
      <w:tr>
        <w:trPr>
          <w:trHeight w:val="350"/>
        </w:trPr>
        <w:tc>
          <w:tcPr>
            <w:tcW w:w="4140" w:type="dxa"/>
            <w:vAlign w:val="bottom"/>
            <w:gridSpan w:val="2"/>
          </w:tcPr>
          <w:p>
            <w:pPr>
              <w:spacing w:after="0"/>
              <w:rPr>
                <w:sz w:val="20"/>
                <w:szCs w:val="20"/>
                <w:color w:val="auto"/>
              </w:rPr>
            </w:pPr>
            <w:r>
              <w:rPr>
                <w:rFonts w:ascii="Arial" w:cs="Arial" w:eastAsia="Arial" w:hAnsi="Arial"/>
                <w:sz w:val="18"/>
                <w:szCs w:val="18"/>
                <w:color w:val="auto"/>
              </w:rPr>
              <w:t>P.A. No. 03735</w:t>
            </w:r>
          </w:p>
        </w:tc>
        <w:tc>
          <w:tcPr>
            <w:tcW w:w="7280" w:type="dxa"/>
            <w:vAlign w:val="bottom"/>
          </w:tcPr>
          <w:p>
            <w:pPr>
              <w:spacing w:after="0"/>
              <w:rPr>
                <w:sz w:val="24"/>
                <w:szCs w:val="24"/>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AERO-B-BBA4-M12-0762A</w:t>
            </w:r>
          </w:p>
        </w:tc>
        <w:tc>
          <w:tcPr>
            <w:tcW w:w="7280" w:type="dxa"/>
            <w:vAlign w:val="bottom"/>
          </w:tcPr>
          <w:p>
            <w:pPr>
              <w:ind w:left="648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680" w:hanging="672"/>
        <w:spacing w:after="0"/>
        <w:tabs>
          <w:tab w:leader="none" w:pos="6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AIRCRAFT MODEL APPLICABILITY</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guarantees contained in this Attachment (the [*CTR]) are applicable to the [*CTR] with a [*CTR]</w:t>
      </w:r>
    </w:p>
    <w:p>
      <w:pPr>
        <w:spacing w:after="0" w:line="370" w:lineRule="exact"/>
        <w:rPr>
          <w:sz w:val="20"/>
          <w:szCs w:val="20"/>
          <w:color w:val="auto"/>
        </w:rPr>
      </w:pPr>
    </w:p>
    <w:p>
      <w:pPr>
        <w:ind w:left="680" w:hanging="672"/>
        <w:spacing w:after="0"/>
        <w:tabs>
          <w:tab w:leader="none" w:pos="6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FLIGHT PERFORMANCE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Mission</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2.1.1    Mission Payload</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payload for a stage length of [*CTR] nautical miles in still air (representative of a [*CTR]) using the conditions and operating rules defined below, shall not be less than the following guarantee value:</w:t>
      </w:r>
    </w:p>
    <w:p>
      <w:pPr>
        <w:spacing w:after="0" w:line="7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Conditions and operating rules:</w:t>
      </w:r>
    </w:p>
    <w:p>
      <w:pPr>
        <w:spacing w:after="0" w:line="131"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Stage Length:</w:t>
      </w:r>
      <w:r>
        <w:rPr>
          <w:sz w:val="20"/>
          <w:szCs w:val="20"/>
          <w:color w:val="auto"/>
        </w:rPr>
        <w:tab/>
      </w:r>
      <w:r>
        <w:rPr>
          <w:rFonts w:ascii="Arial" w:cs="Arial" w:eastAsia="Arial" w:hAnsi="Arial"/>
          <w:sz w:val="16"/>
          <w:szCs w:val="16"/>
          <w:color w:val="auto"/>
        </w:rPr>
        <w:t>The stage length is defined as the sum of the distances for the climbout maneuver, climb, cruise, and descent.</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Takeoff:</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takeoff gross weight shall conform to FAA Regulations.</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Climbout</w:t>
      </w:r>
      <w:r>
        <w:rPr>
          <w:sz w:val="20"/>
          <w:szCs w:val="20"/>
          <w:color w:val="auto"/>
        </w:rPr>
        <w:tab/>
      </w:r>
      <w:r>
        <w:rPr>
          <w:rFonts w:ascii="Arial" w:cs="Arial" w:eastAsia="Arial" w:hAnsi="Arial"/>
          <w:sz w:val="18"/>
          <w:szCs w:val="18"/>
          <w:color w:val="auto"/>
        </w:rPr>
        <w:t>[*CTR]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0"/>
                <w:szCs w:val="20"/>
                <w:color w:val="auto"/>
              </w:rPr>
            </w:pPr>
          </w:p>
        </w:tc>
      </w:tr>
      <w:tr>
        <w:trPr>
          <w:trHeight w:val="324"/>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4"/>
                <w:szCs w:val="24"/>
                <w:color w:val="auto"/>
              </w:rPr>
            </w:pPr>
          </w:p>
        </w:tc>
      </w:tr>
      <w:tr>
        <w:trPr>
          <w:trHeight w:val="324"/>
        </w:trPr>
        <w:tc>
          <w:tcPr>
            <w:tcW w:w="6560" w:type="dxa"/>
            <w:vAlign w:val="bottom"/>
          </w:tcPr>
          <w:p>
            <w:pPr>
              <w:ind w:left="1960"/>
              <w:spacing w:after="0"/>
              <w:rPr>
                <w:sz w:val="20"/>
                <w:szCs w:val="20"/>
                <w:color w:val="auto"/>
              </w:rPr>
            </w:pPr>
            <w:r>
              <w:rPr>
                <w:rFonts w:ascii="Arial" w:cs="Arial" w:eastAsia="Arial" w:hAnsi="Arial"/>
                <w:sz w:val="18"/>
                <w:szCs w:val="18"/>
                <w:color w:val="auto"/>
              </w:rPr>
              <w:t>[*CTR]</w:t>
            </w:r>
          </w:p>
        </w:tc>
        <w:tc>
          <w:tcPr>
            <w:tcW w:w="4860" w:type="dxa"/>
            <w:vAlign w:val="bottom"/>
          </w:tcPr>
          <w:p>
            <w:pPr>
              <w:spacing w:after="0"/>
              <w:rPr>
                <w:sz w:val="24"/>
                <w:szCs w:val="24"/>
                <w:color w:val="auto"/>
              </w:rPr>
            </w:pPr>
          </w:p>
        </w:tc>
      </w:tr>
      <w:tr>
        <w:trPr>
          <w:trHeight w:val="350"/>
        </w:trPr>
        <w:tc>
          <w:tcPr>
            <w:tcW w:w="6560" w:type="dxa"/>
            <w:vAlign w:val="bottom"/>
          </w:tcPr>
          <w:p>
            <w:pPr>
              <w:spacing w:after="0"/>
              <w:rPr>
                <w:sz w:val="20"/>
                <w:szCs w:val="20"/>
                <w:color w:val="auto"/>
              </w:rPr>
            </w:pPr>
            <w:r>
              <w:rPr>
                <w:rFonts w:ascii="Arial" w:cs="Arial" w:eastAsia="Arial" w:hAnsi="Arial"/>
                <w:sz w:val="18"/>
                <w:szCs w:val="18"/>
                <w:color w:val="auto"/>
              </w:rPr>
              <w:t>P.A. No. 03735</w:t>
            </w:r>
          </w:p>
        </w:tc>
        <w:tc>
          <w:tcPr>
            <w:tcW w:w="4860" w:type="dxa"/>
            <w:vAlign w:val="bottom"/>
          </w:tcPr>
          <w:p>
            <w:pPr>
              <w:spacing w:after="0"/>
              <w:rPr>
                <w:sz w:val="24"/>
                <w:szCs w:val="24"/>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AERO-B-BBA4-M12-0762A</w:t>
            </w:r>
          </w:p>
        </w:tc>
        <w:tc>
          <w:tcPr>
            <w:tcW w:w="4860" w:type="dxa"/>
            <w:vAlign w:val="bottom"/>
          </w:tcPr>
          <w:p>
            <w:pPr>
              <w:ind w:left="406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AAL-PA-03735-LA-1106664R1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Cruise: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Taxi-In (shall be consumed from the reserve fuel):</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AERO-B-BBA4-M12-0762A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Usable reserve fuel remaining upon completion of the approach and landing maneuver: [*CTR]</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information purposes, the [*CTR]</w:t>
      </w:r>
    </w:p>
    <w:p>
      <w:pPr>
        <w:spacing w:after="0" w:line="14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Mission Block Fuel</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block fuel for a stage length of [*CTR] pound payload using the conditions and operating rules defined below, shall not be more than the following guarantee value:</w:t>
      </w:r>
    </w:p>
    <w:p>
      <w:pPr>
        <w:spacing w:after="0" w:line="7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Conditions and operating rules:</w:t>
      </w:r>
    </w:p>
    <w:p>
      <w:pPr>
        <w:sectPr>
          <w:pgSz w:w="11900" w:h="16838" w:orient="portrait"/>
          <w:cols w:equalWidth="0" w:num="1">
            <w:col w:w="11420"/>
          </w:cols>
          <w:pgMar w:left="240" w:top="274" w:right="239" w:bottom="1440" w:gutter="0" w:footer="0" w:header="0"/>
        </w:sectPr>
      </w:pPr>
    </w:p>
    <w:p>
      <w:pPr>
        <w:spacing w:after="0" w:line="13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Stage Length:</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stage length is defined as the sum of the distances for the climbout maneuver, climb, cruise, and descent.</w:t>
      </w:r>
    </w:p>
    <w:p>
      <w:pPr>
        <w:spacing w:after="0" w:line="140" w:lineRule="exact"/>
        <w:rPr>
          <w:sz w:val="20"/>
          <w:szCs w:val="20"/>
          <w:color w:val="auto"/>
        </w:rPr>
      </w:pPr>
    </w:p>
    <w:p>
      <w:pPr>
        <w:sectPr>
          <w:pgSz w:w="11900" w:h="16838" w:orient="portrait"/>
          <w:cols w:equalWidth="0" w:num="2">
            <w:col w:w="1720" w:space="240"/>
            <w:col w:w="9460"/>
          </w:cols>
          <w:pgMar w:left="240" w:top="274"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Block Fuel: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block fuel is defined as the sum of the fuel used for taxi-out, takeoff and climbout maneuver, climb, cruise, descent, approach and landing maneuver, and taxi-in.</w:t>
      </w:r>
    </w:p>
    <w:p>
      <w:pPr>
        <w:spacing w:after="0" w:line="62" w:lineRule="exact"/>
        <w:rPr>
          <w:sz w:val="20"/>
          <w:szCs w:val="20"/>
          <w:color w:val="auto"/>
        </w:rPr>
      </w:pPr>
    </w:p>
    <w:p>
      <w:pPr>
        <w:sectPr>
          <w:pgSz w:w="11900" w:h="16838" w:orient="portrait"/>
          <w:cols w:equalWidth="0" w:num="2">
            <w:col w:w="1560" w:space="400"/>
            <w:col w:w="9460"/>
          </w:cols>
          <w:pgMar w:left="240" w:top="274" w:right="239" w:bottom="1440" w:gutter="0" w:footer="0" w:header="0"/>
          <w:type w:val="continuous"/>
        </w:sectPr>
      </w:pPr>
    </w:p>
    <w:p>
      <w:pPr>
        <w:jc w:val="center"/>
        <w:ind w:left="720"/>
        <w:spacing w:after="0"/>
        <w:rPr>
          <w:sz w:val="20"/>
          <w:szCs w:val="20"/>
          <w:color w:val="auto"/>
        </w:rPr>
      </w:pPr>
      <w:r>
        <w:rPr>
          <w:rFonts w:ascii="Arial" w:cs="Arial" w:eastAsia="Arial" w:hAnsi="Arial"/>
          <w:sz w:val="16"/>
          <w:szCs w:val="16"/>
          <w:color w:val="auto"/>
        </w:rPr>
        <w:t>Takeoff: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320" w:space="6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The takeoff gross weight shall conform to FAA Regulations.</w:t>
      </w:r>
    </w:p>
    <w:p>
      <w:pPr>
        <w:sectPr>
          <w:pgSz w:w="11900" w:h="16838" w:orient="portrait"/>
          <w:cols w:equalWidth="0" w:num="1">
            <w:col w:w="11420"/>
          </w:cols>
          <w:pgMar w:left="240" w:top="274" w:right="239" w:bottom="1440" w:gutter="0" w:footer="0" w:header="0"/>
          <w:type w:val="continuous"/>
        </w:sectPr>
      </w:pPr>
    </w:p>
    <w:p>
      <w:pPr>
        <w:spacing w:after="0" w:line="14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Climbout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Maneuver: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333" w:lineRule="exact"/>
        <w:rPr>
          <w:sz w:val="20"/>
          <w:szCs w:val="20"/>
          <w:color w:val="auto"/>
        </w:rPr>
      </w:pPr>
    </w:p>
    <w:p>
      <w:pPr>
        <w:sectPr>
          <w:pgSz w:w="11900" w:h="16838" w:orient="portrait"/>
          <w:cols w:equalWidth="0" w:num="2">
            <w:col w:w="1500" w:space="460"/>
            <w:col w:w="9460"/>
          </w:cols>
          <w:pgMar w:left="240" w:top="274" w:right="239" w:bottom="1440" w:gutter="0" w:footer="0" w:header="0"/>
          <w:type w:val="continuous"/>
        </w:sectPr>
      </w:pPr>
    </w:p>
    <w:p>
      <w:pPr>
        <w:jc w:val="center"/>
        <w:ind w:left="700"/>
        <w:spacing w:after="0"/>
        <w:rPr>
          <w:sz w:val="20"/>
          <w:szCs w:val="20"/>
          <w:color w:val="auto"/>
        </w:rPr>
      </w:pPr>
      <w:r>
        <w:rPr>
          <w:rFonts w:ascii="Arial" w:cs="Arial" w:eastAsia="Arial" w:hAnsi="Arial"/>
          <w:sz w:val="17"/>
          <w:szCs w:val="17"/>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1240" w:space="72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AERO-B-BBA4-M12-0762A</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AAL-PA-03735-LA-1106664R1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Cruise: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Taxi-In (shall be consumed from the reserve fuel):</w:t>
      </w:r>
    </w:p>
    <w:p>
      <w:pPr>
        <w:spacing w:after="0" w:line="46"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AERO-B-BBA4-M12-0762A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1960" w:right="2580"/>
        <w:spacing w:after="0" w:line="381" w:lineRule="auto"/>
        <w:rPr>
          <w:sz w:val="20"/>
          <w:szCs w:val="20"/>
          <w:color w:val="auto"/>
        </w:rPr>
      </w:pPr>
      <w:r>
        <w:rPr>
          <w:rFonts w:ascii="Arial" w:cs="Arial" w:eastAsia="Arial" w:hAnsi="Arial"/>
          <w:sz w:val="18"/>
          <w:szCs w:val="18"/>
          <w:color w:val="auto"/>
        </w:rPr>
        <w:t>Usable reserve fuel remaining upon completion of the approach and landing maneuver: [*CTR] For information purposes, the [*CTR]</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b w:val="1"/>
          <w:bCs w:val="1"/>
          <w:color w:val="auto"/>
        </w:rPr>
        <w:t>[*CTR]</w:t>
      </w:r>
    </w:p>
    <w:p>
      <w:pPr>
        <w:spacing w:after="0" w:line="121"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 [*CTR] (representative of a [*CTR]) using the conditions and operating rules defined below, shall not be less than the following guarantee value:</w:t>
      </w:r>
    </w:p>
    <w:p>
      <w:pPr>
        <w:spacing w:after="0" w:line="7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Conditions and operating rules:</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Stage Length:</w:t>
      </w:r>
      <w:r>
        <w:rPr>
          <w:sz w:val="20"/>
          <w:szCs w:val="20"/>
          <w:color w:val="auto"/>
        </w:rPr>
        <w:tab/>
      </w:r>
      <w:r>
        <w:rPr>
          <w:rFonts w:ascii="Arial" w:cs="Arial" w:eastAsia="Arial" w:hAnsi="Arial"/>
          <w:sz w:val="16"/>
          <w:szCs w:val="16"/>
          <w:color w:val="auto"/>
        </w:rPr>
        <w:t>The stage length is defined as the sum of the distances for the climbout maneuver, climb, cruise, and descent.</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Takeoff:</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following [*CTR] are specified with reference to the [*CTR]: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140" w:type="dxa"/>
            <w:vAlign w:val="bottom"/>
          </w:tcPr>
          <w:p>
            <w:pPr>
              <w:jc w:val="center"/>
              <w:ind w:left="313"/>
              <w:spacing w:after="0"/>
              <w:rPr>
                <w:sz w:val="20"/>
                <w:szCs w:val="20"/>
                <w:color w:val="auto"/>
              </w:rPr>
            </w:pPr>
            <w:r>
              <w:rPr>
                <w:rFonts w:ascii="Arial" w:cs="Arial" w:eastAsia="Arial" w:hAnsi="Arial"/>
                <w:sz w:val="14"/>
                <w:szCs w:val="14"/>
                <w:color w:val="auto"/>
                <w:w w:val="91"/>
              </w:rPr>
              <w:t>Distance</w:t>
            </w:r>
          </w:p>
        </w:tc>
        <w:tc>
          <w:tcPr>
            <w:tcW w:w="3500" w:type="dxa"/>
            <w:vAlign w:val="bottom"/>
          </w:tcPr>
          <w:p>
            <w:pPr>
              <w:jc w:val="center"/>
              <w:ind w:right="2693"/>
              <w:spacing w:after="0"/>
              <w:rPr>
                <w:sz w:val="20"/>
                <w:szCs w:val="20"/>
                <w:color w:val="auto"/>
              </w:rPr>
            </w:pPr>
            <w:r>
              <w:rPr>
                <w:rFonts w:ascii="Arial" w:cs="Arial" w:eastAsia="Arial" w:hAnsi="Arial"/>
                <w:sz w:val="14"/>
                <w:szCs w:val="14"/>
                <w:color w:val="auto"/>
                <w:w w:val="98"/>
              </w:rPr>
              <w:t>Height</w:t>
            </w:r>
          </w:p>
        </w:tc>
      </w:tr>
      <w:tr>
        <w:trPr>
          <w:trHeight w:val="216"/>
        </w:trPr>
        <w:tc>
          <w:tcPr>
            <w:tcW w:w="6780" w:type="dxa"/>
            <w:vAlign w:val="bottom"/>
          </w:tcPr>
          <w:p>
            <w:pPr>
              <w:jc w:val="right"/>
              <w:ind w:right="3690"/>
              <w:spacing w:after="0"/>
              <w:rPr>
                <w:sz w:val="20"/>
                <w:szCs w:val="20"/>
                <w:color w:val="auto"/>
              </w:rPr>
            </w:pPr>
            <w:r>
              <w:rPr>
                <w:rFonts w:ascii="Arial" w:cs="Arial" w:eastAsia="Arial" w:hAnsi="Arial"/>
                <w:sz w:val="18"/>
                <w:szCs w:val="18"/>
                <w:color w:val="auto"/>
              </w:rPr>
              <w:t>1.</w:t>
            </w:r>
          </w:p>
        </w:tc>
        <w:tc>
          <w:tcPr>
            <w:tcW w:w="1140" w:type="dxa"/>
            <w:vAlign w:val="bottom"/>
          </w:tcPr>
          <w:p>
            <w:pPr>
              <w:jc w:val="center"/>
              <w:ind w:left="333"/>
              <w:spacing w:after="0"/>
              <w:rPr>
                <w:sz w:val="20"/>
                <w:szCs w:val="20"/>
                <w:color w:val="auto"/>
              </w:rPr>
            </w:pPr>
            <w:r>
              <w:rPr>
                <w:rFonts w:ascii="Arial" w:cs="Arial" w:eastAsia="Arial" w:hAnsi="Arial"/>
                <w:sz w:val="18"/>
                <w:szCs w:val="18"/>
                <w:color w:val="auto"/>
              </w:rPr>
              <w:t>[*CTR]</w:t>
            </w:r>
          </w:p>
        </w:tc>
        <w:tc>
          <w:tcPr>
            <w:tcW w:w="3500" w:type="dxa"/>
            <w:vAlign w:val="bottom"/>
          </w:tcPr>
          <w:p>
            <w:pPr>
              <w:jc w:val="center"/>
              <w:ind w:right="2693"/>
              <w:spacing w:after="0"/>
              <w:rPr>
                <w:sz w:val="20"/>
                <w:szCs w:val="20"/>
                <w:color w:val="auto"/>
              </w:rPr>
            </w:pPr>
            <w:r>
              <w:rPr>
                <w:rFonts w:ascii="Arial" w:cs="Arial" w:eastAsia="Arial" w:hAnsi="Arial"/>
                <w:sz w:val="18"/>
                <w:szCs w:val="18"/>
                <w:color w:val="auto"/>
              </w:rPr>
              <w:t>[*CTR]</w:t>
            </w:r>
          </w:p>
        </w:tc>
      </w:tr>
      <w:tr>
        <w:trPr>
          <w:trHeight w:val="216"/>
        </w:trPr>
        <w:tc>
          <w:tcPr>
            <w:tcW w:w="6780" w:type="dxa"/>
            <w:vAlign w:val="bottom"/>
          </w:tcPr>
          <w:p>
            <w:pPr>
              <w:jc w:val="right"/>
              <w:ind w:right="3690"/>
              <w:spacing w:after="0"/>
              <w:rPr>
                <w:sz w:val="20"/>
                <w:szCs w:val="20"/>
                <w:color w:val="auto"/>
              </w:rPr>
            </w:pPr>
            <w:r>
              <w:rPr>
                <w:rFonts w:ascii="Arial" w:cs="Arial" w:eastAsia="Arial" w:hAnsi="Arial"/>
                <w:sz w:val="18"/>
                <w:szCs w:val="18"/>
                <w:color w:val="auto"/>
              </w:rPr>
              <w:t>2.</w:t>
            </w:r>
          </w:p>
        </w:tc>
        <w:tc>
          <w:tcPr>
            <w:tcW w:w="1140" w:type="dxa"/>
            <w:vAlign w:val="bottom"/>
          </w:tcPr>
          <w:p>
            <w:pPr>
              <w:jc w:val="center"/>
              <w:ind w:left="333"/>
              <w:spacing w:after="0"/>
              <w:rPr>
                <w:sz w:val="20"/>
                <w:szCs w:val="20"/>
                <w:color w:val="auto"/>
              </w:rPr>
            </w:pPr>
            <w:r>
              <w:rPr>
                <w:rFonts w:ascii="Arial" w:cs="Arial" w:eastAsia="Arial" w:hAnsi="Arial"/>
                <w:sz w:val="18"/>
                <w:szCs w:val="18"/>
                <w:color w:val="auto"/>
              </w:rPr>
              <w:t>[*CTR]</w:t>
            </w:r>
          </w:p>
        </w:tc>
        <w:tc>
          <w:tcPr>
            <w:tcW w:w="3500" w:type="dxa"/>
            <w:vAlign w:val="bottom"/>
          </w:tcPr>
          <w:p>
            <w:pPr>
              <w:jc w:val="center"/>
              <w:ind w:right="2693"/>
              <w:spacing w:after="0"/>
              <w:rPr>
                <w:sz w:val="20"/>
                <w:szCs w:val="20"/>
                <w:color w:val="auto"/>
              </w:rPr>
            </w:pPr>
            <w:r>
              <w:rPr>
                <w:rFonts w:ascii="Arial" w:cs="Arial" w:eastAsia="Arial" w:hAnsi="Arial"/>
                <w:sz w:val="18"/>
                <w:szCs w:val="18"/>
                <w:color w:val="auto"/>
              </w:rPr>
              <w:t>[*CTR]</w:t>
            </w:r>
          </w:p>
        </w:tc>
      </w:tr>
      <w:tr>
        <w:trPr>
          <w:trHeight w:val="216"/>
        </w:trPr>
        <w:tc>
          <w:tcPr>
            <w:tcW w:w="6780" w:type="dxa"/>
            <w:vAlign w:val="bottom"/>
          </w:tcPr>
          <w:p>
            <w:pPr>
              <w:jc w:val="right"/>
              <w:ind w:right="3690"/>
              <w:spacing w:after="0"/>
              <w:rPr>
                <w:sz w:val="20"/>
                <w:szCs w:val="20"/>
                <w:color w:val="auto"/>
              </w:rPr>
            </w:pPr>
            <w:r>
              <w:rPr>
                <w:rFonts w:ascii="Arial" w:cs="Arial" w:eastAsia="Arial" w:hAnsi="Arial"/>
                <w:sz w:val="18"/>
                <w:szCs w:val="18"/>
                <w:color w:val="auto"/>
              </w:rPr>
              <w:t>3.</w:t>
            </w:r>
          </w:p>
        </w:tc>
        <w:tc>
          <w:tcPr>
            <w:tcW w:w="1140" w:type="dxa"/>
            <w:vAlign w:val="bottom"/>
          </w:tcPr>
          <w:p>
            <w:pPr>
              <w:jc w:val="center"/>
              <w:ind w:left="333"/>
              <w:spacing w:after="0"/>
              <w:rPr>
                <w:sz w:val="20"/>
                <w:szCs w:val="20"/>
                <w:color w:val="auto"/>
              </w:rPr>
            </w:pPr>
            <w:r>
              <w:rPr>
                <w:rFonts w:ascii="Arial" w:cs="Arial" w:eastAsia="Arial" w:hAnsi="Arial"/>
                <w:sz w:val="18"/>
                <w:szCs w:val="18"/>
                <w:color w:val="auto"/>
              </w:rPr>
              <w:t>[*CTR]</w:t>
            </w:r>
          </w:p>
        </w:tc>
        <w:tc>
          <w:tcPr>
            <w:tcW w:w="3500" w:type="dxa"/>
            <w:vAlign w:val="bottom"/>
          </w:tcPr>
          <w:p>
            <w:pPr>
              <w:jc w:val="center"/>
              <w:ind w:right="2693"/>
              <w:spacing w:after="0"/>
              <w:rPr>
                <w:sz w:val="20"/>
                <w:szCs w:val="20"/>
                <w:color w:val="auto"/>
              </w:rPr>
            </w:pPr>
            <w:r>
              <w:rPr>
                <w:rFonts w:ascii="Arial" w:cs="Arial" w:eastAsia="Arial" w:hAnsi="Arial"/>
                <w:sz w:val="18"/>
                <w:szCs w:val="18"/>
                <w:color w:val="auto"/>
              </w:rPr>
              <w:t>[*CTR]</w:t>
            </w:r>
          </w:p>
        </w:tc>
      </w:tr>
      <w:tr>
        <w:trPr>
          <w:trHeight w:val="216"/>
        </w:trPr>
        <w:tc>
          <w:tcPr>
            <w:tcW w:w="6780" w:type="dxa"/>
            <w:vAlign w:val="bottom"/>
          </w:tcPr>
          <w:p>
            <w:pPr>
              <w:jc w:val="right"/>
              <w:ind w:right="3690"/>
              <w:spacing w:after="0"/>
              <w:rPr>
                <w:sz w:val="20"/>
                <w:szCs w:val="20"/>
                <w:color w:val="auto"/>
              </w:rPr>
            </w:pPr>
            <w:r>
              <w:rPr>
                <w:rFonts w:ascii="Arial" w:cs="Arial" w:eastAsia="Arial" w:hAnsi="Arial"/>
                <w:sz w:val="18"/>
                <w:szCs w:val="18"/>
                <w:color w:val="auto"/>
              </w:rPr>
              <w:t>4.</w:t>
            </w:r>
          </w:p>
        </w:tc>
        <w:tc>
          <w:tcPr>
            <w:tcW w:w="1140" w:type="dxa"/>
            <w:vAlign w:val="bottom"/>
          </w:tcPr>
          <w:p>
            <w:pPr>
              <w:jc w:val="center"/>
              <w:ind w:left="333"/>
              <w:spacing w:after="0"/>
              <w:rPr>
                <w:sz w:val="20"/>
                <w:szCs w:val="20"/>
                <w:color w:val="auto"/>
              </w:rPr>
            </w:pPr>
            <w:r>
              <w:rPr>
                <w:rFonts w:ascii="Arial" w:cs="Arial" w:eastAsia="Arial" w:hAnsi="Arial"/>
                <w:sz w:val="18"/>
                <w:szCs w:val="18"/>
                <w:color w:val="auto"/>
              </w:rPr>
              <w:t>[*CTR]</w:t>
            </w:r>
          </w:p>
        </w:tc>
        <w:tc>
          <w:tcPr>
            <w:tcW w:w="3500" w:type="dxa"/>
            <w:vAlign w:val="bottom"/>
          </w:tcPr>
          <w:p>
            <w:pPr>
              <w:jc w:val="center"/>
              <w:ind w:right="2693"/>
              <w:spacing w:after="0"/>
              <w:rPr>
                <w:sz w:val="20"/>
                <w:szCs w:val="20"/>
                <w:color w:val="auto"/>
              </w:rPr>
            </w:pPr>
            <w:r>
              <w:rPr>
                <w:rFonts w:ascii="Arial" w:cs="Arial" w:eastAsia="Arial" w:hAnsi="Arial"/>
                <w:sz w:val="18"/>
                <w:szCs w:val="18"/>
                <w:color w:val="auto"/>
              </w:rPr>
              <w:t>[*CTR]</w:t>
            </w:r>
          </w:p>
        </w:tc>
      </w:tr>
      <w:tr>
        <w:trPr>
          <w:trHeight w:val="230"/>
        </w:trPr>
        <w:tc>
          <w:tcPr>
            <w:tcW w:w="6780" w:type="dxa"/>
            <w:vAlign w:val="bottom"/>
          </w:tcPr>
          <w:p>
            <w:pPr>
              <w:jc w:val="right"/>
              <w:ind w:right="3690"/>
              <w:spacing w:after="0"/>
              <w:rPr>
                <w:sz w:val="20"/>
                <w:szCs w:val="20"/>
                <w:color w:val="auto"/>
              </w:rPr>
            </w:pPr>
            <w:r>
              <w:rPr>
                <w:rFonts w:ascii="Arial" w:cs="Arial" w:eastAsia="Arial" w:hAnsi="Arial"/>
                <w:sz w:val="18"/>
                <w:szCs w:val="18"/>
                <w:color w:val="auto"/>
              </w:rPr>
              <w:t>5.</w:t>
            </w:r>
          </w:p>
        </w:tc>
        <w:tc>
          <w:tcPr>
            <w:tcW w:w="1140" w:type="dxa"/>
            <w:vAlign w:val="bottom"/>
          </w:tcPr>
          <w:p>
            <w:pPr>
              <w:jc w:val="center"/>
              <w:ind w:left="333"/>
              <w:spacing w:after="0"/>
              <w:rPr>
                <w:sz w:val="20"/>
                <w:szCs w:val="20"/>
                <w:color w:val="auto"/>
              </w:rPr>
            </w:pPr>
            <w:r>
              <w:rPr>
                <w:rFonts w:ascii="Arial" w:cs="Arial" w:eastAsia="Arial" w:hAnsi="Arial"/>
                <w:sz w:val="18"/>
                <w:szCs w:val="18"/>
                <w:color w:val="auto"/>
              </w:rPr>
              <w:t>[*CTR]</w:t>
            </w:r>
          </w:p>
        </w:tc>
        <w:tc>
          <w:tcPr>
            <w:tcW w:w="3500" w:type="dxa"/>
            <w:vAlign w:val="bottom"/>
          </w:tcPr>
          <w:p>
            <w:pPr>
              <w:jc w:val="center"/>
              <w:ind w:right="2693"/>
              <w:spacing w:after="0"/>
              <w:rPr>
                <w:sz w:val="20"/>
                <w:szCs w:val="20"/>
                <w:color w:val="auto"/>
              </w:rPr>
            </w:pPr>
            <w:r>
              <w:rPr>
                <w:rFonts w:ascii="Arial" w:cs="Arial" w:eastAsia="Arial" w:hAnsi="Arial"/>
                <w:sz w:val="18"/>
                <w:szCs w:val="18"/>
                <w:color w:val="auto"/>
              </w:rPr>
              <w:t>[*CTR]</w:t>
            </w:r>
          </w:p>
        </w:tc>
      </w:tr>
      <w:tr>
        <w:trPr>
          <w:trHeight w:val="324"/>
        </w:trPr>
        <w:tc>
          <w:tcPr>
            <w:tcW w:w="6780" w:type="dxa"/>
            <w:vAlign w:val="bottom"/>
          </w:tcPr>
          <w:p>
            <w:pPr>
              <w:ind w:left="196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24"/>
        </w:trPr>
        <w:tc>
          <w:tcPr>
            <w:tcW w:w="6780" w:type="dxa"/>
            <w:vAlign w:val="bottom"/>
          </w:tcPr>
          <w:p>
            <w:pPr>
              <w:ind w:left="1960"/>
              <w:spacing w:after="0"/>
              <w:rPr>
                <w:sz w:val="20"/>
                <w:szCs w:val="20"/>
                <w:color w:val="auto"/>
              </w:rPr>
            </w:pPr>
            <w:r>
              <w:rPr>
                <w:rFonts w:ascii="Arial" w:cs="Arial" w:eastAsia="Arial" w:hAnsi="Arial"/>
                <w:sz w:val="18"/>
                <w:szCs w:val="18"/>
                <w:color w:val="auto"/>
              </w:rPr>
              <w:t>[*CTR]</w:t>
            </w:r>
          </w:p>
        </w:tc>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24"/>
        </w:trPr>
        <w:tc>
          <w:tcPr>
            <w:tcW w:w="6780" w:type="dxa"/>
            <w:vAlign w:val="bottom"/>
          </w:tcPr>
          <w:p>
            <w:pPr>
              <w:ind w:left="1960"/>
              <w:spacing w:after="0"/>
              <w:rPr>
                <w:sz w:val="20"/>
                <w:szCs w:val="20"/>
                <w:color w:val="auto"/>
              </w:rPr>
            </w:pPr>
            <w:r>
              <w:rPr>
                <w:rFonts w:ascii="Arial" w:cs="Arial" w:eastAsia="Arial" w:hAnsi="Arial"/>
                <w:sz w:val="18"/>
                <w:szCs w:val="18"/>
                <w:color w:val="auto"/>
              </w:rPr>
              <w:t>The takeoff gross weight shall conform to FAA Regulations.</w:t>
            </w:r>
          </w:p>
        </w:tc>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50"/>
        </w:trPr>
        <w:tc>
          <w:tcPr>
            <w:tcW w:w="6780" w:type="dxa"/>
            <w:vAlign w:val="bottom"/>
          </w:tcPr>
          <w:p>
            <w:pPr>
              <w:spacing w:after="0"/>
              <w:rPr>
                <w:sz w:val="20"/>
                <w:szCs w:val="20"/>
                <w:color w:val="auto"/>
              </w:rPr>
            </w:pPr>
            <w:r>
              <w:rPr>
                <w:rFonts w:ascii="Arial" w:cs="Arial" w:eastAsia="Arial" w:hAnsi="Arial"/>
                <w:sz w:val="18"/>
                <w:szCs w:val="18"/>
                <w:color w:val="auto"/>
              </w:rPr>
              <w:t>P.A. No. 03735</w:t>
            </w:r>
          </w:p>
        </w:tc>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AERO-B-BBA4-M12-0762A</w:t>
            </w:r>
          </w:p>
        </w:tc>
        <w:tc>
          <w:tcPr>
            <w:tcW w:w="1140" w:type="dxa"/>
            <w:vAlign w:val="bottom"/>
          </w:tcPr>
          <w:p>
            <w:pPr>
              <w:spacing w:after="0"/>
              <w:rPr>
                <w:sz w:val="20"/>
                <w:szCs w:val="20"/>
                <w:color w:val="auto"/>
              </w:rPr>
            </w:pPr>
          </w:p>
        </w:tc>
        <w:tc>
          <w:tcPr>
            <w:tcW w:w="3500" w:type="dxa"/>
            <w:vAlign w:val="bottom"/>
          </w:tcPr>
          <w:p>
            <w:pPr>
              <w:ind w:left="270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 AAL-PA-03735-LA-1106664R1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Climbout</w:t>
      </w:r>
      <w:r>
        <w:rPr>
          <w:sz w:val="20"/>
          <w:szCs w:val="20"/>
          <w:color w:val="auto"/>
        </w:rPr>
        <w:tab/>
      </w:r>
      <w:r>
        <w:rPr>
          <w:rFonts w:ascii="Arial" w:cs="Arial" w:eastAsia="Arial" w:hAnsi="Arial"/>
          <w:sz w:val="18"/>
          <w:szCs w:val="18"/>
          <w:color w:val="auto"/>
        </w:rPr>
        <w:t>[*CTR]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Climb:</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Cruise:</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940" w:val="left"/>
        </w:tabs>
        <w:rPr>
          <w:sz w:val="20"/>
          <w:szCs w:val="20"/>
          <w:color w:val="auto"/>
        </w:rPr>
      </w:pPr>
      <w:r>
        <w:rPr>
          <w:rFonts w:ascii="Arial" w:cs="Arial" w:eastAsia="Arial" w:hAnsi="Arial"/>
          <w:sz w:val="18"/>
          <w:szCs w:val="18"/>
          <w:color w:val="auto"/>
        </w:rPr>
        <w:t>Descent: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Approach</w:t>
      </w:r>
      <w:r>
        <w:rPr>
          <w:sz w:val="20"/>
          <w:szCs w:val="20"/>
          <w:color w:val="auto"/>
        </w:rPr>
        <w:tab/>
      </w:r>
      <w:r>
        <w:rPr>
          <w:rFonts w:ascii="Arial" w:cs="Arial" w:eastAsia="Arial" w:hAnsi="Arial"/>
          <w:sz w:val="17"/>
          <w:szCs w:val="17"/>
          <w:color w:val="auto"/>
        </w:rPr>
        <w:t>and  [*CTR]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Landing</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Maneuver:</w:t>
      </w:r>
    </w:p>
    <w:p>
      <w:pPr>
        <w:spacing w:after="0" w:line="1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Fixed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Allowances: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 of this guarantee and for the purpose of establishing compliance with this guarantee, the following shall be used as fixed quantities and allowances:</w:t>
      </w:r>
    </w:p>
    <w:p>
      <w:pPr>
        <w:spacing w:after="0" w:line="62" w:lineRule="exact"/>
        <w:rPr>
          <w:sz w:val="20"/>
          <w:szCs w:val="20"/>
          <w:color w:val="auto"/>
        </w:rPr>
      </w:pPr>
    </w:p>
    <w:p>
      <w:pPr>
        <w:sectPr>
          <w:pgSz w:w="11900" w:h="16838" w:orient="portrait"/>
          <w:cols w:equalWidth="0" w:num="2">
            <w:col w:w="1620" w:space="340"/>
            <w:col w:w="9460"/>
          </w:cols>
          <w:pgMar w:left="240" w:top="27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Taxi-Out:</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P.A. No. 03735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AERO-B-BBA4-M12-0762A</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SS13-0513</w:t>
      </w:r>
    </w:p>
    <w:p>
      <w:pPr>
        <w:spacing w:after="0" w:line="58" w:lineRule="exact"/>
        <w:rPr>
          <w:sz w:val="20"/>
          <w:szCs w:val="20"/>
          <w:color w:val="auto"/>
        </w:rPr>
      </w:pPr>
    </w:p>
    <w:p>
      <w:pPr>
        <w:sectPr>
          <w:pgSz w:w="11900" w:h="16838" w:orient="portrait"/>
          <w:cols w:equalWidth="0" w:num="2">
            <w:col w:w="9900" w:space="720"/>
            <w:col w:w="80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Takeoff and Climbout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Approach and Landing Maneuver:</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Taxi-In (shall be consumed from the reserve fuel):</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[*CTR]</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Usable reserve fuel remaining upon completion of the approach and landing maneuver: [*CTR]</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information purposes, the [*CTR]</w:t>
      </w:r>
    </w:p>
    <w:p>
      <w:pPr>
        <w:spacing w:after="0" w:line="12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Operational Empty Weight Basis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Operational Empty Weight (OEW) derived in Paragraph 2.1.5 is the basis for the mission guarantees of Paragraphs 2.1.1, 2.1.2, and 2.1.3.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AERO-B-BBA4-M12-0762A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737-9 Weight Summary – [*CTR]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Pounds</w:t>
            </w:r>
          </w:p>
        </w:tc>
        <w:tc>
          <w:tcPr>
            <w:tcW w:w="80" w:type="dxa"/>
            <w:vAlign w:val="bottom"/>
          </w:tcPr>
          <w:p>
            <w:pPr>
              <w:spacing w:after="0"/>
              <w:rPr>
                <w:sz w:val="14"/>
                <w:szCs w:val="14"/>
                <w:color w:val="auto"/>
              </w:rPr>
            </w:pPr>
          </w:p>
        </w:tc>
      </w:tr>
      <w:tr>
        <w:trPr>
          <w:trHeight w:val="318"/>
        </w:trPr>
        <w:tc>
          <w:tcPr>
            <w:tcW w:w="5360" w:type="dxa"/>
            <w:vAlign w:val="bottom"/>
          </w:tcPr>
          <w:p>
            <w:pPr>
              <w:spacing w:after="0"/>
              <w:rPr>
                <w:sz w:val="20"/>
                <w:szCs w:val="20"/>
                <w:color w:val="auto"/>
              </w:rPr>
            </w:pPr>
            <w:r>
              <w:rPr>
                <w:rFonts w:ascii="Arial" w:cs="Arial" w:eastAsia="Arial" w:hAnsi="Arial"/>
                <w:sz w:val="18"/>
                <w:szCs w:val="18"/>
                <w:b w:val="1"/>
                <w:bCs w:val="1"/>
                <w:color w:val="auto"/>
              </w:rPr>
              <w:t>Standard Model Specification MEW</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*CTR</w:t>
            </w:r>
            <w:r>
              <w:rPr>
                <w:rFonts w:ascii="Arial" w:cs="Arial" w:eastAsia="Arial" w:hAnsi="Arial"/>
                <w:sz w:val="18"/>
                <w:szCs w:val="18"/>
                <w:b w:val="1"/>
                <w:bCs w:val="1"/>
                <w:color w:val="auto"/>
                <w:w w:val="99"/>
              </w:rPr>
              <w:t>]</w:t>
            </w:r>
          </w:p>
        </w:tc>
      </w:tr>
      <w:tr>
        <w:trPr>
          <w:trHeight w:val="310"/>
        </w:trPr>
        <w:tc>
          <w:tcPr>
            <w:tcW w:w="5360" w:type="dxa"/>
            <w:vAlign w:val="bottom"/>
          </w:tcPr>
          <w:p>
            <w:pPr>
              <w:spacing w:after="0"/>
              <w:rPr>
                <w:sz w:val="20"/>
                <w:szCs w:val="20"/>
                <w:color w:val="auto"/>
              </w:rPr>
            </w:pPr>
            <w:r>
              <w:rPr>
                <w:rFonts w:ascii="Arial" w:cs="Arial" w:eastAsia="Arial" w:hAnsi="Arial"/>
                <w:sz w:val="18"/>
                <w:szCs w:val="18"/>
                <w:color w:val="auto"/>
              </w:rPr>
              <w:t>Configuration Specification [*CTR]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0"/>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 *</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108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16"/>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230"/>
        </w:trPr>
        <w:tc>
          <w:tcPr>
            <w:tcW w:w="5360" w:type="dxa"/>
            <w:vAlign w:val="bottom"/>
          </w:tcPr>
          <w:p>
            <w:pPr>
              <w:ind w:left="72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324"/>
        </w:trPr>
        <w:tc>
          <w:tcPr>
            <w:tcW w:w="53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 Manufacturer’s Empty Weight (MEW)</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*CTR</w:t>
            </w:r>
            <w:r>
              <w:rPr>
                <w:rFonts w:ascii="Arial" w:cs="Arial" w:eastAsia="Arial" w:hAnsi="Arial"/>
                <w:sz w:val="18"/>
                <w:szCs w:val="18"/>
                <w:b w:val="1"/>
                <w:bCs w:val="1"/>
                <w:color w:val="auto"/>
                <w:w w:val="99"/>
              </w:rPr>
              <w:t>]</w:t>
            </w:r>
          </w:p>
        </w:tc>
      </w:tr>
      <w:tr>
        <w:trPr>
          <w:trHeight w:val="324"/>
        </w:trPr>
        <w:tc>
          <w:tcPr>
            <w:tcW w:w="5360" w:type="dxa"/>
            <w:vAlign w:val="bottom"/>
          </w:tcPr>
          <w:p>
            <w:pPr>
              <w:ind w:left="360"/>
              <w:spacing w:after="0"/>
              <w:rPr>
                <w:sz w:val="20"/>
                <w:szCs w:val="20"/>
                <w:color w:val="auto"/>
              </w:rPr>
            </w:pPr>
            <w:r>
              <w:rPr>
                <w:rFonts w:ascii="Arial" w:cs="Arial" w:eastAsia="Arial" w:hAnsi="Arial"/>
                <w:sz w:val="18"/>
                <w:szCs w:val="18"/>
                <w:color w:val="auto"/>
              </w:rPr>
              <w:t>Standard and Operational Items Allowance (Paragraph 2.1.6)</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color w:val="auto"/>
              </w:rPr>
              <w:t>[*CTR]</w:t>
            </w:r>
          </w:p>
        </w:tc>
      </w:tr>
      <w:tr>
        <w:trPr>
          <w:trHeight w:val="324"/>
        </w:trPr>
        <w:tc>
          <w:tcPr>
            <w:tcW w:w="536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 Operational Empty Weight (OEW)</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*CTR</w:t>
            </w:r>
            <w:r>
              <w:rPr>
                <w:rFonts w:ascii="Arial" w:cs="Arial" w:eastAsia="Arial" w:hAnsi="Arial"/>
                <w:sz w:val="18"/>
                <w:szCs w:val="18"/>
                <w:b w:val="1"/>
                <w:bCs w:val="1"/>
                <w:color w:val="auto"/>
                <w:w w:val="99"/>
              </w:rPr>
              <w:t>]</w:t>
            </w:r>
          </w:p>
        </w:tc>
      </w:tr>
      <w:tr>
        <w:trPr>
          <w:trHeight w:val="392"/>
        </w:trPr>
        <w:tc>
          <w:tcPr>
            <w:tcW w:w="5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Quantity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4"/>
              </w:rPr>
              <w:t>Pounds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Pounds</w:t>
            </w:r>
          </w:p>
        </w:tc>
        <w:tc>
          <w:tcPr>
            <w:tcW w:w="3500" w:type="dxa"/>
            <w:vAlign w:val="bottom"/>
            <w:gridSpan w:val="3"/>
          </w:tcPr>
          <w:p>
            <w:pPr>
              <w:spacing w:after="0"/>
              <w:rPr>
                <w:sz w:val="24"/>
                <w:szCs w:val="24"/>
                <w:color w:val="auto"/>
              </w:rPr>
            </w:pPr>
          </w:p>
        </w:tc>
      </w:tr>
      <w:tr>
        <w:trPr>
          <w:trHeight w:val="318"/>
        </w:trPr>
        <w:tc>
          <w:tcPr>
            <w:tcW w:w="5360" w:type="dxa"/>
            <w:vAlign w:val="bottom"/>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gridSpan w:val="5"/>
          </w:tcPr>
          <w:p>
            <w:pPr>
              <w:jc w:val="center"/>
              <w:ind w:right="3340"/>
              <w:spacing w:after="0"/>
              <w:rPr>
                <w:sz w:val="20"/>
                <w:szCs w:val="20"/>
                <w:color w:val="auto"/>
              </w:rPr>
            </w:pPr>
            <w:r>
              <w:rPr>
                <w:rFonts w:ascii="Arial" w:cs="Arial" w:eastAsia="Arial" w:hAnsi="Arial"/>
                <w:sz w:val="18"/>
                <w:szCs w:val="18"/>
                <w:color w:val="auto"/>
              </w:rPr>
              <w:t>[*CTR]</w:t>
            </w:r>
          </w:p>
        </w:tc>
      </w:tr>
      <w:tr>
        <w:trPr>
          <w:trHeight w:val="310"/>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rPr>
              <w:t>[*CTR]</w:t>
            </w:r>
          </w:p>
        </w:tc>
        <w:tc>
          <w:tcPr>
            <w:tcW w:w="72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rPr>
              <w:t>[*CTR]</w:t>
            </w:r>
          </w:p>
        </w:tc>
        <w:tc>
          <w:tcPr>
            <w:tcW w:w="72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[*CTR]</w:t>
            </w:r>
          </w:p>
        </w:tc>
        <w:tc>
          <w:tcPr>
            <w:tcW w:w="1240" w:type="dxa"/>
            <w:vAlign w:val="bottom"/>
            <w:gridSpan w:val="3"/>
          </w:tcPr>
          <w:p>
            <w:pPr>
              <w:jc w:val="center"/>
              <w:ind w:left="430"/>
              <w:spacing w:after="0"/>
              <w:rPr>
                <w:sz w:val="20"/>
                <w:szCs w:val="20"/>
                <w:color w:val="auto"/>
              </w:rPr>
            </w:pPr>
            <w:r>
              <w:rPr>
                <w:rFonts w:ascii="Arial" w:cs="Arial" w:eastAsia="Arial" w:hAnsi="Arial"/>
                <w:sz w:val="18"/>
                <w:szCs w:val="18"/>
                <w:color w:val="auto"/>
              </w:rPr>
              <w:t>[*CTR]</w:t>
            </w:r>
          </w:p>
        </w:tc>
        <w:tc>
          <w:tcPr>
            <w:tcW w:w="72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0"/>
        </w:trPr>
        <w:tc>
          <w:tcPr>
            <w:tcW w:w="5360" w:type="dxa"/>
            <w:vAlign w:val="bottom"/>
          </w:tcPr>
          <w:p>
            <w:pPr>
              <w:spacing w:after="0"/>
              <w:rPr>
                <w:sz w:val="20"/>
                <w:szCs w:val="20"/>
                <w:color w:val="auto"/>
              </w:rPr>
            </w:pPr>
            <w:r>
              <w:rPr>
                <w:rFonts w:ascii="Arial" w:cs="Arial" w:eastAsia="Arial" w:hAnsi="Arial"/>
                <w:sz w:val="18"/>
                <w:szCs w:val="18"/>
                <w:color w:val="auto"/>
              </w:rPr>
              <w:t>P.A. No. 03735</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AERO-B-BBA4-M12-0762A</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gridSpan w:val="3"/>
          </w:tcPr>
          <w:p>
            <w:pPr>
              <w:ind w:left="270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84"/>
              </w:rPr>
              <w:t>2.1.6</w:t>
            </w:r>
          </w:p>
        </w:tc>
        <w:tc>
          <w:tcPr>
            <w:tcW w:w="5880" w:type="dxa"/>
            <w:vAlign w:val="bottom"/>
          </w:tcPr>
          <w:p>
            <w:pPr>
              <w:ind w:left="320"/>
              <w:spacing w:after="0"/>
              <w:rPr>
                <w:sz w:val="20"/>
                <w:szCs w:val="20"/>
                <w:color w:val="auto"/>
              </w:rPr>
            </w:pPr>
            <w:r>
              <w:rPr>
                <w:rFonts w:ascii="Arial" w:cs="Arial" w:eastAsia="Arial" w:hAnsi="Arial"/>
                <w:sz w:val="18"/>
                <w:szCs w:val="18"/>
                <w:b w:val="1"/>
                <w:bCs w:val="1"/>
                <w:color w:val="auto"/>
              </w:rPr>
              <w:t>Standard and Operational Items Allowance</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900" w:type="dxa"/>
            <w:vAlign w:val="bottom"/>
            <w:gridSpan w:val="3"/>
          </w:tcPr>
          <w:p>
            <w:pPr>
              <w:ind w:left="2340"/>
              <w:spacing w:after="0"/>
              <w:rPr>
                <w:sz w:val="20"/>
                <w:szCs w:val="20"/>
                <w:color w:val="auto"/>
              </w:rPr>
            </w:pPr>
            <w:r>
              <w:rPr>
                <w:rFonts w:ascii="Arial" w:cs="Arial" w:eastAsia="Arial" w:hAnsi="Arial"/>
                <w:sz w:val="14"/>
                <w:szCs w:val="14"/>
                <w:color w:val="auto"/>
              </w:rPr>
              <w:t>Qty</w:t>
            </w:r>
          </w:p>
        </w:tc>
        <w:tc>
          <w:tcPr>
            <w:tcW w:w="16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rPr>
              <w:t>Pounds</w:t>
            </w:r>
          </w:p>
        </w:tc>
        <w:tc>
          <w:tcPr>
            <w:tcW w:w="1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Pounds</w:t>
            </w:r>
          </w:p>
        </w:tc>
        <w:tc>
          <w:tcPr>
            <w:tcW w:w="1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Pounds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Standard Items Allowance</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Unusable Fuel</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Oil</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Oxygen Equipment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 Portable</w:t>
            </w:r>
          </w:p>
        </w:tc>
        <w:tc>
          <w:tcPr>
            <w:tcW w:w="29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Crew Masks</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Equipment</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Crash Axe</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Megaphones</w:t>
            </w:r>
          </w:p>
        </w:tc>
        <w:tc>
          <w:tcPr>
            <w:tcW w:w="29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Flashlights</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Smoke Hoods</w:t>
            </w:r>
          </w:p>
        </w:tc>
        <w:tc>
          <w:tcPr>
            <w:tcW w:w="29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Galley Structure &amp; Fixed Inserts</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20" w:type="dxa"/>
            <w:vAlign w:val="bottom"/>
            <w:gridSpan w:val="2"/>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Operational Items Allowance</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Crew and Crew Baggage</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Flight Crew (incl. baggage)</w:t>
            </w:r>
          </w:p>
        </w:tc>
        <w:tc>
          <w:tcPr>
            <w:tcW w:w="29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Cabin Crew (incl. baggage)</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Catering Allowance &amp; Removable Inserts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First Class</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Economy Class</w:t>
            </w:r>
          </w:p>
        </w:tc>
        <w:tc>
          <w:tcPr>
            <w:tcW w:w="29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Passenger Service Equipment</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Potable Water [*CTR]</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Waste Tank Disinfectant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Emergency Equipment</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Escape Slides - Forward and Aft</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Life Vests - Crew and Passengers</w:t>
            </w:r>
          </w:p>
        </w:tc>
        <w:tc>
          <w:tcPr>
            <w:tcW w:w="29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Life Rafts</w:t>
            </w:r>
          </w:p>
        </w:tc>
        <w:tc>
          <w:tcPr>
            <w:tcW w:w="2900" w:type="dxa"/>
            <w:vAlign w:val="bottom"/>
            <w:gridSpan w:val="3"/>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 Radio Beacon (ELT)</w:t>
            </w:r>
          </w:p>
        </w:tc>
        <w:tc>
          <w:tcPr>
            <w:tcW w:w="2900" w:type="dxa"/>
            <w:vAlign w:val="bottom"/>
            <w:gridSpan w:val="3"/>
            <w:shd w:val="clear" w:color="auto" w:fill="CCEEFF"/>
          </w:tcPr>
          <w:p>
            <w:pPr>
              <w:ind w:left="2200"/>
              <w:spacing w:after="0"/>
              <w:rPr>
                <w:sz w:val="20"/>
                <w:szCs w:val="20"/>
                <w:color w:val="auto"/>
              </w:rPr>
            </w:pPr>
            <w:r>
              <w:rPr>
                <w:rFonts w:ascii="Arial" w:cs="Arial" w:eastAsia="Arial" w:hAnsi="Arial"/>
                <w:sz w:val="18"/>
                <w:szCs w:val="18"/>
                <w:color w:val="auto"/>
              </w:rPr>
              <w:t>[*CTR]</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Total Standard and Operational Items Allowance</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50"/>
        </w:trPr>
        <w:tc>
          <w:tcPr>
            <w:tcW w:w="6240" w:type="dxa"/>
            <w:vAlign w:val="bottom"/>
            <w:gridSpan w:val="3"/>
          </w:tcPr>
          <w:p>
            <w:pPr>
              <w:spacing w:after="0"/>
              <w:rPr>
                <w:sz w:val="20"/>
                <w:szCs w:val="20"/>
                <w:color w:val="auto"/>
              </w:rPr>
            </w:pPr>
            <w:r>
              <w:rPr>
                <w:rFonts w:ascii="Arial" w:cs="Arial" w:eastAsia="Arial" w:hAnsi="Arial"/>
                <w:sz w:val="18"/>
                <w:szCs w:val="18"/>
                <w:color w:val="auto"/>
              </w:rPr>
              <w:t>P.A. No. 03735</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gridSpan w:val="3"/>
          </w:tcPr>
          <w:p>
            <w:pPr>
              <w:spacing w:after="0"/>
              <w:rPr>
                <w:sz w:val="20"/>
                <w:szCs w:val="20"/>
                <w:color w:val="auto"/>
              </w:rPr>
            </w:pPr>
            <w:r>
              <w:rPr>
                <w:rFonts w:ascii="Arial" w:cs="Arial" w:eastAsia="Arial" w:hAnsi="Arial"/>
                <w:sz w:val="18"/>
                <w:szCs w:val="18"/>
                <w:color w:val="auto"/>
              </w:rPr>
              <w:t>AERO-B-BBA4-M12-0762A</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SS13-0513</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39" w:lineRule="exact"/>
        <w:rPr>
          <w:sz w:val="20"/>
          <w:szCs w:val="20"/>
          <w:color w:val="auto"/>
        </w:rPr>
      </w:pPr>
    </w:p>
    <w:p>
      <w:pPr>
        <w:ind w:left="680" w:hanging="672"/>
        <w:spacing w:after="0"/>
        <w:tabs>
          <w:tab w:leader="none" w:pos="6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AIRCRAFT CONFIGURATION</w:t>
      </w:r>
    </w:p>
    <w:p>
      <w:pPr>
        <w:spacing w:after="0" w:line="131"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The guarantees contained in this Attachment are based on the Aircraft configuration as defined in Boeing Document [*CTR] by the Purchase Agreement to be [*CTR] into the Customer’s Detail Specification (herein referred to as the Detail Specification). Appropriate adjustment shall be made for changes in such Detail Specification approved by the Customer and Boeing or otherwise allowed by the Purchase Agreement which cause changes to the flight performance and/or weight and balance of the Aircraft. Such adjustment shall be accounted for by Boeing in its evidence of compliance with the guarantees.</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[*CTR]</w:t>
      </w:r>
    </w:p>
    <w:p>
      <w:pPr>
        <w:spacing w:after="0" w:line="121" w:lineRule="exact"/>
        <w:rPr>
          <w:sz w:val="20"/>
          <w:szCs w:val="20"/>
          <w:color w:val="auto"/>
        </w:rPr>
      </w:pPr>
    </w:p>
    <w:p>
      <w:pPr>
        <w:ind w:left="700" w:right="20" w:hanging="7"/>
        <w:spacing w:after="0" w:line="277" w:lineRule="auto"/>
        <w:tabs>
          <w:tab w:leader="none" w:pos="9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to the Detail Specification or any other changes mutually agreed upon between the Customer and Boeing or otherwise allowed by the Purchase Agreement.</w:t>
      </w:r>
    </w:p>
    <w:p>
      <w:pPr>
        <w:spacing w:after="0" w:line="62" w:lineRule="exact"/>
        <w:rPr>
          <w:rFonts w:ascii="Arial" w:cs="Arial" w:eastAsia="Arial" w:hAnsi="Arial"/>
          <w:sz w:val="18"/>
          <w:szCs w:val="18"/>
          <w:color w:val="auto"/>
        </w:rPr>
      </w:pPr>
    </w:p>
    <w:p>
      <w:pPr>
        <w:ind w:left="940" w:hanging="247"/>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difference between the component weight allowances given in Appendix E of the Detail Specification and the actual weights.</w:t>
      </w:r>
    </w:p>
    <w:p>
      <w:pPr>
        <w:spacing w:after="0" w:line="370" w:lineRule="exact"/>
        <w:rPr>
          <w:sz w:val="20"/>
          <w:szCs w:val="20"/>
          <w:color w:val="auto"/>
        </w:rPr>
      </w:pPr>
    </w:p>
    <w:p>
      <w:pPr>
        <w:ind w:left="680" w:hanging="672"/>
        <w:spacing w:after="0"/>
        <w:tabs>
          <w:tab w:leader="none" w:pos="6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CONDITIONS</w:t>
      </w:r>
    </w:p>
    <w:p>
      <w:pPr>
        <w:spacing w:after="0" w:line="131"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All guaranteed performance data are based on the International Standard Atmosphere (ISA) and specified variations therefrom; altitudes are pressure altitudes.</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For the purposes of these 737-9 [*CTR] the Federal Aviation Administration (FAA) regulations referred to in this Attachment are, unless otherwise specified, the [*CTR]</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color w:val="auto"/>
        </w:rPr>
        <w:t>In the event a change is made to any law, governmental regulation or requirement, or in the interpretation of any such law, governmental regulation or requirement that affects the certification basis for the Aircraft as described in Paragraph 4.2, and as a result thereof, a change is made to the configuration and/or the performance of the Aircraft in order to obtain certification, the guarantees set forth in this Attachment shall be appropriately modified to reflect any such change.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AERO-B-BBA4-M12-0762A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to Letter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AAL-PA-03735-LA-1106664R1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color w:val="auto"/>
        </w:rPr>
        <w:t>The [*CTR], and with the Aircraft [*CTR] unless otherwise specified. The [*CTR] unless otherwise specified. [*CTR]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*CTR] in Paragraph 2.1.5. [*CTR] unless otherwise specified. [*CTR]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374" w:lineRule="exact"/>
        <w:rPr>
          <w:sz w:val="20"/>
          <w:szCs w:val="20"/>
          <w:color w:val="auto"/>
        </w:rPr>
      </w:pPr>
    </w:p>
    <w:p>
      <w:pPr>
        <w:ind w:left="680" w:hanging="672"/>
        <w:spacing w:after="0"/>
        <w:tabs>
          <w:tab w:leader="none" w:pos="6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COMPLIANCE</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Compliance with the guarantees of Section 2 shall be based on the conditions specified in those sections, the Aircraft configuration of Section 3 and the guarantee conditions of Section 4.</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*CTR] on the FAA approved Airplane Flight Manual for the Model 737-9.</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*CTR]</w:t>
      </w:r>
    </w:p>
    <w:p>
      <w:pPr>
        <w:spacing w:after="0" w:line="131"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color w:val="auto"/>
        </w:rPr>
        <w:t>The data derived from tests shall be adjusted as required by conventional methods of correction, interpolation or extrapolation in accordance with established engineering practices to show compliance with these guarantees.</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8"/>
          <w:szCs w:val="18"/>
          <w:color w:val="auto"/>
        </w:rPr>
        <w:t>Compliance shall be based on the performance of the airframe and engines in combination, and shall not be contingent on the engine meeting its manufacturer’s performance specification.</w:t>
      </w:r>
    </w:p>
    <w:p>
      <w:pPr>
        <w:spacing w:after="0" w:line="319" w:lineRule="exact"/>
        <w:rPr>
          <w:sz w:val="20"/>
          <w:szCs w:val="20"/>
          <w:color w:val="auto"/>
        </w:rPr>
      </w:pPr>
    </w:p>
    <w:p>
      <w:pPr>
        <w:ind w:left="680" w:hanging="672"/>
        <w:spacing w:after="0"/>
        <w:tabs>
          <w:tab w:leader="none" w:pos="6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GUARANTEES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only [*CTR] applicable to the Aircraft are those set forth in this Attachment.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P.A. No. 03735</w:t>
            </w:r>
          </w:p>
        </w:tc>
        <w:tc>
          <w:tcPr>
            <w:tcW w:w="50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AERO-B-BBA4-M12-0762A</w:t>
            </w:r>
          </w:p>
        </w:tc>
        <w:tc>
          <w:tcPr>
            <w:tcW w:w="5040" w:type="dxa"/>
            <w:vAlign w:val="bottom"/>
          </w:tcPr>
          <w:p>
            <w:pPr>
              <w:ind w:left="4240"/>
              <w:spacing w:after="0"/>
              <w:rPr>
                <w:sz w:val="20"/>
                <w:szCs w:val="20"/>
                <w:color w:val="auto"/>
              </w:rPr>
            </w:pPr>
            <w:r>
              <w:rPr>
                <w:rFonts w:ascii="Arial" w:cs="Arial" w:eastAsia="Arial" w:hAnsi="Arial"/>
                <w:sz w:val="18"/>
                <w:szCs w:val="18"/>
                <w:color w:val="auto"/>
                <w:w w:val="86"/>
              </w:rPr>
              <w:t>SS13-0513</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6" w:name="page147"/>
    <w:bookmarkEnd w:id="146"/>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86230" cy="377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86230" cy="3771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AAL-PA-03735-LA-1106661R2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pacing w:after="0" w:line="2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Subject:</w:t>
      </w:r>
      <w:r>
        <w:rPr>
          <w:sz w:val="20"/>
          <w:szCs w:val="20"/>
          <w:color w:val="auto"/>
        </w:rPr>
        <w:tab/>
      </w:r>
      <w:r>
        <w:rPr>
          <w:rFonts w:ascii="Arial" w:cs="Arial" w:eastAsia="Arial" w:hAnsi="Arial"/>
          <w:sz w:val="18"/>
          <w:szCs w:val="18"/>
          <w:color w:val="auto"/>
        </w:rPr>
        <w:t>[*CTR]</w:t>
      </w:r>
    </w:p>
    <w:p>
      <w:pPr>
        <w:spacing w:after="0" w:line="117" w:lineRule="exact"/>
        <w:rPr>
          <w:sz w:val="20"/>
          <w:szCs w:val="20"/>
          <w:color w:val="auto"/>
        </w:rPr>
      </w:pPr>
    </w:p>
    <w:p>
      <w:pPr>
        <w:ind w:left="1160" w:hanging="1944"/>
        <w:spacing w:after="0" w:line="277" w:lineRule="auto"/>
        <w:tabs>
          <w:tab w:leader="none" w:pos="1140" w:val="left"/>
        </w:tabs>
        <w:rPr>
          <w:sz w:val="20"/>
          <w:szCs w:val="20"/>
          <w:color w:val="auto"/>
        </w:rPr>
      </w:pPr>
      <w:r>
        <w:rPr>
          <w:rFonts w:ascii="Arial" w:cs="Arial" w:eastAsia="Arial" w:hAnsi="Arial"/>
          <w:sz w:val="18"/>
          <w:szCs w:val="18"/>
          <w:color w:val="auto"/>
        </w:rPr>
        <w:t>References:</w:t>
      </w:r>
      <w:r>
        <w:rPr>
          <w:sz w:val="20"/>
          <w:szCs w:val="20"/>
          <w:color w:val="auto"/>
        </w:rPr>
        <w:tab/>
      </w:r>
      <w:r>
        <w:rPr>
          <w:rFonts w:ascii="Arial" w:cs="Arial" w:eastAsia="Arial" w:hAnsi="Arial"/>
          <w:sz w:val="18"/>
          <w:szCs w:val="18"/>
          <w:color w:val="auto"/>
        </w:rPr>
        <w:t>a) Purchase Agreement No. 03735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between The Boeing Company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 relating to Model 737 MAX aircraft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w:t>
      </w:r>
    </w:p>
    <w:p>
      <w:pPr>
        <w:spacing w:after="0" w:line="62" w:lineRule="exact"/>
        <w:rPr>
          <w:sz w:val="20"/>
          <w:szCs w:val="20"/>
          <w:color w:val="auto"/>
        </w:rPr>
      </w:pPr>
    </w:p>
    <w:p>
      <w:pPr>
        <w:ind w:left="1960" w:hanging="804"/>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[*CTR]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amends and supplements the Purchase Agreement. All terms used but not defined in this Letter Agreement shall have the same meaning as in the Purchase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Sections 2.1.1, 2.1.3, 2.1.4 and 2.1.5 of the [*CTR] for the [*CTR] Aircraft and Sections 2.1.1 and 2.1.3 of the [*CTR] Aircraft include [*CTR] that is applicable to Firm Aircraft in accordance with the [*CTR].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374" w:lineRule="exact"/>
        <w:rPr>
          <w:sz w:val="20"/>
          <w:szCs w:val="20"/>
          <w:color w:val="auto"/>
        </w:rPr>
      </w:pPr>
    </w:p>
    <w:p>
      <w:pPr>
        <w:jc w:val="both"/>
        <w:ind w:left="460" w:right="10360" w:hanging="452"/>
        <w:spacing w:after="0" w:line="402" w:lineRule="auto"/>
        <w:tabs>
          <w:tab w:leader="none" w:pos="44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*CTR] [*CTR].</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*CTR]</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Firm Aircraft Delivery</w:t>
      </w:r>
      <w:r>
        <w:rPr>
          <w:rFonts w:ascii="Arial" w:cs="Arial" w:eastAsia="Arial" w:hAnsi="Arial"/>
          <w:sz w:val="18"/>
          <w:szCs w:val="18"/>
          <w:color w:val="auto"/>
        </w:rPr>
        <w:t>. [*CTR] Letter Agreement AAL-PA-03735-LA-1106671 entitled “</w:t>
      </w:r>
      <w:r>
        <w:rPr>
          <w:rFonts w:ascii="Arial" w:cs="Arial" w:eastAsia="Arial" w:hAnsi="Arial"/>
          <w:sz w:val="18"/>
          <w:szCs w:val="18"/>
          <w:u w:val="single" w:color="auto"/>
          <w:color w:val="auto"/>
        </w:rPr>
        <w:t>Miscellaneous Commitments for Boeing Model 737</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 Aircraft</w:t>
      </w:r>
      <w:r>
        <w:rPr>
          <w:rFonts w:ascii="Arial" w:cs="Arial" w:eastAsia="Arial" w:hAnsi="Arial"/>
          <w:sz w:val="18"/>
          <w:szCs w:val="18"/>
          <w:color w:val="auto"/>
        </w:rPr>
        <w:t>” (</w:t>
      </w:r>
      <w:r>
        <w:rPr>
          <w:rFonts w:ascii="Arial" w:cs="Arial" w:eastAsia="Arial" w:hAnsi="Arial"/>
          <w:sz w:val="18"/>
          <w:szCs w:val="18"/>
          <w:b w:val="1"/>
          <w:bCs w:val="1"/>
          <w:i w:val="1"/>
          <w:iCs w:val="1"/>
          <w:color w:val="auto"/>
        </w:rPr>
        <w:t>Misc. Commitments Letter</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AAL-PA-3735-LA-1106661R2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 of 4</w:t>
      </w:r>
    </w:p>
    <w:p>
      <w:pPr>
        <w:spacing w:after="0" w:line="31" w:lineRule="exact"/>
        <w:rPr>
          <w:sz w:val="20"/>
          <w:szCs w:val="20"/>
          <w:color w:val="auto"/>
        </w:rPr>
      </w:pPr>
    </w:p>
    <w:p>
      <w:pPr>
        <w:sectPr>
          <w:pgSz w:w="11900" w:h="16838" w:orient="portrait"/>
          <w:cols w:equalWidth="0" w:num="2">
            <w:col w:w="9880" w:space="720"/>
            <w:col w:w="82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47" w:name="page148"/>
    <w:bookmarkEnd w:id="1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w:t>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2.2.4.1</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2.2.4.2</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t>
      </w:r>
      <w:r>
        <w:rPr>
          <w:rFonts w:ascii="Arial" w:cs="Arial" w:eastAsia="Arial" w:hAnsi="Arial"/>
          <w:sz w:val="18"/>
          <w:szCs w:val="18"/>
          <w:color w:val="auto"/>
        </w:rPr>
        <w:t>*CTR]</w:t>
      </w:r>
    </w:p>
    <w:p>
      <w:pPr>
        <w:spacing w:after="0" w:line="374" w:lineRule="exact"/>
        <w:rPr>
          <w:sz w:val="20"/>
          <w:szCs w:val="20"/>
          <w:color w:val="auto"/>
        </w:rPr>
      </w:pPr>
    </w:p>
    <w:p>
      <w:pPr>
        <w:ind w:left="460" w:right="10220" w:hanging="452"/>
        <w:spacing w:after="0" w:line="526" w:lineRule="auto"/>
        <w:tabs>
          <w:tab w:leader="none" w:pos="449"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[*CTR]</w:t>
      </w:r>
    </w:p>
    <w:p>
      <w:pPr>
        <w:ind w:left="460"/>
        <w:spacing w:after="0"/>
        <w:rPr>
          <w:rFonts w:ascii="Arial" w:cs="Arial" w:eastAsia="Arial" w:hAnsi="Arial"/>
          <w:sz w:val="15"/>
          <w:szCs w:val="15"/>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t>
      </w:r>
      <w:r>
        <w:rPr>
          <w:rFonts w:ascii="Arial" w:cs="Arial" w:eastAsia="Arial" w:hAnsi="Arial"/>
          <w:sz w:val="18"/>
          <w:szCs w:val="18"/>
          <w:color w:val="auto"/>
        </w:rPr>
        <w:t>*CTR]</w:t>
      </w:r>
    </w:p>
    <w:p>
      <w:pPr>
        <w:spacing w:after="0" w:line="130" w:lineRule="exact"/>
        <w:rPr>
          <w:rFonts w:ascii="Arial" w:cs="Arial" w:eastAsia="Arial" w:hAnsi="Arial"/>
          <w:sz w:val="15"/>
          <w:szCs w:val="15"/>
          <w:color w:val="auto"/>
        </w:rPr>
      </w:pPr>
    </w:p>
    <w:p>
      <w:pPr>
        <w:ind w:left="900" w:hanging="325"/>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w:t>
      </w: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Credit Memorandum</w:t>
      </w:r>
      <w:r>
        <w:rPr>
          <w:rFonts w:ascii="Arial" w:cs="Arial" w:eastAsia="Arial" w:hAnsi="Arial"/>
          <w:sz w:val="18"/>
          <w:szCs w:val="18"/>
          <w:color w:val="auto"/>
        </w:rPr>
        <w:t>. [*CTR]</w:t>
      </w:r>
    </w:p>
    <w:p>
      <w:pPr>
        <w:sectPr>
          <w:pgSz w:w="11900" w:h="16838" w:orient="portrait"/>
          <w:cols w:equalWidth="0" w:num="1">
            <w:col w:w="11420"/>
          </w:cols>
          <w:pgMar w:left="240" w:top="274" w:right="239" w:bottom="144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w:t>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580"/>
        <w:spacing w:after="0"/>
        <w:tabs>
          <w:tab w:leader="none" w:pos="880" w:val="left"/>
        </w:tabs>
        <w:rPr>
          <w:sz w:val="20"/>
          <w:szCs w:val="20"/>
          <w:color w:val="auto"/>
        </w:rPr>
      </w:pPr>
      <w:r>
        <w:rPr>
          <w:rFonts w:ascii="Arial" w:cs="Arial" w:eastAsia="Arial" w:hAnsi="Arial"/>
          <w:sz w:val="18"/>
          <w:szCs w:val="18"/>
          <w:color w:val="auto"/>
        </w:rPr>
        <w:t>•</w:t>
        <w:tab/>
        <w:t>[*CTR]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AAL-PA-3735-LA-1106661R2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 of 4</w:t>
      </w:r>
    </w:p>
    <w:p>
      <w:pPr>
        <w:spacing w:after="0" w:line="31" w:lineRule="exact"/>
        <w:rPr>
          <w:sz w:val="20"/>
          <w:szCs w:val="20"/>
          <w:color w:val="auto"/>
        </w:rPr>
      </w:pPr>
    </w:p>
    <w:p>
      <w:pPr>
        <w:sectPr>
          <w:pgSz w:w="11900" w:h="16838" w:orient="portrait"/>
          <w:cols w:equalWidth="0" w:num="2">
            <w:col w:w="9880" w:space="720"/>
            <w:col w:w="82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48" w:name="page149"/>
    <w:bookmarkEnd w:id="148"/>
    <w:p>
      <w:pPr>
        <w:ind w:left="92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86230" cy="377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77190"/>
                    </a:xfrm>
                    <a:prstGeom prst="rect">
                      <a:avLst/>
                    </a:prstGeom>
                    <a:noFill/>
                  </pic:spPr>
                </pic:pic>
              </a:graphicData>
            </a:graphic>
          </wp:anchor>
        </w:drawing>
        <w:t>3.4.2</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[*CTR];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[*CTR];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w:t>
      </w:r>
      <w:r>
        <w:rPr>
          <w:rFonts w:ascii="Arial" w:cs="Arial" w:eastAsia="Arial" w:hAnsi="Arial"/>
          <w:sz w:val="18"/>
          <w:szCs w:val="18"/>
          <w:color w:val="auto"/>
        </w:rPr>
        <w:t>*CTR</w:t>
      </w:r>
      <w:r>
        <w:rPr>
          <w:rFonts w:ascii="Arial" w:cs="Arial" w:eastAsia="Arial" w:hAnsi="Arial"/>
          <w:sz w:val="18"/>
          <w:szCs w:val="18"/>
          <w:u w:val="single" w:color="auto"/>
          <w:color w:val="auto"/>
        </w:rPr>
        <w:t>.]</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3.5.3.1</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3.5.3.2</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3.5.3.3</w:t>
      </w:r>
      <w:r>
        <w:rPr>
          <w:sz w:val="20"/>
          <w:szCs w:val="20"/>
          <w:color w:val="auto"/>
        </w:rPr>
        <w:tab/>
      </w:r>
      <w:r>
        <w:rPr>
          <w:rFonts w:ascii="Arial" w:cs="Arial" w:eastAsia="Arial" w:hAnsi="Arial"/>
          <w:sz w:val="16"/>
          <w:szCs w:val="16"/>
          <w:color w:val="auto"/>
        </w:rPr>
        <w:t>[Intentionally Reserved]</w:t>
      </w:r>
    </w:p>
    <w:p>
      <w:pPr>
        <w:spacing w:after="0" w:line="13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3.5.3.4</w:t>
      </w:r>
      <w:r>
        <w:rPr>
          <w:sz w:val="20"/>
          <w:szCs w:val="20"/>
          <w:color w:val="auto"/>
        </w:rPr>
        <w:tab/>
      </w:r>
      <w:r>
        <w:rPr>
          <w:rFonts w:ascii="Arial" w:cs="Arial" w:eastAsia="Arial" w:hAnsi="Arial"/>
          <w:sz w:val="18"/>
          <w:szCs w:val="18"/>
          <w:color w:val="auto"/>
        </w:rPr>
        <w:t>[*CTR]</w:t>
      </w:r>
    </w:p>
    <w:p>
      <w:pPr>
        <w:spacing w:after="0" w:line="131"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color w:val="auto"/>
        </w:rPr>
        <w:t>3.5.3.5</w:t>
      </w:r>
      <w:r>
        <w:rPr>
          <w:sz w:val="20"/>
          <w:szCs w:val="20"/>
          <w:color w:val="auto"/>
        </w:rPr>
        <w:tab/>
      </w:r>
      <w:r>
        <w:rPr>
          <w:rFonts w:ascii="Arial" w:cs="Arial" w:eastAsia="Arial" w:hAnsi="Arial"/>
          <w:sz w:val="18"/>
          <w:szCs w:val="18"/>
          <w:color w:val="auto"/>
        </w:rPr>
        <w:t>[*CTR]</w:t>
      </w:r>
    </w:p>
    <w:p>
      <w:pPr>
        <w:spacing w:after="0" w:line="374" w:lineRule="exact"/>
        <w:rPr>
          <w:sz w:val="20"/>
          <w:szCs w:val="20"/>
          <w:color w:val="auto"/>
        </w:rPr>
      </w:pPr>
    </w:p>
    <w:p>
      <w:pPr>
        <w:jc w:val="both"/>
        <w:ind w:left="460" w:right="10400" w:hanging="452"/>
        <w:spacing w:after="0" w:line="402" w:lineRule="auto"/>
        <w:tabs>
          <w:tab w:leader="none" w:pos="44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*CTR] [*CTR]</w:t>
      </w:r>
    </w:p>
    <w:p>
      <w:pPr>
        <w:spacing w:after="0" w:line="211" w:lineRule="exact"/>
        <w:rPr>
          <w:rFonts w:ascii="Arial" w:cs="Arial" w:eastAsia="Arial" w:hAnsi="Arial"/>
          <w:sz w:val="18"/>
          <w:szCs w:val="18"/>
          <w:color w:val="auto"/>
        </w:rPr>
      </w:pPr>
    </w:p>
    <w:p>
      <w:pPr>
        <w:jc w:val="both"/>
        <w:ind w:left="460" w:right="10400" w:hanging="452"/>
        <w:spacing w:after="0" w:line="402" w:lineRule="auto"/>
        <w:tabs>
          <w:tab w:leader="none" w:pos="44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*CTR</w:t>
      </w:r>
      <w:r>
        <w:rPr>
          <w:rFonts w:ascii="Arial" w:cs="Arial" w:eastAsia="Arial" w:hAnsi="Arial"/>
          <w:sz w:val="18"/>
          <w:szCs w:val="18"/>
          <w:u w:val="single" w:color="auto"/>
          <w:color w:val="auto"/>
        </w:rPr>
        <w:t>]</w:t>
      </w:r>
      <w:r>
        <w:rPr>
          <w:rFonts w:ascii="Arial" w:cs="Arial" w:eastAsia="Arial" w:hAnsi="Arial"/>
          <w:sz w:val="18"/>
          <w:szCs w:val="18"/>
          <w:color w:val="auto"/>
        </w:rPr>
        <w:t xml:space="preserve"> [*CTR]</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Notwithstanding any other provisions of the Purchase Agreement, the rights and obligations described in this Letter Agreement are provided to Customer in consideration of Customer’s becoming the operator of the Firm Aircraft and cannot be assigned, in whole or in part, without the prior written consent of Boeing.</w:t>
      </w:r>
    </w:p>
    <w:p>
      <w:pPr>
        <w:spacing w:after="0" w:line="33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Confidential Treatment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Customer understands and agrees that the information contained herein represents confidential business information and has value precisely because it is not available generally or to other parties. Customer agrees to limit the disclosure of its contents to employees of Customer with a need to know the contents for purposes of</w:t>
      </w:r>
    </w:p>
    <w:p>
      <w:pPr>
        <w:sectPr>
          <w:pgSz w:w="11900" w:h="16838" w:orient="portrait"/>
          <w:cols w:equalWidth="0" w:num="1">
            <w:col w:w="11420"/>
          </w:cols>
          <w:pgMar w:left="240" w:top="1017" w:right="2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AAL-PA-3735-LA-1106661R2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 of 4</w:t>
      </w:r>
    </w:p>
    <w:p>
      <w:pPr>
        <w:spacing w:after="0" w:line="31" w:lineRule="exact"/>
        <w:rPr>
          <w:sz w:val="20"/>
          <w:szCs w:val="20"/>
          <w:color w:val="auto"/>
        </w:rPr>
      </w:pPr>
    </w:p>
    <w:p>
      <w:pPr>
        <w:sectPr>
          <w:pgSz w:w="11900" w:h="16838" w:orient="portrait"/>
          <w:cols w:equalWidth="0" w:num="2">
            <w:col w:w="9880" w:space="720"/>
            <w:col w:w="820"/>
          </w:cols>
          <w:pgMar w:left="240" w:top="1017"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7" w:right="239" w:bottom="1440" w:gutter="0" w:footer="0" w:header="0"/>
          <w:type w:val="continuous"/>
        </w:sectPr>
      </w:pPr>
    </w:p>
    <w:bookmarkStart w:id="149" w:name="page150"/>
    <w:bookmarkEnd w:id="14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86230" cy="377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586230" cy="377190"/>
                    </a:xfrm>
                    <a:prstGeom prst="rect">
                      <a:avLst/>
                    </a:prstGeom>
                    <a:noFill/>
                  </pic:spPr>
                </pic:pic>
              </a:graphicData>
            </a:graphic>
          </wp:anchor>
        </w:drawing>
        <w:t>helping Customer perform its obligations under the Purchase Agreement and who understand they are not to disclose its contents to any other person or entity without the prior written consent of Boeing.</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the foregoing correctly sets forth your understanding of our agreement with respect to the matters treated above, please indicate your acceptance and approval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6840" w:type="dxa"/>
            <w:vAlign w:val="bottom"/>
          </w:tcPr>
          <w:p>
            <w:pPr>
              <w:spacing w:after="0"/>
              <w:rPr>
                <w:sz w:val="20"/>
                <w:szCs w:val="20"/>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Fleet Planning</w:t>
            </w:r>
          </w:p>
        </w:tc>
        <w:tc>
          <w:tcPr>
            <w:tcW w:w="6840" w:type="dxa"/>
            <w:vAlign w:val="bottom"/>
          </w:tcPr>
          <w:p>
            <w:pPr>
              <w:spacing w:after="0"/>
              <w:rPr>
                <w:sz w:val="24"/>
                <w:szCs w:val="24"/>
                <w:color w:val="auto"/>
              </w:rPr>
            </w:pPr>
          </w:p>
        </w:tc>
      </w:tr>
      <w:tr>
        <w:trPr>
          <w:trHeight w:val="357"/>
        </w:trPr>
        <w:tc>
          <w:tcPr>
            <w:tcW w:w="4580" w:type="dxa"/>
            <w:vAlign w:val="bottom"/>
            <w:gridSpan w:val="2"/>
          </w:tcPr>
          <w:p>
            <w:pPr>
              <w:spacing w:after="0"/>
              <w:rPr>
                <w:sz w:val="20"/>
                <w:szCs w:val="20"/>
                <w:color w:val="auto"/>
              </w:rPr>
            </w:pPr>
            <w:r>
              <w:rPr>
                <w:rFonts w:ascii="Arial" w:cs="Arial" w:eastAsia="Arial" w:hAnsi="Arial"/>
                <w:sz w:val="18"/>
                <w:szCs w:val="18"/>
                <w:color w:val="auto"/>
              </w:rPr>
              <w:t>AAL-PA-3735-LA-1106661R2</w:t>
            </w:r>
          </w:p>
        </w:tc>
        <w:tc>
          <w:tcPr>
            <w:tcW w:w="6840" w:type="dxa"/>
            <w:vAlign w:val="bottom"/>
          </w:tcPr>
          <w:p>
            <w:pPr>
              <w:jc w:val="right"/>
              <w:spacing w:after="0"/>
              <w:rPr>
                <w:sz w:val="20"/>
                <w:szCs w:val="20"/>
                <w:color w:val="auto"/>
              </w:rPr>
            </w:pPr>
            <w:r>
              <w:rPr>
                <w:rFonts w:ascii="Arial" w:cs="Arial" w:eastAsia="Arial" w:hAnsi="Arial"/>
                <w:sz w:val="18"/>
                <w:szCs w:val="18"/>
                <w:color w:val="auto"/>
              </w:rPr>
              <w:t>SA-2</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[*CTR]</w:t>
            </w:r>
          </w:p>
        </w:tc>
        <w:tc>
          <w:tcPr>
            <w:tcW w:w="6840" w:type="dxa"/>
            <w:vAlign w:val="bottom"/>
          </w:tcPr>
          <w:p>
            <w:pPr>
              <w:jc w:val="right"/>
              <w:spacing w:after="0"/>
              <w:rPr>
                <w:sz w:val="20"/>
                <w:szCs w:val="20"/>
                <w:color w:val="auto"/>
              </w:rPr>
            </w:pPr>
            <w:r>
              <w:rPr>
                <w:rFonts w:ascii="Arial" w:cs="Arial" w:eastAsia="Arial" w:hAnsi="Arial"/>
                <w:sz w:val="18"/>
                <w:szCs w:val="18"/>
                <w:color w:val="auto"/>
              </w:rPr>
              <w:t>Page 4 of 4</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17"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 to AAL-PA-03735-LA-1106661R2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color w:val="auto"/>
        </w:rPr>
        <w:t>*CTR</w:t>
      </w:r>
      <w:r>
        <w:rPr>
          <w:rFonts w:ascii="Arial" w:cs="Arial" w:eastAsia="Arial" w:hAnsi="Arial"/>
          <w:sz w:val="18"/>
          <w:szCs w:val="18"/>
          <w:b w:val="1"/>
          <w:bCs w:val="1"/>
          <w:i w:val="1"/>
          <w:iCs w:val="1"/>
          <w:u w:val="single" w:color="auto"/>
          <w:color w:val="auto"/>
        </w:rPr>
        <w:t>] for [</w:t>
      </w:r>
      <w:r>
        <w:rPr>
          <w:rFonts w:ascii="Arial" w:cs="Arial" w:eastAsia="Arial" w:hAnsi="Arial"/>
          <w:sz w:val="18"/>
          <w:szCs w:val="18"/>
          <w:color w:val="auto"/>
        </w:rPr>
        <w:t>*CTR</w:t>
      </w:r>
      <w:r>
        <w:rPr>
          <w:rFonts w:ascii="Arial" w:cs="Arial" w:eastAsia="Arial" w:hAnsi="Arial"/>
          <w:sz w:val="18"/>
          <w:szCs w:val="18"/>
          <w:b w:val="1"/>
          <w:bCs w:val="1"/>
          <w:i w:val="1"/>
          <w:iCs w:val="1"/>
          <w:u w:val="single" w:color="auto"/>
          <w:color w:val="auto"/>
        </w:rPr>
        <w:t>] and [</w:t>
      </w:r>
      <w:r>
        <w:rPr>
          <w:rFonts w:ascii="Arial" w:cs="Arial" w:eastAsia="Arial" w:hAnsi="Arial"/>
          <w:sz w:val="18"/>
          <w:szCs w:val="18"/>
          <w:color w:val="auto"/>
        </w:rPr>
        <w:t>*CTR</w:t>
      </w:r>
      <w:r>
        <w:rPr>
          <w:rFonts w:ascii="Arial" w:cs="Arial" w:eastAsia="Arial" w:hAnsi="Arial"/>
          <w:sz w:val="18"/>
          <w:szCs w:val="18"/>
          <w:b w:val="1"/>
          <w:bCs w:val="1"/>
          <w:i w:val="1"/>
          <w:iCs w:val="1"/>
          <w:u w:val="single" w:color="auto"/>
          <w:color w:val="auto"/>
        </w:rPr>
        <w:t>] Aircraft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The following definitions apply:</w:t>
            </w:r>
          </w:p>
        </w:tc>
        <w:tc>
          <w:tcPr>
            <w:tcW w:w="318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[*CTR] (including both [*CTR]) for the [*CTR] as follows:</w:t>
            </w:r>
          </w:p>
        </w:tc>
        <w:tc>
          <w:tcPr>
            <w:tcW w:w="3180" w:type="dxa"/>
            <w:vAlign w:val="bottom"/>
          </w:tcPr>
          <w:p>
            <w:pPr>
              <w:spacing w:after="0"/>
              <w:rPr>
                <w:sz w:val="24"/>
                <w:szCs w:val="24"/>
                <w:color w:val="auto"/>
              </w:rPr>
            </w:pPr>
          </w:p>
        </w:tc>
      </w:tr>
      <w:tr>
        <w:trPr>
          <w:trHeight w:val="432"/>
        </w:trPr>
        <w:tc>
          <w:tcPr>
            <w:tcW w:w="8240" w:type="dxa"/>
            <w:vAlign w:val="bottom"/>
          </w:tcPr>
          <w:p>
            <w:pPr>
              <w:ind w:left="5300"/>
              <w:spacing w:after="0"/>
              <w:rPr>
                <w:sz w:val="20"/>
                <w:szCs w:val="20"/>
                <w:color w:val="auto"/>
              </w:rPr>
            </w:pPr>
            <w:r>
              <w:rPr>
                <w:rFonts w:ascii="Arial" w:cs="Arial" w:eastAsia="Arial" w:hAnsi="Arial"/>
                <w:sz w:val="18"/>
                <w:szCs w:val="18"/>
                <w:color w:val="auto"/>
              </w:rPr>
              <w:t>[*CTR]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Section 2.1.1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[*CTR] from the [*CTR] for the Section 2.1.1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Section 2.1.3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[*CTR] from the [*CTR] for the Section 2.1.3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Section 2.1.4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[*CTR] from the [*CTR] for the Section 2.1.4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Section 2.1.5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CTR</w:t>
            </w:r>
            <w:r>
              <w:rPr>
                <w:rFonts w:ascii="Arial" w:cs="Arial" w:eastAsia="Arial" w:hAnsi="Arial"/>
                <w:sz w:val="18"/>
                <w:szCs w:val="18"/>
                <w:color w:val="auto"/>
              </w:rPr>
              <w:t>] is the [*CTR] from the [*CTR] for the Section 2.1.5 [*CTR].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If [*</w:t>
            </w:r>
            <w:r>
              <w:rPr>
                <w:rFonts w:ascii="Arial" w:cs="Arial" w:eastAsia="Arial" w:hAnsi="Arial"/>
                <w:sz w:val="18"/>
                <w:szCs w:val="18"/>
                <w:i w:val="1"/>
                <w:iCs w:val="1"/>
                <w:color w:val="auto"/>
              </w:rPr>
              <w:t>CTR</w:t>
            </w:r>
            <w:r>
              <w:rPr>
                <w:rFonts w:ascii="Arial" w:cs="Arial" w:eastAsia="Arial" w:hAnsi="Arial"/>
                <w:sz w:val="18"/>
                <w:szCs w:val="18"/>
                <w:color w:val="auto"/>
              </w:rPr>
              <w:t>] is [*CTR] or a [*CTR], then [*CTR] customer.</w:t>
            </w:r>
          </w:p>
        </w:tc>
        <w:tc>
          <w:tcPr>
            <w:tcW w:w="31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[*CTR].</w:t>
            </w:r>
          </w:p>
        </w:tc>
        <w:tc>
          <w:tcPr>
            <w:tcW w:w="3180" w:type="dxa"/>
            <w:vAlign w:val="bottom"/>
          </w:tcPr>
          <w:p>
            <w:pPr>
              <w:spacing w:after="0"/>
              <w:rPr>
                <w:sz w:val="24"/>
                <w:szCs w:val="24"/>
                <w:color w:val="auto"/>
              </w:rPr>
            </w:pPr>
          </w:p>
        </w:tc>
      </w:tr>
      <w:tr>
        <w:trPr>
          <w:trHeight w:val="350"/>
        </w:trPr>
        <w:tc>
          <w:tcPr>
            <w:tcW w:w="8240" w:type="dxa"/>
            <w:vAlign w:val="bottom"/>
          </w:tcPr>
          <w:p>
            <w:pPr>
              <w:spacing w:after="0"/>
              <w:rPr>
                <w:sz w:val="20"/>
                <w:szCs w:val="20"/>
                <w:color w:val="auto"/>
              </w:rPr>
            </w:pPr>
            <w:r>
              <w:rPr>
                <w:rFonts w:ascii="Arial" w:cs="Arial" w:eastAsia="Arial" w:hAnsi="Arial"/>
                <w:sz w:val="18"/>
                <w:szCs w:val="18"/>
                <w:color w:val="auto"/>
              </w:rPr>
              <w:t>Attachment A to AAL-PA-3735-LA-1106661R2 for 737-7 and 737-8 Aircraft</w:t>
            </w:r>
          </w:p>
        </w:tc>
        <w:tc>
          <w:tcPr>
            <w:tcW w:w="3180" w:type="dxa"/>
            <w:vAlign w:val="bottom"/>
          </w:tcPr>
          <w:p>
            <w:pPr>
              <w:jc w:val="right"/>
              <w:spacing w:after="0"/>
              <w:rPr>
                <w:sz w:val="20"/>
                <w:szCs w:val="20"/>
                <w:color w:val="auto"/>
              </w:rPr>
            </w:pPr>
            <w:r>
              <w:rPr>
                <w:rFonts w:ascii="Arial" w:cs="Arial" w:eastAsia="Arial" w:hAnsi="Arial"/>
                <w:sz w:val="18"/>
                <w:szCs w:val="18"/>
                <w:color w:val="auto"/>
              </w:rPr>
              <w:t>SA-2</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[*CTR]</w:t>
            </w:r>
          </w:p>
        </w:tc>
        <w:tc>
          <w:tcPr>
            <w:tcW w:w="3180" w:type="dxa"/>
            <w:vAlign w:val="bottom"/>
          </w:tcPr>
          <w:p>
            <w:pPr>
              <w:jc w:val="right"/>
              <w:spacing w:after="0"/>
              <w:rPr>
                <w:sz w:val="20"/>
                <w:szCs w:val="20"/>
                <w:color w:val="auto"/>
              </w:rPr>
            </w:pPr>
            <w:r>
              <w:rPr>
                <w:rFonts w:ascii="Arial" w:cs="Arial" w:eastAsia="Arial" w:hAnsi="Arial"/>
                <w:sz w:val="18"/>
                <w:szCs w:val="18"/>
                <w:color w:val="auto"/>
              </w:rPr>
              <w:t>Page 1 of 1</w:t>
            </w: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 to AAL-PA-03735-LA-1106661R2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color w:val="auto"/>
        </w:rPr>
        <w:t>*CTR</w:t>
      </w:r>
      <w:r>
        <w:rPr>
          <w:rFonts w:ascii="Arial" w:cs="Arial" w:eastAsia="Arial" w:hAnsi="Arial"/>
          <w:sz w:val="18"/>
          <w:szCs w:val="18"/>
          <w:b w:val="1"/>
          <w:bCs w:val="1"/>
          <w:i w:val="1"/>
          <w:iCs w:val="1"/>
          <w:u w:val="single" w:color="auto"/>
          <w:color w:val="auto"/>
        </w:rPr>
        <w:t>] for [</w:t>
      </w:r>
      <w:r>
        <w:rPr>
          <w:rFonts w:ascii="Arial" w:cs="Arial" w:eastAsia="Arial" w:hAnsi="Arial"/>
          <w:sz w:val="18"/>
          <w:szCs w:val="18"/>
          <w:color w:val="auto"/>
        </w:rPr>
        <w:t>*CTR</w:t>
      </w:r>
      <w:r>
        <w:rPr>
          <w:rFonts w:ascii="Arial" w:cs="Arial" w:eastAsia="Arial" w:hAnsi="Arial"/>
          <w:sz w:val="18"/>
          <w:szCs w:val="18"/>
          <w:b w:val="1"/>
          <w:bCs w:val="1"/>
          <w:i w:val="1"/>
          <w:iCs w:val="1"/>
          <w:u w:val="single" w:color="auto"/>
          <w:color w:val="auto"/>
        </w:rPr>
        <w:t>] Aircraft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apply: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 (including both [*CTR]) for the [*CTR] as follows: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27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 is the Section 2.1.1 [*CTR].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 is the [*CTR] from the [*CTR] for the Section 2.1.1 [*CTR]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 is the Section 2.1.3 [*CTR].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[*CTR] is the [*CTR] for the from the [*CTR] for the Section 2.1.3 [*CTR].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[*CTR] is [*CTR] or a [*CTR], then [*CTR]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Attachment A to AAL-PA-3735-LA-1106661R2 for 737-9 Aircraft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 of 1</w:t>
      </w:r>
    </w:p>
    <w:p>
      <w:pPr>
        <w:spacing w:after="0" w:line="31" w:lineRule="exact"/>
        <w:rPr>
          <w:sz w:val="20"/>
          <w:szCs w:val="20"/>
          <w:color w:val="auto"/>
        </w:rPr>
      </w:pPr>
    </w:p>
    <w:p>
      <w:pPr>
        <w:sectPr>
          <w:pgSz w:w="11900" w:h="16838" w:orient="portrait"/>
          <w:cols w:equalWidth="0" w:num="2">
            <w:col w:w="9880" w:space="720"/>
            <w:col w:w="82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3219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Boeing Model 787 Aircraft</w:t>
      </w:r>
    </w:p>
    <w:p>
      <w:pPr>
        <w:spacing w:after="0" w:line="229"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THIS SUPPLEMENTAL AGREEMENT No. 5 (</w:t>
      </w:r>
      <w:r>
        <w:rPr>
          <w:rFonts w:ascii="Arial" w:cs="Arial" w:eastAsia="Arial" w:hAnsi="Arial"/>
          <w:sz w:val="18"/>
          <w:szCs w:val="18"/>
          <w:b w:val="1"/>
          <w:bCs w:val="1"/>
          <w:i w:val="1"/>
          <w:iCs w:val="1"/>
          <w:color w:val="auto"/>
        </w:rPr>
        <w:t>SA-5</w:t>
      </w:r>
      <w:r>
        <w:rPr>
          <w:rFonts w:ascii="Arial" w:cs="Arial" w:eastAsia="Arial" w:hAnsi="Arial"/>
          <w:sz w:val="18"/>
          <w:szCs w:val="18"/>
          <w:color w:val="auto"/>
        </w:rPr>
        <w:t>) is made between THE BOEING COMPANY, a Delaware corporation with offices in Seattle, Washington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WHEREAS, Boeing and Customer entered into Purchase Agreement No. 3219 dated October 15, 2008, relating to Boeing Model 787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in such Purchase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940" w:type="dxa"/>
            <w:vAlign w:val="bottom"/>
          </w:tcPr>
          <w:p>
            <w:pPr>
              <w:ind w:left="440"/>
              <w:spacing w:after="0"/>
              <w:rPr>
                <w:sz w:val="20"/>
                <w:szCs w:val="20"/>
                <w:color w:val="auto"/>
              </w:rPr>
            </w:pPr>
            <w:r>
              <w:rPr>
                <w:rFonts w:ascii="Arial" w:cs="Arial" w:eastAsia="Arial" w:hAnsi="Arial"/>
                <w:sz w:val="18"/>
                <w:szCs w:val="18"/>
                <w:color w:val="auto"/>
              </w:rPr>
              <w:t>WHEREAS, the parties have not previously [*CTR] regarding the [*CTR] into the Purchase Agreement;</w:t>
            </w:r>
          </w:p>
        </w:tc>
        <w:tc>
          <w:tcPr>
            <w:tcW w:w="14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8940" w:type="dxa"/>
            <w:vAlign w:val="bottom"/>
          </w:tcPr>
          <w:p>
            <w:pPr>
              <w:ind w:left="440"/>
              <w:spacing w:after="0"/>
              <w:rPr>
                <w:sz w:val="20"/>
                <w:szCs w:val="20"/>
                <w:color w:val="auto"/>
              </w:rPr>
            </w:pPr>
            <w:r>
              <w:rPr>
                <w:rFonts w:ascii="Arial" w:cs="Arial" w:eastAsia="Arial" w:hAnsi="Arial"/>
                <w:sz w:val="18"/>
                <w:szCs w:val="18"/>
                <w:color w:val="auto"/>
              </w:rPr>
              <w:t>WHEREAS, Customer provided Boeing with its [*CTR] in which Customer [*CTR];</w:t>
            </w:r>
          </w:p>
        </w:tc>
        <w:tc>
          <w:tcPr>
            <w:tcW w:w="14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940" w:type="dxa"/>
            <w:vAlign w:val="bottom"/>
          </w:tcPr>
          <w:p>
            <w:pPr>
              <w:ind w:left="440"/>
              <w:spacing w:after="0"/>
              <w:rPr>
                <w:sz w:val="20"/>
                <w:szCs w:val="20"/>
                <w:color w:val="auto"/>
              </w:rPr>
            </w:pPr>
            <w:r>
              <w:rPr>
                <w:rFonts w:ascii="Arial" w:cs="Arial" w:eastAsia="Arial" w:hAnsi="Arial"/>
                <w:sz w:val="18"/>
                <w:szCs w:val="18"/>
                <w:color w:val="auto"/>
              </w:rPr>
              <w:t>WHEREAS, Customer subsequently provided Boeing with a [*CTR] in which Customer [*CTR];</w:t>
            </w:r>
          </w:p>
        </w:tc>
        <w:tc>
          <w:tcPr>
            <w:tcW w:w="14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8940" w:type="dxa"/>
            <w:vAlign w:val="bottom"/>
          </w:tcPr>
          <w:p>
            <w:pPr>
              <w:ind w:left="440"/>
              <w:spacing w:after="0"/>
              <w:rPr>
                <w:sz w:val="20"/>
                <w:szCs w:val="20"/>
                <w:color w:val="auto"/>
              </w:rPr>
            </w:pPr>
            <w:r>
              <w:rPr>
                <w:rFonts w:ascii="Arial" w:cs="Arial" w:eastAsia="Arial" w:hAnsi="Arial"/>
                <w:sz w:val="18"/>
                <w:szCs w:val="18"/>
                <w:color w:val="auto"/>
              </w:rPr>
              <w:t>WHEREAS, as a result of [*CTR] Boeing and Customer have agreed to [*CTR] as opposed to [*CTR];</w:t>
            </w:r>
          </w:p>
        </w:tc>
        <w:tc>
          <w:tcPr>
            <w:tcW w:w="1420" w:type="dxa"/>
            <w:vAlign w:val="bottom"/>
          </w:tcPr>
          <w:p>
            <w:pPr>
              <w:spacing w:after="0"/>
              <w:rPr>
                <w:sz w:val="24"/>
                <w:szCs w:val="24"/>
                <w:color w:val="auto"/>
              </w:rPr>
            </w:pPr>
          </w:p>
        </w:tc>
      </w:tr>
      <w:tr>
        <w:trPr>
          <w:trHeight w:val="346"/>
        </w:trPr>
        <w:tc>
          <w:tcPr>
            <w:tcW w:w="1060" w:type="dxa"/>
            <w:vAlign w:val="bottom"/>
          </w:tcPr>
          <w:p>
            <w:pPr>
              <w:spacing w:after="0"/>
              <w:rPr>
                <w:sz w:val="20"/>
                <w:szCs w:val="20"/>
                <w:color w:val="auto"/>
              </w:rPr>
            </w:pPr>
            <w:r>
              <w:rPr>
                <w:rFonts w:ascii="Arial" w:cs="Arial" w:eastAsia="Arial" w:hAnsi="Arial"/>
                <w:sz w:val="18"/>
                <w:szCs w:val="18"/>
                <w:color w:val="auto"/>
              </w:rPr>
              <w:t>PA 3219</w:t>
            </w:r>
          </w:p>
        </w:tc>
        <w:tc>
          <w:tcPr>
            <w:tcW w:w="8940" w:type="dxa"/>
            <w:vAlign w:val="bottom"/>
          </w:tcPr>
          <w:p>
            <w:pPr>
              <w:ind w:left="4700"/>
              <w:spacing w:after="0"/>
              <w:rPr>
                <w:sz w:val="20"/>
                <w:szCs w:val="20"/>
                <w:color w:val="auto"/>
              </w:rPr>
            </w:pPr>
            <w:r>
              <w:rPr>
                <w:rFonts w:ascii="Arial" w:cs="Arial" w:eastAsia="Arial" w:hAnsi="Arial"/>
                <w:sz w:val="18"/>
                <w:szCs w:val="18"/>
                <w:color w:val="auto"/>
              </w:rPr>
              <w:t>SA-5</w:t>
            </w:r>
          </w:p>
        </w:tc>
        <w:tc>
          <w:tcPr>
            <w:tcW w:w="1420" w:type="dxa"/>
            <w:vAlign w:val="bottom"/>
          </w:tcPr>
          <w:p>
            <w:pPr>
              <w:ind w:left="940"/>
              <w:spacing w:after="0"/>
              <w:rPr>
                <w:sz w:val="20"/>
                <w:szCs w:val="20"/>
                <w:color w:val="auto"/>
              </w:rPr>
            </w:pPr>
            <w:r>
              <w:rPr>
                <w:rFonts w:ascii="Arial" w:cs="Arial" w:eastAsia="Arial" w:hAnsi="Arial"/>
                <w:sz w:val="18"/>
                <w:szCs w:val="18"/>
                <w:color w:val="auto"/>
                <w:w w:val="80"/>
              </w:rPr>
              <w:t>Page 1</w:t>
            </w:r>
          </w:p>
        </w:tc>
      </w:tr>
      <w:tr>
        <w:trPr>
          <w:trHeight w:val="234"/>
        </w:trPr>
        <w:tc>
          <w:tcPr>
            <w:tcW w:w="1060" w:type="dxa"/>
            <w:vAlign w:val="bottom"/>
          </w:tcPr>
          <w:p>
            <w:pPr>
              <w:spacing w:after="0"/>
              <w:rPr>
                <w:sz w:val="20"/>
                <w:szCs w:val="20"/>
                <w:color w:val="auto"/>
              </w:rPr>
            </w:pPr>
          </w:p>
        </w:tc>
        <w:tc>
          <w:tcPr>
            <w:tcW w:w="8940" w:type="dxa"/>
            <w:vAlign w:val="bottom"/>
          </w:tcPr>
          <w:p>
            <w:pPr>
              <w:ind w:left="3860"/>
              <w:spacing w:after="0"/>
              <w:rPr>
                <w:sz w:val="20"/>
                <w:szCs w:val="20"/>
                <w:color w:val="auto"/>
              </w:rPr>
            </w:pPr>
            <w:r>
              <w:rPr>
                <w:rFonts w:ascii="Arial" w:cs="Arial" w:eastAsia="Arial" w:hAnsi="Arial"/>
                <w:sz w:val="18"/>
                <w:szCs w:val="18"/>
                <w:b w:val="1"/>
                <w:bCs w:val="1"/>
                <w:color w:val="auto"/>
              </w:rPr>
              <w:t>BOEING PROPRIETARY</w:t>
            </w:r>
          </w:p>
        </w:tc>
        <w:tc>
          <w:tcPr>
            <w:tcW w:w="14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153" w:name="page154"/>
    <w:bookmarkEnd w:id="153"/>
    <w:p>
      <w:pPr>
        <w:jc w:val="both"/>
        <w:ind w:firstLine="148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in connection with the [*CTR] made by each of the parties specified in Article 6 of SA-4 regarding the [*CTR], Customer and Boeing have mutually agreed to [*CTR] of (i) each Aircraft specified in Table 1(R3), Table 2(R1), Table 3(R1) and Table 4, (ii) each [*CTR] (whether as a 787-8 or 787-9 model aircraft) purchased as a result of Customer’s [*CTR] in accordance with Letter Agreement 6-1162-TRW-0664R2 entitled “</w:t>
      </w:r>
      <w:r>
        <w:rPr>
          <w:rFonts w:ascii="Arial" w:cs="Arial" w:eastAsia="Arial" w:hAnsi="Arial"/>
          <w:sz w:val="18"/>
          <w:szCs w:val="18"/>
          <w:u w:val="single" w:color="auto"/>
          <w:color w:val="auto"/>
        </w:rPr>
        <w:t>Aircraft</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 Rights and Substitution Rights</w:t>
      </w:r>
      <w:r>
        <w:rPr>
          <w:rFonts w:ascii="Arial" w:cs="Arial" w:eastAsia="Arial" w:hAnsi="Arial"/>
          <w:sz w:val="18"/>
          <w:szCs w:val="18"/>
          <w:color w:val="auto"/>
        </w:rPr>
        <w:t>” (</w:t>
      </w:r>
      <w:r>
        <w:rPr>
          <w:rFonts w:ascii="Arial" w:cs="Arial" w:eastAsia="Arial" w:hAnsi="Arial"/>
          <w:sz w:val="18"/>
          <w:szCs w:val="18"/>
          <w:b w:val="1"/>
          <w:bCs w:val="1"/>
          <w:i w:val="1"/>
          <w:iCs w:val="1"/>
          <w:color w:val="auto"/>
        </w:rPr>
        <w:t>787 Purchase/Substitution Rights Letter</w:t>
      </w:r>
      <w:r>
        <w:rPr>
          <w:rFonts w:ascii="Arial" w:cs="Arial" w:eastAsia="Arial" w:hAnsi="Arial"/>
          <w:sz w:val="18"/>
          <w:szCs w:val="18"/>
          <w:color w:val="auto"/>
        </w:rPr>
        <w:t>); and (iii) each 787-8 Aircraft arising from [*CTR] in accordance with the 787 Purchase/Substitution Rights Letter; and</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WHEREAS, Customer and Boeing agree to incorporate clarifying revisions to certain letter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that the Purchase Agreement is amended as set for the below and otherwise agree as follows:</w:t>
      </w:r>
    </w:p>
    <w:p>
      <w:pPr>
        <w:spacing w:after="0" w:line="37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[*CTR] Pricing</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parties have agreed upon the following [*CTR] Prices:</w:t>
      </w:r>
    </w:p>
    <w:p>
      <w:pPr>
        <w:spacing w:after="0" w:line="117" w:lineRule="exact"/>
        <w:rPr>
          <w:sz w:val="20"/>
          <w:szCs w:val="20"/>
          <w:color w:val="auto"/>
        </w:rPr>
      </w:pPr>
    </w:p>
    <w:p>
      <w:pPr>
        <w:ind w:left="920" w:firstLine="42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Table 1(R3) 787-9 Aircraft</w:t>
      </w:r>
      <w:r>
        <w:rPr>
          <w:rFonts w:ascii="Arial" w:cs="Arial" w:eastAsia="Arial" w:hAnsi="Arial"/>
          <w:sz w:val="18"/>
          <w:szCs w:val="18"/>
          <w:color w:val="auto"/>
        </w:rPr>
        <w:t>. For 787-9 Aircraft listed in Table 1(R3) equipped with GEnx-1B74/75 engines, the [*CTR]. Such [*CTR] in accordance with the Purchase Agreement</w:t>
      </w:r>
    </w:p>
    <w:p>
      <w:pPr>
        <w:spacing w:after="0" w:line="62" w:lineRule="exact"/>
        <w:rPr>
          <w:sz w:val="20"/>
          <w:szCs w:val="20"/>
          <w:color w:val="auto"/>
        </w:rPr>
      </w:pPr>
    </w:p>
    <w:p>
      <w:pPr>
        <w:ind w:left="920" w:firstLine="42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Table 2(R1) 787-8 Aircraft</w:t>
      </w:r>
      <w:r>
        <w:rPr>
          <w:rFonts w:ascii="Arial" w:cs="Arial" w:eastAsia="Arial" w:hAnsi="Arial"/>
          <w:sz w:val="18"/>
          <w:szCs w:val="18"/>
          <w:color w:val="auto"/>
        </w:rPr>
        <w:t>. For 787-8 Aircraft listed in Table 2(R1) equipped with GEnx-1B70 engines, the [*CTR]. Such [*CTR] in accordance with the Purchase Agreement;</w:t>
      </w:r>
    </w:p>
    <w:p>
      <w:pPr>
        <w:spacing w:after="0" w:line="62" w:lineRule="exact"/>
        <w:rPr>
          <w:sz w:val="20"/>
          <w:szCs w:val="20"/>
          <w:color w:val="auto"/>
        </w:rPr>
      </w:pPr>
    </w:p>
    <w:p>
      <w:pPr>
        <w:ind w:left="920" w:right="20" w:firstLine="420"/>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Table 3(R1) &amp; Table 4 787-8 Aircraft</w:t>
      </w:r>
      <w:r>
        <w:rPr>
          <w:rFonts w:ascii="Arial" w:cs="Arial" w:eastAsia="Arial" w:hAnsi="Arial"/>
          <w:sz w:val="18"/>
          <w:szCs w:val="18"/>
          <w:color w:val="auto"/>
        </w:rPr>
        <w:t>. For 787-8 Aircraft listed in Table 3(R1) and in Table 4 equipped with GEnx-1B70 engines, the [*CTR]. Such [*CTR] in accordance with the Purchase Agreement;</w:t>
      </w:r>
    </w:p>
    <w:p>
      <w:pPr>
        <w:spacing w:after="0" w:line="62" w:lineRule="exact"/>
        <w:rPr>
          <w:sz w:val="20"/>
          <w:szCs w:val="20"/>
          <w:color w:val="auto"/>
        </w:rPr>
      </w:pPr>
    </w:p>
    <w:p>
      <w:pPr>
        <w:ind w:left="920" w:firstLine="420"/>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[*CTR] Aircraft</w:t>
      </w:r>
      <w:r>
        <w:rPr>
          <w:rFonts w:ascii="Arial" w:cs="Arial" w:eastAsia="Arial" w:hAnsi="Arial"/>
          <w:sz w:val="18"/>
          <w:szCs w:val="18"/>
          <w:color w:val="auto"/>
        </w:rPr>
        <w:t>. For Firm Aircraft that are [*CTR] in accordance with the 787 Purchase/Substitution Rights Letter, the [*CTR] is specified as follows:</w:t>
      </w:r>
    </w:p>
    <w:p>
      <w:pPr>
        <w:spacing w:after="0" w:line="62" w:lineRule="exact"/>
        <w:rPr>
          <w:sz w:val="20"/>
          <w:szCs w:val="20"/>
          <w:color w:val="auto"/>
        </w:rPr>
      </w:pPr>
    </w:p>
    <w:p>
      <w:pPr>
        <w:ind w:left="1940" w:firstLine="379"/>
        <w:spacing w:after="0" w:line="277" w:lineRule="auto"/>
        <w:rPr>
          <w:sz w:val="20"/>
          <w:szCs w:val="20"/>
          <w:color w:val="auto"/>
        </w:rPr>
      </w:pPr>
      <w:r>
        <w:rPr>
          <w:rFonts w:ascii="Arial" w:cs="Arial" w:eastAsia="Arial" w:hAnsi="Arial"/>
          <w:sz w:val="18"/>
          <w:szCs w:val="18"/>
          <w:color w:val="auto"/>
        </w:rPr>
        <w:t>1.4.1 For Firm Aircraft [*CTR] pursuant to the 787 Purchase/Substitution Rights Letter, the [*CTR]. Such [*CTR] in accordance with the Purchase Agreement; and</w:t>
      </w:r>
    </w:p>
    <w:p>
      <w:pPr>
        <w:spacing w:after="0" w:line="62" w:lineRule="exact"/>
        <w:rPr>
          <w:sz w:val="20"/>
          <w:szCs w:val="20"/>
          <w:color w:val="auto"/>
        </w:rPr>
      </w:pPr>
    </w:p>
    <w:p>
      <w:pPr>
        <w:jc w:val="both"/>
        <w:ind w:left="1940" w:firstLine="379"/>
        <w:spacing w:after="0" w:line="264" w:lineRule="auto"/>
        <w:rPr>
          <w:sz w:val="20"/>
          <w:szCs w:val="20"/>
          <w:color w:val="auto"/>
        </w:rPr>
      </w:pPr>
      <w:r>
        <w:rPr>
          <w:rFonts w:ascii="Arial" w:cs="Arial" w:eastAsia="Arial" w:hAnsi="Arial"/>
          <w:sz w:val="18"/>
          <w:szCs w:val="18"/>
          <w:color w:val="auto"/>
        </w:rPr>
        <w:t>1.4.2 For Firm Aircraft previously [*CTR] pursuant to the 787 Purchase/Substitution Rights Letter and if subsequently [*CTR] pursuant to the 787 Purchase/Substitution Rights Letter, the [*CTR] will be at the [*CTR] as that term is defined in the 787 Purchase/Substitution Rights Letter.</w:t>
      </w:r>
    </w:p>
    <w:p>
      <w:pPr>
        <w:sectPr>
          <w:pgSz w:w="11900" w:h="16838" w:orient="portrait"/>
          <w:cols w:equalWidth="0" w:num="1">
            <w:col w:w="11420"/>
          </w:cols>
          <w:pgMar w:left="240" w:top="274" w:right="2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PA 3219</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3240"/>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center"/>
        <w:ind w:right="3240"/>
        <w:spacing w:after="0"/>
        <w:rPr>
          <w:sz w:val="20"/>
          <w:szCs w:val="20"/>
          <w:color w:val="auto"/>
        </w:rPr>
      </w:pPr>
      <w:r>
        <w:rPr>
          <w:rFonts w:ascii="Arial" w:cs="Arial" w:eastAsia="Arial" w:hAnsi="Arial"/>
          <w:sz w:val="17"/>
          <w:szCs w:val="17"/>
          <w:b w:val="1"/>
          <w:bCs w:val="1"/>
          <w:color w:val="auto"/>
        </w:rPr>
        <w:t>BOEING PROPRIETARY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453" w:lineRule="exact"/>
        <w:rPr>
          <w:sz w:val="20"/>
          <w:szCs w:val="20"/>
          <w:color w:val="auto"/>
        </w:rPr>
      </w:pPr>
    </w:p>
    <w:p>
      <w:pPr>
        <w:sectPr>
          <w:pgSz w:w="11900" w:h="16838" w:orient="portrait"/>
          <w:cols w:equalWidth="0" w:num="3">
            <w:col w:w="4200" w:space="720"/>
            <w:col w:w="5300" w:space="720"/>
            <w:col w:w="480"/>
          </w:cols>
          <w:pgMar w:left="240" w:top="274" w:right="239" w:bottom="1440" w:gutter="0" w:footer="0" w:header="0"/>
          <w:type w:val="continuous"/>
        </w:sectPr>
      </w:pPr>
    </w:p>
    <w:p>
      <w:pPr>
        <w:spacing w:after="0" w:line="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54" w:name="page155"/>
    <w:bookmarkEnd w:id="154"/>
    <w:p>
      <w:pPr>
        <w:ind w:left="1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 </w:t>
      </w:r>
      <w:r>
        <w:rPr>
          <w:rFonts w:ascii="Arial" w:cs="Arial" w:eastAsia="Arial" w:hAnsi="Arial"/>
          <w:sz w:val="17"/>
          <w:szCs w:val="17"/>
          <w:u w:val="single" w:color="auto"/>
          <w:color w:val="auto"/>
        </w:rPr>
        <w:t>Rights Aircraft resulting from [*CTR]</w:t>
      </w:r>
      <w:r>
        <w:rPr>
          <w:rFonts w:ascii="Arial" w:cs="Arial" w:eastAsia="Arial" w:hAnsi="Arial"/>
          <w:sz w:val="17"/>
          <w:szCs w:val="17"/>
          <w:color w:val="auto"/>
        </w:rPr>
        <w:t>. [*CTR] for each Rights Aircraft (whether as a [*CTR] model aircraft) purchased as a result of</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Customer’s [*CTR] in accordance with 787 Purchase/Substitution Rights Letter, the [*CTR] is as follows:</w:t>
      </w:r>
    </w:p>
    <w:p>
      <w:pPr>
        <w:spacing w:after="0" w:line="103" w:lineRule="exact"/>
        <w:rPr>
          <w:sz w:val="20"/>
          <w:szCs w:val="20"/>
          <w:color w:val="auto"/>
        </w:rPr>
      </w:pPr>
    </w:p>
    <w:p>
      <w:pPr>
        <w:ind w:left="1940" w:firstLine="379"/>
        <w:spacing w:after="0" w:line="277" w:lineRule="auto"/>
        <w:rPr>
          <w:sz w:val="20"/>
          <w:szCs w:val="20"/>
          <w:color w:val="auto"/>
        </w:rPr>
      </w:pPr>
      <w:r>
        <w:rPr>
          <w:rFonts w:ascii="Arial" w:cs="Arial" w:eastAsia="Arial" w:hAnsi="Arial"/>
          <w:sz w:val="18"/>
          <w:szCs w:val="18"/>
          <w:color w:val="auto"/>
        </w:rPr>
        <w:t>1.5.1 For [*CTR] in accordance with the 787 Purchase/Substitution Rights Letter for [*CTR] Aircraft: the [*CTR]. Such [*CTR] in accordance with the Purchase Agreement; and</w:t>
      </w:r>
    </w:p>
    <w:p>
      <w:pPr>
        <w:spacing w:after="0" w:line="62" w:lineRule="exact"/>
        <w:rPr>
          <w:sz w:val="20"/>
          <w:szCs w:val="20"/>
          <w:color w:val="auto"/>
        </w:rPr>
      </w:pPr>
    </w:p>
    <w:p>
      <w:pPr>
        <w:ind w:left="1940" w:firstLine="379"/>
        <w:spacing w:after="0" w:line="277" w:lineRule="auto"/>
        <w:rPr>
          <w:sz w:val="20"/>
          <w:szCs w:val="20"/>
          <w:color w:val="auto"/>
        </w:rPr>
      </w:pPr>
      <w:r>
        <w:rPr>
          <w:rFonts w:ascii="Arial" w:cs="Arial" w:eastAsia="Arial" w:hAnsi="Arial"/>
          <w:sz w:val="18"/>
          <w:szCs w:val="18"/>
          <w:color w:val="auto"/>
        </w:rPr>
        <w:t>1.5.2 For [*CTR] in accordance with the 787 Purchase/Substitution Rights Letter for [*CTR] Aircraft: the [*CTR]. Such [*CTR] in accordance with the Purchase Agreement.</w:t>
      </w:r>
    </w:p>
    <w:p>
      <w:pPr>
        <w:spacing w:after="0" w:line="62" w:lineRule="exact"/>
        <w:rPr>
          <w:sz w:val="20"/>
          <w:szCs w:val="20"/>
          <w:color w:val="auto"/>
        </w:rPr>
      </w:pPr>
    </w:p>
    <w:p>
      <w:pPr>
        <w:jc w:val="both"/>
        <w:ind w:left="920" w:firstLine="420"/>
        <w:spacing w:after="0" w:line="264"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Any Other</w:t>
      </w:r>
      <w:r>
        <w:rPr>
          <w:rFonts w:ascii="Arial" w:cs="Arial" w:eastAsia="Arial" w:hAnsi="Arial"/>
          <w:sz w:val="18"/>
          <w:szCs w:val="18"/>
          <w:color w:val="auto"/>
        </w:rPr>
        <w:t xml:space="preserve"> [*CTR]. For any other Rights Aircraft [*CTR] in accordance with the 787 Purchase/Substitution Rights Letter, the [*CTR] is determined in accordance with Section 6.1 of 787 Purchase/Substitution Rights Letter, i.e., will be at the [*CTR] as that term is defined in the 787 Purchase/Substitution Rights Letter.</w:t>
      </w:r>
    </w:p>
    <w:p>
      <w:pPr>
        <w:spacing w:after="0" w:line="32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Table of Contents</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Table of Contents referencing SA-4 in the footer is deleted in its entirety and is replaced with the new Table of Contents (attached hereto) referencing SA-5 in the footer. The new Table of Contents is hereby incorporated into the Purchase Agreement.</w:t>
      </w:r>
    </w:p>
    <w:p>
      <w:pPr>
        <w:spacing w:after="0" w:line="31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Tables</w:t>
      </w:r>
      <w:r>
        <w:rPr>
          <w:rFonts w:ascii="Arial" w:cs="Arial" w:eastAsia="Arial" w:hAnsi="Arial"/>
          <w:sz w:val="18"/>
          <w:szCs w:val="18"/>
          <w:b w:val="1"/>
          <w:bCs w:val="1"/>
          <w:color w:val="auto"/>
        </w:rPr>
        <w:t>.</w:t>
      </w:r>
    </w:p>
    <w:p>
      <w:pPr>
        <w:spacing w:after="0" w:line="121"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Table 1(R3)</w:t>
      </w:r>
      <w:r>
        <w:rPr>
          <w:rFonts w:ascii="Arial" w:cs="Arial" w:eastAsia="Arial" w:hAnsi="Arial"/>
          <w:sz w:val="16"/>
          <w:szCs w:val="16"/>
          <w:color w:val="auto"/>
        </w:rPr>
        <w:t>. Table 1(R2) entitled “</w:t>
      </w:r>
      <w:r>
        <w:rPr>
          <w:rFonts w:ascii="Arial" w:cs="Arial" w:eastAsia="Arial" w:hAnsi="Arial"/>
          <w:sz w:val="16"/>
          <w:szCs w:val="16"/>
          <w:u w:val="single" w:color="auto"/>
          <w:color w:val="auto"/>
        </w:rPr>
        <w:t>787-923 Aircraft Information Table - GENX</w:t>
      </w:r>
      <w:r>
        <w:rPr>
          <w:rFonts w:ascii="Arial" w:cs="Arial" w:eastAsia="Arial" w:hAnsi="Arial"/>
          <w:sz w:val="16"/>
          <w:szCs w:val="16"/>
          <w:color w:val="auto"/>
        </w:rPr>
        <w:t>” referencing SA-3 in the footer is deleted in its entirety. Table 1(R3) (attached hereto referencing SA-5 in the footer) is hereby incorporated into the Purchase Agreement in replacement of its</w:t>
      </w: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9180" w:type="dxa"/>
            <w:vAlign w:val="bottom"/>
            <w:gridSpan w:val="14"/>
          </w:tcPr>
          <w:p>
            <w:pPr>
              <w:spacing w:after="0"/>
              <w:rPr>
                <w:sz w:val="20"/>
                <w:szCs w:val="20"/>
                <w:color w:val="auto"/>
              </w:rPr>
            </w:pPr>
            <w:r>
              <w:rPr>
                <w:rFonts w:ascii="Arial" w:cs="Arial" w:eastAsia="Arial" w:hAnsi="Arial"/>
                <w:sz w:val="18"/>
                <w:szCs w:val="18"/>
                <w:color w:val="auto"/>
              </w:rPr>
              <w:t>predecessor.</w:t>
            </w:r>
          </w:p>
        </w:tc>
        <w:tc>
          <w:tcPr>
            <w:tcW w:w="1320" w:type="dxa"/>
            <w:vAlign w:val="bottom"/>
          </w:tcPr>
          <w:p>
            <w:pPr>
              <w:spacing w:after="0"/>
              <w:rPr>
                <w:sz w:val="20"/>
                <w:szCs w:val="20"/>
                <w:color w:val="auto"/>
              </w:rPr>
            </w:pPr>
          </w:p>
        </w:tc>
      </w:tr>
      <w:tr>
        <w:trPr>
          <w:trHeight w:val="269"/>
        </w:trPr>
        <w:tc>
          <w:tcPr>
            <w:tcW w:w="920" w:type="dxa"/>
            <w:vAlign w:val="bottom"/>
          </w:tcPr>
          <w:p>
            <w:pPr>
              <w:spacing w:after="0"/>
              <w:rPr>
                <w:sz w:val="23"/>
                <w:szCs w:val="23"/>
                <w:color w:val="auto"/>
              </w:rPr>
            </w:pPr>
          </w:p>
        </w:tc>
        <w:tc>
          <w:tcPr>
            <w:tcW w:w="10500" w:type="dxa"/>
            <w:vAlign w:val="bottom"/>
            <w:gridSpan w:val="15"/>
          </w:tcPr>
          <w:p>
            <w:pPr>
              <w:jc w:val="right"/>
              <w:spacing w:after="0"/>
              <w:rPr>
                <w:sz w:val="20"/>
                <w:szCs w:val="20"/>
                <w:color w:val="auto"/>
              </w:rPr>
            </w:pPr>
            <w:r>
              <w:rPr>
                <w:rFonts w:ascii="Arial" w:cs="Arial" w:eastAsia="Arial" w:hAnsi="Arial"/>
                <w:sz w:val="18"/>
                <w:szCs w:val="18"/>
                <w:color w:val="auto"/>
                <w:w w:val="96"/>
              </w:rPr>
              <w:t>3.2 Table 2(R1). Table 2 entitled “787-8 Aircraft Information Table – GENX” referencing SA-3 in the footer is deleted in its entirety. Table</w:t>
            </w: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gridSpan w:val="15"/>
          </w:tcPr>
          <w:p>
            <w:pPr>
              <w:jc w:val="right"/>
              <w:spacing w:after="0" w:line="196" w:lineRule="exact"/>
              <w:rPr>
                <w:sz w:val="20"/>
                <w:szCs w:val="20"/>
                <w:color w:val="auto"/>
              </w:rPr>
            </w:pPr>
            <w:r>
              <w:rPr>
                <w:rFonts w:ascii="Arial" w:cs="Arial" w:eastAsia="Arial" w:hAnsi="Arial"/>
                <w:sz w:val="18"/>
                <w:szCs w:val="18"/>
                <w:color w:val="auto"/>
                <w:w w:val="97"/>
              </w:rPr>
              <w:t>2(R1) entitled “787-8 Aircraft Information Table – GENX ([*CTR] (12) 787-8 Aircraft)” (attached hereto referencing SA-5 in the footer) is</w:t>
            </w:r>
          </w:p>
        </w:tc>
      </w:tr>
      <w:tr>
        <w:trPr>
          <w:trHeight w:val="20"/>
        </w:trPr>
        <w:tc>
          <w:tcPr>
            <w:tcW w:w="9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9180" w:type="dxa"/>
            <w:vAlign w:val="bottom"/>
            <w:gridSpan w:val="14"/>
          </w:tcPr>
          <w:p>
            <w:pPr>
              <w:spacing w:after="0"/>
              <w:rPr>
                <w:sz w:val="20"/>
                <w:szCs w:val="20"/>
                <w:color w:val="auto"/>
              </w:rPr>
            </w:pPr>
            <w:r>
              <w:rPr>
                <w:rFonts w:ascii="Arial" w:cs="Arial" w:eastAsia="Arial" w:hAnsi="Arial"/>
                <w:sz w:val="18"/>
                <w:szCs w:val="18"/>
                <w:color w:val="auto"/>
              </w:rPr>
              <w:t>hereby incorporated into the Purchase Agreement in replacement of its predecessor.</w:t>
            </w:r>
          </w:p>
        </w:tc>
        <w:tc>
          <w:tcPr>
            <w:tcW w:w="1320" w:type="dxa"/>
            <w:vAlign w:val="bottom"/>
          </w:tcPr>
          <w:p>
            <w:pPr>
              <w:spacing w:after="0"/>
              <w:rPr>
                <w:sz w:val="20"/>
                <w:szCs w:val="20"/>
                <w:color w:val="auto"/>
              </w:rPr>
            </w:pPr>
          </w:p>
        </w:tc>
      </w:tr>
      <w:tr>
        <w:trPr>
          <w:trHeight w:val="284"/>
        </w:trPr>
        <w:tc>
          <w:tcPr>
            <w:tcW w:w="920" w:type="dxa"/>
            <w:vAlign w:val="bottom"/>
          </w:tcPr>
          <w:p>
            <w:pPr>
              <w:spacing w:after="0"/>
              <w:rPr>
                <w:sz w:val="24"/>
                <w:szCs w:val="24"/>
                <w:color w:val="auto"/>
              </w:rPr>
            </w:pPr>
          </w:p>
        </w:tc>
        <w:tc>
          <w:tcPr>
            <w:tcW w:w="10500" w:type="dxa"/>
            <w:vAlign w:val="bottom"/>
            <w:gridSpan w:val="15"/>
          </w:tcPr>
          <w:p>
            <w:pPr>
              <w:jc w:val="right"/>
              <w:spacing w:after="0"/>
              <w:rPr>
                <w:sz w:val="20"/>
                <w:szCs w:val="20"/>
                <w:color w:val="auto"/>
              </w:rPr>
            </w:pPr>
            <w:r>
              <w:rPr>
                <w:rFonts w:ascii="Arial" w:cs="Arial" w:eastAsia="Arial" w:hAnsi="Arial"/>
                <w:sz w:val="18"/>
                <w:szCs w:val="18"/>
                <w:color w:val="auto"/>
                <w:w w:val="96"/>
              </w:rPr>
              <w:t>3.3 Table 3(R1). Table 3 entitled “787-8 Aircraft Information Table – GENX” referencing SA-3 in the footer is deleted in its entirety. Table</w:t>
            </w: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gridSpan w:val="15"/>
          </w:tcPr>
          <w:p>
            <w:pPr>
              <w:jc w:val="right"/>
              <w:spacing w:after="0" w:line="196" w:lineRule="exact"/>
              <w:rPr>
                <w:sz w:val="20"/>
                <w:szCs w:val="20"/>
                <w:color w:val="auto"/>
              </w:rPr>
            </w:pPr>
            <w:r>
              <w:rPr>
                <w:rFonts w:ascii="Arial" w:cs="Arial" w:eastAsia="Arial" w:hAnsi="Arial"/>
                <w:sz w:val="18"/>
                <w:szCs w:val="18"/>
                <w:color w:val="auto"/>
                <w:w w:val="96"/>
              </w:rPr>
              <w:t>3(R1) entitled “787-8 Aircraft Information Table – GENX ([*CTR] (8) 787-8 Aircraft, yielding Twenty (20) 787-8 Aircraft)” (attached hereto</w:t>
            </w:r>
          </w:p>
        </w:tc>
      </w:tr>
      <w:tr>
        <w:trPr>
          <w:trHeight w:val="20"/>
        </w:trPr>
        <w:tc>
          <w:tcPr>
            <w:tcW w:w="9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9180" w:type="dxa"/>
            <w:vAlign w:val="bottom"/>
            <w:gridSpan w:val="14"/>
          </w:tcPr>
          <w:p>
            <w:pPr>
              <w:spacing w:after="0"/>
              <w:rPr>
                <w:sz w:val="20"/>
                <w:szCs w:val="20"/>
                <w:color w:val="auto"/>
              </w:rPr>
            </w:pPr>
            <w:r>
              <w:rPr>
                <w:rFonts w:ascii="Arial" w:cs="Arial" w:eastAsia="Arial" w:hAnsi="Arial"/>
                <w:sz w:val="18"/>
                <w:szCs w:val="18"/>
                <w:color w:val="auto"/>
                <w:w w:val="97"/>
              </w:rPr>
              <w:t>referencing SA-5 in the footer) is hereby incorporated into the Purchase Agreement in replacement of its predecessor.</w:t>
            </w:r>
          </w:p>
        </w:tc>
        <w:tc>
          <w:tcPr>
            <w:tcW w:w="1320" w:type="dxa"/>
            <w:vAlign w:val="bottom"/>
          </w:tcPr>
          <w:p>
            <w:pPr>
              <w:spacing w:after="0"/>
              <w:rPr>
                <w:sz w:val="20"/>
                <w:szCs w:val="20"/>
                <w:color w:val="auto"/>
              </w:rPr>
            </w:pPr>
          </w:p>
        </w:tc>
      </w:tr>
      <w:tr>
        <w:trPr>
          <w:trHeight w:val="284"/>
        </w:trPr>
        <w:tc>
          <w:tcPr>
            <w:tcW w:w="920" w:type="dxa"/>
            <w:vAlign w:val="bottom"/>
          </w:tcPr>
          <w:p>
            <w:pPr>
              <w:spacing w:after="0"/>
              <w:rPr>
                <w:sz w:val="24"/>
                <w:szCs w:val="24"/>
                <w:color w:val="auto"/>
              </w:rPr>
            </w:pPr>
          </w:p>
        </w:tc>
        <w:tc>
          <w:tcPr>
            <w:tcW w:w="10500" w:type="dxa"/>
            <w:vAlign w:val="bottom"/>
            <w:gridSpan w:val="15"/>
          </w:tcPr>
          <w:p>
            <w:pPr>
              <w:jc w:val="right"/>
              <w:spacing w:after="0"/>
              <w:rPr>
                <w:sz w:val="20"/>
                <w:szCs w:val="20"/>
                <w:color w:val="auto"/>
              </w:rPr>
            </w:pPr>
            <w:r>
              <w:rPr>
                <w:rFonts w:ascii="Arial" w:cs="Arial" w:eastAsia="Arial" w:hAnsi="Arial"/>
                <w:sz w:val="18"/>
                <w:szCs w:val="18"/>
                <w:color w:val="auto"/>
                <w:w w:val="97"/>
              </w:rPr>
              <w:t>3.4 Table 4. Table 4 entitled “787-8 Aircraft Information Table – GENX ([*CTR] (1) 787-8 Aircraft, yielding Twenty-One 787-8 Aircraft, a</w:t>
            </w: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20" w:type="dxa"/>
            <w:vAlign w:val="bottom"/>
            <w:gridSpan w:val="3"/>
            <w:shd w:val="clear" w:color="auto" w:fill="000000"/>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500" w:type="dxa"/>
            <w:vAlign w:val="bottom"/>
            <w:gridSpan w:val="15"/>
          </w:tcPr>
          <w:p>
            <w:pPr>
              <w:jc w:val="right"/>
              <w:spacing w:after="0" w:line="196" w:lineRule="exact"/>
              <w:rPr>
                <w:sz w:val="20"/>
                <w:szCs w:val="20"/>
                <w:color w:val="auto"/>
              </w:rPr>
            </w:pPr>
            <w:r>
              <w:rPr>
                <w:rFonts w:ascii="Arial" w:cs="Arial" w:eastAsia="Arial" w:hAnsi="Arial"/>
                <w:sz w:val="18"/>
                <w:szCs w:val="18"/>
                <w:color w:val="auto"/>
                <w:w w:val="99"/>
              </w:rPr>
              <w:t>[*CTR] 787-8 Aircraft for Purposes of Exhibit A2(R2))” (attached hereto referencing SA-5 in the footer) is hereby incorporated into the</w:t>
            </w:r>
          </w:p>
        </w:tc>
      </w:tr>
      <w:tr>
        <w:trPr>
          <w:trHeight w:val="237"/>
        </w:trPr>
        <w:tc>
          <w:tcPr>
            <w:tcW w:w="920" w:type="dxa"/>
            <w:vAlign w:val="bottom"/>
          </w:tcPr>
          <w:p>
            <w:pPr>
              <w:spacing w:after="0"/>
              <w:rPr>
                <w:sz w:val="20"/>
                <w:szCs w:val="20"/>
                <w:color w:val="auto"/>
              </w:rPr>
            </w:pPr>
          </w:p>
        </w:tc>
        <w:tc>
          <w:tcPr>
            <w:tcW w:w="41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Purchase.</w:t>
            </w:r>
          </w:p>
        </w:tc>
        <w:tc>
          <w:tcPr>
            <w:tcW w:w="5040" w:type="dxa"/>
            <w:vAlign w:val="bottom"/>
            <w:gridSpan w:val="7"/>
          </w:tcPr>
          <w:p>
            <w:pPr>
              <w:spacing w:after="0"/>
              <w:rPr>
                <w:sz w:val="20"/>
                <w:szCs w:val="20"/>
                <w:color w:val="auto"/>
              </w:rPr>
            </w:pPr>
          </w:p>
        </w:tc>
        <w:tc>
          <w:tcPr>
            <w:tcW w:w="1320" w:type="dxa"/>
            <w:vAlign w:val="bottom"/>
          </w:tcPr>
          <w:p>
            <w:pPr>
              <w:spacing w:after="0"/>
              <w:rPr>
                <w:sz w:val="20"/>
                <w:szCs w:val="20"/>
                <w:color w:val="auto"/>
              </w:rPr>
            </w:pPr>
          </w:p>
        </w:tc>
      </w:tr>
      <w:tr>
        <w:trPr>
          <w:trHeight w:val="346"/>
        </w:trPr>
        <w:tc>
          <w:tcPr>
            <w:tcW w:w="920" w:type="dxa"/>
            <w:vAlign w:val="bottom"/>
          </w:tcPr>
          <w:p>
            <w:pPr>
              <w:spacing w:after="0"/>
              <w:rPr>
                <w:sz w:val="20"/>
                <w:szCs w:val="20"/>
                <w:color w:val="auto"/>
              </w:rPr>
            </w:pPr>
            <w:r>
              <w:rPr>
                <w:rFonts w:ascii="Arial" w:cs="Arial" w:eastAsia="Arial" w:hAnsi="Arial"/>
                <w:sz w:val="18"/>
                <w:szCs w:val="18"/>
                <w:color w:val="auto"/>
              </w:rPr>
              <w:t>PA 3219</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40" w:type="dxa"/>
            <w:vAlign w:val="bottom"/>
            <w:gridSpan w:val="7"/>
          </w:tcPr>
          <w:p>
            <w:pPr>
              <w:jc w:val="center"/>
              <w:ind w:right="3260"/>
              <w:spacing w:after="0"/>
              <w:rPr>
                <w:sz w:val="20"/>
                <w:szCs w:val="20"/>
                <w:color w:val="auto"/>
              </w:rPr>
            </w:pPr>
            <w:r>
              <w:rPr>
                <w:rFonts w:ascii="Arial" w:cs="Arial" w:eastAsia="Arial" w:hAnsi="Arial"/>
                <w:sz w:val="18"/>
                <w:szCs w:val="18"/>
                <w:color w:val="auto"/>
                <w:w w:val="94"/>
              </w:rPr>
              <w:t>SA-5</w:t>
            </w:r>
          </w:p>
        </w:tc>
        <w:tc>
          <w:tcPr>
            <w:tcW w:w="132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234"/>
        </w:trPr>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gridSpan w:val="8"/>
          </w:tcPr>
          <w:p>
            <w:pPr>
              <w:jc w:val="center"/>
              <w:ind w:right="2000"/>
              <w:spacing w:after="0"/>
              <w:rPr>
                <w:sz w:val="20"/>
                <w:szCs w:val="20"/>
                <w:color w:val="auto"/>
              </w:rPr>
            </w:pPr>
            <w:r>
              <w:rPr>
                <w:rFonts w:ascii="Arial" w:cs="Arial" w:eastAsia="Arial" w:hAnsi="Arial"/>
                <w:sz w:val="18"/>
                <w:szCs w:val="18"/>
                <w:b w:val="1"/>
                <w:bCs w:val="1"/>
                <w:color w:val="auto"/>
                <w:w w:val="99"/>
              </w:rPr>
              <w:t>BOEING PROPRIETARY</w:t>
            </w:r>
          </w:p>
        </w:tc>
        <w:tc>
          <w:tcPr>
            <w:tcW w:w="13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5" w:name="page156"/>
    <w:bookmarkEnd w:id="155"/>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u w:val="single" w:color="auto"/>
          <w:color w:val="auto"/>
        </w:rPr>
        <w:t>Exhibit A2(R2)</w:t>
      </w:r>
      <w:r>
        <w:rPr>
          <w:rFonts w:ascii="Arial" w:cs="Arial" w:eastAsia="Arial" w:hAnsi="Arial"/>
          <w:sz w:val="18"/>
          <w:szCs w:val="18"/>
          <w:color w:val="auto"/>
        </w:rPr>
        <w:t>. Exhibit A2(R1) entitled “</w:t>
      </w:r>
      <w:r>
        <w:rPr>
          <w:rFonts w:ascii="Arial" w:cs="Arial" w:eastAsia="Arial" w:hAnsi="Arial"/>
          <w:sz w:val="18"/>
          <w:szCs w:val="18"/>
          <w:u w:val="single" w:color="auto"/>
          <w:color w:val="auto"/>
        </w:rPr>
        <w:t>Aircraft Configuration for 787-8 Aircraft</w:t>
      </w:r>
      <w:r>
        <w:rPr>
          <w:rFonts w:ascii="Arial" w:cs="Arial" w:eastAsia="Arial" w:hAnsi="Arial"/>
          <w:sz w:val="18"/>
          <w:szCs w:val="18"/>
          <w:color w:val="auto"/>
        </w:rPr>
        <w:t>” referencing SA-3 in the footer is deleted in its entirety. Exhibit A2(R2) (attached hereto referencing SA-5 in the footer) is hereby incorporated into the Purchase Agreement in replacement of its predecessor.</w:t>
      </w:r>
    </w:p>
    <w:p>
      <w:pPr>
        <w:spacing w:after="0" w:line="32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Letter Agreements</w:t>
      </w:r>
      <w:r>
        <w:rPr>
          <w:rFonts w:ascii="Arial" w:cs="Arial" w:eastAsia="Arial" w:hAnsi="Arial"/>
          <w:sz w:val="18"/>
          <w:szCs w:val="18"/>
          <w:b w:val="1"/>
          <w:bCs w:val="1"/>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Open Configuration Matters Letter Agreement</w:t>
      </w:r>
      <w:r>
        <w:rPr>
          <w:rFonts w:ascii="Arial" w:cs="Arial" w:eastAsia="Arial" w:hAnsi="Arial"/>
          <w:sz w:val="18"/>
          <w:szCs w:val="18"/>
          <w:color w:val="auto"/>
        </w:rPr>
        <w:t>.</w:t>
      </w:r>
    </w:p>
    <w:p>
      <w:pPr>
        <w:spacing w:after="0" w:line="225" w:lineRule="exact"/>
        <w:rPr>
          <w:sz w:val="20"/>
          <w:szCs w:val="20"/>
          <w:color w:val="auto"/>
        </w:rPr>
      </w:pPr>
    </w:p>
    <w:p>
      <w:pPr>
        <w:jc w:val="both"/>
        <w:ind w:firstLine="1940"/>
        <w:spacing w:after="0" w:line="286" w:lineRule="auto"/>
        <w:rPr>
          <w:sz w:val="20"/>
          <w:szCs w:val="20"/>
          <w:color w:val="auto"/>
        </w:rPr>
      </w:pPr>
      <w:r>
        <w:rPr>
          <w:rFonts w:ascii="Arial" w:cs="Arial" w:eastAsia="Arial" w:hAnsi="Arial"/>
          <w:sz w:val="17"/>
          <w:szCs w:val="17"/>
          <w:color w:val="auto"/>
        </w:rPr>
        <w:t>All [*CTR] under Letter Agreement 3219-08R1 entitled “</w:t>
      </w:r>
      <w:r>
        <w:rPr>
          <w:rFonts w:ascii="Arial" w:cs="Arial" w:eastAsia="Arial" w:hAnsi="Arial"/>
          <w:sz w:val="17"/>
          <w:szCs w:val="17"/>
          <w:u w:val="single" w:color="auto"/>
          <w:color w:val="auto"/>
        </w:rPr>
        <w:t>Open Configuration Matters</w:t>
      </w:r>
      <w:r>
        <w:rPr>
          <w:rFonts w:ascii="Arial" w:cs="Arial" w:eastAsia="Arial" w:hAnsi="Arial"/>
          <w:sz w:val="17"/>
          <w:szCs w:val="17"/>
          <w:color w:val="auto"/>
        </w:rPr>
        <w:t>” regarding the [*CTR] aircraft have been [*CTR] by the parties. Accordingly, Letter Agreement 3219-08R1 is deleted in its entirety and is replaced in its entirety with Letter Agreement 3219-08R2 also entitled “</w:t>
      </w:r>
      <w:r>
        <w:rPr>
          <w:rFonts w:ascii="Arial" w:cs="Arial" w:eastAsia="Arial" w:hAnsi="Arial"/>
          <w:sz w:val="17"/>
          <w:szCs w:val="17"/>
          <w:u w:val="single" w:color="auto"/>
          <w:color w:val="auto"/>
        </w:rPr>
        <w:t>Open Configuration Matters</w:t>
      </w:r>
      <w:r>
        <w:rPr>
          <w:rFonts w:ascii="Arial" w:cs="Arial" w:eastAsia="Arial" w:hAnsi="Arial"/>
          <w:sz w:val="17"/>
          <w:szCs w:val="17"/>
          <w:color w:val="auto"/>
        </w:rPr>
        <w:t>”. Letter Agreement 3219-08R2 is hereby made a part of the Purchase Agreement.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[*CTR]</w:t>
      </w:r>
    </w:p>
    <w:p>
      <w:pPr>
        <w:spacing w:after="0" w:line="225" w:lineRule="exact"/>
        <w:rPr>
          <w:sz w:val="20"/>
          <w:szCs w:val="20"/>
          <w:color w:val="auto"/>
        </w:rPr>
      </w:pPr>
    </w:p>
    <w:p>
      <w:pPr>
        <w:jc w:val="both"/>
        <w:ind w:firstLine="1940"/>
        <w:spacing w:after="0" w:line="264" w:lineRule="auto"/>
        <w:rPr>
          <w:sz w:val="20"/>
          <w:szCs w:val="20"/>
          <w:color w:val="auto"/>
        </w:rPr>
      </w:pPr>
      <w:r>
        <w:rPr>
          <w:rFonts w:ascii="Arial" w:cs="Arial" w:eastAsia="Arial" w:hAnsi="Arial"/>
          <w:sz w:val="18"/>
          <w:szCs w:val="18"/>
          <w:color w:val="auto"/>
        </w:rPr>
        <w:t>Letter Agreement 6-1162-CLO-1047R1 entitled [*CTR] is deleted in its entirety and replaced with Letter Agreement 6-1162-CLO-1047R2 to, among other elements, update references to the various Tables and Letter Agreements. Letter Agreement 6-1162-CLO-1047R2 is hereby made a part of the Purchase Agreement.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[*CTR] Letter Agreement</w:t>
      </w:r>
      <w:r>
        <w:rPr>
          <w:rFonts w:ascii="Arial" w:cs="Arial" w:eastAsia="Arial" w:hAnsi="Arial"/>
          <w:sz w:val="18"/>
          <w:szCs w:val="18"/>
          <w:color w:val="auto"/>
        </w:rPr>
        <w: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Letter Agreement AAL-PA-3219-LA-1302236 entitled “</w:t>
      </w:r>
      <w:r>
        <w:rPr>
          <w:rFonts w:ascii="Arial" w:cs="Arial" w:eastAsia="Arial" w:hAnsi="Arial"/>
          <w:sz w:val="18"/>
          <w:szCs w:val="18"/>
          <w:u w:val="single" w:color="auto"/>
          <w:color w:val="auto"/>
        </w:rPr>
        <w:t>[*CTR]</w:t>
      </w:r>
      <w:r>
        <w:rPr>
          <w:rFonts w:ascii="Arial" w:cs="Arial" w:eastAsia="Arial" w:hAnsi="Arial"/>
          <w:sz w:val="18"/>
          <w:szCs w:val="18"/>
          <w:color w:val="auto"/>
        </w:rPr>
        <w:t>” is hereby made a part of the Purchase Agreement.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Aircraft Purchase Rights and Substitution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940"/>
        <w:spacing w:after="0" w:line="264" w:lineRule="auto"/>
        <w:rPr>
          <w:sz w:val="20"/>
          <w:szCs w:val="20"/>
          <w:color w:val="auto"/>
        </w:rPr>
      </w:pPr>
      <w:r>
        <w:rPr>
          <w:rFonts w:ascii="Arial" w:cs="Arial" w:eastAsia="Arial" w:hAnsi="Arial"/>
          <w:sz w:val="18"/>
          <w:szCs w:val="18"/>
          <w:color w:val="auto"/>
        </w:rPr>
        <w:t>The parties [*CTR] of this SA-5, the parties will [*CTR] Letter Agreement 6-1162-TRW-0664R2 entitled “</w:t>
      </w:r>
      <w:r>
        <w:rPr>
          <w:rFonts w:ascii="Arial" w:cs="Arial" w:eastAsia="Arial" w:hAnsi="Arial"/>
          <w:sz w:val="18"/>
          <w:szCs w:val="18"/>
          <w:u w:val="single" w:color="auto"/>
          <w:color w:val="auto"/>
        </w:rPr>
        <w:t>Aircraft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and Substitution Rights</w:t>
      </w:r>
      <w:r>
        <w:rPr>
          <w:rFonts w:ascii="Arial" w:cs="Arial" w:eastAsia="Arial" w:hAnsi="Arial"/>
          <w:sz w:val="18"/>
          <w:szCs w:val="18"/>
          <w:color w:val="auto"/>
        </w:rPr>
        <w:t>” [*CTR], inter alia, the agreements of the parties made in this SA-5. [*CTR] Letter Agreement 6-1162-TRW-0664R2 will replace Letter Agreement 6-1162-TRW-0664R1 also entitled “</w:t>
      </w:r>
      <w:r>
        <w:rPr>
          <w:rFonts w:ascii="Arial" w:cs="Arial" w:eastAsia="Arial" w:hAnsi="Arial"/>
          <w:sz w:val="18"/>
          <w:szCs w:val="18"/>
          <w:u w:val="single" w:color="auto"/>
          <w:color w:val="auto"/>
        </w:rPr>
        <w:t>Aircraft Purchase Rights and Substitution Rights</w:t>
      </w:r>
      <w:r>
        <w:rPr>
          <w:rFonts w:ascii="Arial" w:cs="Arial" w:eastAsia="Arial" w:hAnsi="Arial"/>
          <w:sz w:val="18"/>
          <w:szCs w:val="18"/>
          <w:color w:val="auto"/>
        </w:rPr>
        <w: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[*CTR] Letter</w:t>
      </w:r>
      <w:r>
        <w:rPr>
          <w:rFonts w:ascii="Arial" w:cs="Arial" w:eastAsia="Arial" w:hAnsi="Arial"/>
          <w:sz w:val="18"/>
          <w:szCs w:val="18"/>
          <w:color w:val="auto"/>
        </w:rPr>
        <w:t>.</w:t>
      </w:r>
    </w:p>
    <w:p>
      <w:pPr>
        <w:spacing w:after="0" w:line="225" w:lineRule="exact"/>
        <w:rPr>
          <w:sz w:val="20"/>
          <w:szCs w:val="20"/>
          <w:color w:val="auto"/>
        </w:rPr>
      </w:pPr>
    </w:p>
    <w:p>
      <w:pPr>
        <w:jc w:val="both"/>
        <w:ind w:firstLine="1940"/>
        <w:spacing w:after="0" w:line="264" w:lineRule="auto"/>
        <w:rPr>
          <w:sz w:val="20"/>
          <w:szCs w:val="20"/>
          <w:color w:val="auto"/>
        </w:rPr>
      </w:pPr>
      <w:r>
        <w:rPr>
          <w:rFonts w:ascii="Arial" w:cs="Arial" w:eastAsia="Arial" w:hAnsi="Arial"/>
          <w:sz w:val="18"/>
          <w:szCs w:val="18"/>
          <w:color w:val="auto"/>
        </w:rPr>
        <w:t xml:space="preserve">The parties acknowledge that after the execution of this SA-5, the parties will work to execute a mutually agreeable Letter Agreement 6-1162-TRW-0667R2 entitled </w:t>
      </w:r>
      <w:r>
        <w:rPr>
          <w:rFonts w:ascii="Arial" w:cs="Arial" w:eastAsia="Arial" w:hAnsi="Arial"/>
          <w:sz w:val="18"/>
          <w:szCs w:val="18"/>
          <w:u w:val="single" w:color="auto"/>
          <w:color w:val="auto"/>
        </w:rPr>
        <w:t>[*CTR]</w:t>
      </w:r>
      <w:r>
        <w:rPr>
          <w:rFonts w:ascii="Arial" w:cs="Arial" w:eastAsia="Arial" w:hAnsi="Arial"/>
          <w:sz w:val="18"/>
          <w:szCs w:val="18"/>
          <w:color w:val="auto"/>
        </w:rPr>
        <w:t xml:space="preserve"> that will reflect the [*CTR]. Upon execution, Letter Agreement 6-1162-TRW-0667R2 will replace Letter Agreement 6-1162-TRW-0667R1 also entitled </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20"/>
                <w:szCs w:val="20"/>
                <w:color w:val="auto"/>
              </w:rPr>
            </w:pPr>
            <w:r>
              <w:rPr>
                <w:rFonts w:ascii="Arial" w:cs="Arial" w:eastAsia="Arial" w:hAnsi="Arial"/>
                <w:sz w:val="18"/>
                <w:szCs w:val="18"/>
                <w:color w:val="auto"/>
              </w:rPr>
              <w:t>PA 3219</w:t>
            </w:r>
          </w:p>
        </w:tc>
        <w:tc>
          <w:tcPr>
            <w:tcW w:w="6180" w:type="dxa"/>
            <w:vAlign w:val="bottom"/>
          </w:tcPr>
          <w:p>
            <w:pPr>
              <w:jc w:val="center"/>
              <w:ind w:left="70"/>
              <w:spacing w:after="0"/>
              <w:rPr>
                <w:sz w:val="20"/>
                <w:szCs w:val="20"/>
                <w:color w:val="auto"/>
              </w:rPr>
            </w:pPr>
            <w:r>
              <w:rPr>
                <w:rFonts w:ascii="Arial" w:cs="Arial" w:eastAsia="Arial" w:hAnsi="Arial"/>
                <w:sz w:val="18"/>
                <w:szCs w:val="18"/>
                <w:color w:val="auto"/>
                <w:w w:val="94"/>
              </w:rPr>
              <w:t>SA-5</w:t>
            </w:r>
          </w:p>
        </w:tc>
        <w:tc>
          <w:tcPr>
            <w:tcW w:w="2460" w:type="dxa"/>
            <w:vAlign w:val="bottom"/>
          </w:tcPr>
          <w:p>
            <w:pPr>
              <w:ind w:left="1980"/>
              <w:spacing w:after="0"/>
              <w:rPr>
                <w:sz w:val="20"/>
                <w:szCs w:val="20"/>
                <w:color w:val="auto"/>
              </w:rPr>
            </w:pPr>
            <w:r>
              <w:rPr>
                <w:rFonts w:ascii="Arial" w:cs="Arial" w:eastAsia="Arial" w:hAnsi="Arial"/>
                <w:sz w:val="18"/>
                <w:szCs w:val="18"/>
                <w:color w:val="auto"/>
                <w:w w:val="80"/>
              </w:rPr>
              <w:t>Page 4</w:t>
            </w:r>
          </w:p>
        </w:tc>
      </w:tr>
      <w:tr>
        <w:trPr>
          <w:trHeight w:val="234"/>
        </w:trPr>
        <w:tc>
          <w:tcPr>
            <w:tcW w:w="2780" w:type="dxa"/>
            <w:vAlign w:val="bottom"/>
          </w:tcPr>
          <w:p>
            <w:pPr>
              <w:spacing w:after="0"/>
              <w:rPr>
                <w:sz w:val="20"/>
                <w:szCs w:val="20"/>
                <w:color w:val="auto"/>
              </w:rPr>
            </w:pPr>
          </w:p>
        </w:tc>
        <w:tc>
          <w:tcPr>
            <w:tcW w:w="61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BOEING PROPRIETARY</w:t>
            </w:r>
          </w:p>
        </w:tc>
        <w:tc>
          <w:tcPr>
            <w:tcW w:w="24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56" w:name="page157"/>
    <w:bookmarkEnd w:id="15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Arial" w:cs="Arial" w:eastAsia="Arial" w:hAnsi="Arial"/>
          <w:sz w:val="18"/>
          <w:szCs w:val="18"/>
          <w:u w:val="single" w:color="auto"/>
          <w:color w:val="auto"/>
        </w:rPr>
        <w:t>Business Considerations</w:t>
      </w:r>
      <w:r>
        <w:rPr>
          <w:rFonts w:ascii="Arial" w:cs="Arial" w:eastAsia="Arial" w:hAnsi="Arial"/>
          <w:sz w:val="18"/>
          <w:szCs w:val="18"/>
          <w:color w:val="auto"/>
        </w:rPr>
        <w:t>.</w:t>
      </w:r>
    </w:p>
    <w:p>
      <w:pPr>
        <w:spacing w:after="0" w:line="225" w:lineRule="exact"/>
        <w:rPr>
          <w:sz w:val="20"/>
          <w:szCs w:val="20"/>
          <w:color w:val="auto"/>
        </w:rPr>
      </w:pPr>
    </w:p>
    <w:p>
      <w:pPr>
        <w:jc w:val="both"/>
        <w:ind w:firstLine="1940"/>
        <w:spacing w:after="0" w:line="264" w:lineRule="auto"/>
        <w:rPr>
          <w:sz w:val="20"/>
          <w:szCs w:val="20"/>
          <w:color w:val="auto"/>
        </w:rPr>
      </w:pPr>
      <w:r>
        <w:rPr>
          <w:rFonts w:ascii="Arial" w:cs="Arial" w:eastAsia="Arial" w:hAnsi="Arial"/>
          <w:sz w:val="18"/>
          <w:szCs w:val="18"/>
          <w:color w:val="auto"/>
        </w:rPr>
        <w:t>The parties [*CTR] of this SA-5, the parties will [*CTR] Letter Agreement 6-1162-TRW-0674R3 entitled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Considerations</w:t>
      </w:r>
      <w:r>
        <w:rPr>
          <w:rFonts w:ascii="Arial" w:cs="Arial" w:eastAsia="Arial" w:hAnsi="Arial"/>
          <w:sz w:val="18"/>
          <w:szCs w:val="18"/>
          <w:color w:val="auto"/>
        </w:rPr>
        <w:t>” [*CTR], inter alia, update the references to the various Tables. [*CTR], Letter Agreement 6-1162-TRW-0674R3 will replace Letter Agreement 6-1162-TRW-0674R2 also entitled “</w:t>
      </w:r>
      <w:r>
        <w:rPr>
          <w:rFonts w:ascii="Arial" w:cs="Arial" w:eastAsia="Arial" w:hAnsi="Arial"/>
          <w:sz w:val="18"/>
          <w:szCs w:val="18"/>
          <w:u w:val="single" w:color="auto"/>
          <w:color w:val="auto"/>
        </w:rPr>
        <w:t>Business Considerations</w:t>
      </w:r>
      <w:r>
        <w:rPr>
          <w:rFonts w:ascii="Arial" w:cs="Arial" w:eastAsia="Arial" w:hAnsi="Arial"/>
          <w:sz w:val="18"/>
          <w:szCs w:val="18"/>
          <w:color w:val="auto"/>
        </w:rPr>
        <w:t>”.</w:t>
      </w:r>
    </w:p>
    <w:p>
      <w:pPr>
        <w:spacing w:after="0" w:line="326"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on Purchase Agreement</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6.1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6.2 The [*CTR] of the following options:</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6.2.1 [*CTR]</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6.2.2 [*CTR]; and</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6.2.3 [*CTR]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[*CTR] by Customer. In executing SA-5, Customer [*CTR] which is included in the [*CTR] reflected in Table 2(R1), Table 3(R1), Table 4 and Exhibit A2(R2).</w:t>
      </w:r>
    </w:p>
    <w:p>
      <w:pPr>
        <w:spacing w:after="0" w:line="170"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6.3 The following references in the Purchase Agreement and the associated exhibits, supplemental exhibits, and letter agreements to the Purchase Agreement (as such references were modified by Supplemental Agreement No. 3 and Supplemental Agreement No. 4 to the Purchase Agreement) to “Table 1(R2), Table 2, and Table 3” are now be deemed to refer to “Table 1(R3), Table 2(R1), Table 3(R1) and Table 4. Specifically:</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14"/>
          <w:szCs w:val="14"/>
          <w:b w:val="1"/>
          <w:bCs w:val="1"/>
          <w:u w:val="single" w:color="auto"/>
          <w:color w:val="auto"/>
        </w:rPr>
        <w:t>Location of References</w:t>
      </w:r>
    </w:p>
    <w:p>
      <w:pPr>
        <w:spacing w:after="0" w:line="25" w:lineRule="exact"/>
        <w:rPr>
          <w:sz w:val="20"/>
          <w:szCs w:val="20"/>
          <w:color w:val="auto"/>
        </w:rPr>
      </w:pPr>
    </w:p>
    <w:p>
      <w:pPr>
        <w:ind w:right="5500"/>
        <w:spacing w:after="0" w:line="249" w:lineRule="auto"/>
        <w:rPr>
          <w:sz w:val="20"/>
          <w:szCs w:val="20"/>
          <w:color w:val="auto"/>
        </w:rPr>
      </w:pPr>
      <w:r>
        <w:rPr>
          <w:rFonts w:ascii="Arial" w:cs="Arial" w:eastAsia="Arial" w:hAnsi="Arial"/>
          <w:sz w:val="18"/>
          <w:szCs w:val="18"/>
          <w:color w:val="auto"/>
        </w:rPr>
        <w:t>Articles 1, 2, 3 (all sections), 4 (all sections), and Section 5.1 of the Basic Articles Exhibit C(R1), Definitions of “Aircraft” and “Engine” Section 1 of Supplemental Exhibit AE1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Section 1.1 of LA 6-1162-TRW-0672R1 entitled “</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 of LA 6-1162-TRW-0674R2 entitled “</w:t>
      </w:r>
      <w:r>
        <w:rPr>
          <w:rFonts w:ascii="Arial" w:cs="Arial" w:eastAsia="Arial" w:hAnsi="Arial"/>
          <w:sz w:val="18"/>
          <w:szCs w:val="18"/>
          <w:u w:val="single" w:color="auto"/>
          <w:color w:val="auto"/>
        </w:rPr>
        <w:t>Business Considerations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 of “Firm Aircraft”) of LA 6-1162-TRW-0664R1 entitled “</w:t>
      </w:r>
      <w:r>
        <w:rPr>
          <w:rFonts w:ascii="Arial" w:cs="Arial" w:eastAsia="Arial" w:hAnsi="Arial"/>
          <w:sz w:val="18"/>
          <w:szCs w:val="18"/>
          <w:u w:val="single" w:color="auto"/>
          <w:color w:val="auto"/>
        </w:rPr>
        <w:t>Aircraft Purchase Rights and Substitution Rights</w:t>
      </w:r>
      <w:r>
        <w:rPr>
          <w:rFonts w:ascii="Arial" w:cs="Arial" w:eastAsia="Arial" w:hAnsi="Arial"/>
          <w:sz w:val="18"/>
          <w:szCs w:val="18"/>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20"/>
                <w:szCs w:val="20"/>
                <w:color w:val="auto"/>
              </w:rPr>
            </w:pPr>
            <w:r>
              <w:rPr>
                <w:rFonts w:ascii="Arial" w:cs="Arial" w:eastAsia="Arial" w:hAnsi="Arial"/>
                <w:sz w:val="18"/>
                <w:szCs w:val="18"/>
                <w:color w:val="auto"/>
              </w:rPr>
              <w:t>PA 3219</w:t>
            </w:r>
          </w:p>
        </w:tc>
        <w:tc>
          <w:tcPr>
            <w:tcW w:w="6180" w:type="dxa"/>
            <w:vAlign w:val="bottom"/>
          </w:tcPr>
          <w:p>
            <w:pPr>
              <w:jc w:val="center"/>
              <w:ind w:left="70"/>
              <w:spacing w:after="0"/>
              <w:rPr>
                <w:sz w:val="20"/>
                <w:szCs w:val="20"/>
                <w:color w:val="auto"/>
              </w:rPr>
            </w:pPr>
            <w:r>
              <w:rPr>
                <w:rFonts w:ascii="Arial" w:cs="Arial" w:eastAsia="Arial" w:hAnsi="Arial"/>
                <w:sz w:val="18"/>
                <w:szCs w:val="18"/>
                <w:color w:val="auto"/>
                <w:w w:val="94"/>
              </w:rPr>
              <w:t>SA-5</w:t>
            </w:r>
          </w:p>
        </w:tc>
        <w:tc>
          <w:tcPr>
            <w:tcW w:w="2460" w:type="dxa"/>
            <w:vAlign w:val="bottom"/>
          </w:tcPr>
          <w:p>
            <w:pPr>
              <w:ind w:left="1980"/>
              <w:spacing w:after="0"/>
              <w:rPr>
                <w:sz w:val="20"/>
                <w:szCs w:val="20"/>
                <w:color w:val="auto"/>
              </w:rPr>
            </w:pPr>
            <w:r>
              <w:rPr>
                <w:rFonts w:ascii="Arial" w:cs="Arial" w:eastAsia="Arial" w:hAnsi="Arial"/>
                <w:sz w:val="18"/>
                <w:szCs w:val="18"/>
                <w:color w:val="auto"/>
                <w:w w:val="80"/>
              </w:rPr>
              <w:t>Page 5</w:t>
            </w:r>
          </w:p>
        </w:tc>
      </w:tr>
      <w:tr>
        <w:trPr>
          <w:trHeight w:val="234"/>
        </w:trPr>
        <w:tc>
          <w:tcPr>
            <w:tcW w:w="2780" w:type="dxa"/>
            <w:vAlign w:val="bottom"/>
          </w:tcPr>
          <w:p>
            <w:pPr>
              <w:spacing w:after="0"/>
              <w:rPr>
                <w:sz w:val="20"/>
                <w:szCs w:val="20"/>
                <w:color w:val="auto"/>
              </w:rPr>
            </w:pPr>
          </w:p>
        </w:tc>
        <w:tc>
          <w:tcPr>
            <w:tcW w:w="61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BOEING PROPRIETARY</w:t>
            </w:r>
          </w:p>
        </w:tc>
        <w:tc>
          <w:tcPr>
            <w:tcW w:w="24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7" w:name="page158"/>
    <w:bookmarkEnd w:id="157"/>
    <w:p>
      <w:pPr>
        <w:jc w:val="both"/>
        <w:ind w:right="20" w:firstLine="1484"/>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6.4 References in the Purchase Agreement and any supplemental agreements and associated letter agreements to the tables, exhibits, supplemental exhibits and letter agreements listed in the left column of the Figure 1 table shall be deemed to refer to the corresponding tables, exhibits, supplemental exhibits and letter agreements listed in the right column of the Figure 1 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Figure 1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20"/>
                <w:szCs w:val="20"/>
                <w:color w:val="auto"/>
              </w:rPr>
            </w:pPr>
            <w:r>
              <w:rPr>
                <w:rFonts w:ascii="Arial" w:cs="Arial" w:eastAsia="Arial" w:hAnsi="Arial"/>
                <w:sz w:val="14"/>
                <w:szCs w:val="14"/>
                <w:b w:val="1"/>
                <w:bCs w:val="1"/>
                <w:color w:val="auto"/>
                <w:w w:val="93"/>
              </w:rPr>
              <w:t>Original Reference</w:t>
            </w:r>
          </w:p>
        </w:tc>
        <w:tc>
          <w:tcPr>
            <w:tcW w:w="29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b w:val="1"/>
                <w:bCs w:val="1"/>
                <w:color w:val="auto"/>
                <w:w w:val="90"/>
              </w:rPr>
              <w:t>Replacement Reference</w:t>
            </w:r>
          </w:p>
        </w:tc>
        <w:tc>
          <w:tcPr>
            <w:tcW w:w="2160" w:type="dxa"/>
            <w:vAlign w:val="bottom"/>
          </w:tcPr>
          <w:p>
            <w:pPr>
              <w:spacing w:after="0"/>
              <w:rPr>
                <w:sz w:val="14"/>
                <w:szCs w:val="14"/>
                <w:color w:val="auto"/>
              </w:rPr>
            </w:pPr>
          </w:p>
        </w:tc>
        <w:tc>
          <w:tcPr>
            <w:tcW w:w="33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160" w:type="dxa"/>
            <w:vAlign w:val="bottom"/>
            <w:vMerge w:val="restart"/>
          </w:tcPr>
          <w:p>
            <w:pPr>
              <w:ind w:left="140"/>
              <w:spacing w:after="0"/>
              <w:rPr>
                <w:sz w:val="20"/>
                <w:szCs w:val="20"/>
                <w:color w:val="auto"/>
              </w:rPr>
            </w:pPr>
            <w:r>
              <w:rPr>
                <w:rFonts w:ascii="Arial" w:cs="Arial" w:eastAsia="Arial" w:hAnsi="Arial"/>
                <w:sz w:val="18"/>
                <w:szCs w:val="18"/>
                <w:color w:val="auto"/>
              </w:rPr>
              <w:t>Exhibit A2(R2), as</w:t>
            </w:r>
          </w:p>
        </w:tc>
        <w:tc>
          <w:tcPr>
            <w:tcW w:w="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20" w:type="dxa"/>
            <w:vAlign w:val="bottom"/>
            <w:vMerge w:val="restart"/>
          </w:tcPr>
          <w:p>
            <w:pPr>
              <w:spacing w:after="0"/>
              <w:rPr>
                <w:sz w:val="20"/>
                <w:szCs w:val="20"/>
                <w:color w:val="auto"/>
              </w:rPr>
            </w:pPr>
            <w:r>
              <w:rPr>
                <w:rFonts w:ascii="Arial" w:cs="Arial" w:eastAsia="Arial" w:hAnsi="Arial"/>
                <w:sz w:val="18"/>
                <w:szCs w:val="18"/>
                <w:color w:val="auto"/>
                <w:w w:val="92"/>
              </w:rPr>
              <w:t>Configuration for [*CTR] Aircraft;</w:t>
            </w:r>
          </w:p>
        </w:tc>
        <w:tc>
          <w:tcPr>
            <w:tcW w:w="0" w:type="dxa"/>
            <w:vAlign w:val="bottom"/>
          </w:tcPr>
          <w:p>
            <w:pPr>
              <w:spacing w:after="0" w:line="20" w:lineRule="exact"/>
              <w:rPr>
                <w:sz w:val="1"/>
                <w:szCs w:val="1"/>
                <w:color w:val="auto"/>
              </w:rPr>
            </w:pPr>
          </w:p>
        </w:tc>
      </w:tr>
      <w:tr>
        <w:trPr>
          <w:trHeight w:val="195"/>
        </w:trPr>
        <w:tc>
          <w:tcPr>
            <w:tcW w:w="4120" w:type="dxa"/>
            <w:vAlign w:val="bottom"/>
            <w:gridSpan w:val="2"/>
          </w:tcPr>
          <w:p>
            <w:pPr>
              <w:spacing w:after="0" w:line="195" w:lineRule="exact"/>
              <w:rPr>
                <w:sz w:val="20"/>
                <w:szCs w:val="20"/>
                <w:color w:val="auto"/>
              </w:rPr>
            </w:pPr>
            <w:r>
              <w:rPr>
                <w:rFonts w:ascii="Arial" w:cs="Arial" w:eastAsia="Arial" w:hAnsi="Arial"/>
                <w:sz w:val="18"/>
                <w:szCs w:val="18"/>
                <w:color w:val="auto"/>
              </w:rPr>
              <w:t>Exhibit A; Exhibit A2; Exhibit A2(R1)</w:t>
            </w:r>
          </w:p>
        </w:tc>
        <w:tc>
          <w:tcPr>
            <w:tcW w:w="1460" w:type="dxa"/>
            <w:vAlign w:val="bottom"/>
          </w:tcPr>
          <w:p>
            <w:pPr>
              <w:spacing w:after="0" w:line="195" w:lineRule="exact"/>
              <w:rPr>
                <w:sz w:val="20"/>
                <w:szCs w:val="20"/>
                <w:color w:val="auto"/>
              </w:rPr>
            </w:pPr>
            <w:r>
              <w:rPr>
                <w:rFonts w:ascii="Arial" w:cs="Arial" w:eastAsia="Arial" w:hAnsi="Arial"/>
                <w:sz w:val="18"/>
                <w:szCs w:val="18"/>
                <w:color w:val="auto"/>
                <w:w w:val="88"/>
              </w:rPr>
              <w:t>Exhibit A(R1) and/or</w:t>
            </w:r>
          </w:p>
        </w:tc>
        <w:tc>
          <w:tcPr>
            <w:tcW w:w="21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Aircraft</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applicable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w w:val="99"/>
              </w:rPr>
              <w:t>And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w w:val="98"/>
              </w:rPr>
              <w:t>Aircraft Configuration for [*CTR] Aircraft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Supplemental Exhibit EE1</w:t>
            </w:r>
          </w:p>
        </w:tc>
        <w:tc>
          <w:tcPr>
            <w:tcW w:w="3620" w:type="dxa"/>
            <w:vAlign w:val="bottom"/>
            <w:gridSpan w:val="2"/>
          </w:tcPr>
          <w:p>
            <w:pPr>
              <w:spacing w:after="0"/>
              <w:rPr>
                <w:sz w:val="20"/>
                <w:szCs w:val="20"/>
                <w:color w:val="auto"/>
              </w:rPr>
            </w:pPr>
            <w:r>
              <w:rPr>
                <w:rFonts w:ascii="Arial" w:cs="Arial" w:eastAsia="Arial" w:hAnsi="Arial"/>
                <w:sz w:val="18"/>
                <w:szCs w:val="18"/>
                <w:color w:val="auto"/>
                <w:w w:val="94"/>
              </w:rPr>
              <w:t>Supplemental Exhibit EE1 and/or Supplemental</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Exhibit EE2, as applicable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w w:val="99"/>
              </w:rPr>
              <w:t>And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20" w:type="dxa"/>
            <w:vAlign w:val="bottom"/>
          </w:tcPr>
          <w:p>
            <w:pPr>
              <w:jc w:val="center"/>
              <w:ind w:right="25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Letter Agreement No. 3219-08; Letter Agreement</w:t>
            </w:r>
          </w:p>
        </w:tc>
        <w:tc>
          <w:tcPr>
            <w:tcW w:w="3620" w:type="dxa"/>
            <w:vAlign w:val="bottom"/>
            <w:gridSpan w:val="2"/>
          </w:tcPr>
          <w:p>
            <w:pPr>
              <w:spacing w:after="0"/>
              <w:rPr>
                <w:sz w:val="20"/>
                <w:szCs w:val="20"/>
                <w:color w:val="auto"/>
              </w:rPr>
            </w:pPr>
            <w:r>
              <w:rPr>
                <w:rFonts w:ascii="Arial" w:cs="Arial" w:eastAsia="Arial" w:hAnsi="Arial"/>
                <w:sz w:val="18"/>
                <w:szCs w:val="18"/>
                <w:color w:val="auto"/>
              </w:rPr>
              <w:t>Letter Agreement No. 3219-08R2</w:t>
            </w: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Open Configuration Matters</w:t>
            </w:r>
          </w:p>
        </w:tc>
        <w:tc>
          <w:tcPr>
            <w:tcW w:w="0" w:type="dxa"/>
            <w:vAlign w:val="bottom"/>
          </w:tcPr>
          <w:p>
            <w:pPr>
              <w:spacing w:after="0"/>
              <w:rPr>
                <w:sz w:val="1"/>
                <w:szCs w:val="1"/>
                <w:color w:val="auto"/>
              </w:rPr>
            </w:pPr>
          </w:p>
        </w:tc>
      </w:tr>
      <w:tr>
        <w:trPr>
          <w:trHeight w:val="216"/>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No. 3219-08R1</w:t>
            </w:r>
          </w:p>
        </w:tc>
        <w:tc>
          <w:tcPr>
            <w:tcW w:w="14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Letter Agreement No. 6-1162-CLO-1047; Letter</w:t>
            </w:r>
          </w:p>
        </w:tc>
        <w:tc>
          <w:tcPr>
            <w:tcW w:w="3620" w:type="dxa"/>
            <w:vAlign w:val="bottom"/>
            <w:gridSpan w:val="2"/>
          </w:tcPr>
          <w:p>
            <w:pPr>
              <w:spacing w:after="0"/>
              <w:rPr>
                <w:sz w:val="20"/>
                <w:szCs w:val="20"/>
                <w:color w:val="auto"/>
              </w:rPr>
            </w:pPr>
            <w:r>
              <w:rPr>
                <w:rFonts w:ascii="Arial" w:cs="Arial" w:eastAsia="Arial" w:hAnsi="Arial"/>
                <w:sz w:val="18"/>
                <w:szCs w:val="18"/>
                <w:color w:val="auto"/>
              </w:rPr>
              <w:t>Letter Agreement No. 6-1162-CLO-1047R2</w:t>
            </w: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Agreement No. 6-1162-CLO-1047R1</w:t>
            </w:r>
          </w:p>
        </w:tc>
        <w:tc>
          <w:tcPr>
            <w:tcW w:w="1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[*CTR]</w:t>
      </w:r>
    </w:p>
    <w:p>
      <w:pPr>
        <w:spacing w:after="0" w:line="121"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Upon execution of this SA-5, Boeing shall [*CTR] that is caused by the [*CTR] at the effective date of this SA-5 pursuant to Letter Agreement No. 6-1162-CLO-1047R2 entitled “</w:t>
      </w:r>
      <w:r>
        <w:rPr>
          <w:rFonts w:ascii="Arial" w:cs="Arial" w:eastAsia="Arial" w:hAnsi="Arial"/>
          <w:sz w:val="17"/>
          <w:szCs w:val="17"/>
          <w:u w:val="single" w:color="auto"/>
          <w:color w:val="auto"/>
        </w:rPr>
        <w:t>[*CTR]</w:t>
      </w:r>
      <w:r>
        <w:rPr>
          <w:rFonts w:ascii="Arial" w:cs="Arial" w:eastAsia="Arial" w:hAnsi="Arial"/>
          <w:sz w:val="17"/>
          <w:szCs w:val="17"/>
          <w:color w:val="auto"/>
        </w:rPr>
        <w:t>” as a result of the [*CTR] aircraft in lieu of [*CTR] Aircraft pursuant to the [*CTR] and as reflected in Table 1(R3), Table 2(R1), Table 3(R1) and Table 4. Such [*CTR]. Boeing shall [*CTR] in accordance with the Purchase Agreement.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6880" w:type="dxa"/>
            <w:vAlign w:val="bottom"/>
          </w:tcPr>
          <w:p>
            <w:pPr>
              <w:ind w:left="1680"/>
              <w:spacing w:after="0"/>
              <w:rPr>
                <w:sz w:val="20"/>
                <w:szCs w:val="20"/>
                <w:color w:val="auto"/>
              </w:rPr>
            </w:pPr>
            <w:r>
              <w:rPr>
                <w:rFonts w:ascii="Arial" w:cs="Arial" w:eastAsia="Arial" w:hAnsi="Arial"/>
                <w:sz w:val="18"/>
                <w:szCs w:val="18"/>
                <w:b w:val="1"/>
                <w:bCs w:val="1"/>
                <w:i w:val="1"/>
                <w:iCs w:val="1"/>
                <w:color w:val="auto"/>
              </w:rPr>
              <w:t>The rest of this page is left intentionally blank.</w:t>
            </w:r>
          </w:p>
        </w:tc>
        <w:tc>
          <w:tcPr>
            <w:tcW w:w="2240" w:type="dxa"/>
            <w:vAlign w:val="bottom"/>
          </w:tcPr>
          <w:p>
            <w:pPr>
              <w:spacing w:after="0"/>
              <w:rPr>
                <w:sz w:val="20"/>
                <w:szCs w:val="20"/>
                <w:color w:val="auto"/>
              </w:rPr>
            </w:pPr>
          </w:p>
        </w:tc>
      </w:tr>
      <w:tr>
        <w:trPr>
          <w:trHeight w:val="346"/>
        </w:trPr>
        <w:tc>
          <w:tcPr>
            <w:tcW w:w="2300" w:type="dxa"/>
            <w:vAlign w:val="bottom"/>
          </w:tcPr>
          <w:p>
            <w:pPr>
              <w:spacing w:after="0"/>
              <w:rPr>
                <w:sz w:val="20"/>
                <w:szCs w:val="20"/>
                <w:color w:val="auto"/>
              </w:rPr>
            </w:pPr>
            <w:r>
              <w:rPr>
                <w:rFonts w:ascii="Arial" w:cs="Arial" w:eastAsia="Arial" w:hAnsi="Arial"/>
                <w:sz w:val="18"/>
                <w:szCs w:val="18"/>
                <w:color w:val="auto"/>
              </w:rPr>
              <w:t>PA 3219</w:t>
            </w:r>
          </w:p>
        </w:tc>
        <w:tc>
          <w:tcPr>
            <w:tcW w:w="6880" w:type="dxa"/>
            <w:vAlign w:val="bottom"/>
          </w:tcPr>
          <w:p>
            <w:pPr>
              <w:jc w:val="center"/>
              <w:ind w:left="330"/>
              <w:spacing w:after="0"/>
              <w:rPr>
                <w:sz w:val="20"/>
                <w:szCs w:val="20"/>
                <w:color w:val="auto"/>
              </w:rPr>
            </w:pPr>
            <w:r>
              <w:rPr>
                <w:rFonts w:ascii="Arial" w:cs="Arial" w:eastAsia="Arial" w:hAnsi="Arial"/>
                <w:sz w:val="18"/>
                <w:szCs w:val="18"/>
                <w:color w:val="auto"/>
                <w:w w:val="94"/>
              </w:rPr>
              <w:t>SA-5</w:t>
            </w:r>
          </w:p>
        </w:tc>
        <w:tc>
          <w:tcPr>
            <w:tcW w:w="2240" w:type="dxa"/>
            <w:vAlign w:val="bottom"/>
          </w:tcPr>
          <w:p>
            <w:pPr>
              <w:ind w:left="1760"/>
              <w:spacing w:after="0"/>
              <w:rPr>
                <w:sz w:val="20"/>
                <w:szCs w:val="20"/>
                <w:color w:val="auto"/>
              </w:rPr>
            </w:pPr>
            <w:r>
              <w:rPr>
                <w:rFonts w:ascii="Arial" w:cs="Arial" w:eastAsia="Arial" w:hAnsi="Arial"/>
                <w:sz w:val="18"/>
                <w:szCs w:val="18"/>
                <w:color w:val="auto"/>
                <w:w w:val="80"/>
              </w:rPr>
              <w:t>Page 6</w:t>
            </w:r>
          </w:p>
        </w:tc>
      </w:tr>
      <w:tr>
        <w:trPr>
          <w:trHeight w:val="234"/>
        </w:trPr>
        <w:tc>
          <w:tcPr>
            <w:tcW w:w="2300" w:type="dxa"/>
            <w:vAlign w:val="bottom"/>
          </w:tcPr>
          <w:p>
            <w:pPr>
              <w:spacing w:after="0"/>
              <w:rPr>
                <w:sz w:val="20"/>
                <w:szCs w:val="20"/>
                <w:color w:val="auto"/>
              </w:rPr>
            </w:pPr>
          </w:p>
        </w:tc>
        <w:tc>
          <w:tcPr>
            <w:tcW w:w="6880" w:type="dxa"/>
            <w:vAlign w:val="bottom"/>
          </w:tcPr>
          <w:p>
            <w:pPr>
              <w:jc w:val="center"/>
              <w:ind w:left="330"/>
              <w:spacing w:after="0"/>
              <w:rPr>
                <w:sz w:val="20"/>
                <w:szCs w:val="20"/>
                <w:color w:val="auto"/>
              </w:rPr>
            </w:pPr>
            <w:r>
              <w:rPr>
                <w:rFonts w:ascii="Arial" w:cs="Arial" w:eastAsia="Arial" w:hAnsi="Arial"/>
                <w:sz w:val="18"/>
                <w:szCs w:val="18"/>
                <w:b w:val="1"/>
                <w:bCs w:val="1"/>
                <w:color w:val="auto"/>
                <w:w w:val="99"/>
              </w:rPr>
              <w:t>BOEING PROPRIETARY</w:t>
            </w:r>
          </w:p>
        </w:tc>
        <w:tc>
          <w:tcPr>
            <w:tcW w:w="22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AGREED AND ACCEPTED</w:t>
            </w: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20, 2015</w:t>
            </w:r>
          </w:p>
        </w:tc>
        <w:tc>
          <w:tcPr>
            <w:tcW w:w="1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3540" w:type="dxa"/>
            <w:vAlign w:val="bottom"/>
          </w:tcPr>
          <w:p>
            <w:pPr>
              <w:spacing w:after="0"/>
              <w:rPr>
                <w:sz w:val="20"/>
                <w:szCs w:val="20"/>
                <w:color w:val="auto"/>
              </w:rPr>
            </w:pPr>
            <w:r>
              <w:rPr>
                <w:rFonts w:ascii="Arial" w:cs="Arial" w:eastAsia="Arial" w:hAnsi="Arial"/>
                <w:sz w:val="18"/>
                <w:szCs w:val="18"/>
                <w:b w:val="1"/>
                <w:bCs w:val="1"/>
                <w:color w:val="auto"/>
              </w:rPr>
              <w:t>THE BOEING COMPANY</w:t>
            </w: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AMERICAN AIRLINES, INC.</w:t>
            </w:r>
          </w:p>
        </w:tc>
        <w:tc>
          <w:tcPr>
            <w:tcW w:w="1720" w:type="dxa"/>
            <w:vAlign w:val="bottom"/>
          </w:tcPr>
          <w:p>
            <w:pPr>
              <w:spacing w:after="0"/>
              <w:rPr>
                <w:sz w:val="24"/>
                <w:szCs w:val="24"/>
                <w:color w:val="auto"/>
              </w:rPr>
            </w:pPr>
          </w:p>
        </w:tc>
      </w:tr>
      <w:tr>
        <w:trPr>
          <w:trHeight w:val="432"/>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 Boeing Company</w:t>
            </w:r>
          </w:p>
        </w:tc>
        <w:tc>
          <w:tcPr>
            <w:tcW w:w="1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1720" w:type="dxa"/>
            <w:vAlign w:val="bottom"/>
            <w:tcBorders>
              <w:bottom w:val="single" w:sz="8" w:color="auto"/>
            </w:tcBorders>
          </w:tcPr>
          <w:p>
            <w:pPr>
              <w:spacing w:after="0"/>
              <w:rPr>
                <w:sz w:val="24"/>
                <w:szCs w:val="24"/>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Signature</w:t>
            </w: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Signature</w:t>
            </w:r>
          </w:p>
        </w:tc>
        <w:tc>
          <w:tcPr>
            <w:tcW w:w="1720" w:type="dxa"/>
            <w:vAlign w:val="bottom"/>
          </w:tcPr>
          <w:p>
            <w:pPr>
              <w:spacing w:after="0"/>
              <w:rPr>
                <w:sz w:val="19"/>
                <w:szCs w:val="19"/>
                <w:color w:val="auto"/>
              </w:rPr>
            </w:pPr>
          </w:p>
        </w:tc>
      </w:tr>
      <w:tr>
        <w:trPr>
          <w:trHeight w:val="43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Boeing Company</w:t>
            </w:r>
          </w:p>
        </w:tc>
        <w:tc>
          <w:tcPr>
            <w:tcW w:w="1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American Airlines</w:t>
            </w:r>
          </w:p>
        </w:tc>
        <w:tc>
          <w:tcPr>
            <w:tcW w:w="1720" w:type="dxa"/>
            <w:vAlign w:val="bottom"/>
            <w:tcBorders>
              <w:bottom w:val="single" w:sz="8" w:color="auto"/>
            </w:tcBorders>
          </w:tcPr>
          <w:p>
            <w:pPr>
              <w:spacing w:after="0"/>
              <w:rPr>
                <w:sz w:val="24"/>
                <w:szCs w:val="24"/>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Printed name</w:t>
            </w: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Printed name</w:t>
            </w:r>
          </w:p>
        </w:tc>
        <w:tc>
          <w:tcPr>
            <w:tcW w:w="1720" w:type="dxa"/>
            <w:vAlign w:val="bottom"/>
          </w:tcPr>
          <w:p>
            <w:pPr>
              <w:spacing w:after="0"/>
              <w:rPr>
                <w:sz w:val="19"/>
                <w:szCs w:val="19"/>
                <w:color w:val="auto"/>
              </w:rPr>
            </w:pPr>
          </w:p>
        </w:tc>
      </w:tr>
      <w:tr>
        <w:trPr>
          <w:trHeight w:val="431"/>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18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Fleet Planning</w:t>
            </w:r>
          </w:p>
        </w:tc>
        <w:tc>
          <w:tcPr>
            <w:tcW w:w="1720" w:type="dxa"/>
            <w:vAlign w:val="bottom"/>
            <w:tcBorders>
              <w:bottom w:val="single" w:sz="8" w:color="auto"/>
            </w:tcBorders>
          </w:tcPr>
          <w:p>
            <w:pPr>
              <w:spacing w:after="0"/>
              <w:rPr>
                <w:sz w:val="24"/>
                <w:szCs w:val="24"/>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Title</w:t>
            </w: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Title</w:t>
            </w:r>
          </w:p>
        </w:tc>
        <w:tc>
          <w:tcPr>
            <w:tcW w:w="1720" w:type="dxa"/>
            <w:vAlign w:val="bottom"/>
          </w:tcPr>
          <w:p>
            <w:pPr>
              <w:spacing w:after="0"/>
              <w:rPr>
                <w:sz w:val="19"/>
                <w:szCs w:val="19"/>
                <w:color w:val="auto"/>
              </w:rPr>
            </w:pPr>
          </w:p>
        </w:tc>
      </w:tr>
      <w:tr>
        <w:trPr>
          <w:trHeight w:val="345"/>
        </w:trPr>
        <w:tc>
          <w:tcPr>
            <w:tcW w:w="3540" w:type="dxa"/>
            <w:vAlign w:val="bottom"/>
          </w:tcPr>
          <w:p>
            <w:pPr>
              <w:spacing w:after="0"/>
              <w:rPr>
                <w:sz w:val="20"/>
                <w:szCs w:val="20"/>
                <w:color w:val="auto"/>
              </w:rPr>
            </w:pPr>
            <w:r>
              <w:rPr>
                <w:rFonts w:ascii="Arial" w:cs="Arial" w:eastAsia="Arial" w:hAnsi="Arial"/>
                <w:sz w:val="18"/>
                <w:szCs w:val="18"/>
                <w:color w:val="auto"/>
              </w:rPr>
              <w:t>PA 3219</w:t>
            </w:r>
          </w:p>
        </w:tc>
        <w:tc>
          <w:tcPr>
            <w:tcW w:w="1840" w:type="dxa"/>
            <w:vAlign w:val="bottom"/>
          </w:tcPr>
          <w:p>
            <w:pPr>
              <w:spacing w:after="0"/>
              <w:rPr>
                <w:sz w:val="24"/>
                <w:szCs w:val="24"/>
                <w:color w:val="auto"/>
              </w:rPr>
            </w:pPr>
          </w:p>
        </w:tc>
        <w:tc>
          <w:tcPr>
            <w:tcW w:w="4320" w:type="dxa"/>
            <w:vAlign w:val="bottom"/>
            <w:gridSpan w:val="2"/>
          </w:tcPr>
          <w:p>
            <w:pPr>
              <w:jc w:val="center"/>
              <w:ind w:right="3090"/>
              <w:spacing w:after="0"/>
              <w:rPr>
                <w:sz w:val="20"/>
                <w:szCs w:val="20"/>
                <w:color w:val="auto"/>
              </w:rPr>
            </w:pPr>
            <w:r>
              <w:rPr>
                <w:rFonts w:ascii="Arial" w:cs="Arial" w:eastAsia="Arial" w:hAnsi="Arial"/>
                <w:sz w:val="18"/>
                <w:szCs w:val="18"/>
                <w:color w:val="auto"/>
                <w:w w:val="94"/>
              </w:rPr>
              <w:t>SA-5</w:t>
            </w:r>
          </w:p>
        </w:tc>
        <w:tc>
          <w:tcPr>
            <w:tcW w:w="1720" w:type="dxa"/>
            <w:vAlign w:val="bottom"/>
          </w:tcPr>
          <w:p>
            <w:pPr>
              <w:ind w:left="1240"/>
              <w:spacing w:after="0"/>
              <w:rPr>
                <w:sz w:val="20"/>
                <w:szCs w:val="20"/>
                <w:color w:val="auto"/>
              </w:rPr>
            </w:pPr>
            <w:r>
              <w:rPr>
                <w:rFonts w:ascii="Arial" w:cs="Arial" w:eastAsia="Arial" w:hAnsi="Arial"/>
                <w:sz w:val="18"/>
                <w:szCs w:val="18"/>
                <w:color w:val="auto"/>
                <w:w w:val="80"/>
              </w:rPr>
              <w:t>Page 7</w:t>
            </w:r>
          </w:p>
        </w:tc>
      </w:tr>
      <w:tr>
        <w:trPr>
          <w:trHeight w:val="234"/>
        </w:trPr>
        <w:tc>
          <w:tcPr>
            <w:tcW w:w="3540" w:type="dxa"/>
            <w:vAlign w:val="bottom"/>
          </w:tcPr>
          <w:p>
            <w:pPr>
              <w:spacing w:after="0"/>
              <w:rPr>
                <w:sz w:val="20"/>
                <w:szCs w:val="20"/>
                <w:color w:val="auto"/>
              </w:rPr>
            </w:pPr>
          </w:p>
        </w:tc>
        <w:tc>
          <w:tcPr>
            <w:tcW w:w="6160" w:type="dxa"/>
            <w:vAlign w:val="bottom"/>
            <w:gridSpan w:val="3"/>
          </w:tcPr>
          <w:p>
            <w:pPr>
              <w:jc w:val="center"/>
              <w:ind w:right="1250"/>
              <w:spacing w:after="0"/>
              <w:rPr>
                <w:sz w:val="20"/>
                <w:szCs w:val="20"/>
                <w:color w:val="auto"/>
              </w:rPr>
            </w:pPr>
            <w:r>
              <w:rPr>
                <w:rFonts w:ascii="Arial" w:cs="Arial" w:eastAsia="Arial" w:hAnsi="Arial"/>
                <w:sz w:val="18"/>
                <w:szCs w:val="18"/>
                <w:b w:val="1"/>
                <w:bCs w:val="1"/>
                <w:color w:val="auto"/>
                <w:w w:val="99"/>
              </w:rPr>
              <w:t>BOEING PROPRIETARY</w:t>
            </w:r>
          </w:p>
        </w:tc>
        <w:tc>
          <w:tcPr>
            <w:tcW w:w="17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vMerge w:val="restart"/>
          </w:tcPr>
          <w:p>
            <w:pPr>
              <w:jc w:val="right"/>
              <w:ind w:right="1210"/>
              <w:spacing w:after="0"/>
              <w:rPr>
                <w:sz w:val="20"/>
                <w:szCs w:val="20"/>
                <w:color w:val="auto"/>
              </w:rPr>
            </w:pPr>
            <w:r>
              <w:rPr>
                <w:rFonts w:ascii="Arial" w:cs="Arial" w:eastAsia="Arial" w:hAnsi="Arial"/>
                <w:sz w:val="14"/>
                <w:szCs w:val="14"/>
                <w:color w:val="auto"/>
                <w:w w:val="96"/>
              </w:rPr>
              <w:t>ARTICLES</w:t>
            </w:r>
          </w:p>
        </w:tc>
        <w:tc>
          <w:tcPr>
            <w:tcW w:w="87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SA</w:t>
            </w:r>
          </w:p>
        </w:tc>
        <w:tc>
          <w:tcPr>
            <w:tcW w:w="0" w:type="dxa"/>
            <w:vAlign w:val="bottom"/>
          </w:tcPr>
          <w:p>
            <w:pPr>
              <w:spacing w:after="0"/>
              <w:rPr>
                <w:sz w:val="1"/>
                <w:szCs w:val="1"/>
                <w:color w:val="auto"/>
              </w:rPr>
            </w:pPr>
          </w:p>
        </w:tc>
      </w:tr>
      <w:tr>
        <w:trPr>
          <w:trHeight w:val="161"/>
        </w:trPr>
        <w:tc>
          <w:tcPr>
            <w:tcW w:w="1980" w:type="dxa"/>
            <w:vAlign w:val="bottom"/>
            <w:gridSpan w:val="2"/>
            <w:vMerge w:val="continue"/>
          </w:tcPr>
          <w:p>
            <w:pPr>
              <w:spacing w:after="0"/>
              <w:rPr>
                <w:sz w:val="13"/>
                <w:szCs w:val="13"/>
                <w:color w:val="auto"/>
              </w:rPr>
            </w:pPr>
          </w:p>
        </w:tc>
        <w:tc>
          <w:tcPr>
            <w:tcW w:w="8720" w:type="dxa"/>
            <w:vAlign w:val="bottom"/>
            <w:vMerge w:val="restart"/>
          </w:tcPr>
          <w:p>
            <w:pPr>
              <w:ind w:left="680"/>
              <w:spacing w:after="0"/>
              <w:rPr>
                <w:sz w:val="20"/>
                <w:szCs w:val="20"/>
                <w:color w:val="auto"/>
              </w:rPr>
            </w:pPr>
            <w:r>
              <w:rPr>
                <w:rFonts w:ascii="Arial" w:cs="Arial" w:eastAsia="Arial" w:hAnsi="Arial"/>
                <w:sz w:val="18"/>
                <w:szCs w:val="18"/>
                <w:color w:val="auto"/>
              </w:rPr>
              <w:t>Quantity, Model and Description</w:t>
            </w:r>
          </w:p>
        </w:tc>
        <w:tc>
          <w:tcPr>
            <w:tcW w:w="640" w:type="dxa"/>
            <w:vAlign w:val="bottom"/>
            <w:gridSpan w:val="2"/>
          </w:tcPr>
          <w:p>
            <w:pPr>
              <w:jc w:val="right"/>
              <w:ind w:right="20"/>
              <w:spacing w:after="0" w:line="154" w:lineRule="exact"/>
              <w:rPr>
                <w:sz w:val="20"/>
                <w:szCs w:val="20"/>
                <w:color w:val="auto"/>
              </w:rPr>
            </w:pPr>
            <w:r>
              <w:rPr>
                <w:rFonts w:ascii="Arial" w:cs="Arial" w:eastAsia="Arial" w:hAnsi="Arial"/>
                <w:sz w:val="14"/>
                <w:szCs w:val="14"/>
                <w:color w:val="auto"/>
                <w:w w:val="98"/>
              </w:rPr>
              <w:t>NUMBER</w:t>
            </w:r>
          </w:p>
        </w:tc>
        <w:tc>
          <w:tcPr>
            <w:tcW w:w="0" w:type="dxa"/>
            <w:vAlign w:val="bottom"/>
          </w:tcPr>
          <w:p>
            <w:pPr>
              <w:spacing w:after="0"/>
              <w:rPr>
                <w:sz w:val="1"/>
                <w:szCs w:val="1"/>
                <w:color w:val="auto"/>
              </w:rPr>
            </w:pPr>
          </w:p>
        </w:tc>
      </w:tr>
      <w:tr>
        <w:trPr>
          <w:trHeight w:val="202"/>
        </w:trPr>
        <w:tc>
          <w:tcPr>
            <w:tcW w:w="700" w:type="dxa"/>
            <w:vAlign w:val="bottom"/>
            <w:tcBorders>
              <w:top w:val="single" w:sz="8" w:color="auto"/>
            </w:tcBorders>
          </w:tcPr>
          <w:p>
            <w:pPr>
              <w:spacing w:after="0"/>
              <w:rPr>
                <w:sz w:val="17"/>
                <w:szCs w:val="17"/>
                <w:color w:val="auto"/>
              </w:rPr>
            </w:pPr>
          </w:p>
        </w:tc>
        <w:tc>
          <w:tcPr>
            <w:tcW w:w="1280" w:type="dxa"/>
            <w:vAlign w:val="bottom"/>
          </w:tcPr>
          <w:p>
            <w:pPr>
              <w:jc w:val="right"/>
              <w:ind w:right="590"/>
              <w:spacing w:after="0" w:line="201" w:lineRule="exact"/>
              <w:rPr>
                <w:sz w:val="20"/>
                <w:szCs w:val="20"/>
                <w:color w:val="auto"/>
              </w:rPr>
            </w:pPr>
            <w:r>
              <w:rPr>
                <w:rFonts w:ascii="Arial" w:cs="Arial" w:eastAsia="Arial" w:hAnsi="Arial"/>
                <w:sz w:val="18"/>
                <w:szCs w:val="18"/>
                <w:color w:val="auto"/>
              </w:rPr>
              <w:t>1.</w:t>
            </w:r>
          </w:p>
        </w:tc>
        <w:tc>
          <w:tcPr>
            <w:tcW w:w="8720" w:type="dxa"/>
            <w:vAlign w:val="bottom"/>
            <w:vMerge w:val="continue"/>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SA-3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jc w:val="right"/>
              <w:ind w:right="590"/>
              <w:spacing w:after="0"/>
              <w:rPr>
                <w:sz w:val="20"/>
                <w:szCs w:val="20"/>
                <w:color w:val="auto"/>
              </w:rPr>
            </w:pPr>
            <w:r>
              <w:rPr>
                <w:rFonts w:ascii="Arial" w:cs="Arial" w:eastAsia="Arial" w:hAnsi="Arial"/>
                <w:sz w:val="18"/>
                <w:szCs w:val="18"/>
                <w:color w:val="auto"/>
              </w:rPr>
              <w:t>2.</w:t>
            </w:r>
          </w:p>
        </w:tc>
        <w:tc>
          <w:tcPr>
            <w:tcW w:w="8720" w:type="dxa"/>
            <w:vAlign w:val="bottom"/>
          </w:tcPr>
          <w:p>
            <w:pPr>
              <w:ind w:left="680"/>
              <w:spacing w:after="0"/>
              <w:rPr>
                <w:sz w:val="20"/>
                <w:szCs w:val="20"/>
                <w:color w:val="auto"/>
              </w:rPr>
            </w:pPr>
            <w:r>
              <w:rPr>
                <w:rFonts w:ascii="Arial" w:cs="Arial" w:eastAsia="Arial" w:hAnsi="Arial"/>
                <w:sz w:val="18"/>
                <w:szCs w:val="18"/>
                <w:color w:val="auto"/>
              </w:rPr>
              <w:t>Delivery Schedule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80" w:type="dxa"/>
            <w:vAlign w:val="bottom"/>
            <w:gridSpan w:val="2"/>
          </w:tcPr>
          <w:p>
            <w:pPr>
              <w:jc w:val="right"/>
              <w:ind w:right="590"/>
              <w:spacing w:after="0"/>
              <w:rPr>
                <w:sz w:val="20"/>
                <w:szCs w:val="20"/>
                <w:color w:val="auto"/>
              </w:rPr>
            </w:pPr>
            <w:r>
              <w:rPr>
                <w:rFonts w:ascii="Arial" w:cs="Arial" w:eastAsia="Arial" w:hAnsi="Arial"/>
                <w:sz w:val="18"/>
                <w:szCs w:val="18"/>
                <w:color w:val="auto"/>
              </w:rPr>
              <w:t>3.</w:t>
            </w:r>
          </w:p>
        </w:tc>
        <w:tc>
          <w:tcPr>
            <w:tcW w:w="8720" w:type="dxa"/>
            <w:vAlign w:val="bottom"/>
          </w:tcPr>
          <w:p>
            <w:pPr>
              <w:ind w:left="680"/>
              <w:spacing w:after="0"/>
              <w:rPr>
                <w:sz w:val="20"/>
                <w:szCs w:val="20"/>
                <w:color w:val="auto"/>
              </w:rPr>
            </w:pPr>
            <w:r>
              <w:rPr>
                <w:rFonts w:ascii="Arial" w:cs="Arial" w:eastAsia="Arial" w:hAnsi="Arial"/>
                <w:sz w:val="18"/>
                <w:szCs w:val="18"/>
                <w:color w:val="auto"/>
              </w:rPr>
              <w:t>Price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80" w:type="dxa"/>
            <w:vAlign w:val="bottom"/>
            <w:gridSpan w:val="2"/>
          </w:tcPr>
          <w:p>
            <w:pPr>
              <w:jc w:val="right"/>
              <w:ind w:right="590"/>
              <w:spacing w:after="0"/>
              <w:rPr>
                <w:sz w:val="20"/>
                <w:szCs w:val="20"/>
                <w:color w:val="auto"/>
              </w:rPr>
            </w:pPr>
            <w:r>
              <w:rPr>
                <w:rFonts w:ascii="Arial" w:cs="Arial" w:eastAsia="Arial" w:hAnsi="Arial"/>
                <w:sz w:val="18"/>
                <w:szCs w:val="18"/>
                <w:color w:val="auto"/>
              </w:rPr>
              <w:t>4.</w:t>
            </w:r>
          </w:p>
        </w:tc>
        <w:tc>
          <w:tcPr>
            <w:tcW w:w="8720" w:type="dxa"/>
            <w:vAlign w:val="bottom"/>
          </w:tcPr>
          <w:p>
            <w:pPr>
              <w:ind w:left="680"/>
              <w:spacing w:after="0"/>
              <w:rPr>
                <w:sz w:val="20"/>
                <w:szCs w:val="20"/>
                <w:color w:val="auto"/>
              </w:rPr>
            </w:pPr>
            <w:r>
              <w:rPr>
                <w:rFonts w:ascii="Arial" w:cs="Arial" w:eastAsia="Arial" w:hAnsi="Arial"/>
                <w:sz w:val="18"/>
                <w:szCs w:val="18"/>
                <w:color w:val="auto"/>
              </w:rPr>
              <w:t>Payment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80" w:type="dxa"/>
            <w:vAlign w:val="bottom"/>
            <w:gridSpan w:val="2"/>
          </w:tcPr>
          <w:p>
            <w:pPr>
              <w:jc w:val="right"/>
              <w:ind w:right="590"/>
              <w:spacing w:after="0"/>
              <w:rPr>
                <w:sz w:val="20"/>
                <w:szCs w:val="20"/>
                <w:color w:val="auto"/>
              </w:rPr>
            </w:pPr>
            <w:r>
              <w:rPr>
                <w:rFonts w:ascii="Arial" w:cs="Arial" w:eastAsia="Arial" w:hAnsi="Arial"/>
                <w:sz w:val="18"/>
                <w:szCs w:val="18"/>
                <w:color w:val="auto"/>
              </w:rPr>
              <w:t>5.</w:t>
            </w:r>
          </w:p>
        </w:tc>
        <w:tc>
          <w:tcPr>
            <w:tcW w:w="8720" w:type="dxa"/>
            <w:vAlign w:val="bottom"/>
          </w:tcPr>
          <w:p>
            <w:pPr>
              <w:ind w:left="680"/>
              <w:spacing w:after="0"/>
              <w:rPr>
                <w:sz w:val="20"/>
                <w:szCs w:val="20"/>
                <w:color w:val="auto"/>
              </w:rPr>
            </w:pPr>
            <w:r>
              <w:rPr>
                <w:rFonts w:ascii="Arial" w:cs="Arial" w:eastAsia="Arial" w:hAnsi="Arial"/>
                <w:sz w:val="18"/>
                <w:szCs w:val="18"/>
                <w:color w:val="auto"/>
              </w:rPr>
              <w:t>Miscellaneous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1980" w:type="dxa"/>
            <w:vAlign w:val="bottom"/>
            <w:gridSpan w:val="2"/>
          </w:tcPr>
          <w:p>
            <w:pPr>
              <w:jc w:val="right"/>
              <w:ind w:right="590"/>
              <w:spacing w:after="0"/>
              <w:rPr>
                <w:sz w:val="20"/>
                <w:szCs w:val="20"/>
                <w:color w:val="auto"/>
              </w:rPr>
            </w:pPr>
            <w:r>
              <w:rPr>
                <w:rFonts w:ascii="Arial" w:cs="Arial" w:eastAsia="Arial" w:hAnsi="Arial"/>
                <w:sz w:val="18"/>
                <w:szCs w:val="18"/>
                <w:color w:val="auto"/>
              </w:rPr>
              <w:t>6.</w:t>
            </w:r>
          </w:p>
        </w:tc>
        <w:tc>
          <w:tcPr>
            <w:tcW w:w="8720" w:type="dxa"/>
            <w:vAlign w:val="bottom"/>
          </w:tcPr>
          <w:p>
            <w:pPr>
              <w:ind w:left="680"/>
              <w:spacing w:after="0"/>
              <w:rPr>
                <w:sz w:val="20"/>
                <w:szCs w:val="20"/>
                <w:color w:val="auto"/>
              </w:rPr>
            </w:pPr>
            <w:r>
              <w:rPr>
                <w:rFonts w:ascii="Arial" w:cs="Arial" w:eastAsia="Arial" w:hAnsi="Arial"/>
                <w:sz w:val="18"/>
                <w:szCs w:val="18"/>
                <w:color w:val="auto"/>
              </w:rPr>
              <w:t>Confidential Treatment</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TABLE</w:t>
      </w:r>
    </w:p>
    <w:p>
      <w:pPr>
        <w:sectPr>
          <w:pgSz w:w="11900" w:h="16838" w:orient="portrait"/>
          <w:cols w:equalWidth="0" w:num="1">
            <w:col w:w="11420"/>
          </w:cols>
          <w:pgMar w:left="240" w:top="274" w:right="239" w:bottom="1440" w:gutter="0" w:footer="0" w:header="0"/>
        </w:sectPr>
      </w:pPr>
    </w:p>
    <w:p>
      <w:pPr>
        <w:spacing w:after="0" w:line="21"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1640" w:type="dxa"/>
            <w:vAlign w:val="bottom"/>
          </w:tcPr>
          <w:p>
            <w:pPr>
              <w:jc w:val="center"/>
              <w:ind w:right="1130"/>
              <w:spacing w:after="0"/>
              <w:rPr>
                <w:sz w:val="20"/>
                <w:szCs w:val="20"/>
                <w:color w:val="auto"/>
              </w:rPr>
            </w:pPr>
            <w:r>
              <w:rPr>
                <w:rFonts w:ascii="Arial" w:cs="Arial" w:eastAsia="Arial" w:hAnsi="Arial"/>
                <w:sz w:val="18"/>
                <w:szCs w:val="18"/>
                <w:color w:val="auto"/>
                <w:strike w:val="1"/>
                <w:w w:val="92"/>
              </w:rPr>
              <w:t>1.</w:t>
            </w:r>
          </w:p>
        </w:tc>
        <w:tc>
          <w:tcPr>
            <w:tcW w:w="5260" w:type="dxa"/>
            <w:vAlign w:val="bottom"/>
          </w:tcPr>
          <w:p>
            <w:pPr>
              <w:spacing w:after="0"/>
              <w:rPr>
                <w:sz w:val="20"/>
                <w:szCs w:val="20"/>
                <w:color w:val="auto"/>
              </w:rPr>
            </w:pPr>
            <w:r>
              <w:rPr>
                <w:rFonts w:ascii="Arial" w:cs="Arial" w:eastAsia="Arial" w:hAnsi="Arial"/>
                <w:sz w:val="18"/>
                <w:szCs w:val="18"/>
                <w:color w:val="auto"/>
                <w:strike w:val="1"/>
              </w:rPr>
              <w:t>Aircraft Information Table – TRENT</w:t>
            </w:r>
          </w:p>
        </w:tc>
      </w:tr>
      <w:tr>
        <w:trPr>
          <w:trHeight w:val="308"/>
        </w:trPr>
        <w:tc>
          <w:tcPr>
            <w:tcW w:w="16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1(R3)</w:t>
            </w:r>
          </w:p>
        </w:tc>
        <w:tc>
          <w:tcPr>
            <w:tcW w:w="5260" w:type="dxa"/>
            <w:vAlign w:val="bottom"/>
          </w:tcPr>
          <w:p>
            <w:pPr>
              <w:spacing w:after="0"/>
              <w:rPr>
                <w:sz w:val="20"/>
                <w:szCs w:val="20"/>
                <w:color w:val="auto"/>
              </w:rPr>
            </w:pPr>
            <w:r>
              <w:rPr>
                <w:rFonts w:ascii="Arial" w:cs="Arial" w:eastAsia="Arial" w:hAnsi="Arial"/>
                <w:sz w:val="18"/>
                <w:szCs w:val="18"/>
                <w:b w:val="1"/>
                <w:bCs w:val="1"/>
                <w:color w:val="auto"/>
              </w:rPr>
              <w:t>787-923 Aircraft Information Table – GENX</w:t>
            </w:r>
          </w:p>
        </w:tc>
      </w:tr>
      <w:tr>
        <w:trPr>
          <w:trHeight w:val="306"/>
        </w:trPr>
        <w:tc>
          <w:tcPr>
            <w:tcW w:w="16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2(R1)</w:t>
            </w:r>
          </w:p>
        </w:tc>
        <w:tc>
          <w:tcPr>
            <w:tcW w:w="5260" w:type="dxa"/>
            <w:vAlign w:val="bottom"/>
          </w:tcPr>
          <w:p>
            <w:pPr>
              <w:spacing w:after="0"/>
              <w:rPr>
                <w:sz w:val="20"/>
                <w:szCs w:val="20"/>
                <w:color w:val="auto"/>
              </w:rPr>
            </w:pPr>
            <w:r>
              <w:rPr>
                <w:rFonts w:ascii="Arial" w:cs="Arial" w:eastAsia="Arial" w:hAnsi="Arial"/>
                <w:sz w:val="18"/>
                <w:szCs w:val="18"/>
                <w:b w:val="1"/>
                <w:bCs w:val="1"/>
                <w:color w:val="auto"/>
              </w:rPr>
              <w:t>787-8 Aircraft Information Table – GENX</w:t>
            </w:r>
          </w:p>
        </w:tc>
      </w:tr>
      <w:tr>
        <w:trPr>
          <w:trHeight w:val="234"/>
        </w:trPr>
        <w:tc>
          <w:tcPr>
            <w:tcW w:w="1640" w:type="dxa"/>
            <w:vAlign w:val="bottom"/>
          </w:tcPr>
          <w:p>
            <w:pPr>
              <w:spacing w:after="0"/>
              <w:rPr>
                <w:sz w:val="20"/>
                <w:szCs w:val="20"/>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([*CTR] (12) 787-8 Aircraft)</w:t>
            </w:r>
          </w:p>
        </w:tc>
      </w:tr>
      <w:tr>
        <w:trPr>
          <w:trHeight w:val="319"/>
        </w:trPr>
        <w:tc>
          <w:tcPr>
            <w:tcW w:w="16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3(R1)</w:t>
            </w:r>
          </w:p>
        </w:tc>
        <w:tc>
          <w:tcPr>
            <w:tcW w:w="5260" w:type="dxa"/>
            <w:vAlign w:val="bottom"/>
          </w:tcPr>
          <w:p>
            <w:pPr>
              <w:spacing w:after="0"/>
              <w:rPr>
                <w:sz w:val="20"/>
                <w:szCs w:val="20"/>
                <w:color w:val="auto"/>
              </w:rPr>
            </w:pPr>
            <w:r>
              <w:rPr>
                <w:rFonts w:ascii="Arial" w:cs="Arial" w:eastAsia="Arial" w:hAnsi="Arial"/>
                <w:sz w:val="18"/>
                <w:szCs w:val="18"/>
                <w:b w:val="1"/>
                <w:bCs w:val="1"/>
                <w:color w:val="auto"/>
              </w:rPr>
              <w:t>787-8 Aircraft Information Table – GENX</w:t>
            </w:r>
          </w:p>
        </w:tc>
      </w:tr>
      <w:tr>
        <w:trPr>
          <w:trHeight w:val="234"/>
        </w:trPr>
        <w:tc>
          <w:tcPr>
            <w:tcW w:w="1640" w:type="dxa"/>
            <w:vAlign w:val="bottom"/>
          </w:tcPr>
          <w:p>
            <w:pPr>
              <w:spacing w:after="0"/>
              <w:rPr>
                <w:sz w:val="20"/>
                <w:szCs w:val="20"/>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w w:val="94"/>
              </w:rPr>
              <w:t>([*CTR] (8) 787-8 Aircraft, yielding Twenty (20) 787-8 Aircraft)</w:t>
            </w:r>
          </w:p>
        </w:tc>
      </w:tr>
      <w:tr>
        <w:trPr>
          <w:trHeight w:val="338"/>
        </w:trPr>
        <w:tc>
          <w:tcPr>
            <w:tcW w:w="1640" w:type="dxa"/>
            <w:vAlign w:val="bottom"/>
          </w:tcPr>
          <w:p>
            <w:pPr>
              <w:jc w:val="center"/>
              <w:ind w:right="1130"/>
              <w:spacing w:after="0"/>
              <w:rPr>
                <w:sz w:val="20"/>
                <w:szCs w:val="20"/>
                <w:color w:val="auto"/>
              </w:rPr>
            </w:pPr>
            <w:r>
              <w:rPr>
                <w:rFonts w:ascii="Arial" w:cs="Arial" w:eastAsia="Arial" w:hAnsi="Arial"/>
                <w:sz w:val="18"/>
                <w:szCs w:val="18"/>
                <w:b w:val="1"/>
                <w:bCs w:val="1"/>
                <w:color w:val="auto"/>
                <w:w w:val="99"/>
              </w:rPr>
              <w:t>4</w:t>
            </w:r>
          </w:p>
        </w:tc>
        <w:tc>
          <w:tcPr>
            <w:tcW w:w="5260" w:type="dxa"/>
            <w:vAlign w:val="bottom"/>
          </w:tcPr>
          <w:p>
            <w:pPr>
              <w:spacing w:after="0"/>
              <w:rPr>
                <w:sz w:val="20"/>
                <w:szCs w:val="20"/>
                <w:color w:val="auto"/>
              </w:rPr>
            </w:pPr>
            <w:r>
              <w:rPr>
                <w:rFonts w:ascii="Arial" w:cs="Arial" w:eastAsia="Arial" w:hAnsi="Arial"/>
                <w:sz w:val="18"/>
                <w:szCs w:val="18"/>
                <w:b w:val="1"/>
                <w:bCs w:val="1"/>
                <w:color w:val="auto"/>
              </w:rPr>
              <w:t>787-8 Aircraft Information Table – GENX</w:t>
            </w:r>
          </w:p>
        </w:tc>
      </w:tr>
    </w:tbl>
    <w:p>
      <w:pPr>
        <w:ind w:left="3200" w:right="40" w:hanging="179"/>
        <w:spacing w:after="0" w:line="261" w:lineRule="auto"/>
        <w:rPr>
          <w:sz w:val="20"/>
          <w:szCs w:val="20"/>
          <w:color w:val="auto"/>
        </w:rPr>
      </w:pPr>
      <w:r>
        <w:rPr>
          <w:rFonts w:ascii="Arial" w:cs="Arial" w:eastAsia="Arial" w:hAnsi="Arial"/>
          <w:sz w:val="18"/>
          <w:szCs w:val="18"/>
          <w:b w:val="1"/>
          <w:bCs w:val="1"/>
          <w:color w:val="auto"/>
        </w:rPr>
        <w:t>([*CTR] (1) 787-8 Aircraft, yielding Twenty-First 787-8 Aircraft, a [*CTR] 787-8 Aircraft for Purposes of Exhibit A2(R2))</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SA-2</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SA-5</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SA-5</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SA-5</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SA-5</w:t>
      </w:r>
    </w:p>
    <w:p>
      <w:pPr>
        <w:spacing w:after="0" w:line="414" w:lineRule="exact"/>
        <w:rPr>
          <w:sz w:val="20"/>
          <w:szCs w:val="20"/>
          <w:color w:val="auto"/>
        </w:rPr>
      </w:pPr>
    </w:p>
    <w:p>
      <w:pPr>
        <w:sectPr>
          <w:pgSz w:w="11900" w:h="16838" w:orient="portrait"/>
          <w:cols w:equalWidth="0" w:num="2">
            <w:col w:w="10220" w:space="720"/>
            <w:col w:w="4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rPr>
                <w:sz w:val="16"/>
                <w:szCs w:val="16"/>
                <w:color w:val="auto"/>
              </w:rPr>
            </w:pPr>
          </w:p>
        </w:tc>
        <w:tc>
          <w:tcPr>
            <w:tcW w:w="1240" w:type="dxa"/>
            <w:vAlign w:val="bottom"/>
            <w:gridSpan w:val="2"/>
          </w:tcPr>
          <w:p>
            <w:pPr>
              <w:jc w:val="center"/>
              <w:spacing w:after="0" w:line="191" w:lineRule="exact"/>
              <w:rPr>
                <w:sz w:val="20"/>
                <w:szCs w:val="20"/>
                <w:color w:val="auto"/>
              </w:rPr>
            </w:pPr>
            <w:r>
              <w:rPr>
                <w:rFonts w:ascii="Arial" w:cs="Arial" w:eastAsia="Arial" w:hAnsi="Arial"/>
                <w:sz w:val="18"/>
                <w:szCs w:val="18"/>
                <w:color w:val="auto"/>
                <w:w w:val="96"/>
              </w:rPr>
              <w:t>A(R1).</w:t>
            </w:r>
          </w:p>
        </w:tc>
        <w:tc>
          <w:tcPr>
            <w:tcW w:w="7040" w:type="dxa"/>
            <w:vAlign w:val="bottom"/>
          </w:tcPr>
          <w:p>
            <w:pPr>
              <w:ind w:left="840"/>
              <w:spacing w:after="0" w:line="191" w:lineRule="exact"/>
              <w:rPr>
                <w:sz w:val="20"/>
                <w:szCs w:val="20"/>
                <w:color w:val="auto"/>
              </w:rPr>
            </w:pPr>
            <w:r>
              <w:rPr>
                <w:rFonts w:ascii="Arial" w:cs="Arial" w:eastAsia="Arial" w:hAnsi="Arial"/>
                <w:sz w:val="18"/>
                <w:szCs w:val="18"/>
                <w:color w:val="auto"/>
              </w:rPr>
              <w:t>Aircraft Configuration for [*CTR] Aircraft</w:t>
            </w:r>
          </w:p>
        </w:tc>
        <w:tc>
          <w:tcPr>
            <w:tcW w:w="2560" w:type="dxa"/>
            <w:vAlign w:val="bottom"/>
          </w:tcPr>
          <w:p>
            <w:pPr>
              <w:ind w:left="2080"/>
              <w:spacing w:after="0" w:line="191" w:lineRule="exact"/>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A2(R2)</w:t>
            </w:r>
          </w:p>
        </w:tc>
        <w:tc>
          <w:tcPr>
            <w:tcW w:w="7040" w:type="dxa"/>
            <w:vAlign w:val="bottom"/>
          </w:tcPr>
          <w:p>
            <w:pPr>
              <w:ind w:left="840"/>
              <w:spacing w:after="0"/>
              <w:rPr>
                <w:sz w:val="20"/>
                <w:szCs w:val="20"/>
                <w:color w:val="auto"/>
              </w:rPr>
            </w:pPr>
            <w:r>
              <w:rPr>
                <w:rFonts w:ascii="Arial" w:cs="Arial" w:eastAsia="Arial" w:hAnsi="Arial"/>
                <w:sz w:val="18"/>
                <w:szCs w:val="18"/>
                <w:b w:val="1"/>
                <w:bCs w:val="1"/>
                <w:color w:val="auto"/>
              </w:rPr>
              <w:t>Aircraft Configuration for [*CTR] Aircraft</w:t>
            </w:r>
          </w:p>
        </w:tc>
        <w:tc>
          <w:tcPr>
            <w:tcW w:w="2560" w:type="dxa"/>
            <w:vAlign w:val="bottom"/>
          </w:tcPr>
          <w:p>
            <w:pPr>
              <w:ind w:left="2080"/>
              <w:spacing w:after="0"/>
              <w:rPr>
                <w:sz w:val="20"/>
                <w:szCs w:val="20"/>
                <w:color w:val="auto"/>
              </w:rPr>
            </w:pPr>
            <w:r>
              <w:rPr>
                <w:rFonts w:ascii="Arial" w:cs="Arial" w:eastAsia="Arial" w:hAnsi="Arial"/>
                <w:sz w:val="18"/>
                <w:szCs w:val="18"/>
                <w:b w:val="1"/>
                <w:bCs w:val="1"/>
                <w:color w:val="auto"/>
              </w:rPr>
              <w:t>SA-5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6"/>
              </w:rPr>
              <w:t>B(R1).</w:t>
            </w:r>
          </w:p>
        </w:tc>
        <w:tc>
          <w:tcPr>
            <w:tcW w:w="7040" w:type="dxa"/>
            <w:vAlign w:val="bottom"/>
          </w:tcPr>
          <w:p>
            <w:pPr>
              <w:ind w:left="840"/>
              <w:spacing w:after="0"/>
              <w:rPr>
                <w:sz w:val="20"/>
                <w:szCs w:val="20"/>
                <w:color w:val="auto"/>
              </w:rPr>
            </w:pPr>
            <w:r>
              <w:rPr>
                <w:rFonts w:ascii="Arial" w:cs="Arial" w:eastAsia="Arial" w:hAnsi="Arial"/>
                <w:sz w:val="18"/>
                <w:szCs w:val="18"/>
                <w:color w:val="auto"/>
              </w:rPr>
              <w:t>Aircraft Delivery Requirements and Responsibilities</w:t>
            </w:r>
          </w:p>
        </w:tc>
        <w:tc>
          <w:tcPr>
            <w:tcW w:w="2560" w:type="dxa"/>
            <w:vAlign w:val="bottom"/>
          </w:tcPr>
          <w:p>
            <w:pPr>
              <w:ind w:left="208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4"/>
              </w:rPr>
              <w:t>C(R1).</w:t>
            </w:r>
          </w:p>
        </w:tc>
        <w:tc>
          <w:tcPr>
            <w:tcW w:w="7040" w:type="dxa"/>
            <w:vAlign w:val="bottom"/>
          </w:tcPr>
          <w:p>
            <w:pPr>
              <w:ind w:left="840"/>
              <w:spacing w:after="0"/>
              <w:rPr>
                <w:sz w:val="20"/>
                <w:szCs w:val="20"/>
                <w:color w:val="auto"/>
              </w:rPr>
            </w:pPr>
            <w:r>
              <w:rPr>
                <w:rFonts w:ascii="Arial" w:cs="Arial" w:eastAsia="Arial" w:hAnsi="Arial"/>
                <w:sz w:val="18"/>
                <w:szCs w:val="18"/>
                <w:color w:val="auto"/>
              </w:rPr>
              <w:t>Defined Terms</w:t>
            </w:r>
          </w:p>
        </w:tc>
        <w:tc>
          <w:tcPr>
            <w:tcW w:w="2560" w:type="dxa"/>
            <w:vAlign w:val="bottom"/>
          </w:tcPr>
          <w:p>
            <w:pPr>
              <w:ind w:left="208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65"/>
        </w:trPr>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SUPPLEMENTAL EXHIBITS</w:t>
            </w:r>
          </w:p>
        </w:tc>
        <w:tc>
          <w:tcPr>
            <w:tcW w:w="7040" w:type="dxa"/>
            <w:vAlign w:val="bottom"/>
            <w:vMerge w:val="restart"/>
          </w:tcPr>
          <w:p>
            <w:pPr>
              <w:ind w:left="1560"/>
              <w:spacing w:after="0"/>
              <w:rPr>
                <w:sz w:val="20"/>
                <w:szCs w:val="20"/>
                <w:color w:val="auto"/>
              </w:rPr>
            </w:pPr>
            <w:r>
              <w:rPr>
                <w:rFonts w:ascii="Arial" w:cs="Arial" w:eastAsia="Arial" w:hAnsi="Arial"/>
                <w:sz w:val="18"/>
                <w:szCs w:val="18"/>
                <w:color w:val="auto"/>
              </w:rPr>
              <w:t>[*CTR]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7"/>
              </w:rPr>
              <w:t>AE1.</w:t>
            </w:r>
          </w:p>
        </w:tc>
        <w:tc>
          <w:tcPr>
            <w:tcW w:w="704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1"/>
              </w:rPr>
              <w:t>BFE1(R1).</w:t>
            </w:r>
          </w:p>
        </w:tc>
        <w:tc>
          <w:tcPr>
            <w:tcW w:w="7040" w:type="dxa"/>
            <w:vAlign w:val="bottom"/>
          </w:tcPr>
          <w:p>
            <w:pPr>
              <w:ind w:left="1560"/>
              <w:spacing w:after="0"/>
              <w:rPr>
                <w:sz w:val="20"/>
                <w:szCs w:val="20"/>
                <w:color w:val="auto"/>
              </w:rPr>
            </w:pPr>
            <w:r>
              <w:rPr>
                <w:rFonts w:ascii="Arial" w:cs="Arial" w:eastAsia="Arial" w:hAnsi="Arial"/>
                <w:sz w:val="18"/>
                <w:szCs w:val="18"/>
                <w:color w:val="auto"/>
              </w:rPr>
              <w:t>Buyer Furnished Equipment Variables 787-923</w:t>
            </w:r>
          </w:p>
        </w:tc>
        <w:tc>
          <w:tcPr>
            <w:tcW w:w="2560" w:type="dxa"/>
            <w:vAlign w:val="bottom"/>
          </w:tcPr>
          <w:p>
            <w:pPr>
              <w:ind w:left="208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1"/>
              </w:rPr>
              <w:t>BFE2.</w:t>
            </w:r>
          </w:p>
        </w:tc>
        <w:tc>
          <w:tcPr>
            <w:tcW w:w="7040" w:type="dxa"/>
            <w:vAlign w:val="bottom"/>
          </w:tcPr>
          <w:p>
            <w:pPr>
              <w:ind w:left="1560"/>
              <w:spacing w:after="0"/>
              <w:rPr>
                <w:sz w:val="20"/>
                <w:szCs w:val="20"/>
                <w:color w:val="auto"/>
              </w:rPr>
            </w:pPr>
            <w:r>
              <w:rPr>
                <w:rFonts w:ascii="Arial" w:cs="Arial" w:eastAsia="Arial" w:hAnsi="Arial"/>
                <w:sz w:val="18"/>
                <w:szCs w:val="18"/>
                <w:color w:val="auto"/>
              </w:rPr>
              <w:t>Buyer Furnished Equipment Variables 787-8</w:t>
            </w:r>
          </w:p>
        </w:tc>
        <w:tc>
          <w:tcPr>
            <w:tcW w:w="2560" w:type="dxa"/>
            <w:vAlign w:val="bottom"/>
          </w:tcPr>
          <w:p>
            <w:pPr>
              <w:ind w:left="208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4"/>
              </w:rPr>
              <w:t>CS1.</w:t>
            </w:r>
          </w:p>
        </w:tc>
        <w:tc>
          <w:tcPr>
            <w:tcW w:w="7040" w:type="dxa"/>
            <w:vAlign w:val="bottom"/>
          </w:tcPr>
          <w:p>
            <w:pPr>
              <w:ind w:left="1560"/>
              <w:spacing w:after="0"/>
              <w:rPr>
                <w:sz w:val="20"/>
                <w:szCs w:val="20"/>
                <w:color w:val="auto"/>
              </w:rPr>
            </w:pPr>
            <w:r>
              <w:rPr>
                <w:rFonts w:ascii="Arial" w:cs="Arial" w:eastAsia="Arial" w:hAnsi="Arial"/>
                <w:sz w:val="18"/>
                <w:szCs w:val="18"/>
                <w:color w:val="auto"/>
              </w:rPr>
              <w:t>787 Customer Support Document</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EE1.</w:t>
            </w:r>
          </w:p>
        </w:tc>
        <w:tc>
          <w:tcPr>
            <w:tcW w:w="7040" w:type="dxa"/>
            <w:vAlign w:val="bottom"/>
          </w:tcPr>
          <w:p>
            <w:pPr>
              <w:ind w:left="1560"/>
              <w:spacing w:after="0"/>
              <w:rPr>
                <w:sz w:val="20"/>
                <w:szCs w:val="20"/>
                <w:color w:val="auto"/>
              </w:rPr>
            </w:pPr>
            <w:r>
              <w:rPr>
                <w:rFonts w:ascii="Arial" w:cs="Arial" w:eastAsia="Arial" w:hAnsi="Arial"/>
                <w:sz w:val="18"/>
                <w:szCs w:val="18"/>
                <w:color w:val="auto"/>
              </w:rPr>
              <w:t>[*CTR]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strike w:val="1"/>
                <w:w w:val="82"/>
              </w:rPr>
              <w:t>EE1</w:t>
            </w:r>
          </w:p>
        </w:tc>
        <w:tc>
          <w:tcPr>
            <w:tcW w:w="460" w:type="dxa"/>
            <w:vAlign w:val="bottom"/>
          </w:tcPr>
          <w:p>
            <w:pPr>
              <w:jc w:val="right"/>
              <w:ind w:right="370"/>
              <w:spacing w:after="0"/>
              <w:rPr>
                <w:sz w:val="20"/>
                <w:szCs w:val="20"/>
                <w:color w:val="auto"/>
              </w:rPr>
            </w:pPr>
            <w:r>
              <w:rPr>
                <w:rFonts w:ascii="Arial" w:cs="Arial" w:eastAsia="Arial" w:hAnsi="Arial"/>
                <w:sz w:val="10"/>
                <w:szCs w:val="10"/>
                <w:color w:val="auto"/>
                <w:w w:val="70"/>
              </w:rPr>
              <w:t>.</w:t>
            </w:r>
          </w:p>
        </w:tc>
        <w:tc>
          <w:tcPr>
            <w:tcW w:w="7040" w:type="dxa"/>
            <w:vAlign w:val="bottom"/>
          </w:tcPr>
          <w:p>
            <w:pPr>
              <w:ind w:left="1560"/>
              <w:spacing w:after="0"/>
              <w:rPr>
                <w:sz w:val="20"/>
                <w:szCs w:val="20"/>
                <w:color w:val="auto"/>
              </w:rPr>
            </w:pPr>
            <w:r>
              <w:rPr>
                <w:rFonts w:ascii="Arial" w:cs="Arial" w:eastAsia="Arial" w:hAnsi="Arial"/>
                <w:sz w:val="18"/>
                <w:szCs w:val="18"/>
                <w:color w:val="auto"/>
              </w:rPr>
              <w:t>[*CTR]</w:t>
            </w:r>
          </w:p>
        </w:tc>
        <w:tc>
          <w:tcPr>
            <w:tcW w:w="2560" w:type="dxa"/>
            <w:vAlign w:val="bottom"/>
          </w:tcPr>
          <w:p>
            <w:pPr>
              <w:ind w:left="208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6"/>
              </w:rPr>
              <w:t>EE2.</w:t>
            </w:r>
          </w:p>
        </w:tc>
        <w:tc>
          <w:tcPr>
            <w:tcW w:w="7040" w:type="dxa"/>
            <w:vAlign w:val="bottom"/>
          </w:tcPr>
          <w:p>
            <w:pPr>
              <w:ind w:left="1560"/>
              <w:spacing w:after="0"/>
              <w:rPr>
                <w:sz w:val="20"/>
                <w:szCs w:val="20"/>
                <w:color w:val="auto"/>
              </w:rPr>
            </w:pPr>
            <w:r>
              <w:rPr>
                <w:rFonts w:ascii="Arial" w:cs="Arial" w:eastAsia="Arial" w:hAnsi="Arial"/>
                <w:sz w:val="18"/>
                <w:szCs w:val="18"/>
                <w:color w:val="auto"/>
              </w:rPr>
              <w:t>[*CTR]</w:t>
            </w:r>
          </w:p>
        </w:tc>
        <w:tc>
          <w:tcPr>
            <w:tcW w:w="2560" w:type="dxa"/>
            <w:vAlign w:val="bottom"/>
          </w:tcPr>
          <w:p>
            <w:pPr>
              <w:ind w:left="2080"/>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3"/>
              </w:rPr>
              <w:t>SLP1.</w:t>
            </w:r>
          </w:p>
        </w:tc>
        <w:tc>
          <w:tcPr>
            <w:tcW w:w="7040" w:type="dxa"/>
            <w:vAlign w:val="bottom"/>
          </w:tcPr>
          <w:p>
            <w:pPr>
              <w:ind w:left="1560"/>
              <w:spacing w:after="0"/>
              <w:rPr>
                <w:sz w:val="20"/>
                <w:szCs w:val="20"/>
                <w:color w:val="auto"/>
              </w:rPr>
            </w:pPr>
            <w:r>
              <w:rPr>
                <w:rFonts w:ascii="Arial" w:cs="Arial" w:eastAsia="Arial" w:hAnsi="Arial"/>
                <w:sz w:val="18"/>
                <w:szCs w:val="18"/>
                <w:color w:val="auto"/>
              </w:rPr>
              <w:t>Service Life Policy Components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820" w:type="dxa"/>
            <w:vAlign w:val="bottom"/>
            <w:gridSpan w:val="3"/>
          </w:tcPr>
          <w:p>
            <w:pPr>
              <w:spacing w:after="0"/>
              <w:rPr>
                <w:sz w:val="20"/>
                <w:szCs w:val="20"/>
                <w:color w:val="auto"/>
              </w:rPr>
            </w:pPr>
            <w:r>
              <w:rPr>
                <w:rFonts w:ascii="Arial" w:cs="Arial" w:eastAsia="Arial" w:hAnsi="Arial"/>
                <w:sz w:val="18"/>
                <w:szCs w:val="18"/>
                <w:color w:val="auto"/>
              </w:rPr>
              <w:t>PA 3219</w:t>
            </w:r>
          </w:p>
        </w:tc>
        <w:tc>
          <w:tcPr>
            <w:tcW w:w="7040" w:type="dxa"/>
            <w:vAlign w:val="bottom"/>
          </w:tcPr>
          <w:p>
            <w:pPr>
              <w:spacing w:after="0"/>
              <w:rPr>
                <w:sz w:val="24"/>
                <w:szCs w:val="24"/>
                <w:color w:val="auto"/>
              </w:rPr>
            </w:pPr>
          </w:p>
        </w:tc>
        <w:tc>
          <w:tcPr>
            <w:tcW w:w="2560" w:type="dxa"/>
            <w:vAlign w:val="bottom"/>
          </w:tcPr>
          <w:p>
            <w:pPr>
              <w:ind w:left="2180"/>
              <w:spacing w:after="0"/>
              <w:rPr>
                <w:sz w:val="20"/>
                <w:szCs w:val="20"/>
                <w:color w:val="auto"/>
              </w:rPr>
            </w:pPr>
            <w:r>
              <w:rPr>
                <w:rFonts w:ascii="Arial" w:cs="Arial" w:eastAsia="Arial" w:hAnsi="Arial"/>
                <w:sz w:val="18"/>
                <w:szCs w:val="18"/>
                <w:color w:val="auto"/>
                <w:w w:val="89"/>
              </w:rPr>
              <w:t>SA-5</w:t>
            </w:r>
          </w:p>
        </w:tc>
        <w:tc>
          <w:tcPr>
            <w:tcW w:w="0" w:type="dxa"/>
            <w:vAlign w:val="bottom"/>
          </w:tcPr>
          <w:p>
            <w:pPr>
              <w:spacing w:after="0"/>
              <w:rPr>
                <w:sz w:val="1"/>
                <w:szCs w:val="1"/>
                <w:color w:val="auto"/>
              </w:rPr>
            </w:pPr>
          </w:p>
        </w:tc>
      </w:tr>
      <w:tr>
        <w:trPr>
          <w:trHeight w:val="230"/>
        </w:trPr>
        <w:tc>
          <w:tcPr>
            <w:tcW w:w="1820" w:type="dxa"/>
            <w:vAlign w:val="bottom"/>
            <w:gridSpan w:val="3"/>
          </w:tcPr>
          <w:p>
            <w:pPr>
              <w:spacing w:after="0"/>
              <w:rPr>
                <w:sz w:val="20"/>
                <w:szCs w:val="20"/>
                <w:color w:val="auto"/>
              </w:rPr>
            </w:pPr>
            <w:r>
              <w:rPr>
                <w:rFonts w:ascii="Arial" w:cs="Arial" w:eastAsia="Arial" w:hAnsi="Arial"/>
                <w:sz w:val="18"/>
                <w:szCs w:val="18"/>
                <w:color w:val="auto"/>
              </w:rPr>
              <w:t>Table of Contents</w:t>
            </w:r>
          </w:p>
        </w:tc>
        <w:tc>
          <w:tcPr>
            <w:tcW w:w="704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BOEING PROPRIETARY</w:t>
            </w:r>
          </w:p>
        </w:tc>
        <w:tc>
          <w:tcPr>
            <w:tcW w:w="2560" w:type="dxa"/>
            <w:vAlign w:val="bottom"/>
          </w:tcPr>
          <w:p>
            <w:pPr>
              <w:ind w:left="2080"/>
              <w:spacing w:after="0"/>
              <w:rPr>
                <w:sz w:val="20"/>
                <w:szCs w:val="20"/>
                <w:color w:val="auto"/>
              </w:rPr>
            </w:pPr>
            <w:r>
              <w:rPr>
                <w:rFonts w:ascii="Arial" w:cs="Arial" w:eastAsia="Arial" w:hAnsi="Arial"/>
                <w:sz w:val="18"/>
                <w:szCs w:val="18"/>
                <w:color w:val="auto"/>
                <w:w w:val="80"/>
              </w:rPr>
              <w:t>Page 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500" w:type="dxa"/>
            <w:vAlign w:val="bottom"/>
          </w:tcPr>
          <w:p>
            <w:pPr>
              <w:jc w:val="center"/>
              <w:ind w:right="3390"/>
              <w:spacing w:after="0"/>
              <w:rPr>
                <w:sz w:val="20"/>
                <w:szCs w:val="20"/>
                <w:color w:val="auto"/>
              </w:rPr>
            </w:pPr>
            <w:r>
              <w:rPr>
                <w:rFonts w:ascii="Arial" w:cs="Arial" w:eastAsia="Arial" w:hAnsi="Arial"/>
                <w:sz w:val="18"/>
                <w:szCs w:val="18"/>
                <w:color w:val="auto"/>
                <w:w w:val="93"/>
              </w:rPr>
              <w:t>TABLE OF CONTENTS, continued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660" w:type="dxa"/>
            <w:vAlign w:val="bottom"/>
            <w:gridSpan w:val="2"/>
            <w:vMerge w:val="restart"/>
          </w:tcPr>
          <w:p>
            <w:pPr>
              <w:spacing w:after="0"/>
              <w:rPr>
                <w:sz w:val="20"/>
                <w:szCs w:val="20"/>
                <w:color w:val="auto"/>
              </w:rPr>
            </w:pPr>
            <w:r>
              <w:rPr>
                <w:rFonts w:ascii="Arial" w:cs="Arial" w:eastAsia="Arial" w:hAnsi="Arial"/>
                <w:sz w:val="14"/>
                <w:szCs w:val="14"/>
                <w:color w:val="auto"/>
              </w:rPr>
              <w:t>LETTER AGREEMENTS</w:t>
            </w:r>
          </w:p>
        </w:tc>
        <w:tc>
          <w:tcPr>
            <w:tcW w:w="15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4"/>
                <w:szCs w:val="14"/>
                <w:color w:val="auto"/>
              </w:rPr>
              <w:t>SA</w:t>
            </w:r>
          </w:p>
        </w:tc>
        <w:tc>
          <w:tcPr>
            <w:tcW w:w="0" w:type="dxa"/>
            <w:vAlign w:val="bottom"/>
          </w:tcPr>
          <w:p>
            <w:pPr>
              <w:spacing w:after="0"/>
              <w:rPr>
                <w:sz w:val="1"/>
                <w:szCs w:val="1"/>
                <w:color w:val="auto"/>
              </w:rPr>
            </w:pPr>
          </w:p>
        </w:tc>
      </w:tr>
      <w:tr>
        <w:trPr>
          <w:trHeight w:val="174"/>
        </w:trPr>
        <w:tc>
          <w:tcPr>
            <w:tcW w:w="2660" w:type="dxa"/>
            <w:vAlign w:val="bottom"/>
            <w:gridSpan w:val="2"/>
            <w:vMerge w:val="continue"/>
          </w:tcPr>
          <w:p>
            <w:pPr>
              <w:spacing w:after="0"/>
              <w:rPr>
                <w:sz w:val="15"/>
                <w:szCs w:val="15"/>
                <w:color w:val="auto"/>
              </w:rPr>
            </w:pPr>
          </w:p>
        </w:tc>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4"/>
        </w:trPr>
        <w:tc>
          <w:tcPr>
            <w:tcW w:w="154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rPr>
              <w:t>3219-01</w:t>
            </w:r>
          </w:p>
        </w:tc>
        <w:tc>
          <w:tcPr>
            <w:tcW w:w="1120" w:type="dxa"/>
            <w:vAlign w:val="bottom"/>
          </w:tcPr>
          <w:p>
            <w:pPr>
              <w:spacing w:after="0"/>
              <w:rPr>
                <w:sz w:val="17"/>
                <w:szCs w:val="17"/>
                <w:color w:val="auto"/>
              </w:rPr>
            </w:pPr>
          </w:p>
        </w:tc>
        <w:tc>
          <w:tcPr>
            <w:tcW w:w="8040" w:type="dxa"/>
            <w:vAlign w:val="bottom"/>
            <w:gridSpan w:val="2"/>
            <w:vMerge w:val="continue"/>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rPr>
              <w:t>3219-02</w:t>
            </w:r>
          </w:p>
        </w:tc>
        <w:tc>
          <w:tcPr>
            <w:tcW w:w="11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Special Terms – Seats and In-Flight Entertainment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3219-04</w:t>
            </w:r>
          </w:p>
        </w:tc>
        <w:tc>
          <w:tcPr>
            <w:tcW w:w="11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3219-05R1</w:t>
            </w:r>
          </w:p>
        </w:tc>
        <w:tc>
          <w:tcPr>
            <w:tcW w:w="8040" w:type="dxa"/>
            <w:vAlign w:val="bottom"/>
            <w:gridSpan w:val="2"/>
          </w:tcPr>
          <w:p>
            <w:pPr>
              <w:spacing w:after="0"/>
              <w:rPr>
                <w:sz w:val="20"/>
                <w:szCs w:val="20"/>
                <w:color w:val="auto"/>
              </w:rPr>
            </w:pPr>
            <w:r>
              <w:rPr>
                <w:rFonts w:ascii="Arial" w:cs="Arial" w:eastAsia="Arial" w:hAnsi="Arial"/>
                <w:sz w:val="18"/>
                <w:szCs w:val="18"/>
                <w:color w:val="auto"/>
              </w:rPr>
              <w:t>Spare Parts Commitments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3219-06R1</w:t>
            </w:r>
          </w:p>
        </w:tc>
        <w:tc>
          <w:tcPr>
            <w:tcW w:w="8040" w:type="dxa"/>
            <w:vAlign w:val="bottom"/>
            <w:gridSpan w:val="2"/>
          </w:tcPr>
          <w:p>
            <w:pPr>
              <w:spacing w:after="0"/>
              <w:rPr>
                <w:sz w:val="20"/>
                <w:szCs w:val="20"/>
                <w:color w:val="auto"/>
              </w:rPr>
            </w:pPr>
            <w:r>
              <w:rPr>
                <w:rFonts w:ascii="Arial" w:cs="Arial" w:eastAsia="Arial" w:hAnsi="Arial"/>
                <w:sz w:val="18"/>
                <w:szCs w:val="18"/>
                <w:color w:val="auto"/>
              </w:rPr>
              <w:t>Spare Parts Initial Provisioning</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3219-08R2</w:t>
            </w: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Open Configuration Matters</w:t>
            </w:r>
          </w:p>
        </w:tc>
        <w:tc>
          <w:tcPr>
            <w:tcW w:w="720" w:type="dxa"/>
            <w:vAlign w:val="bottom"/>
            <w:gridSpan w:val="2"/>
          </w:tcPr>
          <w:p>
            <w:pPr>
              <w:ind w:left="240"/>
              <w:spacing w:after="0"/>
              <w:rPr>
                <w:sz w:val="20"/>
                <w:szCs w:val="20"/>
                <w:color w:val="auto"/>
              </w:rPr>
            </w:pPr>
            <w:r>
              <w:rPr>
                <w:rFonts w:ascii="Arial" w:cs="Arial" w:eastAsia="Arial" w:hAnsi="Arial"/>
                <w:sz w:val="18"/>
                <w:szCs w:val="18"/>
                <w:b w:val="1"/>
                <w:bCs w:val="1"/>
                <w:color w:val="auto"/>
              </w:rPr>
              <w:t>SA-5</w:t>
            </w:r>
          </w:p>
        </w:tc>
        <w:tc>
          <w:tcPr>
            <w:tcW w:w="0" w:type="dxa"/>
            <w:vAlign w:val="bottom"/>
          </w:tcPr>
          <w:p>
            <w:pPr>
              <w:spacing w:after="0"/>
              <w:rPr>
                <w:sz w:val="1"/>
                <w:szCs w:val="1"/>
                <w:color w:val="auto"/>
              </w:rPr>
            </w:pP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strike w:val="1"/>
                <w:w w:val="96"/>
              </w:rPr>
              <w:t>6-1162-AKP-071R1</w:t>
            </w:r>
          </w:p>
        </w:tc>
        <w:tc>
          <w:tcPr>
            <w:tcW w:w="112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8"/>
                <w:szCs w:val="18"/>
                <w:color w:val="auto"/>
                <w:strike w:val="1"/>
                <w:w w:val="88"/>
              </w:rPr>
              <w:t>Purchase Obligations</w:t>
            </w:r>
          </w:p>
        </w:tc>
        <w:tc>
          <w:tcPr>
            <w:tcW w:w="6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Terminated per AAL-PA-1977-LA-1105595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0"/>
                <w:szCs w:val="20"/>
                <w:color w:val="auto"/>
              </w:rPr>
            </w:pPr>
            <w:r>
              <w:rPr>
                <w:rFonts w:ascii="Arial" w:cs="Arial" w:eastAsia="Arial" w:hAnsi="Arial"/>
                <w:sz w:val="18"/>
                <w:szCs w:val="18"/>
                <w:color w:val="auto"/>
                <w:strike w:val="1"/>
                <w:w w:val="96"/>
              </w:rPr>
              <w:t>6-1162-AKP-072R2</w:t>
            </w:r>
          </w:p>
        </w:tc>
        <w:tc>
          <w:tcPr>
            <w:tcW w:w="11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Terminated per AAL-PA-1977-LA-1105595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60" w:type="dxa"/>
            <w:vAlign w:val="bottom"/>
            <w:gridSpan w:val="2"/>
          </w:tcPr>
          <w:p>
            <w:pPr>
              <w:spacing w:after="0"/>
              <w:rPr>
                <w:sz w:val="20"/>
                <w:szCs w:val="20"/>
                <w:color w:val="auto"/>
              </w:rPr>
            </w:pPr>
            <w:r>
              <w:rPr>
                <w:rFonts w:ascii="Arial" w:cs="Arial" w:eastAsia="Arial" w:hAnsi="Arial"/>
                <w:sz w:val="18"/>
                <w:szCs w:val="18"/>
                <w:color w:val="auto"/>
              </w:rPr>
              <w:t>6-1162-AKP-073R1</w:t>
            </w:r>
          </w:p>
        </w:tc>
        <w:tc>
          <w:tcPr>
            <w:tcW w:w="8040" w:type="dxa"/>
            <w:vAlign w:val="bottom"/>
            <w:gridSpan w:val="2"/>
          </w:tcPr>
          <w:p>
            <w:pPr>
              <w:spacing w:after="0"/>
              <w:rPr>
                <w:sz w:val="20"/>
                <w:szCs w:val="20"/>
                <w:color w:val="auto"/>
              </w:rPr>
            </w:pPr>
            <w:r>
              <w:rPr>
                <w:rFonts w:ascii="Arial" w:cs="Arial" w:eastAsia="Arial" w:hAnsi="Arial"/>
                <w:sz w:val="18"/>
                <w:szCs w:val="18"/>
                <w:color w:val="auto"/>
              </w:rPr>
              <w:t>Accident Claims and Litigation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strike w:val="1"/>
              </w:rPr>
              <w:t>6-1162-CLO-1031R1</w:t>
            </w: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Withdrawn</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strike w:val="1"/>
              </w:rPr>
              <w:t>6-1162-CLO-1032R1</w:t>
            </w: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Terminated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6-1162-CLO-1039</w:t>
            </w: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6-1162-CLO-1042</w:t>
            </w: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6-1162-CLO-1043R1</w:t>
            </w:r>
          </w:p>
        </w:tc>
        <w:tc>
          <w:tcPr>
            <w:tcW w:w="8040" w:type="dxa"/>
            <w:vAlign w:val="bottom"/>
            <w:gridSpan w:val="2"/>
          </w:tcPr>
          <w:p>
            <w:pPr>
              <w:spacing w:after="0"/>
              <w:rPr>
                <w:sz w:val="20"/>
                <w:szCs w:val="20"/>
                <w:color w:val="auto"/>
              </w:rPr>
            </w:pPr>
            <w:r>
              <w:rPr>
                <w:rFonts w:ascii="Arial" w:cs="Arial" w:eastAsia="Arial" w:hAnsi="Arial"/>
                <w:sz w:val="18"/>
                <w:szCs w:val="18"/>
                <w:color w:val="auto"/>
              </w:rPr>
              <w:t>787 Inspection Process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6-1162-CLO-1045R1</w:t>
            </w: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strike w:val="1"/>
              </w:rPr>
              <w:t>6-1162-CLO-1046</w:t>
            </w:r>
          </w:p>
        </w:tc>
        <w:tc>
          <w:tcPr>
            <w:tcW w:w="11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strike w:val="1"/>
              </w:rPr>
              <w:t>SA-eE, COTS Software and End User License Matters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38"/>
        </w:trPr>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WITHDRAWN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6-1162-CLO-1047R2</w:t>
            </w:r>
          </w:p>
        </w:tc>
        <w:tc>
          <w:tcPr>
            <w:tcW w:w="8040" w:type="dxa"/>
            <w:vAlign w:val="bottom"/>
            <w:gridSpan w:val="2"/>
          </w:tcPr>
          <w:p>
            <w:pPr>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b w:val="1"/>
                <w:bCs w:val="1"/>
                <w:color w:val="auto"/>
              </w:rPr>
              <w:t>SA-5</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strike w:val="1"/>
              </w:rPr>
              <w:t>6-1162-CLO-1048</w:t>
            </w:r>
          </w:p>
        </w:tc>
        <w:tc>
          <w:tcPr>
            <w:tcW w:w="112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8"/>
                <w:szCs w:val="18"/>
                <w:color w:val="auto"/>
                <w:strike w:val="1"/>
              </w:rPr>
              <w:t>Final Matters</w:t>
            </w:r>
          </w:p>
        </w:tc>
        <w:tc>
          <w:tcPr>
            <w:tcW w:w="6500" w:type="dxa"/>
            <w:vAlign w:val="bottom"/>
          </w:tcPr>
          <w:p>
            <w:pPr>
              <w:spacing w:after="0"/>
              <w:rPr>
                <w:sz w:val="24"/>
                <w:szCs w:val="24"/>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6-1162-CLO-1049R1</w:t>
            </w:r>
          </w:p>
        </w:tc>
        <w:tc>
          <w:tcPr>
            <w:tcW w:w="8040" w:type="dxa"/>
            <w:vAlign w:val="bottom"/>
            <w:gridSpan w:val="2"/>
          </w:tcPr>
          <w:p>
            <w:pPr>
              <w:spacing w:after="0"/>
              <w:rPr>
                <w:sz w:val="20"/>
                <w:szCs w:val="20"/>
                <w:color w:val="auto"/>
              </w:rPr>
            </w:pPr>
            <w:r>
              <w:rPr>
                <w:rFonts w:ascii="Arial" w:cs="Arial" w:eastAsia="Arial" w:hAnsi="Arial"/>
                <w:sz w:val="18"/>
                <w:szCs w:val="18"/>
                <w:color w:val="auto"/>
              </w:rPr>
              <w:t>CS1 Matters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6-1162-TRW-0664R1</w:t>
            </w:r>
          </w:p>
        </w:tc>
        <w:tc>
          <w:tcPr>
            <w:tcW w:w="8040" w:type="dxa"/>
            <w:vAlign w:val="bottom"/>
            <w:gridSpan w:val="2"/>
          </w:tcPr>
          <w:p>
            <w:pPr>
              <w:spacing w:after="0"/>
              <w:rPr>
                <w:sz w:val="20"/>
                <w:szCs w:val="20"/>
                <w:color w:val="auto"/>
              </w:rPr>
            </w:pPr>
            <w:r>
              <w:rPr>
                <w:rFonts w:ascii="Arial" w:cs="Arial" w:eastAsia="Arial" w:hAnsi="Arial"/>
                <w:sz w:val="18"/>
                <w:szCs w:val="18"/>
                <w:color w:val="auto"/>
              </w:rPr>
              <w:t>Aircraft Purchase Rights and Substitution Rights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Attachment A(R1) – MADP Exercise Dates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Attachment B(R1) – QADP Exercise Dates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Attachment C(R2) – MADP &amp; QADP Rights Aircraft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Attachment D – Form of Purchase Agreement Supplement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40" w:type="dxa"/>
            <w:vAlign w:val="bottom"/>
            <w:gridSpan w:val="2"/>
          </w:tcPr>
          <w:p>
            <w:pPr>
              <w:ind w:left="360"/>
              <w:spacing w:after="0"/>
              <w:rPr>
                <w:sz w:val="20"/>
                <w:szCs w:val="20"/>
                <w:color w:val="auto"/>
              </w:rPr>
            </w:pPr>
            <w:r>
              <w:rPr>
                <w:rFonts w:ascii="Arial" w:cs="Arial" w:eastAsia="Arial" w:hAnsi="Arial"/>
                <w:sz w:val="18"/>
                <w:szCs w:val="18"/>
                <w:color w:val="auto"/>
              </w:rPr>
              <w:t>Attachment E – Letter Agreements To Be Included In Purchase Agreement Supplement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50"/>
        </w:trPr>
        <w:tc>
          <w:tcPr>
            <w:tcW w:w="2660" w:type="dxa"/>
            <w:vAlign w:val="bottom"/>
            <w:gridSpan w:val="2"/>
          </w:tcPr>
          <w:p>
            <w:pPr>
              <w:spacing w:after="0"/>
              <w:rPr>
                <w:sz w:val="20"/>
                <w:szCs w:val="20"/>
                <w:color w:val="auto"/>
              </w:rPr>
            </w:pPr>
            <w:r>
              <w:rPr>
                <w:rFonts w:ascii="Arial" w:cs="Arial" w:eastAsia="Arial" w:hAnsi="Arial"/>
                <w:sz w:val="18"/>
                <w:szCs w:val="18"/>
                <w:color w:val="auto"/>
              </w:rPr>
              <w:t>PA 3219</w:t>
            </w:r>
          </w:p>
        </w:tc>
        <w:tc>
          <w:tcPr>
            <w:tcW w:w="15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w w:val="89"/>
              </w:rPr>
              <w:t>SA-5</w:t>
            </w: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540" w:type="dxa"/>
            <w:vAlign w:val="bottom"/>
          </w:tcPr>
          <w:p>
            <w:pPr>
              <w:spacing w:after="0"/>
              <w:rPr>
                <w:sz w:val="20"/>
                <w:szCs w:val="20"/>
                <w:color w:val="auto"/>
              </w:rPr>
            </w:pPr>
          </w:p>
        </w:tc>
        <w:tc>
          <w:tcPr>
            <w:tcW w:w="6500" w:type="dxa"/>
            <w:vAlign w:val="bottom"/>
            <w:vMerge w:val="restart"/>
          </w:tcPr>
          <w:p>
            <w:pPr>
              <w:jc w:val="center"/>
              <w:ind w:right="3390"/>
              <w:spacing w:after="0"/>
              <w:rPr>
                <w:sz w:val="20"/>
                <w:szCs w:val="20"/>
                <w:color w:val="auto"/>
              </w:rPr>
            </w:pPr>
            <w:r>
              <w:rPr>
                <w:rFonts w:ascii="Arial" w:cs="Arial" w:eastAsia="Arial" w:hAnsi="Arial"/>
                <w:sz w:val="18"/>
                <w:szCs w:val="18"/>
                <w:b w:val="1"/>
                <w:bCs w:val="1"/>
                <w:color w:val="auto"/>
                <w:w w:val="99"/>
              </w:rPr>
              <w:t>BOEING PROPRIETARY</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w w:val="80"/>
              </w:rPr>
              <w:t>Page 2</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5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300" w:type="dxa"/>
            <w:vAlign w:val="bottom"/>
          </w:tcPr>
          <w:p>
            <w:pPr>
              <w:ind w:left="2000"/>
              <w:spacing w:after="0"/>
              <w:rPr>
                <w:sz w:val="20"/>
                <w:szCs w:val="20"/>
                <w:color w:val="auto"/>
              </w:rPr>
            </w:pPr>
            <w:r>
              <w:rPr>
                <w:rFonts w:ascii="Arial" w:cs="Arial" w:eastAsia="Arial" w:hAnsi="Arial"/>
                <w:sz w:val="18"/>
                <w:szCs w:val="18"/>
                <w:color w:val="auto"/>
              </w:rPr>
              <w:t>TABLE OF CONTENTS, continued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400" w:type="dxa"/>
            <w:vAlign w:val="bottom"/>
            <w:gridSpan w:val="2"/>
            <w:vMerge w:val="restart"/>
          </w:tcPr>
          <w:p>
            <w:pPr>
              <w:spacing w:after="0"/>
              <w:rPr>
                <w:sz w:val="20"/>
                <w:szCs w:val="20"/>
                <w:color w:val="auto"/>
              </w:rPr>
            </w:pPr>
            <w:r>
              <w:rPr>
                <w:rFonts w:ascii="Arial" w:cs="Arial" w:eastAsia="Arial" w:hAnsi="Arial"/>
                <w:sz w:val="14"/>
                <w:szCs w:val="14"/>
                <w:color w:val="auto"/>
              </w:rPr>
              <w:t>LETTER AGREEMENTS</w:t>
            </w:r>
          </w:p>
        </w:tc>
        <w:tc>
          <w:tcPr>
            <w:tcW w:w="830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4"/>
                <w:szCs w:val="14"/>
                <w:color w:val="auto"/>
              </w:rPr>
              <w:t>SA</w:t>
            </w:r>
          </w:p>
        </w:tc>
        <w:tc>
          <w:tcPr>
            <w:tcW w:w="0" w:type="dxa"/>
            <w:vAlign w:val="bottom"/>
          </w:tcPr>
          <w:p>
            <w:pPr>
              <w:spacing w:after="0"/>
              <w:rPr>
                <w:sz w:val="1"/>
                <w:szCs w:val="1"/>
                <w:color w:val="auto"/>
              </w:rPr>
            </w:pPr>
          </w:p>
        </w:tc>
      </w:tr>
      <w:tr>
        <w:trPr>
          <w:trHeight w:val="154"/>
        </w:trPr>
        <w:tc>
          <w:tcPr>
            <w:tcW w:w="2400" w:type="dxa"/>
            <w:vAlign w:val="bottom"/>
            <w:gridSpan w:val="2"/>
            <w:vMerge w:val="continue"/>
          </w:tcPr>
          <w:p>
            <w:pPr>
              <w:spacing w:after="0"/>
              <w:rPr>
                <w:sz w:val="13"/>
                <w:szCs w:val="13"/>
                <w:color w:val="auto"/>
              </w:rPr>
            </w:pPr>
          </w:p>
        </w:tc>
        <w:tc>
          <w:tcPr>
            <w:tcW w:w="8300" w:type="dxa"/>
            <w:vAlign w:val="bottom"/>
          </w:tcPr>
          <w:p>
            <w:pPr>
              <w:spacing w:after="0"/>
              <w:rPr>
                <w:sz w:val="13"/>
                <w:szCs w:val="13"/>
                <w:color w:val="auto"/>
              </w:rPr>
            </w:pPr>
          </w:p>
        </w:tc>
        <w:tc>
          <w:tcPr>
            <w:tcW w:w="720" w:type="dxa"/>
            <w:vAlign w:val="bottom"/>
            <w:gridSpan w:val="2"/>
          </w:tcPr>
          <w:p>
            <w:pPr>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
        </w:trPr>
        <w:tc>
          <w:tcPr>
            <w:tcW w:w="15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540" w:type="dxa"/>
            <w:vAlign w:val="bottom"/>
          </w:tcPr>
          <w:p>
            <w:pPr>
              <w:spacing w:after="0"/>
              <w:rPr>
                <w:sz w:val="20"/>
                <w:szCs w:val="20"/>
                <w:color w:val="auto"/>
              </w:rPr>
            </w:pPr>
            <w:r>
              <w:rPr>
                <w:rFonts w:ascii="Arial" w:cs="Arial" w:eastAsia="Arial" w:hAnsi="Arial"/>
                <w:sz w:val="18"/>
                <w:szCs w:val="18"/>
                <w:color w:val="auto"/>
                <w:strike w:val="1"/>
              </w:rPr>
              <w:t>6-1162-TRW-0665</w:t>
            </w:r>
          </w:p>
        </w:tc>
        <w:tc>
          <w:tcPr>
            <w:tcW w:w="860" w:type="dxa"/>
            <w:vAlign w:val="bottom"/>
          </w:tcPr>
          <w:p>
            <w:pPr>
              <w:spacing w:after="0"/>
              <w:rPr>
                <w:sz w:val="24"/>
                <w:szCs w:val="24"/>
                <w:color w:val="auto"/>
              </w:rPr>
            </w:pP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strike w:val="1"/>
              </w:rPr>
              <w:t>6-1162-TRW-0666</w:t>
            </w:r>
          </w:p>
        </w:tc>
        <w:tc>
          <w:tcPr>
            <w:tcW w:w="860" w:type="dxa"/>
            <w:vAlign w:val="bottom"/>
          </w:tcPr>
          <w:p>
            <w:pPr>
              <w:spacing w:after="0"/>
              <w:rPr>
                <w:sz w:val="24"/>
                <w:szCs w:val="24"/>
                <w:color w:val="auto"/>
              </w:rPr>
            </w:pP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6-1162-TRW-0667R1</w:t>
            </w: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6-1162-TRW-0668R1</w:t>
            </w: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6-1162-TRW-0670R1</w:t>
            </w:r>
          </w:p>
        </w:tc>
        <w:tc>
          <w:tcPr>
            <w:tcW w:w="8300" w:type="dxa"/>
            <w:vAlign w:val="bottom"/>
          </w:tcPr>
          <w:p>
            <w:pPr>
              <w:ind w:left="300"/>
              <w:spacing w:after="0"/>
              <w:rPr>
                <w:sz w:val="20"/>
                <w:szCs w:val="20"/>
                <w:color w:val="auto"/>
              </w:rPr>
            </w:pPr>
            <w:r>
              <w:rPr>
                <w:rFonts w:ascii="Arial" w:cs="Arial" w:eastAsia="Arial" w:hAnsi="Arial"/>
                <w:sz w:val="18"/>
                <w:szCs w:val="18"/>
                <w:color w:val="auto"/>
              </w:rPr>
              <w:t>Miscellaneous Commitments for Model 787 Aircraft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strike w:val="1"/>
              </w:rPr>
              <w:t>6-1162-TRW-0671</w:t>
            </w:r>
          </w:p>
        </w:tc>
        <w:tc>
          <w:tcPr>
            <w:tcW w:w="860" w:type="dxa"/>
            <w:vAlign w:val="bottom"/>
          </w:tcPr>
          <w:p>
            <w:pPr>
              <w:spacing w:after="0"/>
              <w:rPr>
                <w:sz w:val="24"/>
                <w:szCs w:val="24"/>
                <w:color w:val="auto"/>
              </w:rPr>
            </w:pP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300" w:type="dxa"/>
            <w:vAlign w:val="bottom"/>
          </w:tcPr>
          <w:p>
            <w:pPr>
              <w:ind w:left="660"/>
              <w:spacing w:after="0"/>
              <w:rPr>
                <w:sz w:val="20"/>
                <w:szCs w:val="20"/>
                <w:color w:val="auto"/>
              </w:rPr>
            </w:pPr>
            <w:r>
              <w:rPr>
                <w:rFonts w:ascii="Arial" w:cs="Arial" w:eastAsia="Arial" w:hAnsi="Arial"/>
                <w:sz w:val="18"/>
                <w:szCs w:val="18"/>
                <w:color w:val="auto"/>
              </w:rPr>
              <w:t>Withdrawn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6-1162-TRW-0672R1</w:t>
            </w: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6-1162-TRW-0673R1</w:t>
            </w:r>
          </w:p>
        </w:tc>
        <w:tc>
          <w:tcPr>
            <w:tcW w:w="830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6-1162-TRW-0674R2</w:t>
            </w:r>
          </w:p>
        </w:tc>
        <w:tc>
          <w:tcPr>
            <w:tcW w:w="8300" w:type="dxa"/>
            <w:vAlign w:val="bottom"/>
          </w:tcPr>
          <w:p>
            <w:pPr>
              <w:ind w:left="300"/>
              <w:spacing w:after="0"/>
              <w:rPr>
                <w:sz w:val="20"/>
                <w:szCs w:val="20"/>
                <w:color w:val="auto"/>
              </w:rPr>
            </w:pPr>
            <w:r>
              <w:rPr>
                <w:rFonts w:ascii="Arial" w:cs="Arial" w:eastAsia="Arial" w:hAnsi="Arial"/>
                <w:sz w:val="18"/>
                <w:szCs w:val="18"/>
                <w:color w:val="auto"/>
              </w:rPr>
              <w:t>Business Considerations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AAL-PA-3219-LA-08836</w:t>
            </w: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AAL-PA-3219-LA-08837</w:t>
            </w: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AAL-PA-3219-LA-08838</w:t>
            </w:r>
          </w:p>
        </w:tc>
        <w:tc>
          <w:tcPr>
            <w:tcW w:w="8300" w:type="dxa"/>
            <w:vAlign w:val="bottom"/>
          </w:tcPr>
          <w:p>
            <w:pPr>
              <w:ind w:left="30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color w:val="auto"/>
              </w:rPr>
              <w:t>AAL-LA-1106678</w:t>
            </w:r>
          </w:p>
        </w:tc>
        <w:tc>
          <w:tcPr>
            <w:tcW w:w="8300" w:type="dxa"/>
            <w:vAlign w:val="bottom"/>
          </w:tcPr>
          <w:p>
            <w:pPr>
              <w:ind w:left="300"/>
              <w:spacing w:after="0"/>
              <w:rPr>
                <w:sz w:val="20"/>
                <w:szCs w:val="20"/>
                <w:color w:val="auto"/>
              </w:rPr>
            </w:pPr>
            <w:r>
              <w:rPr>
                <w:rFonts w:ascii="Arial" w:cs="Arial" w:eastAsia="Arial" w:hAnsi="Arial"/>
                <w:sz w:val="18"/>
                <w:szCs w:val="18"/>
                <w:color w:val="auto"/>
              </w:rPr>
              <w:t>Assignment Matters</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AAL-PA-3219-LA-1302236</w:t>
            </w:r>
          </w:p>
        </w:tc>
        <w:tc>
          <w:tcPr>
            <w:tcW w:w="8300" w:type="dxa"/>
            <w:vAlign w:val="bottom"/>
          </w:tcPr>
          <w:p>
            <w:pPr>
              <w:ind w:left="300"/>
              <w:spacing w:after="0"/>
              <w:rPr>
                <w:sz w:val="20"/>
                <w:szCs w:val="20"/>
                <w:color w:val="auto"/>
              </w:rPr>
            </w:pPr>
            <w:r>
              <w:rPr>
                <w:rFonts w:ascii="Arial" w:cs="Arial" w:eastAsia="Arial" w:hAnsi="Arial"/>
                <w:sz w:val="18"/>
                <w:szCs w:val="18"/>
                <w:b w:val="1"/>
                <w:bCs w:val="1"/>
                <w:color w:val="auto"/>
              </w:rPr>
              <w:t>[*CTR]</w:t>
            </w:r>
          </w:p>
        </w:tc>
        <w:tc>
          <w:tcPr>
            <w:tcW w:w="720" w:type="dxa"/>
            <w:vAlign w:val="bottom"/>
            <w:gridSpan w:val="2"/>
          </w:tcPr>
          <w:p>
            <w:pPr>
              <w:ind w:left="240"/>
              <w:spacing w:after="0"/>
              <w:rPr>
                <w:sz w:val="20"/>
                <w:szCs w:val="20"/>
                <w:color w:val="auto"/>
              </w:rPr>
            </w:pPr>
            <w:r>
              <w:rPr>
                <w:rFonts w:ascii="Arial" w:cs="Arial" w:eastAsia="Arial" w:hAnsi="Arial"/>
                <w:sz w:val="18"/>
                <w:szCs w:val="18"/>
                <w:b w:val="1"/>
                <w:bCs w:val="1"/>
                <w:color w:val="auto"/>
              </w:rPr>
              <w:t>SA-5</w:t>
            </w:r>
          </w:p>
        </w:tc>
        <w:tc>
          <w:tcPr>
            <w:tcW w:w="0" w:type="dxa"/>
            <w:vAlign w:val="bottom"/>
          </w:tcPr>
          <w:p>
            <w:pPr>
              <w:spacing w:after="0"/>
              <w:rPr>
                <w:sz w:val="1"/>
                <w:szCs w:val="1"/>
                <w:color w:val="auto"/>
              </w:rPr>
            </w:pPr>
          </w:p>
        </w:tc>
      </w:tr>
      <w:tr>
        <w:trPr>
          <w:trHeight w:val="350"/>
        </w:trPr>
        <w:tc>
          <w:tcPr>
            <w:tcW w:w="2400" w:type="dxa"/>
            <w:vAlign w:val="bottom"/>
            <w:gridSpan w:val="2"/>
          </w:tcPr>
          <w:p>
            <w:pPr>
              <w:spacing w:after="0"/>
              <w:rPr>
                <w:sz w:val="20"/>
                <w:szCs w:val="20"/>
                <w:color w:val="auto"/>
              </w:rPr>
            </w:pPr>
            <w:r>
              <w:rPr>
                <w:rFonts w:ascii="Arial" w:cs="Arial" w:eastAsia="Arial" w:hAnsi="Arial"/>
                <w:sz w:val="18"/>
                <w:szCs w:val="18"/>
                <w:color w:val="auto"/>
              </w:rPr>
              <w:t>PA 3219</w:t>
            </w:r>
          </w:p>
        </w:tc>
        <w:tc>
          <w:tcPr>
            <w:tcW w:w="830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w w:val="89"/>
              </w:rPr>
              <w:t>SA-5</w:t>
            </w: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8300" w:type="dxa"/>
            <w:vAlign w:val="bottom"/>
            <w:vMerge w:val="restart"/>
          </w:tcPr>
          <w:p>
            <w:pPr>
              <w:ind w:left="2280"/>
              <w:spacing w:after="0"/>
              <w:rPr>
                <w:sz w:val="20"/>
                <w:szCs w:val="20"/>
                <w:color w:val="auto"/>
              </w:rPr>
            </w:pPr>
            <w:r>
              <w:rPr>
                <w:rFonts w:ascii="Arial" w:cs="Arial" w:eastAsia="Arial" w:hAnsi="Arial"/>
                <w:sz w:val="18"/>
                <w:szCs w:val="18"/>
                <w:b w:val="1"/>
                <w:bCs w:val="1"/>
                <w:color w:val="auto"/>
              </w:rPr>
              <w:t>BOEING PROPRIETARY</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w w:val="80"/>
              </w:rPr>
              <w:t>Page 3</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1(R3) To Purchase Agreement No. PA-03219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787-9 Aircraft Delivery, Description, Price and Advance Payments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Airframe Model/MTOW:</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787-9</w:t>
            </w:r>
          </w:p>
        </w:tc>
        <w:tc>
          <w:tcPr>
            <w:tcW w:w="5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6"/>
              </w:rPr>
              <w:t>545,000 pounds</w:t>
            </w:r>
          </w:p>
        </w:tc>
        <w:tc>
          <w:tcPr>
            <w:tcW w:w="240" w:type="dxa"/>
            <w:vAlign w:val="bottom"/>
            <w:tcBorders>
              <w:right w:val="single" w:sz="8" w:color="CCEEFF"/>
            </w:tcBorders>
          </w:tcPr>
          <w:p>
            <w:pPr>
              <w:spacing w:after="0"/>
              <w:rPr>
                <w:sz w:val="18"/>
                <w:szCs w:val="18"/>
                <w:color w:val="auto"/>
              </w:rPr>
            </w:pPr>
          </w:p>
        </w:tc>
        <w:tc>
          <w:tcPr>
            <w:tcW w:w="27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Detail Specification: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Engine Model/Thrust:</w:t>
            </w:r>
          </w:p>
        </w:tc>
        <w:tc>
          <w:tcPr>
            <w:tcW w:w="1720" w:type="dxa"/>
            <w:vAlign w:val="bottom"/>
            <w:gridSpan w:val="2"/>
          </w:tcPr>
          <w:p>
            <w:pPr>
              <w:jc w:val="center"/>
              <w:ind w:right="150"/>
              <w:spacing w:after="0"/>
              <w:rPr>
                <w:sz w:val="20"/>
                <w:szCs w:val="20"/>
                <w:color w:val="auto"/>
              </w:rPr>
            </w:pPr>
            <w:r>
              <w:rPr>
                <w:rFonts w:ascii="Arial" w:cs="Arial" w:eastAsia="Arial" w:hAnsi="Arial"/>
                <w:sz w:val="18"/>
                <w:szCs w:val="18"/>
                <w:color w:val="auto"/>
                <w:w w:val="95"/>
              </w:rPr>
              <w:t>GENX-1B74/75</w:t>
            </w:r>
          </w:p>
        </w:tc>
        <w:tc>
          <w:tcPr>
            <w:tcW w:w="1320" w:type="dxa"/>
            <w:vAlign w:val="bottom"/>
            <w:gridSpan w:val="5"/>
          </w:tcPr>
          <w:p>
            <w:pPr>
              <w:ind w:left="60"/>
              <w:spacing w:after="0"/>
              <w:rPr>
                <w:sz w:val="20"/>
                <w:szCs w:val="20"/>
                <w:color w:val="auto"/>
              </w:rPr>
            </w:pPr>
            <w:r>
              <w:rPr>
                <w:rFonts w:ascii="Arial" w:cs="Arial" w:eastAsia="Arial" w:hAnsi="Arial"/>
                <w:sz w:val="18"/>
                <w:szCs w:val="18"/>
                <w:color w:val="auto"/>
              </w:rPr>
              <w:t>74,100 pounds</w:t>
            </w:r>
          </w:p>
        </w:tc>
        <w:tc>
          <w:tcPr>
            <w:tcW w:w="240" w:type="dxa"/>
            <w:vAlign w:val="bottom"/>
          </w:tcPr>
          <w:p>
            <w:pPr>
              <w:spacing w:after="0"/>
              <w:rPr>
                <w:sz w:val="18"/>
                <w:szCs w:val="18"/>
                <w:color w:val="auto"/>
              </w:rPr>
            </w:pPr>
          </w:p>
        </w:tc>
        <w:tc>
          <w:tcPr>
            <w:tcW w:w="3480" w:type="dxa"/>
            <w:vAlign w:val="bottom"/>
            <w:gridSpan w:val="10"/>
          </w:tcPr>
          <w:p>
            <w:pPr>
              <w:spacing w:after="0"/>
              <w:rPr>
                <w:sz w:val="20"/>
                <w:szCs w:val="20"/>
                <w:color w:val="auto"/>
              </w:rPr>
            </w:pPr>
            <w:r>
              <w:rPr>
                <w:rFonts w:ascii="Arial" w:cs="Arial" w:eastAsia="Arial" w:hAnsi="Arial"/>
                <w:sz w:val="18"/>
                <w:szCs w:val="18"/>
                <w:color w:val="auto"/>
                <w:w w:val="94"/>
              </w:rPr>
              <w:t>Airframe Price Base Year/Escalation Formula:</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Airframe Price:</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[*CTR]</w:t>
            </w:r>
          </w:p>
        </w:tc>
        <w:tc>
          <w:tcPr>
            <w:tcW w:w="240" w:type="dxa"/>
            <w:vAlign w:val="bottom"/>
            <w:tcBorders>
              <w:right w:val="single" w:sz="8" w:color="CCEEFF"/>
            </w:tcBorders>
          </w:tcPr>
          <w:p>
            <w:pPr>
              <w:spacing w:after="0"/>
              <w:rPr>
                <w:sz w:val="18"/>
                <w:szCs w:val="18"/>
                <w:color w:val="auto"/>
              </w:rPr>
            </w:pPr>
          </w:p>
        </w:tc>
        <w:tc>
          <w:tcPr>
            <w:tcW w:w="3480" w:type="dxa"/>
            <w:vAlign w:val="bottom"/>
            <w:gridSpan w:val="10"/>
            <w:shd w:val="clear" w:color="auto" w:fill="CCEEFF"/>
          </w:tcPr>
          <w:p>
            <w:pPr>
              <w:spacing w:after="0"/>
              <w:rPr>
                <w:sz w:val="20"/>
                <w:szCs w:val="20"/>
                <w:color w:val="auto"/>
              </w:rPr>
            </w:pPr>
            <w:r>
              <w:rPr>
                <w:rFonts w:ascii="Arial" w:cs="Arial" w:eastAsia="Arial" w:hAnsi="Arial"/>
                <w:sz w:val="18"/>
                <w:szCs w:val="18"/>
                <w:color w:val="auto"/>
                <w:w w:val="97"/>
              </w:rPr>
              <w:t>Engine Price Base Year/Escalation Formula:</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40" w:type="dxa"/>
            <w:vAlign w:val="bottom"/>
            <w:gridSpan w:val="3"/>
            <w:vMerge w:val="restart"/>
          </w:tcPr>
          <w:p>
            <w:pPr>
              <w:ind w:left="20"/>
              <w:spacing w:after="0"/>
              <w:rPr>
                <w:sz w:val="20"/>
                <w:szCs w:val="20"/>
                <w:color w:val="auto"/>
              </w:rPr>
            </w:pPr>
            <w:r>
              <w:rPr>
                <w:rFonts w:ascii="Arial" w:cs="Arial" w:eastAsia="Arial" w:hAnsi="Arial"/>
                <w:sz w:val="18"/>
                <w:szCs w:val="18"/>
                <w:color w:val="auto"/>
              </w:rPr>
              <w:t>Optional Features:</w:t>
            </w: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gridSpan w:val="4"/>
            <w:vMerge w:val="restart"/>
          </w:tcPr>
          <w:p>
            <w:pPr>
              <w:ind w:left="40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240" w:type="dxa"/>
            <w:vAlign w:val="bottom"/>
            <w:tcBorders>
              <w:right w:val="single" w:sz="8" w:color="CCEEFF"/>
            </w:tcBorders>
          </w:tcPr>
          <w:p>
            <w:pPr>
              <w:spacing w:after="0"/>
              <w:rPr>
                <w:sz w:val="9"/>
                <w:szCs w:val="9"/>
                <w:color w:val="auto"/>
              </w:rPr>
            </w:pPr>
          </w:p>
        </w:tc>
        <w:tc>
          <w:tcPr>
            <w:tcW w:w="2720" w:type="dxa"/>
            <w:vAlign w:val="bottom"/>
            <w:gridSpan w:val="8"/>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Airframe Escalation Data:</w:t>
            </w: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6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320" w:type="dxa"/>
            <w:vAlign w:val="bottom"/>
            <w:tcBorders>
              <w:top w:val="single" w:sz="8" w:color="auto"/>
              <w:bottom w:val="single" w:sz="8" w:color="CCEEFF"/>
            </w:tcBorders>
          </w:tcPr>
          <w:p>
            <w:pPr>
              <w:spacing w:after="0"/>
              <w:rPr>
                <w:sz w:val="5"/>
                <w:szCs w:val="5"/>
                <w:color w:val="auto"/>
              </w:rPr>
            </w:pPr>
          </w:p>
        </w:tc>
        <w:tc>
          <w:tcPr>
            <w:tcW w:w="680" w:type="dxa"/>
            <w:vAlign w:val="bottom"/>
            <w:tcBorders>
              <w:top w:val="single" w:sz="8" w:color="auto"/>
              <w:bottom w:val="single" w:sz="8" w:color="CCEEFF"/>
            </w:tcBorders>
          </w:tcPr>
          <w:p>
            <w:pPr>
              <w:spacing w:after="0"/>
              <w:rPr>
                <w:sz w:val="5"/>
                <w:szCs w:val="5"/>
                <w:color w:val="auto"/>
              </w:rPr>
            </w:pPr>
          </w:p>
        </w:tc>
        <w:tc>
          <w:tcPr>
            <w:tcW w:w="80" w:type="dxa"/>
            <w:vAlign w:val="bottom"/>
            <w:tcBorders>
              <w:top w:val="single" w:sz="8" w:color="auto"/>
              <w:bottom w:val="single" w:sz="8" w:color="CCEEFF"/>
            </w:tcBorders>
          </w:tcPr>
          <w:p>
            <w:pPr>
              <w:spacing w:after="0"/>
              <w:rPr>
                <w:sz w:val="5"/>
                <w:szCs w:val="5"/>
                <w:color w:val="auto"/>
              </w:rPr>
            </w:pPr>
          </w:p>
        </w:tc>
        <w:tc>
          <w:tcPr>
            <w:tcW w:w="120" w:type="dxa"/>
            <w:vAlign w:val="bottom"/>
            <w:tcBorders>
              <w:top w:val="single" w:sz="8" w:color="auto"/>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right w:val="single" w:sz="8" w:color="CCEEFF"/>
            </w:tcBorders>
          </w:tcPr>
          <w:p>
            <w:pPr>
              <w:spacing w:after="0"/>
              <w:rPr>
                <w:sz w:val="5"/>
                <w:szCs w:val="5"/>
                <w:color w:val="auto"/>
              </w:rPr>
            </w:pPr>
          </w:p>
        </w:tc>
        <w:tc>
          <w:tcPr>
            <w:tcW w:w="2720" w:type="dxa"/>
            <w:vAlign w:val="bottom"/>
            <w:tcBorders>
              <w:top w:val="single" w:sz="8" w:color="CCEEFF"/>
              <w:bottom w:val="single" w:sz="8" w:color="CCEEFF"/>
            </w:tcBorders>
            <w:gridSpan w:val="8"/>
            <w:vMerge w:val="continue"/>
            <w:shd w:val="clear" w:color="auto" w:fill="CCEEFF"/>
          </w:tcPr>
          <w:p>
            <w:pPr>
              <w:spacing w:after="0"/>
              <w:rPr>
                <w:sz w:val="5"/>
                <w:szCs w:val="5"/>
                <w:color w:val="auto"/>
              </w:rPr>
            </w:pPr>
          </w:p>
        </w:tc>
        <w:tc>
          <w:tcPr>
            <w:tcW w:w="560" w:type="dxa"/>
            <w:vAlign w:val="bottom"/>
            <w:tcBorders>
              <w:top w:val="single" w:sz="8" w:color="CCEEFF"/>
              <w:bottom w:val="single" w:sz="8" w:color="CCEEFF"/>
            </w:tcBorders>
            <w:shd w:val="clear" w:color="auto" w:fill="CCEEFF"/>
          </w:tcPr>
          <w:p>
            <w:pPr>
              <w:spacing w:after="0"/>
              <w:rPr>
                <w:sz w:val="5"/>
                <w:szCs w:val="5"/>
                <w:color w:val="auto"/>
              </w:rPr>
            </w:pPr>
          </w:p>
        </w:tc>
        <w:tc>
          <w:tcPr>
            <w:tcW w:w="200" w:type="dxa"/>
            <w:vAlign w:val="bottom"/>
            <w:tcBorders>
              <w:top w:val="single" w:sz="8" w:color="CCEEFF"/>
              <w:bottom w:val="single" w:sz="8" w:color="CCEEFF"/>
            </w:tcBorders>
            <w:shd w:val="clear" w:color="auto" w:fill="CCEEFF"/>
          </w:tcPr>
          <w:p>
            <w:pPr>
              <w:spacing w:after="0"/>
              <w:rPr>
                <w:sz w:val="5"/>
                <w:szCs w:val="5"/>
                <w:color w:val="auto"/>
              </w:rPr>
            </w:pPr>
          </w:p>
        </w:tc>
        <w:tc>
          <w:tcPr>
            <w:tcW w:w="580" w:type="dxa"/>
            <w:vAlign w:val="bottom"/>
            <w:tcBorders>
              <w:top w:val="single" w:sz="8" w:color="CCEEFF"/>
              <w:bottom w:val="single" w:sz="8" w:color="CCEEFF"/>
            </w:tcBorders>
            <w:shd w:val="clear" w:color="auto" w:fill="CCEEFF"/>
          </w:tcPr>
          <w:p>
            <w:pPr>
              <w:spacing w:after="0"/>
              <w:rPr>
                <w:sz w:val="5"/>
                <w:szCs w:val="5"/>
                <w:color w:val="auto"/>
              </w:rPr>
            </w:pPr>
          </w:p>
        </w:tc>
        <w:tc>
          <w:tcPr>
            <w:tcW w:w="200" w:type="dxa"/>
            <w:vAlign w:val="bottom"/>
            <w:tcBorders>
              <w:top w:val="single" w:sz="8" w:color="CCEEFF"/>
              <w:bottom w:val="single" w:sz="8" w:color="CCEEFF"/>
            </w:tcBorders>
            <w:shd w:val="clear" w:color="auto" w:fill="CCEEFF"/>
          </w:tcPr>
          <w:p>
            <w:pPr>
              <w:spacing w:after="0"/>
              <w:rPr>
                <w:sz w:val="5"/>
                <w:szCs w:val="5"/>
                <w:color w:val="auto"/>
              </w:rPr>
            </w:pPr>
          </w:p>
        </w:tc>
        <w:tc>
          <w:tcPr>
            <w:tcW w:w="560" w:type="dxa"/>
            <w:vAlign w:val="bottom"/>
            <w:tcBorders>
              <w:top w:val="single" w:sz="8" w:color="CCEEFF"/>
              <w:bottom w:val="single" w:sz="8" w:color="CCEEFF"/>
            </w:tcBorders>
            <w:shd w:val="clear" w:color="auto" w:fill="CCEEFF"/>
          </w:tcPr>
          <w:p>
            <w:pPr>
              <w:spacing w:after="0"/>
              <w:rPr>
                <w:sz w:val="5"/>
                <w:szCs w:val="5"/>
                <w:color w:val="auto"/>
              </w:rPr>
            </w:pPr>
          </w:p>
        </w:tc>
        <w:tc>
          <w:tcPr>
            <w:tcW w:w="120" w:type="dxa"/>
            <w:vAlign w:val="bottom"/>
            <w:tcBorders>
              <w:top w:val="single" w:sz="8" w:color="CCEEFF"/>
              <w:bottom w:val="single" w:sz="8" w:color="CCEEFF"/>
            </w:tcBorders>
            <w:shd w:val="clear" w:color="auto" w:fill="CCEEFF"/>
          </w:tcPr>
          <w:p>
            <w:pPr>
              <w:spacing w:after="0"/>
              <w:rPr>
                <w:sz w:val="5"/>
                <w:szCs w:val="5"/>
                <w:color w:val="auto"/>
              </w:rPr>
            </w:pPr>
          </w:p>
        </w:tc>
        <w:tc>
          <w:tcPr>
            <w:tcW w:w="80" w:type="dxa"/>
            <w:vAlign w:val="bottom"/>
            <w:tcBorders>
              <w:top w:val="single" w:sz="8" w:color="CCEEFF"/>
              <w:bottom w:val="single" w:sz="8" w:color="CCEEFF"/>
            </w:tcBorders>
            <w:shd w:val="clear" w:color="auto" w:fill="CCEEFF"/>
          </w:tcPr>
          <w:p>
            <w:pPr>
              <w:spacing w:after="0"/>
              <w:rPr>
                <w:sz w:val="5"/>
                <w:szCs w:val="5"/>
                <w:color w:val="auto"/>
              </w:rPr>
            </w:pPr>
          </w:p>
        </w:tc>
        <w:tc>
          <w:tcPr>
            <w:tcW w:w="560" w:type="dxa"/>
            <w:vAlign w:val="bottom"/>
            <w:tcBorders>
              <w:top w:val="single" w:sz="8" w:color="CCEEFF"/>
              <w:bottom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160" w:type="dxa"/>
            <w:vAlign w:val="bottom"/>
            <w:tcBorders>
              <w:top w:val="single" w:sz="8" w:color="CCEEFF"/>
            </w:tcBorders>
            <w:gridSpan w:val="5"/>
            <w:shd w:val="clear" w:color="auto" w:fill="CCEEFF"/>
          </w:tcPr>
          <w:p>
            <w:pPr>
              <w:ind w:left="20"/>
              <w:spacing w:after="0" w:line="135" w:lineRule="exact"/>
              <w:rPr>
                <w:sz w:val="20"/>
                <w:szCs w:val="20"/>
                <w:color w:val="auto"/>
              </w:rPr>
            </w:pPr>
            <w:r>
              <w:rPr>
                <w:rFonts w:ascii="Arial" w:cs="Arial" w:eastAsia="Arial" w:hAnsi="Arial"/>
                <w:sz w:val="15"/>
                <w:szCs w:val="15"/>
                <w:color w:val="auto"/>
              </w:rPr>
              <w:t>Sub-Total of Airframe and Features:</w:t>
            </w:r>
          </w:p>
        </w:tc>
        <w:tc>
          <w:tcPr>
            <w:tcW w:w="3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gridSpan w:val="4"/>
            <w:shd w:val="clear" w:color="auto" w:fill="CCEEFF"/>
          </w:tcPr>
          <w:p>
            <w:pPr>
              <w:ind w:left="400"/>
              <w:spacing w:after="0" w:line="135" w:lineRule="exact"/>
              <w:rPr>
                <w:sz w:val="20"/>
                <w:szCs w:val="20"/>
                <w:color w:val="auto"/>
              </w:rPr>
            </w:pPr>
            <w:r>
              <w:rPr>
                <w:rFonts w:ascii="Arial" w:cs="Arial" w:eastAsia="Arial" w:hAnsi="Arial"/>
                <w:sz w:val="15"/>
                <w:szCs w:val="15"/>
                <w:color w:val="auto"/>
              </w:rPr>
              <w:t>[*CTR]</w:t>
            </w:r>
          </w:p>
        </w:tc>
        <w:tc>
          <w:tcPr>
            <w:tcW w:w="240" w:type="dxa"/>
            <w:vAlign w:val="bottom"/>
          </w:tcPr>
          <w:p>
            <w:pPr>
              <w:spacing w:after="0"/>
              <w:rPr>
                <w:sz w:val="11"/>
                <w:szCs w:val="11"/>
                <w:color w:val="auto"/>
              </w:rPr>
            </w:pPr>
          </w:p>
        </w:tc>
        <w:tc>
          <w:tcPr>
            <w:tcW w:w="1880" w:type="dxa"/>
            <w:vAlign w:val="bottom"/>
            <w:tcBorders>
              <w:top w:val="single" w:sz="8" w:color="auto"/>
            </w:tcBorders>
            <w:gridSpan w:val="6"/>
            <w:vMerge w:val="restart"/>
          </w:tcPr>
          <w:p>
            <w:pPr>
              <w:spacing w:after="0"/>
              <w:rPr>
                <w:sz w:val="20"/>
                <w:szCs w:val="20"/>
                <w:color w:val="auto"/>
              </w:rPr>
            </w:pPr>
            <w:r>
              <w:rPr>
                <w:rFonts w:ascii="Arial" w:cs="Arial" w:eastAsia="Arial" w:hAnsi="Arial"/>
                <w:sz w:val="18"/>
                <w:szCs w:val="18"/>
                <w:color w:val="auto"/>
              </w:rPr>
              <w:t>Base Year Index (ECI):</w:t>
            </w:r>
          </w:p>
        </w:tc>
        <w:tc>
          <w:tcPr>
            <w:tcW w:w="840" w:type="dxa"/>
            <w:vAlign w:val="bottom"/>
            <w:tcBorders>
              <w:top w:val="single" w:sz="8" w:color="CCEEFF"/>
            </w:tcBorders>
            <w:gridSpan w:val="2"/>
            <w:vMerge w:val="restart"/>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gridSpan w:val="2"/>
            <w:vMerge w:val="restart"/>
          </w:tcPr>
          <w:p>
            <w:pPr>
              <w:jc w:val="center"/>
              <w:spacing w:after="0"/>
              <w:rPr>
                <w:sz w:val="20"/>
                <w:szCs w:val="20"/>
                <w:color w:val="auto"/>
              </w:rPr>
            </w:pPr>
            <w:r>
              <w:rPr>
                <w:rFonts w:ascii="Arial" w:cs="Arial" w:eastAsia="Arial" w:hAnsi="Arial"/>
                <w:sz w:val="18"/>
                <w:szCs w:val="18"/>
                <w:color w:val="auto"/>
              </w:rPr>
              <w:t>[*CTR]</w:t>
            </w:r>
          </w:p>
        </w:tc>
        <w:tc>
          <w:tcPr>
            <w:tcW w:w="12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40" w:type="dxa"/>
            <w:vAlign w:val="bottom"/>
            <w:gridSpan w:val="3"/>
            <w:vMerge w:val="restart"/>
          </w:tcPr>
          <w:p>
            <w:pPr>
              <w:ind w:left="20"/>
              <w:spacing w:after="0"/>
              <w:rPr>
                <w:sz w:val="20"/>
                <w:szCs w:val="20"/>
                <w:color w:val="auto"/>
              </w:rPr>
            </w:pPr>
            <w:r>
              <w:rPr>
                <w:rFonts w:ascii="Arial" w:cs="Arial" w:eastAsia="Arial" w:hAnsi="Arial"/>
                <w:sz w:val="18"/>
                <w:szCs w:val="18"/>
                <w:color w:val="auto"/>
              </w:rPr>
              <w:t>Engine Price (Per Aircraft):</w:t>
            </w:r>
          </w:p>
        </w:tc>
        <w:tc>
          <w:tcPr>
            <w:tcW w:w="1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gridSpan w:val="4"/>
            <w:vMerge w:val="restart"/>
          </w:tcPr>
          <w:p>
            <w:pPr>
              <w:ind w:left="40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7"/>
                <w:szCs w:val="7"/>
                <w:color w:val="auto"/>
              </w:rPr>
            </w:pPr>
          </w:p>
        </w:tc>
        <w:tc>
          <w:tcPr>
            <w:tcW w:w="1880" w:type="dxa"/>
            <w:vAlign w:val="bottom"/>
            <w:gridSpan w:val="6"/>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440" w:type="dxa"/>
            <w:vAlign w:val="bottom"/>
            <w:gridSpan w:val="3"/>
            <w:vMerge w:val="continue"/>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240" w:type="dxa"/>
            <w:vAlign w:val="bottom"/>
            <w:tcBorders>
              <w:right w:val="single" w:sz="8" w:color="CCEEFF"/>
            </w:tcBorders>
          </w:tcPr>
          <w:p>
            <w:pPr>
              <w:spacing w:after="0"/>
              <w:rPr>
                <w:sz w:val="11"/>
                <w:szCs w:val="11"/>
                <w:color w:val="auto"/>
              </w:rPr>
            </w:pPr>
          </w:p>
        </w:tc>
        <w:tc>
          <w:tcPr>
            <w:tcW w:w="2720" w:type="dxa"/>
            <w:vAlign w:val="bottom"/>
            <w:gridSpan w:val="8"/>
            <w:vMerge w:val="restart"/>
            <w:shd w:val="clear" w:color="auto" w:fill="CCEEFF"/>
          </w:tcPr>
          <w:p>
            <w:pPr>
              <w:spacing w:after="0" w:line="142" w:lineRule="exact"/>
              <w:rPr>
                <w:sz w:val="20"/>
                <w:szCs w:val="20"/>
                <w:color w:val="auto"/>
              </w:rPr>
            </w:pPr>
            <w:r>
              <w:rPr>
                <w:rFonts w:ascii="Arial" w:cs="Arial" w:eastAsia="Arial" w:hAnsi="Arial"/>
                <w:sz w:val="16"/>
                <w:szCs w:val="16"/>
                <w:color w:val="auto"/>
              </w:rPr>
              <w:t>Base Year Index (CPI):</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center"/>
              <w:spacing w:after="0" w:line="142" w:lineRule="exact"/>
              <w:rPr>
                <w:sz w:val="20"/>
                <w:szCs w:val="20"/>
                <w:color w:val="auto"/>
              </w:rPr>
            </w:pPr>
            <w:r>
              <w:rPr>
                <w:rFonts w:ascii="Arial" w:cs="Arial" w:eastAsia="Arial" w:hAnsi="Arial"/>
                <w:sz w:val="16"/>
                <w:szCs w:val="16"/>
                <w:color w:val="auto"/>
              </w:rPr>
              <w:t>[*CTR]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20" w:type="dxa"/>
            <w:vAlign w:val="bottom"/>
            <w:tcBorders>
              <w:top w:val="single" w:sz="8" w:color="auto"/>
              <w:bottom w:val="single" w:sz="8" w:color="CCEEFF"/>
            </w:tcBorders>
          </w:tcPr>
          <w:p>
            <w:pPr>
              <w:spacing w:after="0"/>
              <w:rPr>
                <w:sz w:val="3"/>
                <w:szCs w:val="3"/>
                <w:color w:val="auto"/>
              </w:rPr>
            </w:pPr>
          </w:p>
        </w:tc>
        <w:tc>
          <w:tcPr>
            <w:tcW w:w="680" w:type="dxa"/>
            <w:vAlign w:val="bottom"/>
            <w:tcBorders>
              <w:top w:val="single" w:sz="8" w:color="auto"/>
              <w:bottom w:val="single" w:sz="8" w:color="CCEEFF"/>
            </w:tcBorders>
          </w:tcPr>
          <w:p>
            <w:pPr>
              <w:spacing w:after="0"/>
              <w:rPr>
                <w:sz w:val="3"/>
                <w:szCs w:val="3"/>
                <w:color w:val="auto"/>
              </w:rPr>
            </w:pPr>
          </w:p>
        </w:tc>
        <w:tc>
          <w:tcPr>
            <w:tcW w:w="80" w:type="dxa"/>
            <w:vAlign w:val="bottom"/>
            <w:tcBorders>
              <w:top w:val="single" w:sz="8" w:color="auto"/>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right w:val="single" w:sz="8" w:color="CCEEFF"/>
            </w:tcBorders>
          </w:tcPr>
          <w:p>
            <w:pPr>
              <w:spacing w:after="0"/>
              <w:rPr>
                <w:sz w:val="3"/>
                <w:szCs w:val="3"/>
                <w:color w:val="auto"/>
              </w:rPr>
            </w:pPr>
          </w:p>
        </w:tc>
        <w:tc>
          <w:tcPr>
            <w:tcW w:w="2720" w:type="dxa"/>
            <w:vAlign w:val="bottom"/>
            <w:tcBorders>
              <w:top w:val="single" w:sz="8" w:color="CCEEFF"/>
              <w:bottom w:val="single" w:sz="8" w:color="CCEEFF"/>
            </w:tcBorders>
            <w:gridSpan w:val="8"/>
            <w:vMerge w:val="continue"/>
            <w:shd w:val="clear" w:color="auto" w:fill="CCEEFF"/>
          </w:tcPr>
          <w:p>
            <w:pPr>
              <w:spacing w:after="0"/>
              <w:rPr>
                <w:sz w:val="3"/>
                <w:szCs w:val="3"/>
                <w:color w:val="auto"/>
              </w:rPr>
            </w:pPr>
          </w:p>
        </w:tc>
        <w:tc>
          <w:tcPr>
            <w:tcW w:w="560" w:type="dxa"/>
            <w:vAlign w:val="bottom"/>
            <w:tcBorders>
              <w:top w:val="single" w:sz="8" w:color="CCEEFF"/>
              <w:bottom w:val="single" w:sz="8" w:color="CCEEFF"/>
            </w:tcBorders>
            <w:shd w:val="clear" w:color="auto" w:fill="CCEEFF"/>
          </w:tcPr>
          <w:p>
            <w:pPr>
              <w:spacing w:after="0"/>
              <w:rPr>
                <w:sz w:val="3"/>
                <w:szCs w:val="3"/>
                <w:color w:val="auto"/>
              </w:rPr>
            </w:pPr>
          </w:p>
        </w:tc>
        <w:tc>
          <w:tcPr>
            <w:tcW w:w="200" w:type="dxa"/>
            <w:vAlign w:val="bottom"/>
            <w:tcBorders>
              <w:top w:val="single" w:sz="8" w:color="CCEEFF"/>
              <w:bottom w:val="single" w:sz="8" w:color="CCEEFF"/>
            </w:tcBorders>
            <w:shd w:val="clear" w:color="auto" w:fill="CCEEFF"/>
          </w:tcPr>
          <w:p>
            <w:pPr>
              <w:spacing w:after="0"/>
              <w:rPr>
                <w:sz w:val="3"/>
                <w:szCs w:val="3"/>
                <w:color w:val="auto"/>
              </w:rPr>
            </w:pPr>
          </w:p>
        </w:tc>
        <w:tc>
          <w:tcPr>
            <w:tcW w:w="580" w:type="dxa"/>
            <w:vAlign w:val="bottom"/>
            <w:tcBorders>
              <w:top w:val="single" w:sz="8" w:color="CCEEFF"/>
              <w:bottom w:val="single" w:sz="8" w:color="CCEEFF"/>
            </w:tcBorders>
            <w:shd w:val="clear" w:color="auto" w:fill="CCEEFF"/>
          </w:tcPr>
          <w:p>
            <w:pPr>
              <w:spacing w:after="0"/>
              <w:rPr>
                <w:sz w:val="3"/>
                <w:szCs w:val="3"/>
                <w:color w:val="auto"/>
              </w:rPr>
            </w:pPr>
          </w:p>
        </w:tc>
        <w:tc>
          <w:tcPr>
            <w:tcW w:w="200" w:type="dxa"/>
            <w:vAlign w:val="bottom"/>
            <w:tcBorders>
              <w:top w:val="single" w:sz="8" w:color="CCEEFF"/>
              <w:bottom w:val="single" w:sz="8" w:color="CCEEFF"/>
            </w:tcBorders>
            <w:shd w:val="clear" w:color="auto" w:fill="CCEEFF"/>
          </w:tcPr>
          <w:p>
            <w:pPr>
              <w:spacing w:after="0"/>
              <w:rPr>
                <w:sz w:val="3"/>
                <w:szCs w:val="3"/>
                <w:color w:val="auto"/>
              </w:rPr>
            </w:pPr>
          </w:p>
        </w:tc>
        <w:tc>
          <w:tcPr>
            <w:tcW w:w="560" w:type="dxa"/>
            <w:vAlign w:val="bottom"/>
            <w:tcBorders>
              <w:top w:val="single" w:sz="8" w:color="CCEEFF"/>
              <w:bottom w:val="single" w:sz="8" w:color="CCEEFF"/>
            </w:tcBorders>
            <w:shd w:val="clear" w:color="auto" w:fill="CCEEFF"/>
          </w:tcPr>
          <w:p>
            <w:pPr>
              <w:spacing w:after="0"/>
              <w:rPr>
                <w:sz w:val="3"/>
                <w:szCs w:val="3"/>
                <w:color w:val="auto"/>
              </w:rPr>
            </w:pPr>
          </w:p>
        </w:tc>
        <w:tc>
          <w:tcPr>
            <w:tcW w:w="120" w:type="dxa"/>
            <w:vAlign w:val="bottom"/>
            <w:tcBorders>
              <w:top w:val="single" w:sz="8" w:color="CCEEFF"/>
              <w:bottom w:val="single" w:sz="8" w:color="CCEEFF"/>
            </w:tcBorders>
            <w:shd w:val="clear" w:color="auto" w:fill="CCEEFF"/>
          </w:tcPr>
          <w:p>
            <w:pPr>
              <w:spacing w:after="0"/>
              <w:rPr>
                <w:sz w:val="3"/>
                <w:szCs w:val="3"/>
                <w:color w:val="auto"/>
              </w:rPr>
            </w:pPr>
          </w:p>
        </w:tc>
        <w:tc>
          <w:tcPr>
            <w:tcW w:w="640" w:type="dxa"/>
            <w:vAlign w:val="bottom"/>
            <w:tcBorders>
              <w:top w:val="single" w:sz="8" w:color="CCEEFF"/>
              <w:bottom w:val="single" w:sz="8" w:color="CCEEFF"/>
            </w:tcBorders>
            <w:gridSpan w:val="2"/>
            <w:vMerge w:val="continue"/>
            <w:shd w:val="clear" w:color="auto" w:fill="CCEEFF"/>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160" w:type="dxa"/>
            <w:vAlign w:val="bottom"/>
            <w:gridSpan w:val="5"/>
            <w:shd w:val="clear" w:color="auto" w:fill="CCEEFF"/>
          </w:tcPr>
          <w:p>
            <w:pPr>
              <w:ind w:left="20"/>
              <w:spacing w:after="0" w:line="155" w:lineRule="exact"/>
              <w:rPr>
                <w:sz w:val="20"/>
                <w:szCs w:val="20"/>
                <w:color w:val="auto"/>
              </w:rPr>
            </w:pPr>
            <w:r>
              <w:rPr>
                <w:rFonts w:ascii="Arial" w:cs="Arial" w:eastAsia="Arial" w:hAnsi="Arial"/>
                <w:sz w:val="17"/>
                <w:szCs w:val="17"/>
                <w:color w:val="auto"/>
              </w:rPr>
              <w:t>Aircraft Basic Price (Excluding BFE/SPE):</w:t>
            </w:r>
          </w:p>
        </w:tc>
        <w:tc>
          <w:tcPr>
            <w:tcW w:w="32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ind w:left="400"/>
              <w:spacing w:after="0" w:line="155" w:lineRule="exact"/>
              <w:rPr>
                <w:sz w:val="20"/>
                <w:szCs w:val="20"/>
                <w:color w:val="auto"/>
              </w:rPr>
            </w:pPr>
            <w:r>
              <w:rPr>
                <w:rFonts w:ascii="Arial" w:cs="Arial" w:eastAsia="Arial" w:hAnsi="Arial"/>
                <w:sz w:val="17"/>
                <w:szCs w:val="17"/>
                <w:color w:val="auto"/>
              </w:rPr>
              <w:t>[*CTR]</w:t>
            </w:r>
          </w:p>
        </w:tc>
        <w:tc>
          <w:tcPr>
            <w:tcW w:w="240" w:type="dxa"/>
            <w:vAlign w:val="bottom"/>
          </w:tcPr>
          <w:p>
            <w:pPr>
              <w:spacing w:after="0"/>
              <w:rPr>
                <w:sz w:val="17"/>
                <w:szCs w:val="17"/>
                <w:color w:val="auto"/>
              </w:rPr>
            </w:pPr>
          </w:p>
        </w:tc>
        <w:tc>
          <w:tcPr>
            <w:tcW w:w="2720" w:type="dxa"/>
            <w:vAlign w:val="bottom"/>
            <w:gridSpan w:val="8"/>
          </w:tcPr>
          <w:p>
            <w:pPr>
              <w:spacing w:after="0" w:line="142" w:lineRule="exact"/>
              <w:rPr>
                <w:sz w:val="20"/>
                <w:szCs w:val="20"/>
                <w:color w:val="auto"/>
              </w:rPr>
            </w:pPr>
            <w:r>
              <w:rPr>
                <w:rFonts w:ascii="Arial" w:cs="Arial" w:eastAsia="Arial" w:hAnsi="Arial"/>
                <w:sz w:val="16"/>
                <w:szCs w:val="16"/>
                <w:color w:val="auto"/>
              </w:rPr>
              <w:t>Engine Escalation Data:</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gridSpan w:val="5"/>
          </w:tcPr>
          <w:p>
            <w:pPr>
              <w:ind w:left="20"/>
              <w:spacing w:after="0"/>
              <w:rPr>
                <w:sz w:val="20"/>
                <w:szCs w:val="20"/>
                <w:color w:val="auto"/>
              </w:rPr>
            </w:pPr>
            <w:r>
              <w:rPr>
                <w:rFonts w:ascii="Arial" w:cs="Arial" w:eastAsia="Arial" w:hAnsi="Arial"/>
                <w:sz w:val="18"/>
                <w:szCs w:val="18"/>
                <w:color w:val="auto"/>
              </w:rPr>
              <w:t>Buyer Furnished Equipment (BFE) Estimate:</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3"/>
          </w:tcPr>
          <w:p>
            <w:pPr>
              <w:ind w:left="400"/>
              <w:spacing w:after="0"/>
              <w:rPr>
                <w:sz w:val="20"/>
                <w:szCs w:val="20"/>
                <w:color w:val="auto"/>
              </w:rPr>
            </w:pPr>
            <w:r>
              <w:rPr>
                <w:rFonts w:ascii="Arial" w:cs="Arial" w:eastAsia="Arial" w:hAnsi="Arial"/>
                <w:sz w:val="18"/>
                <w:szCs w:val="18"/>
                <w:color w:val="auto"/>
                <w:w w:val="85"/>
              </w:rPr>
              <w:t>[*CTR]</w:t>
            </w:r>
          </w:p>
        </w:tc>
        <w:tc>
          <w:tcPr>
            <w:tcW w:w="120" w:type="dxa"/>
            <w:vAlign w:val="bottom"/>
          </w:tcPr>
          <w:p>
            <w:pPr>
              <w:spacing w:after="0"/>
              <w:rPr>
                <w:sz w:val="18"/>
                <w:szCs w:val="18"/>
                <w:color w:val="auto"/>
              </w:rPr>
            </w:pPr>
          </w:p>
        </w:tc>
        <w:tc>
          <w:tcPr>
            <w:tcW w:w="240" w:type="dxa"/>
            <w:vAlign w:val="bottom"/>
            <w:tcBorders>
              <w:right w:val="single" w:sz="8" w:color="CCEEFF"/>
            </w:tcBorders>
          </w:tcPr>
          <w:p>
            <w:pPr>
              <w:spacing w:after="0"/>
              <w:rPr>
                <w:sz w:val="18"/>
                <w:szCs w:val="18"/>
                <w:color w:val="auto"/>
              </w:rPr>
            </w:pPr>
          </w:p>
        </w:tc>
        <w:tc>
          <w:tcPr>
            <w:tcW w:w="17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2"/>
              </w:rPr>
              <w:t>Base Year Index (ECI):</w:t>
            </w:r>
          </w:p>
        </w:tc>
        <w:tc>
          <w:tcPr>
            <w:tcW w:w="980" w:type="dxa"/>
            <w:vAlign w:val="bottom"/>
            <w:gridSpan w:val="3"/>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//Seller Purchased Equipment (SPE)/In-Flight Ent</w:t>
            </w: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2720" w:type="dxa"/>
            <w:vAlign w:val="bottom"/>
            <w:gridSpan w:val="8"/>
          </w:tcPr>
          <w:p>
            <w:pPr>
              <w:spacing w:after="0"/>
              <w:rPr>
                <w:sz w:val="20"/>
                <w:szCs w:val="20"/>
                <w:color w:val="auto"/>
              </w:rPr>
            </w:pPr>
            <w:r>
              <w:rPr>
                <w:rFonts w:ascii="Arial" w:cs="Arial" w:eastAsia="Arial" w:hAnsi="Arial"/>
                <w:sz w:val="18"/>
                <w:szCs w:val="18"/>
                <w:color w:val="auto"/>
              </w:rPr>
              <w:t>Base Year Index (CPI):</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rPr>
              <w:t>[*CTR]</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Deposit per Aircraft:</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4"/>
          </w:tcPr>
          <w:p>
            <w:pPr>
              <w:ind w:left="40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10"/>
          </w:tcPr>
          <w:p>
            <w:pPr>
              <w:ind w:left="480"/>
              <w:spacing w:after="0"/>
              <w:rPr>
                <w:sz w:val="20"/>
                <w:szCs w:val="20"/>
                <w:color w:val="auto"/>
              </w:rPr>
            </w:pPr>
            <w:r>
              <w:rPr>
                <w:rFonts w:ascii="Arial" w:cs="Arial" w:eastAsia="Arial" w:hAnsi="Arial"/>
                <w:sz w:val="14"/>
                <w:szCs w:val="14"/>
                <w:b w:val="1"/>
                <w:bCs w:val="1"/>
                <w:color w:val="auto"/>
              </w:rPr>
              <w:t>Advance Payment Per Aircraft</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80" w:type="dxa"/>
            <w:vAlign w:val="bottom"/>
          </w:tcPr>
          <w:p>
            <w:pPr>
              <w:spacing w:after="0"/>
              <w:rPr>
                <w:sz w:val="14"/>
                <w:szCs w:val="14"/>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Escalation Estimate</w:t>
            </w:r>
          </w:p>
        </w:tc>
        <w:tc>
          <w:tcPr>
            <w:tcW w:w="2980" w:type="dxa"/>
            <w:vAlign w:val="bottom"/>
            <w:gridSpan w:val="10"/>
          </w:tcPr>
          <w:p>
            <w:pPr>
              <w:ind w:left="340"/>
              <w:spacing w:after="0"/>
              <w:rPr>
                <w:sz w:val="20"/>
                <w:szCs w:val="20"/>
                <w:color w:val="auto"/>
              </w:rPr>
            </w:pPr>
            <w:r>
              <w:rPr>
                <w:rFonts w:ascii="Arial" w:cs="Arial" w:eastAsia="Arial" w:hAnsi="Arial"/>
                <w:sz w:val="14"/>
                <w:szCs w:val="14"/>
                <w:b w:val="1"/>
                <w:bCs w:val="1"/>
                <w:color w:val="auto"/>
              </w:rPr>
              <w:t>(Amts. Due/Mos. Prior to Delivery):</w:t>
            </w:r>
          </w:p>
        </w:tc>
        <w:tc>
          <w:tcPr>
            <w:tcW w:w="0" w:type="dxa"/>
            <w:vAlign w:val="bottom"/>
          </w:tcPr>
          <w:p>
            <w:pPr>
              <w:spacing w:after="0"/>
              <w:rPr>
                <w:sz w:val="1"/>
                <w:szCs w:val="1"/>
                <w:color w:val="auto"/>
              </w:rPr>
            </w:pPr>
          </w:p>
        </w:tc>
      </w:tr>
      <w:tr>
        <w:trPr>
          <w:trHeight w:val="119"/>
        </w:trPr>
        <w:tc>
          <w:tcPr>
            <w:tcW w:w="2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Delivery Date</w:t>
            </w:r>
          </w:p>
        </w:tc>
        <w:tc>
          <w:tcPr>
            <w:tcW w:w="120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w:t>
            </w:r>
          </w:p>
        </w:tc>
        <w:tc>
          <w:tcPr>
            <w:tcW w:w="3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Factor</w:t>
            </w:r>
          </w:p>
        </w:tc>
        <w:tc>
          <w:tcPr>
            <w:tcW w:w="80" w:type="dxa"/>
            <w:vAlign w:val="bottom"/>
          </w:tcPr>
          <w:p>
            <w:pPr>
              <w:spacing w:after="0"/>
              <w:rPr>
                <w:sz w:val="10"/>
                <w:szCs w:val="10"/>
                <w:color w:val="auto"/>
              </w:rPr>
            </w:pPr>
          </w:p>
        </w:tc>
        <w:tc>
          <w:tcPr>
            <w:tcW w:w="760" w:type="dxa"/>
            <w:vAlign w:val="bottom"/>
            <w:gridSpan w:val="5"/>
          </w:tcPr>
          <w:p>
            <w:pPr>
              <w:jc w:val="center"/>
              <w:ind w:right="100"/>
              <w:spacing w:after="0" w:line="119" w:lineRule="exact"/>
              <w:rPr>
                <w:sz w:val="20"/>
                <w:szCs w:val="20"/>
                <w:color w:val="auto"/>
              </w:rPr>
            </w:pPr>
            <w:r>
              <w:rPr>
                <w:rFonts w:ascii="Arial" w:cs="Arial" w:eastAsia="Arial" w:hAnsi="Arial"/>
                <w:sz w:val="13"/>
                <w:szCs w:val="13"/>
                <w:b w:val="1"/>
                <w:bCs w:val="1"/>
                <w:color w:val="auto"/>
              </w:rPr>
              <w:t>Factor</w:t>
            </w: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Manufacturer</w:t>
            </w:r>
          </w:p>
        </w:tc>
        <w:tc>
          <w:tcPr>
            <w:tcW w:w="144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Adv Payment Base</w:t>
            </w: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7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[*CTR]</w:t>
            </w:r>
          </w:p>
        </w:tc>
        <w:tc>
          <w:tcPr>
            <w:tcW w:w="6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40" w:type="dxa"/>
            <w:vAlign w:val="bottom"/>
            <w:gridSpan w:val="3"/>
            <w:vMerge w:val="continue"/>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Aircraft</w:t>
            </w:r>
          </w:p>
        </w:tc>
        <w:tc>
          <w:tcPr>
            <w:tcW w:w="32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(Airframe)</w:t>
            </w:r>
          </w:p>
        </w:tc>
        <w:tc>
          <w:tcPr>
            <w:tcW w:w="80" w:type="dxa"/>
            <w:vAlign w:val="bottom"/>
          </w:tcPr>
          <w:p>
            <w:pPr>
              <w:spacing w:after="0"/>
              <w:rPr>
                <w:sz w:val="13"/>
                <w:szCs w:val="13"/>
                <w:color w:val="auto"/>
              </w:rPr>
            </w:pPr>
          </w:p>
        </w:tc>
        <w:tc>
          <w:tcPr>
            <w:tcW w:w="760" w:type="dxa"/>
            <w:vAlign w:val="bottom"/>
            <w:gridSpan w:val="5"/>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(Engine)</w:t>
            </w: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Serial Number</w:t>
            </w:r>
          </w:p>
        </w:tc>
        <w:tc>
          <w:tcPr>
            <w:tcW w:w="144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Price Per A/P</w:t>
            </w: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[*CTR]</w:t>
            </w:r>
          </w:p>
        </w:tc>
        <w:tc>
          <w:tcPr>
            <w:tcW w:w="1880" w:type="dxa"/>
            <w:vAlign w:val="bottom"/>
            <w:gridSpan w:val="2"/>
            <w:shd w:val="clear" w:color="auto" w:fill="CCEEFF"/>
          </w:tcPr>
          <w:p>
            <w:pPr>
              <w:jc w:val="right"/>
              <w:ind w:right="1460"/>
              <w:spacing w:after="0" w:line="203" w:lineRule="exact"/>
              <w:rPr>
                <w:sz w:val="20"/>
                <w:szCs w:val="20"/>
                <w:color w:val="auto"/>
              </w:rPr>
            </w:pPr>
            <w:r>
              <w:rPr>
                <w:rFonts w:ascii="Arial" w:cs="Arial" w:eastAsia="Arial" w:hAnsi="Arial"/>
                <w:sz w:val="18"/>
                <w:szCs w:val="18"/>
                <w:color w:val="auto"/>
                <w:strike w:val="1"/>
                <w:w w:val="86"/>
              </w:rPr>
              <w:t>-2016</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99"/>
              </w:rPr>
              <w:t>[*CTR]</w:t>
            </w:r>
          </w:p>
        </w:tc>
        <w:tc>
          <w:tcPr>
            <w:tcW w:w="1880" w:type="dxa"/>
            <w:vAlign w:val="bottom"/>
            <w:gridSpan w:val="2"/>
          </w:tcPr>
          <w:p>
            <w:pPr>
              <w:jc w:val="right"/>
              <w:ind w:right="1460"/>
              <w:spacing w:after="0"/>
              <w:rPr>
                <w:sz w:val="20"/>
                <w:szCs w:val="20"/>
                <w:color w:val="auto"/>
              </w:rPr>
            </w:pPr>
            <w:r>
              <w:rPr>
                <w:rFonts w:ascii="Arial" w:cs="Arial" w:eastAsia="Arial" w:hAnsi="Arial"/>
                <w:sz w:val="18"/>
                <w:szCs w:val="18"/>
                <w:color w:val="auto"/>
                <w:strike w:val="1"/>
                <w:w w:val="86"/>
              </w:rPr>
              <w:t>-2016</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9"/>
              </w:rPr>
              <w:t>[*CTR]</w:t>
            </w:r>
          </w:p>
        </w:tc>
        <w:tc>
          <w:tcPr>
            <w:tcW w:w="188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strike w:val="1"/>
                <w:w w:val="86"/>
              </w:rPr>
              <w:t>-2016</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99"/>
              </w:rPr>
              <w:t>[*CTR]</w:t>
            </w:r>
          </w:p>
        </w:tc>
        <w:tc>
          <w:tcPr>
            <w:tcW w:w="1880" w:type="dxa"/>
            <w:vAlign w:val="bottom"/>
            <w:gridSpan w:val="2"/>
          </w:tcPr>
          <w:p>
            <w:pPr>
              <w:jc w:val="right"/>
              <w:ind w:right="1460"/>
              <w:spacing w:after="0"/>
              <w:rPr>
                <w:sz w:val="20"/>
                <w:szCs w:val="20"/>
                <w:color w:val="auto"/>
              </w:rPr>
            </w:pPr>
            <w:r>
              <w:rPr>
                <w:rFonts w:ascii="Arial" w:cs="Arial" w:eastAsia="Arial" w:hAnsi="Arial"/>
                <w:sz w:val="18"/>
                <w:szCs w:val="18"/>
                <w:color w:val="auto"/>
                <w:strike w:val="1"/>
                <w:w w:val="86"/>
              </w:rPr>
              <w:t>-2016</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9"/>
              </w:rPr>
              <w:t>[*CTR]</w:t>
            </w:r>
          </w:p>
        </w:tc>
        <w:tc>
          <w:tcPr>
            <w:tcW w:w="188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strike w:val="1"/>
                <w:w w:val="86"/>
              </w:rPr>
              <w:t>-2016</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[*CTR]-2016</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[*CTR]-2016</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[*CTR]-2016</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[*CTR]-2016</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[*CTR]-2016</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[*CTR]-2017</w:t>
            </w: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[*CTR]-2017</w:t>
            </w:r>
          </w:p>
        </w:tc>
        <w:tc>
          <w:tcPr>
            <w:tcW w:w="17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0"/>
                <w:szCs w:val="20"/>
                <w:color w:val="auto"/>
              </w:rPr>
            </w:pPr>
          </w:p>
        </w:tc>
        <w:tc>
          <w:tcPr>
            <w:tcW w:w="760" w:type="dxa"/>
            <w:vAlign w:val="bottom"/>
            <w:gridSpan w:val="5"/>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0"/>
                <w:szCs w:val="20"/>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50"/>
        </w:trPr>
        <w:tc>
          <w:tcPr>
            <w:tcW w:w="2440" w:type="dxa"/>
            <w:vAlign w:val="bottom"/>
            <w:gridSpan w:val="3"/>
          </w:tcPr>
          <w:p>
            <w:pPr>
              <w:spacing w:after="0"/>
              <w:rPr>
                <w:sz w:val="20"/>
                <w:szCs w:val="20"/>
                <w:color w:val="auto"/>
              </w:rPr>
            </w:pPr>
            <w:r>
              <w:rPr>
                <w:rFonts w:ascii="Arial" w:cs="Arial" w:eastAsia="Arial" w:hAnsi="Arial"/>
                <w:sz w:val="18"/>
                <w:szCs w:val="18"/>
                <w:color w:val="auto"/>
              </w:rPr>
              <w:t>AAL-PA-03219 72345-1F.TXT</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8"/>
          </w:tcPr>
          <w:p>
            <w:pPr>
              <w:ind w:left="60"/>
              <w:spacing w:after="0"/>
              <w:rPr>
                <w:sz w:val="20"/>
                <w:szCs w:val="20"/>
                <w:color w:val="auto"/>
              </w:rPr>
            </w:pPr>
            <w:r>
              <w:rPr>
                <w:rFonts w:ascii="Arial" w:cs="Arial" w:eastAsia="Arial" w:hAnsi="Arial"/>
                <w:sz w:val="18"/>
                <w:szCs w:val="18"/>
                <w:b w:val="1"/>
                <w:bCs w:val="1"/>
                <w:color w:val="auto"/>
              </w:rPr>
              <w:t>Boeing Proprietary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8"/>
          </w:tcPr>
          <w:p>
            <w:pPr>
              <w:ind w:left="320"/>
              <w:spacing w:after="0"/>
              <w:rPr>
                <w:sz w:val="20"/>
                <w:szCs w:val="20"/>
                <w:color w:val="auto"/>
              </w:rPr>
            </w:pPr>
            <w:r>
              <w:rPr>
                <w:rFonts w:ascii="Arial" w:cs="Arial" w:eastAsia="Arial" w:hAnsi="Arial"/>
                <w:sz w:val="18"/>
                <w:szCs w:val="18"/>
                <w:color w:val="auto"/>
                <w:w w:val="88"/>
              </w:rPr>
              <w:t>SA-5, Table 1(R3), Page 1</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1(R3) To Purchase Agreement No. PA-03219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787-9 Aircraft Delivery, Description, Price and Advance Payments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4"/>
              </w:rPr>
              <w:t>Advance Payment Per Aircraft</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Escalation</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Escalation Estimate</w:t>
            </w:r>
          </w:p>
        </w:tc>
        <w:tc>
          <w:tcPr>
            <w:tcW w:w="29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5"/>
              </w:rPr>
              <w:t>(Amts. Due/Mos. Prior to Delivery):</w:t>
            </w:r>
          </w:p>
        </w:tc>
        <w:tc>
          <w:tcPr>
            <w:tcW w:w="0" w:type="dxa"/>
            <w:vAlign w:val="bottom"/>
          </w:tcPr>
          <w:p>
            <w:pPr>
              <w:spacing w:after="0"/>
              <w:rPr>
                <w:sz w:val="1"/>
                <w:szCs w:val="1"/>
                <w:color w:val="auto"/>
              </w:rPr>
            </w:pPr>
          </w:p>
        </w:tc>
      </w:tr>
      <w:tr>
        <w:trPr>
          <w:trHeight w:val="11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Delivery Date</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Factor</w:t>
            </w:r>
          </w:p>
        </w:tc>
        <w:tc>
          <w:tcPr>
            <w:tcW w:w="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Factor</w:t>
            </w: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Manufacturer</w:t>
            </w:r>
          </w:p>
        </w:tc>
        <w:tc>
          <w:tcPr>
            <w:tcW w:w="14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Adv Payment Base</w:t>
            </w: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7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[*CTR]</w:t>
            </w: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58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880" w:type="dxa"/>
            <w:vAlign w:val="bottom"/>
            <w:gridSpan w:val="2"/>
            <w:vMerge w:val="continue"/>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Aircraft</w:t>
            </w:r>
          </w:p>
        </w:tc>
        <w:tc>
          <w:tcPr>
            <w:tcW w:w="100" w:type="dxa"/>
            <w:vAlign w:val="bottom"/>
          </w:tcPr>
          <w:p>
            <w:pPr>
              <w:spacing w:after="0"/>
              <w:rPr>
                <w:sz w:val="13"/>
                <w:szCs w:val="13"/>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(Airframe)</w:t>
            </w:r>
          </w:p>
        </w:tc>
        <w:tc>
          <w:tcPr>
            <w:tcW w:w="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(Engine)</w:t>
            </w: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Serial Number</w:t>
            </w:r>
          </w:p>
        </w:tc>
        <w:tc>
          <w:tcPr>
            <w:tcW w:w="14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Price Per A/P</w:t>
            </w: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[*CTR]-2017</w:t>
            </w: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74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[*CTR]-2018</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[*CTR]-2018</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[*CTR]-2018</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[*CTR]-2018</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Regarding these four (4) aircraft: Customer [*CTR] four (4) Boeing Model 787-9 aircraft.</w:t>
      </w:r>
    </w:p>
    <w:p>
      <w:pPr>
        <w:spacing w:after="0" w:line="23"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Regarding this one (1) aircraft: Customer subsequently [*CTR] in which Customer [*CTR] aircraft in lieu of four (4) Boeing Model 787-9 aircraft.</w:t>
      </w:r>
    </w:p>
    <w:p>
      <w:pPr>
        <w:spacing w:after="0" w:line="151" w:lineRule="exact"/>
        <w:rPr>
          <w:sz w:val="20"/>
          <w:szCs w:val="20"/>
          <w:color w:val="auto"/>
        </w:rPr>
      </w:pPr>
    </w:p>
    <w:p>
      <w:pPr>
        <w:spacing w:after="0"/>
        <w:tabs>
          <w:tab w:leader="none" w:pos="5200" w:val="left"/>
          <w:tab w:leader="none" w:pos="9500" w:val="left"/>
        </w:tabs>
        <w:rPr>
          <w:sz w:val="20"/>
          <w:szCs w:val="20"/>
          <w:color w:val="auto"/>
        </w:rPr>
      </w:pPr>
      <w:r>
        <w:rPr>
          <w:rFonts w:ascii="Arial" w:cs="Arial" w:eastAsia="Arial" w:hAnsi="Arial"/>
          <w:sz w:val="18"/>
          <w:szCs w:val="18"/>
          <w:color w:val="auto"/>
        </w:rPr>
        <w:t>AAL-PA-03219 72345-1F.TXT</w:t>
      </w:r>
      <w:r>
        <w:rPr>
          <w:sz w:val="20"/>
          <w:szCs w:val="20"/>
          <w:color w:val="auto"/>
        </w:rPr>
        <w:tab/>
      </w:r>
      <w:r>
        <w:rPr>
          <w:rFonts w:ascii="Arial" w:cs="Arial" w:eastAsia="Arial" w:hAnsi="Arial"/>
          <w:sz w:val="18"/>
          <w:szCs w:val="18"/>
          <w:b w:val="1"/>
          <w:bCs w:val="1"/>
          <w:color w:val="auto"/>
        </w:rPr>
        <w:t>Boeing Proprietary</w:t>
      </w:r>
      <w:r>
        <w:rPr>
          <w:sz w:val="20"/>
          <w:szCs w:val="20"/>
          <w:color w:val="auto"/>
        </w:rPr>
        <w:tab/>
      </w:r>
      <w:r>
        <w:rPr>
          <w:rFonts w:ascii="Arial" w:cs="Arial" w:eastAsia="Arial" w:hAnsi="Arial"/>
          <w:sz w:val="16"/>
          <w:szCs w:val="16"/>
          <w:color w:val="auto"/>
        </w:rPr>
        <w:t>SA-5, Table 1(R3), Page 2</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64" w:name="page165"/>
    <w:bookmarkEnd w:id="164"/>
    <w:p>
      <w:pPr>
        <w:jc w:val="center"/>
        <w:ind w:lef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2(R1) To</w:t>
      </w:r>
    </w:p>
    <w:p>
      <w:pPr>
        <w:spacing w:after="0" w:line="27"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Purchase Agreement No. PA-03219</w:t>
      </w:r>
    </w:p>
    <w:p>
      <w:pPr>
        <w:spacing w:after="0" w:line="9"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787-8 Aircraft Delivery, Description, Price and Advance Payments</w:t>
      </w:r>
    </w:p>
    <w:p>
      <w:pPr>
        <w:spacing w:after="0" w:line="9"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([*CTR] (12) 787-8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194310</wp:posOffset>
            </wp:positionV>
            <wp:extent cx="355028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 Model/MTOW:</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787-8</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502,500 pounds</w:t>
            </w:r>
          </w:p>
        </w:tc>
        <w:tc>
          <w:tcPr>
            <w:tcW w:w="24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Detail Specification:</w:t>
            </w:r>
          </w:p>
        </w:tc>
        <w:tc>
          <w:tcPr>
            <w:tcW w:w="960" w:type="dxa"/>
            <w:vAlign w:val="bottom"/>
          </w:tcPr>
          <w:p>
            <w:pPr>
              <w:ind w:left="40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Engine Model/Thrust:</w:t>
            </w:r>
          </w:p>
        </w:tc>
        <w:tc>
          <w:tcPr>
            <w:tcW w:w="1340" w:type="dxa"/>
            <w:vAlign w:val="bottom"/>
          </w:tcPr>
          <w:p>
            <w:pPr>
              <w:jc w:val="center"/>
              <w:ind w:right="290"/>
              <w:spacing w:after="0"/>
              <w:rPr>
                <w:sz w:val="20"/>
                <w:szCs w:val="20"/>
                <w:color w:val="auto"/>
              </w:rPr>
            </w:pPr>
            <w:r>
              <w:rPr>
                <w:rFonts w:ascii="Arial" w:cs="Arial" w:eastAsia="Arial" w:hAnsi="Arial"/>
                <w:sz w:val="18"/>
                <w:szCs w:val="18"/>
                <w:color w:val="auto"/>
                <w:w w:val="96"/>
              </w:rPr>
              <w:t>GENX-1B70</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69,800 pounds</w:t>
            </w:r>
          </w:p>
        </w:tc>
        <w:tc>
          <w:tcPr>
            <w:tcW w:w="24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Airframe Price Base Year/Escalation Formula:</w:t>
            </w:r>
          </w:p>
        </w:tc>
        <w:tc>
          <w:tcPr>
            <w:tcW w:w="960" w:type="dxa"/>
            <w:vAlign w:val="bottom"/>
          </w:tcPr>
          <w:p>
            <w:pPr>
              <w:ind w:left="40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 Price:</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Engine Price Base Year/Escalation Formula:</w:t>
            </w:r>
          </w:p>
        </w:tc>
        <w:tc>
          <w:tcPr>
            <w:tcW w:w="960" w:type="dxa"/>
            <w:vAlign w:val="bottom"/>
          </w:tcPr>
          <w:p>
            <w:pPr>
              <w:ind w:left="40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Optional Features:</w:t>
            </w:r>
          </w:p>
        </w:tc>
        <w:tc>
          <w:tcPr>
            <w:tcW w:w="134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Airframe Escalation Data:</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8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Sub-Total of Airframe and Features:</w:t>
            </w:r>
          </w:p>
        </w:tc>
        <w:tc>
          <w:tcPr>
            <w:tcW w:w="13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gridSpan w:val="2"/>
            <w:shd w:val="clear" w:color="auto" w:fill="CCEEFF"/>
          </w:tcPr>
          <w:p>
            <w:pPr>
              <w:ind w:left="720"/>
              <w:spacing w:after="0" w:line="156" w:lineRule="exact"/>
              <w:rPr>
                <w:sz w:val="20"/>
                <w:szCs w:val="20"/>
                <w:color w:val="auto"/>
              </w:rPr>
            </w:pPr>
            <w:r>
              <w:rPr>
                <w:rFonts w:ascii="Arial" w:cs="Arial" w:eastAsia="Arial" w:hAnsi="Arial"/>
                <w:sz w:val="18"/>
                <w:szCs w:val="18"/>
                <w:color w:val="auto"/>
              </w:rPr>
              <w:t>[*CTR]</w:t>
            </w:r>
          </w:p>
        </w:tc>
        <w:tc>
          <w:tcPr>
            <w:tcW w:w="240" w:type="dxa"/>
            <w:vAlign w:val="bottom"/>
          </w:tcPr>
          <w:p>
            <w:pPr>
              <w:spacing w:after="0"/>
              <w:rPr>
                <w:sz w:val="13"/>
                <w:szCs w:val="13"/>
                <w:color w:val="auto"/>
              </w:rPr>
            </w:pPr>
          </w:p>
        </w:tc>
        <w:tc>
          <w:tcPr>
            <w:tcW w:w="18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Base Year Index (ECI):</w:t>
            </w:r>
          </w:p>
        </w:tc>
        <w:tc>
          <w:tcPr>
            <w:tcW w:w="186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Engine Price (Per Aircraft):</w:t>
            </w:r>
          </w:p>
        </w:tc>
        <w:tc>
          <w:tcPr>
            <w:tcW w:w="1340" w:type="dxa"/>
            <w:vAlign w:val="bottom"/>
          </w:tcPr>
          <w:p>
            <w:pPr>
              <w:spacing w:after="0"/>
              <w:rPr>
                <w:sz w:val="5"/>
                <w:szCs w:val="5"/>
                <w:color w:val="auto"/>
              </w:rPr>
            </w:pPr>
          </w:p>
        </w:tc>
        <w:tc>
          <w:tcPr>
            <w:tcW w:w="1320" w:type="dxa"/>
            <w:vAlign w:val="bottom"/>
            <w:gridSpan w:val="2"/>
            <w:vMerge w:val="restart"/>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2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740" w:type="dxa"/>
            <w:vAlign w:val="bottom"/>
            <w:gridSpan w:val="3"/>
            <w:vMerge w:val="restart"/>
          </w:tcPr>
          <w:p>
            <w:pPr>
              <w:spacing w:after="0" w:line="157" w:lineRule="exact"/>
              <w:rPr>
                <w:sz w:val="20"/>
                <w:szCs w:val="20"/>
                <w:color w:val="auto"/>
              </w:rPr>
            </w:pPr>
            <w:r>
              <w:rPr>
                <w:rFonts w:ascii="Arial" w:cs="Arial" w:eastAsia="Arial" w:hAnsi="Arial"/>
                <w:sz w:val="18"/>
                <w:szCs w:val="18"/>
                <w:color w:val="auto"/>
              </w:rPr>
              <w:t>Base Year Index (CPI):</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740" w:type="dxa"/>
            <w:vAlign w:val="bottom"/>
            <w:gridSpan w:val="3"/>
            <w:vMerge w:val="continue"/>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Aircraft Basic Price (Excluding BFE/SPE):</w:t>
            </w:r>
          </w:p>
        </w:tc>
        <w:tc>
          <w:tcPr>
            <w:tcW w:w="132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[*CTR]</w:t>
            </w:r>
          </w:p>
        </w:tc>
        <w:tc>
          <w:tcPr>
            <w:tcW w:w="240" w:type="dxa"/>
            <w:vAlign w:val="bottom"/>
          </w:tcPr>
          <w:p>
            <w:pPr>
              <w:spacing w:after="0"/>
              <w:rPr>
                <w:sz w:val="22"/>
                <w:szCs w:val="22"/>
                <w:color w:val="auto"/>
              </w:rPr>
            </w:pPr>
          </w:p>
        </w:tc>
        <w:tc>
          <w:tcPr>
            <w:tcW w:w="3740" w:type="dxa"/>
            <w:vAlign w:val="bottom"/>
            <w:gridSpan w:val="3"/>
          </w:tcPr>
          <w:p>
            <w:pPr>
              <w:spacing w:after="0" w:line="196" w:lineRule="exact"/>
              <w:rPr>
                <w:sz w:val="20"/>
                <w:szCs w:val="20"/>
                <w:color w:val="auto"/>
              </w:rPr>
            </w:pPr>
            <w:r>
              <w:rPr>
                <w:rFonts w:ascii="Arial" w:cs="Arial" w:eastAsia="Arial" w:hAnsi="Arial"/>
                <w:sz w:val="18"/>
                <w:szCs w:val="18"/>
                <w:color w:val="auto"/>
              </w:rPr>
              <w:t>Engine Escalation Data:</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Buyer Furnished Equipment (BFE) Estimate:</w:t>
            </w:r>
          </w:p>
        </w:tc>
        <w:tc>
          <w:tcPr>
            <w:tcW w:w="12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5"/>
              </w:rPr>
              <w:t>[*CTR]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Base Year Index (ECI):</w:t>
            </w:r>
          </w:p>
        </w:tc>
        <w:tc>
          <w:tcPr>
            <w:tcW w:w="20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In-Flight Entertainment (IFE) Estimate</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Base Year Index (CPI):</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20" w:type="dxa"/>
            <w:vAlign w:val="bottom"/>
          </w:tcPr>
          <w:p>
            <w:pPr>
              <w:ind w:left="20"/>
              <w:spacing w:after="0"/>
              <w:rPr>
                <w:sz w:val="20"/>
                <w:szCs w:val="20"/>
                <w:color w:val="auto"/>
              </w:rPr>
            </w:pPr>
            <w:r>
              <w:rPr>
                <w:rFonts w:ascii="Arial" w:cs="Arial" w:eastAsia="Arial" w:hAnsi="Arial"/>
                <w:sz w:val="18"/>
                <w:szCs w:val="18"/>
                <w:color w:val="auto"/>
              </w:rPr>
              <w:t>Deposit per Aircraft:</w:t>
            </w:r>
          </w:p>
        </w:tc>
        <w:tc>
          <w:tcPr>
            <w:tcW w:w="1340" w:type="dxa"/>
            <w:vAlign w:val="bottom"/>
          </w:tcPr>
          <w:p>
            <w:pPr>
              <w:spacing w:after="0"/>
              <w:rPr>
                <w:sz w:val="24"/>
                <w:szCs w:val="24"/>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-1234440</wp:posOffset>
            </wp:positionV>
            <wp:extent cx="355028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50285" cy="13716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-891540</wp:posOffset>
            </wp:positionV>
            <wp:extent cx="3550285"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50285" cy="13716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-616585</wp:posOffset>
            </wp:positionV>
            <wp:extent cx="355028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50285" cy="13716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-342265</wp:posOffset>
            </wp:positionV>
            <wp:extent cx="3550285"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50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533" w:lineRule="exact"/>
        <w:rPr>
          <w:sz w:val="20"/>
          <w:szCs w:val="20"/>
          <w:color w:val="auto"/>
        </w:rPr>
      </w:pPr>
    </w:p>
    <w:p>
      <w:pPr>
        <w:sectPr>
          <w:pgSz w:w="11900" w:h="16838" w:orient="portrait"/>
          <w:cols w:equalWidth="0" w:num="2">
            <w:col w:w="10420" w:space="280"/>
            <w:col w:w="720"/>
          </w:cols>
          <w:pgMar w:left="240" w:top="270" w:right="23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Advance Payment Per Aircraft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Escalation</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Escalation</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Escalation Estimate</w:t>
            </w:r>
          </w:p>
        </w:tc>
        <w:tc>
          <w:tcPr>
            <w:tcW w:w="31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5"/>
              </w:rPr>
              <w:t>(Amts. Due/Mos. Prior to Delivery):</w:t>
            </w:r>
          </w:p>
        </w:tc>
        <w:tc>
          <w:tcPr>
            <w:tcW w:w="0" w:type="dxa"/>
            <w:vAlign w:val="bottom"/>
          </w:tcPr>
          <w:p>
            <w:pPr>
              <w:spacing w:after="0"/>
              <w:rPr>
                <w:sz w:val="1"/>
                <w:szCs w:val="1"/>
                <w:color w:val="auto"/>
              </w:rPr>
            </w:pPr>
          </w:p>
        </w:tc>
      </w:tr>
      <w:tr>
        <w:trPr>
          <w:trHeight w:val="11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Delivery Date</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w:t>
            </w:r>
          </w:p>
        </w:tc>
        <w:tc>
          <w:tcPr>
            <w:tcW w:w="160" w:type="dxa"/>
            <w:vAlign w:val="bottom"/>
          </w:tcPr>
          <w:p>
            <w:pPr>
              <w:spacing w:after="0"/>
              <w:rPr>
                <w:sz w:val="10"/>
                <w:szCs w:val="10"/>
                <w:color w:val="auto"/>
              </w:rPr>
            </w:pP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Factor</w:t>
            </w: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Factor</w:t>
            </w:r>
          </w:p>
        </w:tc>
        <w:tc>
          <w:tcPr>
            <w:tcW w:w="10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Manufacturer</w:t>
            </w:r>
          </w:p>
        </w:tc>
        <w:tc>
          <w:tcPr>
            <w:tcW w:w="15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Adv Payment Base</w:t>
            </w: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8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8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[*CTR]</w:t>
            </w:r>
          </w:p>
        </w:tc>
        <w:tc>
          <w:tcPr>
            <w:tcW w:w="58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340" w:type="dxa"/>
            <w:vAlign w:val="bottom"/>
            <w:gridSpan w:val="2"/>
            <w:vMerge w:val="continue"/>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Aircraft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(Airframe)</w:t>
            </w: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(Engine)</w:t>
            </w: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Serial Number</w:t>
            </w:r>
          </w:p>
        </w:tc>
        <w:tc>
          <w:tcPr>
            <w:tcW w:w="15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Price Per A/P</w:t>
            </w:r>
          </w:p>
        </w:tc>
        <w:tc>
          <w:tcPr>
            <w:tcW w:w="8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[*CTR]-2014</w:t>
            </w: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w w:val="88"/>
              </w:rPr>
              <w:t>[*CTR]</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9"/>
                <w:szCs w:val="19"/>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rPr>
              <w:t>[*CTR]</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tabs>
          <w:tab w:leader="none" w:pos="5200" w:val="left"/>
          <w:tab w:leader="none" w:pos="9500" w:val="left"/>
        </w:tabs>
        <w:rPr>
          <w:sz w:val="20"/>
          <w:szCs w:val="20"/>
          <w:color w:val="auto"/>
        </w:rPr>
      </w:pPr>
      <w:r>
        <w:rPr>
          <w:rFonts w:ascii="Arial" w:cs="Arial" w:eastAsia="Arial" w:hAnsi="Arial"/>
          <w:sz w:val="18"/>
          <w:szCs w:val="18"/>
          <w:color w:val="auto"/>
        </w:rPr>
        <w:t>AAL-PA-03219 72345-1F.TXT</w:t>
      </w:r>
      <w:r>
        <w:rPr>
          <w:sz w:val="20"/>
          <w:szCs w:val="20"/>
          <w:color w:val="auto"/>
        </w:rPr>
        <w:tab/>
      </w:r>
      <w:r>
        <w:rPr>
          <w:rFonts w:ascii="Arial" w:cs="Arial" w:eastAsia="Arial" w:hAnsi="Arial"/>
          <w:sz w:val="18"/>
          <w:szCs w:val="18"/>
          <w:b w:val="1"/>
          <w:bCs w:val="1"/>
          <w:color w:val="auto"/>
        </w:rPr>
        <w:t>Boeing Proprietary</w:t>
      </w:r>
      <w:r>
        <w:rPr>
          <w:sz w:val="20"/>
          <w:szCs w:val="20"/>
          <w:color w:val="auto"/>
        </w:rPr>
        <w:tab/>
      </w:r>
      <w:r>
        <w:rPr>
          <w:rFonts w:ascii="Arial" w:cs="Arial" w:eastAsia="Arial" w:hAnsi="Arial"/>
          <w:sz w:val="16"/>
          <w:szCs w:val="16"/>
          <w:color w:val="auto"/>
        </w:rPr>
        <w:t>SA-5, Table 2(R1), Page 1</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3(R1)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PA-03219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787-8 Aircraft Delivery, Description, Price and Advance Payments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([*CTR] (8) 787-8 Aircraft, yielding Twenty (20) 787-8 Aircraft)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 Model/MTOW:</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787-8</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502,500 pounds</w:t>
            </w:r>
          </w:p>
        </w:tc>
        <w:tc>
          <w:tcPr>
            <w:tcW w:w="240" w:type="dxa"/>
            <w:vAlign w:val="bottom"/>
            <w:tcBorders>
              <w:right w:val="single" w:sz="8" w:color="CCEEFF"/>
            </w:tcBorders>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Detail Specification:</w:t>
            </w:r>
          </w:p>
        </w:tc>
        <w:tc>
          <w:tcPr>
            <w:tcW w:w="1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Engine Model/Thrust:</w:t>
            </w:r>
          </w:p>
        </w:tc>
        <w:tc>
          <w:tcPr>
            <w:tcW w:w="1340" w:type="dxa"/>
            <w:vAlign w:val="bottom"/>
          </w:tcPr>
          <w:p>
            <w:pPr>
              <w:jc w:val="center"/>
              <w:ind w:right="290"/>
              <w:spacing w:after="0"/>
              <w:rPr>
                <w:sz w:val="20"/>
                <w:szCs w:val="20"/>
                <w:color w:val="auto"/>
              </w:rPr>
            </w:pPr>
            <w:r>
              <w:rPr>
                <w:rFonts w:ascii="Arial" w:cs="Arial" w:eastAsia="Arial" w:hAnsi="Arial"/>
                <w:sz w:val="18"/>
                <w:szCs w:val="18"/>
                <w:color w:val="auto"/>
                <w:w w:val="96"/>
              </w:rPr>
              <w:t>GENX-1B70</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69,800 pounds</w:t>
            </w:r>
          </w:p>
        </w:tc>
        <w:tc>
          <w:tcPr>
            <w:tcW w:w="24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Airframe Price Base Year/Escalation Formula:</w:t>
            </w:r>
          </w:p>
        </w:tc>
        <w:tc>
          <w:tcPr>
            <w:tcW w:w="1840" w:type="dxa"/>
            <w:vAlign w:val="bottom"/>
          </w:tcPr>
          <w:p>
            <w:pPr>
              <w:ind w:left="4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 Price:</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Borders>
              <w:right w:val="single" w:sz="8" w:color="CCEEFF"/>
            </w:tcBorders>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Engine Price Base Year/Escalation Formula:</w:t>
            </w:r>
          </w:p>
        </w:tc>
        <w:tc>
          <w:tcPr>
            <w:tcW w:w="1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Optional Features:</w:t>
            </w:r>
          </w:p>
        </w:tc>
        <w:tc>
          <w:tcPr>
            <w:tcW w:w="134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Airframe Escalation Data:</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82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200" w:type="dxa"/>
            <w:vAlign w:val="bottom"/>
            <w:tcBorders>
              <w:top w:val="single" w:sz="8" w:color="auto"/>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Pr>
          <w:p>
            <w:pPr>
              <w:spacing w:after="0"/>
              <w:rPr>
                <w:sz w:val="5"/>
                <w:szCs w:val="5"/>
                <w:color w:val="auto"/>
              </w:rPr>
            </w:pPr>
          </w:p>
        </w:tc>
        <w:tc>
          <w:tcPr>
            <w:tcW w:w="3740" w:type="dxa"/>
            <w:vAlign w:val="bottom"/>
            <w:gridSpan w:val="3"/>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82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color w:val="auto"/>
              </w:rPr>
              <w:t>Sub-Total of Airframe and Features:</w:t>
            </w:r>
          </w:p>
        </w:tc>
        <w:tc>
          <w:tcPr>
            <w:tcW w:w="134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gridSpan w:val="2"/>
            <w:shd w:val="clear" w:color="auto" w:fill="CCEEFF"/>
          </w:tcPr>
          <w:p>
            <w:pPr>
              <w:ind w:left="720"/>
              <w:spacing w:after="0" w:line="135" w:lineRule="exact"/>
              <w:rPr>
                <w:sz w:val="20"/>
                <w:szCs w:val="20"/>
                <w:color w:val="auto"/>
              </w:rPr>
            </w:pPr>
            <w:r>
              <w:rPr>
                <w:rFonts w:ascii="Arial" w:cs="Arial" w:eastAsia="Arial" w:hAnsi="Arial"/>
                <w:sz w:val="15"/>
                <w:szCs w:val="15"/>
                <w:color w:val="auto"/>
              </w:rPr>
              <w:t>[*CTR]</w:t>
            </w:r>
          </w:p>
        </w:tc>
        <w:tc>
          <w:tcPr>
            <w:tcW w:w="240" w:type="dxa"/>
            <w:vAlign w:val="bottom"/>
            <w:tcBorders>
              <w:right w:val="single" w:sz="8" w:color="CCEEFF"/>
            </w:tcBorders>
          </w:tcPr>
          <w:p>
            <w:pPr>
              <w:spacing w:after="0"/>
              <w:rPr>
                <w:sz w:val="11"/>
                <w:szCs w:val="11"/>
                <w:color w:val="auto"/>
              </w:rPr>
            </w:pPr>
          </w:p>
        </w:tc>
        <w:tc>
          <w:tcPr>
            <w:tcW w:w="188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Base Year Index (ECI):</w:t>
            </w:r>
          </w:p>
        </w:tc>
        <w:tc>
          <w:tcPr>
            <w:tcW w:w="1860" w:type="dxa"/>
            <w:vAlign w:val="bottom"/>
            <w:vMerge w:val="restart"/>
            <w:shd w:val="clear" w:color="auto" w:fill="CCEEFF"/>
          </w:tcPr>
          <w:p>
            <w:pPr>
              <w:spacing w:after="0"/>
              <w:rPr>
                <w:sz w:val="11"/>
                <w:szCs w:val="11"/>
                <w:color w:val="auto"/>
              </w:rPr>
            </w:pPr>
          </w:p>
        </w:tc>
        <w:tc>
          <w:tcPr>
            <w:tcW w:w="1840" w:type="dxa"/>
            <w:vAlign w:val="bottom"/>
            <w:vMerge w:val="restart"/>
            <w:shd w:val="clear" w:color="auto" w:fill="CCEEFF"/>
          </w:tcPr>
          <w:p>
            <w:pPr>
              <w:ind w:left="12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81"/>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Engine Price (Per Aircraft):</w:t>
            </w:r>
          </w:p>
        </w:tc>
        <w:tc>
          <w:tcPr>
            <w:tcW w:w="1340" w:type="dxa"/>
            <w:vAlign w:val="bottom"/>
          </w:tcPr>
          <w:p>
            <w:pPr>
              <w:spacing w:after="0"/>
              <w:rPr>
                <w:sz w:val="7"/>
                <w:szCs w:val="7"/>
                <w:color w:val="auto"/>
              </w:rPr>
            </w:pPr>
          </w:p>
        </w:tc>
        <w:tc>
          <w:tcPr>
            <w:tcW w:w="1320" w:type="dxa"/>
            <w:vAlign w:val="bottom"/>
            <w:gridSpan w:val="2"/>
            <w:vMerge w:val="restart"/>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Borders>
              <w:right w:val="single" w:sz="8" w:color="CCEEFF"/>
            </w:tcBorders>
          </w:tcPr>
          <w:p>
            <w:pPr>
              <w:spacing w:after="0"/>
              <w:rPr>
                <w:sz w:val="7"/>
                <w:szCs w:val="7"/>
                <w:color w:val="auto"/>
              </w:rPr>
            </w:pPr>
          </w:p>
        </w:tc>
        <w:tc>
          <w:tcPr>
            <w:tcW w:w="1880" w:type="dxa"/>
            <w:vAlign w:val="bottom"/>
            <w:gridSpan w:val="2"/>
            <w:vMerge w:val="continue"/>
            <w:shd w:val="clear" w:color="auto" w:fill="CCEEFF"/>
          </w:tcPr>
          <w:p>
            <w:pPr>
              <w:spacing w:after="0"/>
              <w:rPr>
                <w:sz w:val="7"/>
                <w:szCs w:val="7"/>
                <w:color w:val="auto"/>
              </w:rPr>
            </w:pPr>
          </w:p>
        </w:tc>
        <w:tc>
          <w:tcPr>
            <w:tcW w:w="1860" w:type="dxa"/>
            <w:vAlign w:val="bottom"/>
            <w:vMerge w:val="continue"/>
            <w:shd w:val="clear" w:color="auto" w:fill="CCEEFF"/>
          </w:tcPr>
          <w:p>
            <w:pPr>
              <w:spacing w:after="0"/>
              <w:rPr>
                <w:sz w:val="7"/>
                <w:szCs w:val="7"/>
                <w:color w:val="auto"/>
              </w:rPr>
            </w:pPr>
          </w:p>
        </w:tc>
        <w:tc>
          <w:tcPr>
            <w:tcW w:w="18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2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740" w:type="dxa"/>
            <w:vAlign w:val="bottom"/>
            <w:gridSpan w:val="3"/>
            <w:vMerge w:val="restart"/>
          </w:tcPr>
          <w:p>
            <w:pPr>
              <w:spacing w:after="0" w:line="142" w:lineRule="exact"/>
              <w:rPr>
                <w:sz w:val="20"/>
                <w:szCs w:val="20"/>
                <w:color w:val="auto"/>
              </w:rPr>
            </w:pPr>
            <w:r>
              <w:rPr>
                <w:rFonts w:ascii="Arial" w:cs="Arial" w:eastAsia="Arial" w:hAnsi="Arial"/>
                <w:sz w:val="16"/>
                <w:szCs w:val="16"/>
                <w:color w:val="auto"/>
              </w:rPr>
              <w:t>Base Year Index (CPI):</w:t>
            </w:r>
          </w:p>
        </w:tc>
        <w:tc>
          <w:tcPr>
            <w:tcW w:w="1840" w:type="dxa"/>
            <w:vAlign w:val="bottom"/>
            <w:vMerge w:val="restart"/>
          </w:tcPr>
          <w:p>
            <w:pPr>
              <w:ind w:left="1240"/>
              <w:spacing w:after="0" w:line="142" w:lineRule="exact"/>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3"/>
            <w:vMerge w:val="continue"/>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4160" w:type="dxa"/>
            <w:vAlign w:val="bottom"/>
            <w:gridSpan w:val="2"/>
            <w:vMerge w:val="restart"/>
            <w:shd w:val="clear" w:color="auto" w:fill="CCEEFF"/>
          </w:tcPr>
          <w:p>
            <w:pPr>
              <w:ind w:left="20"/>
              <w:spacing w:after="0" w:line="196" w:lineRule="exact"/>
              <w:rPr>
                <w:sz w:val="20"/>
                <w:szCs w:val="20"/>
                <w:color w:val="auto"/>
              </w:rPr>
            </w:pPr>
            <w:r>
              <w:rPr>
                <w:rFonts w:ascii="Arial" w:cs="Arial" w:eastAsia="Arial" w:hAnsi="Arial"/>
                <w:sz w:val="18"/>
                <w:szCs w:val="18"/>
                <w:color w:val="auto"/>
              </w:rPr>
              <w:t>Aircraft Basic Price (Excluding BFE/SPE):</w:t>
            </w:r>
          </w:p>
        </w:tc>
        <w:tc>
          <w:tcPr>
            <w:tcW w:w="1320" w:type="dxa"/>
            <w:vAlign w:val="bottom"/>
            <w:gridSpan w:val="2"/>
            <w:vMerge w:val="restart"/>
            <w:shd w:val="clear" w:color="auto" w:fill="CCEEFF"/>
          </w:tcPr>
          <w:p>
            <w:pPr>
              <w:ind w:left="720"/>
              <w:spacing w:after="0" w:line="196" w:lineRule="exact"/>
              <w:rPr>
                <w:sz w:val="20"/>
                <w:szCs w:val="20"/>
                <w:color w:val="auto"/>
              </w:rPr>
            </w:pPr>
            <w:r>
              <w:rPr>
                <w:rFonts w:ascii="Arial" w:cs="Arial" w:eastAsia="Arial" w:hAnsi="Arial"/>
                <w:sz w:val="18"/>
                <w:szCs w:val="18"/>
                <w:color w:val="auto"/>
              </w:rPr>
              <w:t>[*CTR]</w:t>
            </w:r>
          </w:p>
        </w:tc>
        <w:tc>
          <w:tcPr>
            <w:tcW w:w="2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16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40" w:type="dxa"/>
            <w:vAlign w:val="bottom"/>
            <w:tcBorders>
              <w:right w:val="single" w:sz="8" w:color="CCEEFF"/>
            </w:tcBorders>
          </w:tcPr>
          <w:p>
            <w:pPr>
              <w:spacing w:after="0"/>
              <w:rPr>
                <w:sz w:val="19"/>
                <w:szCs w:val="19"/>
                <w:color w:val="auto"/>
              </w:rPr>
            </w:pPr>
          </w:p>
        </w:tc>
        <w:tc>
          <w:tcPr>
            <w:tcW w:w="374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color w:val="auto"/>
              </w:rPr>
              <w:t>Engine Escalation Data:</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Buyer Furnished Equipment (BFE) Estimate:</w:t>
            </w:r>
          </w:p>
        </w:tc>
        <w:tc>
          <w:tcPr>
            <w:tcW w:w="1200" w:type="dxa"/>
            <w:vAlign w:val="bottom"/>
            <w:tcBorders>
              <w:top w:val="single" w:sz="8" w:color="auto"/>
            </w:tcBorders>
          </w:tcPr>
          <w:p>
            <w:pPr>
              <w:ind w:left="720"/>
              <w:spacing w:after="0" w:line="190" w:lineRule="exact"/>
              <w:rPr>
                <w:sz w:val="20"/>
                <w:szCs w:val="20"/>
                <w:color w:val="auto"/>
              </w:rPr>
            </w:pPr>
            <w:r>
              <w:rPr>
                <w:rFonts w:ascii="Arial" w:cs="Arial" w:eastAsia="Arial" w:hAnsi="Arial"/>
                <w:sz w:val="18"/>
                <w:szCs w:val="18"/>
                <w:color w:val="auto"/>
                <w:w w:val="85"/>
              </w:rPr>
              <w:t>[*CTR]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w w:val="92"/>
              </w:rPr>
              <w:t>Base Year Index (ECI):</w:t>
            </w:r>
          </w:p>
        </w:tc>
        <w:tc>
          <w:tcPr>
            <w:tcW w:w="2000" w:type="dxa"/>
            <w:vAlign w:val="bottom"/>
            <w:tcBorders>
              <w:top w:val="single" w:sz="8" w:color="CCEEFF"/>
            </w:tcBorders>
            <w:gridSpan w:val="2"/>
          </w:tcPr>
          <w:p>
            <w:pPr>
              <w:spacing w:after="0"/>
              <w:rPr>
                <w:sz w:val="16"/>
                <w:szCs w:val="16"/>
                <w:color w:val="auto"/>
              </w:rPr>
            </w:pPr>
          </w:p>
        </w:tc>
        <w:tc>
          <w:tcPr>
            <w:tcW w:w="1840" w:type="dxa"/>
            <w:vAlign w:val="bottom"/>
            <w:tcBorders>
              <w:top w:val="single" w:sz="8" w:color="CCEEFF"/>
            </w:tcBorders>
          </w:tcPr>
          <w:p>
            <w:pPr>
              <w:ind w:left="1240"/>
              <w:spacing w:after="0" w:line="190"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In-Flight Entertainment (IFE) Estimate</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Borders>
              <w:right w:val="single" w:sz="8" w:color="CCEEFF"/>
            </w:tcBorders>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Base Year Index (CPI):</w:t>
            </w:r>
          </w:p>
        </w:tc>
        <w:tc>
          <w:tcPr>
            <w:tcW w:w="18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2820" w:type="dxa"/>
            <w:vAlign w:val="bottom"/>
          </w:tcPr>
          <w:p>
            <w:pPr>
              <w:ind w:left="20"/>
              <w:spacing w:after="0"/>
              <w:rPr>
                <w:sz w:val="20"/>
                <w:szCs w:val="20"/>
                <w:color w:val="auto"/>
              </w:rPr>
            </w:pPr>
            <w:r>
              <w:rPr>
                <w:rFonts w:ascii="Arial" w:cs="Arial" w:eastAsia="Arial" w:hAnsi="Arial"/>
                <w:sz w:val="18"/>
                <w:szCs w:val="18"/>
                <w:color w:val="auto"/>
              </w:rPr>
              <w:t>Deposit per Aircraft:</w:t>
            </w:r>
          </w:p>
        </w:tc>
        <w:tc>
          <w:tcPr>
            <w:tcW w:w="1340" w:type="dxa"/>
            <w:vAlign w:val="bottom"/>
          </w:tcPr>
          <w:p>
            <w:pPr>
              <w:spacing w:after="0"/>
              <w:rPr>
                <w:sz w:val="24"/>
                <w:szCs w:val="24"/>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4"/>
              </w:rPr>
              <w:t>Advance Payment Per Aircraft</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Escalation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Escalation Estimate</w:t>
            </w:r>
          </w:p>
        </w:tc>
        <w:tc>
          <w:tcPr>
            <w:tcW w:w="29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5"/>
              </w:rPr>
              <w:t>(Amts. Due/Mos. Prior to Delivery):</w:t>
            </w:r>
          </w:p>
        </w:tc>
        <w:tc>
          <w:tcPr>
            <w:tcW w:w="0" w:type="dxa"/>
            <w:vAlign w:val="bottom"/>
          </w:tcPr>
          <w:p>
            <w:pPr>
              <w:spacing w:after="0"/>
              <w:rPr>
                <w:sz w:val="1"/>
                <w:szCs w:val="1"/>
                <w:color w:val="auto"/>
              </w:rPr>
            </w:pPr>
          </w:p>
        </w:tc>
      </w:tr>
      <w:tr>
        <w:trPr>
          <w:trHeight w:val="11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Delivery Date</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Factor</w:t>
            </w:r>
          </w:p>
        </w:tc>
        <w:tc>
          <w:tcPr>
            <w:tcW w:w="80" w:type="dxa"/>
            <w:vAlign w:val="bottom"/>
          </w:tcPr>
          <w:p>
            <w:pPr>
              <w:spacing w:after="0"/>
              <w:rPr>
                <w:sz w:val="10"/>
                <w:szCs w:val="10"/>
                <w:color w:val="auto"/>
              </w:rPr>
            </w:pPr>
          </w:p>
        </w:tc>
        <w:tc>
          <w:tcPr>
            <w:tcW w:w="7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Factor</w:t>
            </w: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Manufacturer</w:t>
            </w:r>
          </w:p>
        </w:tc>
        <w:tc>
          <w:tcPr>
            <w:tcW w:w="14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Adv Payment Base</w:t>
            </w: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7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[*CTR]</w:t>
            </w: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58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880" w:type="dxa"/>
            <w:vAlign w:val="bottom"/>
            <w:gridSpan w:val="2"/>
            <w:vMerge w:val="continue"/>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Aircraft</w:t>
            </w:r>
          </w:p>
        </w:tc>
        <w:tc>
          <w:tcPr>
            <w:tcW w:w="10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(Airframe)</w:t>
            </w:r>
          </w:p>
        </w:tc>
        <w:tc>
          <w:tcPr>
            <w:tcW w:w="80" w:type="dxa"/>
            <w:vAlign w:val="bottom"/>
          </w:tcPr>
          <w:p>
            <w:pPr>
              <w:spacing w:after="0"/>
              <w:rPr>
                <w:sz w:val="13"/>
                <w:szCs w:val="13"/>
                <w:color w:val="auto"/>
              </w:rPr>
            </w:pPr>
          </w:p>
        </w:tc>
        <w:tc>
          <w:tcPr>
            <w:tcW w:w="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(Engine)</w:t>
            </w: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Serial Number</w:t>
            </w:r>
          </w:p>
        </w:tc>
        <w:tc>
          <w:tcPr>
            <w:tcW w:w="14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Price Per A/P</w:t>
            </w: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[*CTR]-2015</w:t>
            </w: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74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[*CTR]</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[*CTR]</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[*CTR]</w:t>
            </w:r>
          </w:p>
        </w:tc>
        <w:tc>
          <w:tcPr>
            <w:tcW w:w="4420" w:type="dxa"/>
            <w:vAlign w:val="bottom"/>
            <w:gridSpan w:val="10"/>
            <w:shd w:val="clear" w:color="auto" w:fill="CCEEFF"/>
          </w:tcPr>
          <w:p>
            <w:pPr>
              <w:ind w:left="740"/>
              <w:spacing w:after="0"/>
              <w:rPr>
                <w:sz w:val="20"/>
                <w:szCs w:val="20"/>
                <w:color w:val="auto"/>
              </w:rPr>
            </w:pPr>
            <w:r>
              <w:rPr>
                <w:rFonts w:ascii="Arial" w:cs="Arial" w:eastAsia="Arial" w:hAnsi="Arial"/>
                <w:sz w:val="18"/>
                <w:szCs w:val="18"/>
                <w:color w:val="auto"/>
              </w:rPr>
              <w:t>[*CTR]   [*CTR]   [*CTR]   [*CTR]   [*CTR]</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9"/>
                <w:szCs w:val="19"/>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rPr>
              <w:t>[*CTR]</w:t>
            </w: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[*CTR]</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80" w:type="dxa"/>
            <w:vAlign w:val="bottom"/>
            <w:gridSpan w:val="2"/>
          </w:tcPr>
          <w:p>
            <w:pPr>
              <w:spacing w:after="0"/>
              <w:rPr>
                <w:sz w:val="20"/>
                <w:szCs w:val="20"/>
                <w:color w:val="auto"/>
              </w:rPr>
            </w:pPr>
            <w:r>
              <w:rPr>
                <w:rFonts w:ascii="Arial" w:cs="Arial" w:eastAsia="Arial" w:hAnsi="Arial"/>
                <w:sz w:val="18"/>
                <w:szCs w:val="18"/>
                <w:color w:val="auto"/>
              </w:rPr>
              <w:t>AAL-PA-03219 72345-1F.TXT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5"/>
          </w:tcPr>
          <w:p>
            <w:pPr>
              <w:ind w:left="60"/>
              <w:spacing w:after="0"/>
              <w:rPr>
                <w:sz w:val="20"/>
                <w:szCs w:val="20"/>
                <w:color w:val="auto"/>
              </w:rPr>
            </w:pPr>
            <w:r>
              <w:rPr>
                <w:rFonts w:ascii="Arial" w:cs="Arial" w:eastAsia="Arial" w:hAnsi="Arial"/>
                <w:sz w:val="18"/>
                <w:szCs w:val="18"/>
                <w:b w:val="1"/>
                <w:bCs w:val="1"/>
                <w:color w:val="auto"/>
              </w:rPr>
              <w:t>Boeing Proprietary</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ind w:left="320"/>
              <w:spacing w:after="0"/>
              <w:rPr>
                <w:sz w:val="20"/>
                <w:szCs w:val="20"/>
                <w:color w:val="auto"/>
              </w:rPr>
            </w:pPr>
            <w:r>
              <w:rPr>
                <w:rFonts w:ascii="Arial" w:cs="Arial" w:eastAsia="Arial" w:hAnsi="Arial"/>
                <w:sz w:val="18"/>
                <w:szCs w:val="18"/>
                <w:color w:val="auto"/>
                <w:w w:val="88"/>
              </w:rPr>
              <w:t>SA-5, Table 3(R1), Page 1</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4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PA-03219</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787-8 Aircraft Delivery, Description, Price and Advance Payments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([*CTR] of Additional 787-8 Aircraft yielding 21st 787-8 Aircraft)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 Model/MTOW:</w:t>
            </w: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787-8</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502,500 pounds</w:t>
            </w:r>
          </w:p>
        </w:tc>
        <w:tc>
          <w:tcPr>
            <w:tcW w:w="240" w:type="dxa"/>
            <w:vAlign w:val="bottom"/>
            <w:tcBorders>
              <w:right w:val="single" w:sz="8" w:color="CCEEFF"/>
            </w:tcBorders>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Detail Specification:</w:t>
            </w:r>
          </w:p>
        </w:tc>
        <w:tc>
          <w:tcPr>
            <w:tcW w:w="1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Engine Model/Thrust:</w:t>
            </w:r>
          </w:p>
        </w:tc>
        <w:tc>
          <w:tcPr>
            <w:tcW w:w="1340" w:type="dxa"/>
            <w:vAlign w:val="bottom"/>
          </w:tcPr>
          <w:p>
            <w:pPr>
              <w:jc w:val="center"/>
              <w:ind w:right="290"/>
              <w:spacing w:after="0"/>
              <w:rPr>
                <w:sz w:val="20"/>
                <w:szCs w:val="20"/>
                <w:color w:val="auto"/>
              </w:rPr>
            </w:pPr>
            <w:r>
              <w:rPr>
                <w:rFonts w:ascii="Arial" w:cs="Arial" w:eastAsia="Arial" w:hAnsi="Arial"/>
                <w:sz w:val="18"/>
                <w:szCs w:val="18"/>
                <w:color w:val="auto"/>
                <w:w w:val="96"/>
              </w:rPr>
              <w:t>GENX-1B70</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69,800 pounds</w:t>
            </w:r>
          </w:p>
        </w:tc>
        <w:tc>
          <w:tcPr>
            <w:tcW w:w="24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Airframe Price Base Year/Escalation Formula:</w:t>
            </w:r>
          </w:p>
        </w:tc>
        <w:tc>
          <w:tcPr>
            <w:tcW w:w="1840" w:type="dxa"/>
            <w:vAlign w:val="bottom"/>
          </w:tcPr>
          <w:p>
            <w:pPr>
              <w:ind w:left="4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 Price:</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Borders>
              <w:right w:val="single" w:sz="8" w:color="CCEEFF"/>
            </w:tcBorders>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Engine Price Base Year/Escalation Formula:</w:t>
            </w:r>
          </w:p>
        </w:tc>
        <w:tc>
          <w:tcPr>
            <w:tcW w:w="1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Optional Features:</w:t>
            </w:r>
          </w:p>
        </w:tc>
        <w:tc>
          <w:tcPr>
            <w:tcW w:w="134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Airframe Escalation Data:</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82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200" w:type="dxa"/>
            <w:vAlign w:val="bottom"/>
            <w:tcBorders>
              <w:top w:val="single" w:sz="8" w:color="auto"/>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Pr>
          <w:p>
            <w:pPr>
              <w:spacing w:after="0"/>
              <w:rPr>
                <w:sz w:val="5"/>
                <w:szCs w:val="5"/>
                <w:color w:val="auto"/>
              </w:rPr>
            </w:pPr>
          </w:p>
        </w:tc>
        <w:tc>
          <w:tcPr>
            <w:tcW w:w="3740" w:type="dxa"/>
            <w:vAlign w:val="bottom"/>
            <w:gridSpan w:val="3"/>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82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color w:val="auto"/>
              </w:rPr>
              <w:t>Sub-Total of Airframe and Features:</w:t>
            </w:r>
          </w:p>
        </w:tc>
        <w:tc>
          <w:tcPr>
            <w:tcW w:w="134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gridSpan w:val="2"/>
            <w:shd w:val="clear" w:color="auto" w:fill="CCEEFF"/>
          </w:tcPr>
          <w:p>
            <w:pPr>
              <w:ind w:left="720"/>
              <w:spacing w:after="0" w:line="135" w:lineRule="exact"/>
              <w:rPr>
                <w:sz w:val="20"/>
                <w:szCs w:val="20"/>
                <w:color w:val="auto"/>
              </w:rPr>
            </w:pPr>
            <w:r>
              <w:rPr>
                <w:rFonts w:ascii="Arial" w:cs="Arial" w:eastAsia="Arial" w:hAnsi="Arial"/>
                <w:sz w:val="15"/>
                <w:szCs w:val="15"/>
                <w:color w:val="auto"/>
              </w:rPr>
              <w:t>[*CTR]</w:t>
            </w:r>
          </w:p>
        </w:tc>
        <w:tc>
          <w:tcPr>
            <w:tcW w:w="240" w:type="dxa"/>
            <w:vAlign w:val="bottom"/>
            <w:tcBorders>
              <w:right w:val="single" w:sz="8" w:color="CCEEFF"/>
            </w:tcBorders>
          </w:tcPr>
          <w:p>
            <w:pPr>
              <w:spacing w:after="0"/>
              <w:rPr>
                <w:sz w:val="11"/>
                <w:szCs w:val="11"/>
                <w:color w:val="auto"/>
              </w:rPr>
            </w:pPr>
          </w:p>
        </w:tc>
        <w:tc>
          <w:tcPr>
            <w:tcW w:w="188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Base Year Index (ECI):</w:t>
            </w:r>
          </w:p>
        </w:tc>
        <w:tc>
          <w:tcPr>
            <w:tcW w:w="1860" w:type="dxa"/>
            <w:vAlign w:val="bottom"/>
            <w:vMerge w:val="restart"/>
            <w:shd w:val="clear" w:color="auto" w:fill="CCEEFF"/>
          </w:tcPr>
          <w:p>
            <w:pPr>
              <w:spacing w:after="0"/>
              <w:rPr>
                <w:sz w:val="11"/>
                <w:szCs w:val="11"/>
                <w:color w:val="auto"/>
              </w:rPr>
            </w:pPr>
          </w:p>
        </w:tc>
        <w:tc>
          <w:tcPr>
            <w:tcW w:w="1840" w:type="dxa"/>
            <w:vAlign w:val="bottom"/>
            <w:vMerge w:val="restart"/>
            <w:shd w:val="clear" w:color="auto" w:fill="CCEEFF"/>
          </w:tcPr>
          <w:p>
            <w:pPr>
              <w:ind w:left="12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81"/>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Engine Price (Per Aircraft):</w:t>
            </w:r>
          </w:p>
        </w:tc>
        <w:tc>
          <w:tcPr>
            <w:tcW w:w="1340" w:type="dxa"/>
            <w:vAlign w:val="bottom"/>
          </w:tcPr>
          <w:p>
            <w:pPr>
              <w:spacing w:after="0"/>
              <w:rPr>
                <w:sz w:val="7"/>
                <w:szCs w:val="7"/>
                <w:color w:val="auto"/>
              </w:rPr>
            </w:pPr>
          </w:p>
        </w:tc>
        <w:tc>
          <w:tcPr>
            <w:tcW w:w="1320" w:type="dxa"/>
            <w:vAlign w:val="bottom"/>
            <w:gridSpan w:val="2"/>
            <w:vMerge w:val="restart"/>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Borders>
              <w:right w:val="single" w:sz="8" w:color="CCEEFF"/>
            </w:tcBorders>
          </w:tcPr>
          <w:p>
            <w:pPr>
              <w:spacing w:after="0"/>
              <w:rPr>
                <w:sz w:val="7"/>
                <w:szCs w:val="7"/>
                <w:color w:val="auto"/>
              </w:rPr>
            </w:pPr>
          </w:p>
        </w:tc>
        <w:tc>
          <w:tcPr>
            <w:tcW w:w="1880" w:type="dxa"/>
            <w:vAlign w:val="bottom"/>
            <w:gridSpan w:val="2"/>
            <w:vMerge w:val="continue"/>
            <w:shd w:val="clear" w:color="auto" w:fill="CCEEFF"/>
          </w:tcPr>
          <w:p>
            <w:pPr>
              <w:spacing w:after="0"/>
              <w:rPr>
                <w:sz w:val="7"/>
                <w:szCs w:val="7"/>
                <w:color w:val="auto"/>
              </w:rPr>
            </w:pPr>
          </w:p>
        </w:tc>
        <w:tc>
          <w:tcPr>
            <w:tcW w:w="1860" w:type="dxa"/>
            <w:vAlign w:val="bottom"/>
            <w:vMerge w:val="continue"/>
            <w:shd w:val="clear" w:color="auto" w:fill="CCEEFF"/>
          </w:tcPr>
          <w:p>
            <w:pPr>
              <w:spacing w:after="0"/>
              <w:rPr>
                <w:sz w:val="7"/>
                <w:szCs w:val="7"/>
                <w:color w:val="auto"/>
              </w:rPr>
            </w:pPr>
          </w:p>
        </w:tc>
        <w:tc>
          <w:tcPr>
            <w:tcW w:w="18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2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740" w:type="dxa"/>
            <w:vAlign w:val="bottom"/>
            <w:gridSpan w:val="3"/>
            <w:vMerge w:val="restart"/>
          </w:tcPr>
          <w:p>
            <w:pPr>
              <w:spacing w:after="0" w:line="142" w:lineRule="exact"/>
              <w:rPr>
                <w:sz w:val="20"/>
                <w:szCs w:val="20"/>
                <w:color w:val="auto"/>
              </w:rPr>
            </w:pPr>
            <w:r>
              <w:rPr>
                <w:rFonts w:ascii="Arial" w:cs="Arial" w:eastAsia="Arial" w:hAnsi="Arial"/>
                <w:sz w:val="16"/>
                <w:szCs w:val="16"/>
                <w:color w:val="auto"/>
              </w:rPr>
              <w:t>Base Year Index (CPI):</w:t>
            </w:r>
          </w:p>
        </w:tc>
        <w:tc>
          <w:tcPr>
            <w:tcW w:w="1840" w:type="dxa"/>
            <w:vAlign w:val="bottom"/>
            <w:vMerge w:val="restart"/>
          </w:tcPr>
          <w:p>
            <w:pPr>
              <w:ind w:left="1240"/>
              <w:spacing w:after="0" w:line="142" w:lineRule="exact"/>
              <w:rPr>
                <w:sz w:val="20"/>
                <w:szCs w:val="20"/>
                <w:color w:val="auto"/>
              </w:rPr>
            </w:pPr>
            <w:r>
              <w:rPr>
                <w:rFonts w:ascii="Arial" w:cs="Arial" w:eastAsia="Arial" w:hAnsi="Arial"/>
                <w:sz w:val="16"/>
                <w:szCs w:val="16"/>
                <w:color w:val="auto"/>
              </w:rPr>
              <w:t>[*CTR]</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3"/>
            <w:vMerge w:val="continue"/>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4160" w:type="dxa"/>
            <w:vAlign w:val="bottom"/>
            <w:gridSpan w:val="2"/>
            <w:vMerge w:val="restart"/>
            <w:shd w:val="clear" w:color="auto" w:fill="CCEEFF"/>
          </w:tcPr>
          <w:p>
            <w:pPr>
              <w:ind w:left="20"/>
              <w:spacing w:after="0" w:line="196" w:lineRule="exact"/>
              <w:rPr>
                <w:sz w:val="20"/>
                <w:szCs w:val="20"/>
                <w:color w:val="auto"/>
              </w:rPr>
            </w:pPr>
            <w:r>
              <w:rPr>
                <w:rFonts w:ascii="Arial" w:cs="Arial" w:eastAsia="Arial" w:hAnsi="Arial"/>
                <w:sz w:val="18"/>
                <w:szCs w:val="18"/>
                <w:color w:val="auto"/>
              </w:rPr>
              <w:t>Aircraft Basic Price (Excluding BFE/SPE):</w:t>
            </w:r>
          </w:p>
        </w:tc>
        <w:tc>
          <w:tcPr>
            <w:tcW w:w="1320" w:type="dxa"/>
            <w:vAlign w:val="bottom"/>
            <w:gridSpan w:val="2"/>
            <w:vMerge w:val="restart"/>
            <w:shd w:val="clear" w:color="auto" w:fill="CCEEFF"/>
          </w:tcPr>
          <w:p>
            <w:pPr>
              <w:ind w:left="720"/>
              <w:spacing w:after="0" w:line="196" w:lineRule="exact"/>
              <w:rPr>
                <w:sz w:val="20"/>
                <w:szCs w:val="20"/>
                <w:color w:val="auto"/>
              </w:rPr>
            </w:pPr>
            <w:r>
              <w:rPr>
                <w:rFonts w:ascii="Arial" w:cs="Arial" w:eastAsia="Arial" w:hAnsi="Arial"/>
                <w:sz w:val="18"/>
                <w:szCs w:val="18"/>
                <w:color w:val="auto"/>
              </w:rPr>
              <w:t>[*CTR]</w:t>
            </w:r>
          </w:p>
        </w:tc>
        <w:tc>
          <w:tcPr>
            <w:tcW w:w="2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16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40" w:type="dxa"/>
            <w:vAlign w:val="bottom"/>
            <w:tcBorders>
              <w:right w:val="single" w:sz="8" w:color="CCEEFF"/>
            </w:tcBorders>
          </w:tcPr>
          <w:p>
            <w:pPr>
              <w:spacing w:after="0"/>
              <w:rPr>
                <w:sz w:val="19"/>
                <w:szCs w:val="19"/>
                <w:color w:val="auto"/>
              </w:rPr>
            </w:pPr>
          </w:p>
        </w:tc>
        <w:tc>
          <w:tcPr>
            <w:tcW w:w="374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color w:val="auto"/>
              </w:rPr>
              <w:t>Engine Escalation Data:</w:t>
            </w: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Buyer Furnished Equipment (BFE) Estimate:</w:t>
            </w:r>
          </w:p>
        </w:tc>
        <w:tc>
          <w:tcPr>
            <w:tcW w:w="1200" w:type="dxa"/>
            <w:vAlign w:val="bottom"/>
            <w:tcBorders>
              <w:top w:val="single" w:sz="8" w:color="auto"/>
            </w:tcBorders>
          </w:tcPr>
          <w:p>
            <w:pPr>
              <w:ind w:left="720"/>
              <w:spacing w:after="0" w:line="190" w:lineRule="exact"/>
              <w:rPr>
                <w:sz w:val="20"/>
                <w:szCs w:val="20"/>
                <w:color w:val="auto"/>
              </w:rPr>
            </w:pPr>
            <w:r>
              <w:rPr>
                <w:rFonts w:ascii="Arial" w:cs="Arial" w:eastAsia="Arial" w:hAnsi="Arial"/>
                <w:sz w:val="18"/>
                <w:szCs w:val="18"/>
                <w:color w:val="auto"/>
                <w:w w:val="85"/>
              </w:rPr>
              <w:t>[*CTR]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w w:val="92"/>
              </w:rPr>
              <w:t>Base Year Index (ECI):</w:t>
            </w:r>
          </w:p>
        </w:tc>
        <w:tc>
          <w:tcPr>
            <w:tcW w:w="2000" w:type="dxa"/>
            <w:vAlign w:val="bottom"/>
            <w:tcBorders>
              <w:top w:val="single" w:sz="8" w:color="CCEEFF"/>
            </w:tcBorders>
            <w:gridSpan w:val="2"/>
          </w:tcPr>
          <w:p>
            <w:pPr>
              <w:spacing w:after="0"/>
              <w:rPr>
                <w:sz w:val="16"/>
                <w:szCs w:val="16"/>
                <w:color w:val="auto"/>
              </w:rPr>
            </w:pPr>
          </w:p>
        </w:tc>
        <w:tc>
          <w:tcPr>
            <w:tcW w:w="1840" w:type="dxa"/>
            <w:vAlign w:val="bottom"/>
            <w:tcBorders>
              <w:top w:val="single" w:sz="8" w:color="CCEEFF"/>
            </w:tcBorders>
          </w:tcPr>
          <w:p>
            <w:pPr>
              <w:ind w:left="1240"/>
              <w:spacing w:after="0" w:line="190" w:lineRule="exact"/>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In-Flight Entertainment (IFE) Estimate</w:t>
            </w:r>
          </w:p>
        </w:tc>
        <w:tc>
          <w:tcPr>
            <w:tcW w:w="1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Borders>
              <w:right w:val="single" w:sz="8" w:color="CCEEFF"/>
            </w:tcBorders>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Base Year Index (CPI):</w:t>
            </w:r>
          </w:p>
        </w:tc>
        <w:tc>
          <w:tcPr>
            <w:tcW w:w="18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2820" w:type="dxa"/>
            <w:vAlign w:val="bottom"/>
          </w:tcPr>
          <w:p>
            <w:pPr>
              <w:ind w:left="20"/>
              <w:spacing w:after="0"/>
              <w:rPr>
                <w:sz w:val="20"/>
                <w:szCs w:val="20"/>
                <w:color w:val="auto"/>
              </w:rPr>
            </w:pPr>
            <w:r>
              <w:rPr>
                <w:rFonts w:ascii="Arial" w:cs="Arial" w:eastAsia="Arial" w:hAnsi="Arial"/>
                <w:sz w:val="18"/>
                <w:szCs w:val="18"/>
                <w:color w:val="auto"/>
              </w:rPr>
              <w:t>Deposit per Aircraft:</w:t>
            </w:r>
          </w:p>
        </w:tc>
        <w:tc>
          <w:tcPr>
            <w:tcW w:w="1340" w:type="dxa"/>
            <w:vAlign w:val="bottom"/>
          </w:tcPr>
          <w:p>
            <w:pPr>
              <w:spacing w:after="0"/>
              <w:rPr>
                <w:sz w:val="24"/>
                <w:szCs w:val="24"/>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Delivery Date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[*CTR]-2016</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Advance Payment Per Aircraft</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Escalation</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Escalation</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Escalation Estimate</w:t>
            </w:r>
          </w:p>
        </w:tc>
        <w:tc>
          <w:tcPr>
            <w:tcW w:w="314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6"/>
              </w:rPr>
              <w:t>(Amts. Due/Mos. Prior to Delivery):</w:t>
            </w:r>
          </w:p>
        </w:tc>
        <w:tc>
          <w:tcPr>
            <w:tcW w:w="0" w:type="dxa"/>
            <w:vAlign w:val="bottom"/>
          </w:tcPr>
          <w:p>
            <w:pPr>
              <w:spacing w:after="0"/>
              <w:rPr>
                <w:sz w:val="1"/>
                <w:szCs w:val="1"/>
                <w:color w:val="auto"/>
              </w:rPr>
            </w:pPr>
          </w:p>
        </w:tc>
      </w:tr>
      <w:tr>
        <w:trPr>
          <w:trHeight w:val="119"/>
        </w:trPr>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w:t>
            </w:r>
          </w:p>
        </w:tc>
        <w:tc>
          <w:tcPr>
            <w:tcW w:w="180" w:type="dxa"/>
            <w:vAlign w:val="bottom"/>
          </w:tcPr>
          <w:p>
            <w:pPr>
              <w:spacing w:after="0"/>
              <w:rPr>
                <w:sz w:val="10"/>
                <w:szCs w:val="10"/>
                <w:color w:val="auto"/>
              </w:rPr>
            </w:pP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Factor</w:t>
            </w: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Factor</w:t>
            </w: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Manufacturer</w:t>
            </w:r>
          </w:p>
        </w:tc>
        <w:tc>
          <w:tcPr>
            <w:tcW w:w="15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Adv Payment Base</w:t>
            </w:r>
          </w:p>
        </w:tc>
        <w:tc>
          <w:tcPr>
            <w:tcW w:w="8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8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[*CTR]</w:t>
            </w:r>
          </w:p>
        </w:tc>
        <w:tc>
          <w:tcPr>
            <w:tcW w:w="8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[*CTR]</w:t>
            </w:r>
          </w:p>
        </w:tc>
        <w:tc>
          <w:tcPr>
            <w:tcW w:w="58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1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(Airframe)</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(Engine)</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Serial Number</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 Per A/P</w:t>
            </w: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210"/>
        </w:trPr>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[*CTR]</w:t>
            </w: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[*CTR]</w:t>
            </w:r>
          </w:p>
        </w:tc>
        <w:tc>
          <w:tcPr>
            <w:tcW w:w="280" w:type="dxa"/>
            <w:vAlign w:val="bottom"/>
          </w:tcPr>
          <w:p>
            <w:pPr>
              <w:spacing w:after="0"/>
              <w:rPr>
                <w:sz w:val="18"/>
                <w:szCs w:val="18"/>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[*CTR]</w:t>
            </w:r>
          </w:p>
        </w:tc>
        <w:tc>
          <w:tcPr>
            <w:tcW w:w="280" w:type="dxa"/>
            <w:vAlign w:val="bottom"/>
          </w:tcPr>
          <w:p>
            <w:pPr>
              <w:spacing w:after="0"/>
              <w:rPr>
                <w:sz w:val="18"/>
                <w:szCs w:val="18"/>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[*CTR]</w:t>
            </w:r>
          </w:p>
        </w:tc>
        <w:tc>
          <w:tcPr>
            <w:tcW w:w="260" w:type="dxa"/>
            <w:vAlign w:val="bottom"/>
          </w:tcPr>
          <w:p>
            <w:pPr>
              <w:spacing w:after="0"/>
              <w:rPr>
                <w:sz w:val="18"/>
                <w:szCs w:val="18"/>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[*CTR]</w:t>
            </w:r>
          </w:p>
        </w:tc>
        <w:tc>
          <w:tcPr>
            <w:tcW w:w="260" w:type="dxa"/>
            <w:vAlign w:val="bottom"/>
          </w:tcPr>
          <w:p>
            <w:pPr>
              <w:spacing w:after="0"/>
              <w:rPr>
                <w:sz w:val="18"/>
                <w:szCs w:val="18"/>
                <w:color w:val="auto"/>
              </w:rPr>
            </w:pP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8"/>
              </w:rPr>
              <w:t>[*CTR]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-299720</wp:posOffset>
            </wp:positionV>
            <wp:extent cx="724662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580" w:space="720"/>
            <w:col w:w="8120"/>
          </w:cols>
          <w:pgMar w:left="240" w:top="270" w:right="239" w:bottom="1440" w:gutter="0" w:footer="0" w:header="0"/>
          <w:type w:val="continuous"/>
        </w:sectPr>
      </w:pPr>
    </w:p>
    <w:p>
      <w:pPr>
        <w:spacing w:after="0"/>
        <w:tabs>
          <w:tab w:leader="none" w:pos="5200" w:val="left"/>
          <w:tab w:leader="none" w:pos="9860" w:val="left"/>
        </w:tabs>
        <w:rPr>
          <w:sz w:val="20"/>
          <w:szCs w:val="20"/>
          <w:color w:val="auto"/>
        </w:rPr>
      </w:pPr>
      <w:r>
        <w:rPr>
          <w:rFonts w:ascii="Arial" w:cs="Arial" w:eastAsia="Arial" w:hAnsi="Arial"/>
          <w:sz w:val="18"/>
          <w:szCs w:val="18"/>
          <w:color w:val="auto"/>
        </w:rPr>
        <w:t>AAL-PA-03219 72345-1F.TXT</w:t>
      </w:r>
      <w:r>
        <w:rPr>
          <w:sz w:val="20"/>
          <w:szCs w:val="20"/>
          <w:color w:val="auto"/>
        </w:rPr>
        <w:tab/>
      </w:r>
      <w:r>
        <w:rPr>
          <w:rFonts w:ascii="Arial" w:cs="Arial" w:eastAsia="Arial" w:hAnsi="Arial"/>
          <w:sz w:val="18"/>
          <w:szCs w:val="18"/>
          <w:b w:val="1"/>
          <w:bCs w:val="1"/>
          <w:color w:val="auto"/>
        </w:rPr>
        <w:t>Boeing Proprietary</w:t>
      </w:r>
      <w:r>
        <w:rPr>
          <w:sz w:val="20"/>
          <w:szCs w:val="20"/>
          <w:color w:val="auto"/>
        </w:rPr>
        <w:tab/>
      </w:r>
      <w:r>
        <w:rPr>
          <w:rFonts w:ascii="Arial" w:cs="Arial" w:eastAsia="Arial" w:hAnsi="Arial"/>
          <w:sz w:val="16"/>
          <w:szCs w:val="16"/>
          <w:color w:val="auto"/>
        </w:rPr>
        <w:t>SA-5, Table4, Page 1</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167" w:name="page168"/>
    <w:bookmarkEnd w:id="1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A2(R2) to Purchase Agreement Number 3219</w:t>
      </w:r>
    </w:p>
    <w:p>
      <w:pPr>
        <w:sectPr>
          <w:pgSz w:w="11900" w:h="16838" w:orient="portrait"/>
          <w:cols w:equalWidth="0" w:num="1">
            <w:col w:w="11420"/>
          </w:cols>
          <w:pgMar w:left="240" w:top="274"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2920"/>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center"/>
        <w:ind w:right="2920"/>
        <w:spacing w:after="0"/>
        <w:rPr>
          <w:sz w:val="20"/>
          <w:szCs w:val="20"/>
          <w:color w:val="auto"/>
        </w:rPr>
      </w:pPr>
      <w:r>
        <w:rPr>
          <w:rFonts w:ascii="Arial" w:cs="Arial" w:eastAsia="Arial" w:hAnsi="Arial"/>
          <w:sz w:val="17"/>
          <w:szCs w:val="17"/>
          <w:b w:val="1"/>
          <w:bCs w:val="1"/>
          <w:color w:val="auto"/>
        </w:rPr>
        <w:t>BOEING PROPRIETARY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Exhibit A2</w:t>
      </w:r>
    </w:p>
    <w:p>
      <w:pPr>
        <w:spacing w:after="0" w:line="430" w:lineRule="exact"/>
        <w:rPr>
          <w:sz w:val="20"/>
          <w:szCs w:val="20"/>
          <w:color w:val="auto"/>
        </w:rPr>
      </w:pPr>
    </w:p>
    <w:p>
      <w:pPr>
        <w:sectPr>
          <w:pgSz w:w="11900" w:h="16838" w:orient="portrait"/>
          <w:cols w:equalWidth="0" w:num="3">
            <w:col w:w="4200" w:space="720"/>
            <w:col w:w="4980" w:space="720"/>
            <w:col w:w="800"/>
          </w:cols>
          <w:pgMar w:left="240" w:top="274" w:right="239" w:bottom="1440" w:gutter="0" w:footer="0" w:header="0"/>
          <w:type w:val="continuous"/>
        </w:sectPr>
      </w:pPr>
    </w:p>
    <w:p>
      <w:pPr>
        <w:spacing w:after="0" w:line="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68" w:name="page169"/>
    <w:bookmarkEnd w:id="16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A2(R2)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AIRCRAFT CONFIGURATION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the effective Date of SA-5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relating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BOEING MODEL 787-8 AIRCRAFT</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Detail Specification is Boeing document number [*CTR] (the [*CTR] to the Detail Specification being [*CTR], e.g., for the [*CTR], the Detail Specification is number [*CTR]). The Detail Specification provides [*CTR] set forth in this Exhibit A. Such Detail Specification is comprised of Boeing 787 Airplane [*CTR] by Customer, including the effects on [*CTR], that are specified herein. [*CTR], Boeing will furnish to Customer copies of the Detail Specification, which copies will [*CTR]. The [*CTR], except such [*CTR].</w:t>
      </w:r>
    </w:p>
    <w:p>
      <w:pPr>
        <w:sectPr>
          <w:pgSz w:w="11900" w:h="16838" w:orient="portrait"/>
          <w:cols w:equalWidth="0" w:num="1">
            <w:col w:w="11420"/>
          </w:cols>
          <w:pgMar w:left="240" w:top="274" w:right="2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SA-5</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Exhibit A2(R2), Page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BOEING PROPRIETARY</w:t>
      </w:r>
    </w:p>
    <w:p>
      <w:pPr>
        <w:spacing w:after="0" w:line="200" w:lineRule="exact"/>
        <w:rPr>
          <w:sz w:val="20"/>
          <w:szCs w:val="20"/>
          <w:color w:val="auto"/>
        </w:rPr>
      </w:pPr>
    </w:p>
    <w:p>
      <w:pPr>
        <w:sectPr>
          <w:pgSz w:w="11900" w:h="16838" w:orient="portrait"/>
          <w:cols w:equalWidth="0" w:num="3">
            <w:col w:w="3300" w:space="720"/>
            <w:col w:w="380" w:space="280"/>
            <w:col w:w="6740"/>
          </w:cols>
          <w:pgMar w:left="240" w:top="274" w:right="2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69" w:name="page170"/>
    <w:bookmarkEnd w:id="16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[*CTR] Where</w:t>
            </w:r>
          </w:p>
        </w:tc>
        <w:tc>
          <w:tcPr>
            <w:tcW w:w="2440" w:type="dxa"/>
            <w:vAlign w:val="bottom"/>
          </w:tcPr>
          <w:p>
            <w:pPr>
              <w:spacing w:after="0"/>
              <w:rPr>
                <w:sz w:val="14"/>
                <w:szCs w:val="14"/>
                <w:color w:val="auto"/>
              </w:rPr>
            </w:pPr>
          </w:p>
        </w:tc>
        <w:tc>
          <w:tcPr>
            <w:tcW w:w="43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Applicable</w:t>
            </w:r>
          </w:p>
        </w:tc>
        <w:tc>
          <w:tcPr>
            <w:tcW w:w="24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[*CTR]</w:t>
            </w:r>
          </w:p>
        </w:tc>
        <w:tc>
          <w:tcPr>
            <w:tcW w:w="3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[*CTR]</w:t>
            </w:r>
          </w:p>
        </w:tc>
        <w:tc>
          <w:tcPr>
            <w:tcW w:w="300" w:type="dxa"/>
            <w:vAlign w:val="bottom"/>
          </w:tcPr>
          <w:p>
            <w:pPr>
              <w:spacing w:after="0"/>
              <w:rPr>
                <w:sz w:val="16"/>
                <w:szCs w:val="16"/>
                <w:color w:val="auto"/>
              </w:rPr>
            </w:pPr>
          </w:p>
        </w:tc>
        <w:tc>
          <w:tcPr>
            <w:tcW w:w="2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[*CTR]</w:t>
            </w: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00" w:type="dxa"/>
            <w:vAlign w:val="bottom"/>
            <w:gridSpan w:val="5"/>
          </w:tcPr>
          <w:p>
            <w:pPr>
              <w:spacing w:after="0"/>
              <w:rPr>
                <w:sz w:val="20"/>
                <w:szCs w:val="20"/>
                <w:color w:val="auto"/>
              </w:rPr>
            </w:pPr>
            <w:r>
              <w:rPr>
                <w:rFonts w:ascii="Arial" w:cs="Arial" w:eastAsia="Arial" w:hAnsi="Arial"/>
                <w:sz w:val="18"/>
                <w:szCs w:val="18"/>
                <w:color w:val="auto"/>
              </w:rPr>
              <w:t>P.A. No. 3219</w:t>
            </w:r>
          </w:p>
        </w:tc>
        <w:tc>
          <w:tcPr>
            <w:tcW w:w="2440" w:type="dxa"/>
            <w:vAlign w:val="bottom"/>
          </w:tcPr>
          <w:p>
            <w:pPr>
              <w:ind w:left="1920"/>
              <w:spacing w:after="0"/>
              <w:rPr>
                <w:sz w:val="20"/>
                <w:szCs w:val="20"/>
                <w:color w:val="auto"/>
              </w:rPr>
            </w:pPr>
            <w:r>
              <w:rPr>
                <w:rFonts w:ascii="Arial" w:cs="Arial" w:eastAsia="Arial" w:hAnsi="Arial"/>
                <w:sz w:val="18"/>
                <w:szCs w:val="18"/>
                <w:color w:val="auto"/>
              </w:rPr>
              <w:t>SA-5</w:t>
            </w:r>
          </w:p>
        </w:tc>
        <w:tc>
          <w:tcPr>
            <w:tcW w:w="4360" w:type="dxa"/>
            <w:vAlign w:val="bottom"/>
          </w:tcPr>
          <w:p>
            <w:pPr>
              <w:ind w:left="1880"/>
              <w:spacing w:after="0"/>
              <w:rPr>
                <w:sz w:val="20"/>
                <w:szCs w:val="20"/>
                <w:color w:val="auto"/>
              </w:rPr>
            </w:pPr>
            <w:r>
              <w:rPr>
                <w:rFonts w:ascii="Arial" w:cs="Arial" w:eastAsia="Arial" w:hAnsi="Arial"/>
                <w:sz w:val="18"/>
                <w:szCs w:val="18"/>
                <w:color w:val="auto"/>
              </w:rPr>
              <w:t>Exhibit A2(R2), Page 2</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BOEING PROPRIETARY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-3532505</wp:posOffset>
            </wp:positionV>
            <wp:extent cx="724662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-3249295</wp:posOffset>
            </wp:positionV>
            <wp:extent cx="72466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-2974975</wp:posOffset>
            </wp:positionV>
            <wp:extent cx="72466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-2700655</wp:posOffset>
            </wp:positionV>
            <wp:extent cx="72466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72466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72466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2466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[*CTR]</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 Price</w:t>
            </w:r>
          </w:p>
        </w:tc>
        <w:tc>
          <w:tcPr>
            <w:tcW w:w="0" w:type="dxa"/>
            <w:vAlign w:val="bottom"/>
          </w:tcPr>
          <w:p>
            <w:pPr>
              <w:spacing w:after="0"/>
              <w:rPr>
                <w:sz w:val="1"/>
                <w:szCs w:val="1"/>
                <w:color w:val="auto"/>
              </w:rPr>
            </w:pPr>
          </w:p>
        </w:tc>
      </w:tr>
      <w:tr>
        <w:trPr>
          <w:trHeight w:val="149"/>
        </w:trPr>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[*CTR] AP</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 A/C</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A/C</w:t>
            </w:r>
          </w:p>
        </w:tc>
        <w:tc>
          <w:tcPr>
            <w:tcW w:w="0" w:type="dxa"/>
            <w:vAlign w:val="bottom"/>
          </w:tcPr>
          <w:p>
            <w:pPr>
              <w:spacing w:after="0"/>
              <w:rPr>
                <w:sz w:val="1"/>
                <w:szCs w:val="1"/>
                <w:color w:val="auto"/>
              </w:rPr>
            </w:pPr>
          </w:p>
        </w:tc>
      </w:tr>
      <w:tr>
        <w:trPr>
          <w:trHeight w:val="195"/>
        </w:trPr>
        <w:tc>
          <w:tcPr>
            <w:tcW w:w="8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8"/>
              </w:rPr>
              <w:t>[*CTR]</w:t>
            </w:r>
          </w:p>
        </w:tc>
        <w:tc>
          <w:tcPr>
            <w:tcW w:w="420" w:type="dxa"/>
            <w:vAlign w:val="bottom"/>
          </w:tcPr>
          <w:p>
            <w:pPr>
              <w:spacing w:after="0"/>
              <w:rPr>
                <w:sz w:val="16"/>
                <w:szCs w:val="16"/>
                <w:color w:val="auto"/>
              </w:rPr>
            </w:pPr>
          </w:p>
        </w:tc>
        <w:tc>
          <w:tcPr>
            <w:tcW w:w="8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88"/>
              </w:rPr>
              <w:t>[*CTR]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8900" w:space="300"/>
            <w:col w:w="2220"/>
          </w:cols>
          <w:pgMar w:left="240" w:top="253"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type w:val="continuous"/>
        </w:sectPr>
      </w:pPr>
    </w:p>
    <w:bookmarkStart w:id="170" w:name="page171"/>
    <w:bookmarkEnd w:id="17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[*CTR] Where</w:t>
            </w:r>
          </w:p>
        </w:tc>
        <w:tc>
          <w:tcPr>
            <w:tcW w:w="2440" w:type="dxa"/>
            <w:vAlign w:val="bottom"/>
          </w:tcPr>
          <w:p>
            <w:pPr>
              <w:spacing w:after="0"/>
              <w:rPr>
                <w:sz w:val="14"/>
                <w:szCs w:val="14"/>
                <w:color w:val="auto"/>
              </w:rPr>
            </w:pPr>
          </w:p>
        </w:tc>
        <w:tc>
          <w:tcPr>
            <w:tcW w:w="43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Applicable</w:t>
            </w:r>
          </w:p>
        </w:tc>
        <w:tc>
          <w:tcPr>
            <w:tcW w:w="24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[*CTR]</w:t>
            </w:r>
          </w:p>
        </w:tc>
        <w:tc>
          <w:tcPr>
            <w:tcW w:w="3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[*CTR]</w:t>
            </w:r>
          </w:p>
        </w:tc>
        <w:tc>
          <w:tcPr>
            <w:tcW w:w="300" w:type="dxa"/>
            <w:vAlign w:val="bottom"/>
          </w:tcPr>
          <w:p>
            <w:pPr>
              <w:spacing w:after="0"/>
              <w:rPr>
                <w:sz w:val="16"/>
                <w:szCs w:val="16"/>
                <w:color w:val="auto"/>
              </w:rPr>
            </w:pPr>
          </w:p>
        </w:tc>
        <w:tc>
          <w:tcPr>
            <w:tcW w:w="2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[*CTR]</w:t>
            </w: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00" w:type="dxa"/>
            <w:vAlign w:val="bottom"/>
            <w:gridSpan w:val="5"/>
          </w:tcPr>
          <w:p>
            <w:pPr>
              <w:spacing w:after="0"/>
              <w:rPr>
                <w:sz w:val="20"/>
                <w:szCs w:val="20"/>
                <w:color w:val="auto"/>
              </w:rPr>
            </w:pPr>
            <w:r>
              <w:rPr>
                <w:rFonts w:ascii="Arial" w:cs="Arial" w:eastAsia="Arial" w:hAnsi="Arial"/>
                <w:sz w:val="18"/>
                <w:szCs w:val="18"/>
                <w:color w:val="auto"/>
              </w:rPr>
              <w:t>P.A. No. 3219</w:t>
            </w:r>
          </w:p>
        </w:tc>
        <w:tc>
          <w:tcPr>
            <w:tcW w:w="2440" w:type="dxa"/>
            <w:vAlign w:val="bottom"/>
          </w:tcPr>
          <w:p>
            <w:pPr>
              <w:ind w:left="1920"/>
              <w:spacing w:after="0"/>
              <w:rPr>
                <w:sz w:val="20"/>
                <w:szCs w:val="20"/>
                <w:color w:val="auto"/>
              </w:rPr>
            </w:pPr>
            <w:r>
              <w:rPr>
                <w:rFonts w:ascii="Arial" w:cs="Arial" w:eastAsia="Arial" w:hAnsi="Arial"/>
                <w:sz w:val="18"/>
                <w:szCs w:val="18"/>
                <w:color w:val="auto"/>
              </w:rPr>
              <w:t>SA-5</w:t>
            </w:r>
          </w:p>
        </w:tc>
        <w:tc>
          <w:tcPr>
            <w:tcW w:w="4360" w:type="dxa"/>
            <w:vAlign w:val="bottom"/>
          </w:tcPr>
          <w:p>
            <w:pPr>
              <w:ind w:left="1880"/>
              <w:spacing w:after="0"/>
              <w:rPr>
                <w:sz w:val="20"/>
                <w:szCs w:val="20"/>
                <w:color w:val="auto"/>
              </w:rPr>
            </w:pPr>
            <w:r>
              <w:rPr>
                <w:rFonts w:ascii="Arial" w:cs="Arial" w:eastAsia="Arial" w:hAnsi="Arial"/>
                <w:sz w:val="18"/>
                <w:szCs w:val="18"/>
                <w:color w:val="auto"/>
              </w:rPr>
              <w:t>Exhibit A2(R2), Page 3</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BOEING PROPRIETARY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-3943985</wp:posOffset>
            </wp:positionV>
            <wp:extent cx="7246620"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-3661410</wp:posOffset>
            </wp:positionV>
            <wp:extent cx="72466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-3387090</wp:posOffset>
            </wp:positionV>
            <wp:extent cx="724662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-3112135</wp:posOffset>
            </wp:positionV>
            <wp:extent cx="72466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2466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72466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2466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2466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2466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[*CTR]</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 Price</w:t>
            </w:r>
          </w:p>
        </w:tc>
        <w:tc>
          <w:tcPr>
            <w:tcW w:w="0" w:type="dxa"/>
            <w:vAlign w:val="bottom"/>
          </w:tcPr>
          <w:p>
            <w:pPr>
              <w:spacing w:after="0"/>
              <w:rPr>
                <w:sz w:val="1"/>
                <w:szCs w:val="1"/>
                <w:color w:val="auto"/>
              </w:rPr>
            </w:pPr>
          </w:p>
        </w:tc>
      </w:tr>
      <w:tr>
        <w:trPr>
          <w:trHeight w:val="149"/>
        </w:trPr>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[*CTR] AP</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 A/C</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A/C</w:t>
            </w:r>
          </w:p>
        </w:tc>
        <w:tc>
          <w:tcPr>
            <w:tcW w:w="0" w:type="dxa"/>
            <w:vAlign w:val="bottom"/>
          </w:tcPr>
          <w:p>
            <w:pPr>
              <w:spacing w:after="0"/>
              <w:rPr>
                <w:sz w:val="1"/>
                <w:szCs w:val="1"/>
                <w:color w:val="auto"/>
              </w:rPr>
            </w:pPr>
          </w:p>
        </w:tc>
      </w:tr>
      <w:tr>
        <w:trPr>
          <w:trHeight w:val="195"/>
        </w:trPr>
        <w:tc>
          <w:tcPr>
            <w:tcW w:w="8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8"/>
              </w:rPr>
              <w:t>[*CTR]</w:t>
            </w:r>
          </w:p>
        </w:tc>
        <w:tc>
          <w:tcPr>
            <w:tcW w:w="420" w:type="dxa"/>
            <w:vAlign w:val="bottom"/>
          </w:tcPr>
          <w:p>
            <w:pPr>
              <w:spacing w:after="0"/>
              <w:rPr>
                <w:sz w:val="16"/>
                <w:szCs w:val="16"/>
                <w:color w:val="auto"/>
              </w:rPr>
            </w:pPr>
          </w:p>
        </w:tc>
        <w:tc>
          <w:tcPr>
            <w:tcW w:w="8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88"/>
              </w:rPr>
              <w:t>[*CTR]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8900" w:space="300"/>
            <w:col w:w="2220"/>
          </w:cols>
          <w:pgMar w:left="240" w:top="253"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type w:val="continuous"/>
        </w:sectPr>
      </w:pPr>
    </w:p>
    <w:bookmarkStart w:id="171" w:name="page172"/>
    <w:bookmarkEnd w:id="17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[*CTR] Where</w:t>
            </w:r>
          </w:p>
        </w:tc>
        <w:tc>
          <w:tcPr>
            <w:tcW w:w="2440" w:type="dxa"/>
            <w:vAlign w:val="bottom"/>
          </w:tcPr>
          <w:p>
            <w:pPr>
              <w:spacing w:after="0"/>
              <w:rPr>
                <w:sz w:val="14"/>
                <w:szCs w:val="14"/>
                <w:color w:val="auto"/>
              </w:rPr>
            </w:pPr>
          </w:p>
        </w:tc>
        <w:tc>
          <w:tcPr>
            <w:tcW w:w="43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Applicable</w:t>
            </w:r>
          </w:p>
        </w:tc>
        <w:tc>
          <w:tcPr>
            <w:tcW w:w="24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[*CTR]</w:t>
            </w:r>
          </w:p>
        </w:tc>
        <w:tc>
          <w:tcPr>
            <w:tcW w:w="3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[*CTR]</w:t>
            </w:r>
          </w:p>
        </w:tc>
        <w:tc>
          <w:tcPr>
            <w:tcW w:w="300" w:type="dxa"/>
            <w:vAlign w:val="bottom"/>
          </w:tcPr>
          <w:p>
            <w:pPr>
              <w:spacing w:after="0"/>
              <w:rPr>
                <w:sz w:val="16"/>
                <w:szCs w:val="16"/>
                <w:color w:val="auto"/>
              </w:rPr>
            </w:pPr>
          </w:p>
        </w:tc>
        <w:tc>
          <w:tcPr>
            <w:tcW w:w="2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[*CTR]</w:t>
            </w: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00" w:type="dxa"/>
            <w:vAlign w:val="bottom"/>
            <w:gridSpan w:val="5"/>
          </w:tcPr>
          <w:p>
            <w:pPr>
              <w:spacing w:after="0"/>
              <w:rPr>
                <w:sz w:val="20"/>
                <w:szCs w:val="20"/>
                <w:color w:val="auto"/>
              </w:rPr>
            </w:pPr>
            <w:r>
              <w:rPr>
                <w:rFonts w:ascii="Arial" w:cs="Arial" w:eastAsia="Arial" w:hAnsi="Arial"/>
                <w:sz w:val="18"/>
                <w:szCs w:val="18"/>
                <w:color w:val="auto"/>
              </w:rPr>
              <w:t>P.A. No. 3219</w:t>
            </w:r>
          </w:p>
        </w:tc>
        <w:tc>
          <w:tcPr>
            <w:tcW w:w="2440" w:type="dxa"/>
            <w:vAlign w:val="bottom"/>
          </w:tcPr>
          <w:p>
            <w:pPr>
              <w:ind w:left="1920"/>
              <w:spacing w:after="0"/>
              <w:rPr>
                <w:sz w:val="20"/>
                <w:szCs w:val="20"/>
                <w:color w:val="auto"/>
              </w:rPr>
            </w:pPr>
            <w:r>
              <w:rPr>
                <w:rFonts w:ascii="Arial" w:cs="Arial" w:eastAsia="Arial" w:hAnsi="Arial"/>
                <w:sz w:val="18"/>
                <w:szCs w:val="18"/>
                <w:color w:val="auto"/>
              </w:rPr>
              <w:t>SA-5</w:t>
            </w:r>
          </w:p>
        </w:tc>
        <w:tc>
          <w:tcPr>
            <w:tcW w:w="4360" w:type="dxa"/>
            <w:vAlign w:val="bottom"/>
          </w:tcPr>
          <w:p>
            <w:pPr>
              <w:ind w:left="1880"/>
              <w:spacing w:after="0"/>
              <w:rPr>
                <w:sz w:val="20"/>
                <w:szCs w:val="20"/>
                <w:color w:val="auto"/>
              </w:rPr>
            </w:pPr>
            <w:r>
              <w:rPr>
                <w:rFonts w:ascii="Arial" w:cs="Arial" w:eastAsia="Arial" w:hAnsi="Arial"/>
                <w:sz w:val="18"/>
                <w:szCs w:val="18"/>
                <w:color w:val="auto"/>
              </w:rPr>
              <w:t>Exhibit A2(R2), Page 4</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BOEING PROPRIETARY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-3112135</wp:posOffset>
            </wp:positionV>
            <wp:extent cx="72466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2466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72466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2466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2466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24662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[*CTR]</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 Price</w:t>
            </w:r>
          </w:p>
        </w:tc>
        <w:tc>
          <w:tcPr>
            <w:tcW w:w="0" w:type="dxa"/>
            <w:vAlign w:val="bottom"/>
          </w:tcPr>
          <w:p>
            <w:pPr>
              <w:spacing w:after="0"/>
              <w:rPr>
                <w:sz w:val="1"/>
                <w:szCs w:val="1"/>
                <w:color w:val="auto"/>
              </w:rPr>
            </w:pPr>
          </w:p>
        </w:tc>
      </w:tr>
      <w:tr>
        <w:trPr>
          <w:trHeight w:val="149"/>
        </w:trPr>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[*CTR] AP</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 A/C</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A/C</w:t>
            </w:r>
          </w:p>
        </w:tc>
        <w:tc>
          <w:tcPr>
            <w:tcW w:w="0" w:type="dxa"/>
            <w:vAlign w:val="bottom"/>
          </w:tcPr>
          <w:p>
            <w:pPr>
              <w:spacing w:after="0"/>
              <w:rPr>
                <w:sz w:val="1"/>
                <w:szCs w:val="1"/>
                <w:color w:val="auto"/>
              </w:rPr>
            </w:pPr>
          </w:p>
        </w:tc>
      </w:tr>
      <w:tr>
        <w:trPr>
          <w:trHeight w:val="195"/>
        </w:trPr>
        <w:tc>
          <w:tcPr>
            <w:tcW w:w="8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8"/>
              </w:rPr>
              <w:t>[*CTR]</w:t>
            </w:r>
          </w:p>
        </w:tc>
        <w:tc>
          <w:tcPr>
            <w:tcW w:w="420" w:type="dxa"/>
            <w:vAlign w:val="bottom"/>
          </w:tcPr>
          <w:p>
            <w:pPr>
              <w:spacing w:after="0"/>
              <w:rPr>
                <w:sz w:val="16"/>
                <w:szCs w:val="16"/>
                <w:color w:val="auto"/>
              </w:rPr>
            </w:pPr>
          </w:p>
        </w:tc>
        <w:tc>
          <w:tcPr>
            <w:tcW w:w="8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88"/>
              </w:rPr>
              <w:t>[*CTR]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8900" w:space="300"/>
            <w:col w:w="2220"/>
          </w:cols>
          <w:pgMar w:left="240" w:top="253"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type w:val="continuous"/>
        </w:sectPr>
      </w:pPr>
    </w:p>
    <w:bookmarkStart w:id="172" w:name="page173"/>
    <w:bookmarkEnd w:id="17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[*CTR] Where</w:t>
            </w:r>
          </w:p>
        </w:tc>
        <w:tc>
          <w:tcPr>
            <w:tcW w:w="2440" w:type="dxa"/>
            <w:vAlign w:val="bottom"/>
          </w:tcPr>
          <w:p>
            <w:pPr>
              <w:spacing w:after="0"/>
              <w:rPr>
                <w:sz w:val="14"/>
                <w:szCs w:val="14"/>
                <w:color w:val="auto"/>
              </w:rPr>
            </w:pPr>
          </w:p>
        </w:tc>
        <w:tc>
          <w:tcPr>
            <w:tcW w:w="43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Applicable</w:t>
            </w:r>
          </w:p>
        </w:tc>
        <w:tc>
          <w:tcPr>
            <w:tcW w:w="24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[*CTR]</w:t>
            </w:r>
          </w:p>
        </w:tc>
        <w:tc>
          <w:tcPr>
            <w:tcW w:w="3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[*CTR]</w:t>
            </w:r>
          </w:p>
        </w:tc>
        <w:tc>
          <w:tcPr>
            <w:tcW w:w="300" w:type="dxa"/>
            <w:vAlign w:val="bottom"/>
          </w:tcPr>
          <w:p>
            <w:pPr>
              <w:spacing w:after="0"/>
              <w:rPr>
                <w:sz w:val="16"/>
                <w:szCs w:val="16"/>
                <w:color w:val="auto"/>
              </w:rPr>
            </w:pPr>
          </w:p>
        </w:tc>
        <w:tc>
          <w:tcPr>
            <w:tcW w:w="2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[*CTR]</w:t>
            </w: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00" w:type="dxa"/>
            <w:vAlign w:val="bottom"/>
            <w:gridSpan w:val="5"/>
          </w:tcPr>
          <w:p>
            <w:pPr>
              <w:spacing w:after="0"/>
              <w:rPr>
                <w:sz w:val="20"/>
                <w:szCs w:val="20"/>
                <w:color w:val="auto"/>
              </w:rPr>
            </w:pPr>
            <w:r>
              <w:rPr>
                <w:rFonts w:ascii="Arial" w:cs="Arial" w:eastAsia="Arial" w:hAnsi="Arial"/>
                <w:sz w:val="18"/>
                <w:szCs w:val="18"/>
                <w:color w:val="auto"/>
              </w:rPr>
              <w:t>P.A. No. 3219</w:t>
            </w:r>
          </w:p>
        </w:tc>
        <w:tc>
          <w:tcPr>
            <w:tcW w:w="2440" w:type="dxa"/>
            <w:vAlign w:val="bottom"/>
          </w:tcPr>
          <w:p>
            <w:pPr>
              <w:ind w:left="1920"/>
              <w:spacing w:after="0"/>
              <w:rPr>
                <w:sz w:val="20"/>
                <w:szCs w:val="20"/>
                <w:color w:val="auto"/>
              </w:rPr>
            </w:pPr>
            <w:r>
              <w:rPr>
                <w:rFonts w:ascii="Arial" w:cs="Arial" w:eastAsia="Arial" w:hAnsi="Arial"/>
                <w:sz w:val="18"/>
                <w:szCs w:val="18"/>
                <w:color w:val="auto"/>
              </w:rPr>
              <w:t>SA-5</w:t>
            </w:r>
          </w:p>
        </w:tc>
        <w:tc>
          <w:tcPr>
            <w:tcW w:w="4360" w:type="dxa"/>
            <w:vAlign w:val="bottom"/>
          </w:tcPr>
          <w:p>
            <w:pPr>
              <w:ind w:left="1880"/>
              <w:spacing w:after="0"/>
              <w:rPr>
                <w:sz w:val="20"/>
                <w:szCs w:val="20"/>
                <w:color w:val="auto"/>
              </w:rPr>
            </w:pPr>
            <w:r>
              <w:rPr>
                <w:rFonts w:ascii="Arial" w:cs="Arial" w:eastAsia="Arial" w:hAnsi="Arial"/>
                <w:sz w:val="18"/>
                <w:szCs w:val="18"/>
                <w:color w:val="auto"/>
              </w:rPr>
              <w:t>Exhibit A2(R2), Page 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BOEING PROPRIETARY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-3395345</wp:posOffset>
            </wp:positionV>
            <wp:extent cx="7246620" cy="146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-3112135</wp:posOffset>
            </wp:positionV>
            <wp:extent cx="72466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2466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724662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24662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2466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2466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[*CTR]</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 Price</w:t>
            </w:r>
          </w:p>
        </w:tc>
        <w:tc>
          <w:tcPr>
            <w:tcW w:w="0" w:type="dxa"/>
            <w:vAlign w:val="bottom"/>
          </w:tcPr>
          <w:p>
            <w:pPr>
              <w:spacing w:after="0"/>
              <w:rPr>
                <w:sz w:val="1"/>
                <w:szCs w:val="1"/>
                <w:color w:val="auto"/>
              </w:rPr>
            </w:pPr>
          </w:p>
        </w:tc>
      </w:tr>
      <w:tr>
        <w:trPr>
          <w:trHeight w:val="149"/>
        </w:trPr>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[*CTR] AP</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 A/C</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A/C</w:t>
            </w:r>
          </w:p>
        </w:tc>
        <w:tc>
          <w:tcPr>
            <w:tcW w:w="0" w:type="dxa"/>
            <w:vAlign w:val="bottom"/>
          </w:tcPr>
          <w:p>
            <w:pPr>
              <w:spacing w:after="0"/>
              <w:rPr>
                <w:sz w:val="1"/>
                <w:szCs w:val="1"/>
                <w:color w:val="auto"/>
              </w:rPr>
            </w:pPr>
          </w:p>
        </w:tc>
      </w:tr>
      <w:tr>
        <w:trPr>
          <w:trHeight w:val="195"/>
        </w:trPr>
        <w:tc>
          <w:tcPr>
            <w:tcW w:w="8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8"/>
              </w:rPr>
              <w:t>[*CTR]</w:t>
            </w:r>
          </w:p>
        </w:tc>
        <w:tc>
          <w:tcPr>
            <w:tcW w:w="420" w:type="dxa"/>
            <w:vAlign w:val="bottom"/>
          </w:tcPr>
          <w:p>
            <w:pPr>
              <w:spacing w:after="0"/>
              <w:rPr>
                <w:sz w:val="16"/>
                <w:szCs w:val="16"/>
                <w:color w:val="auto"/>
              </w:rPr>
            </w:pPr>
          </w:p>
        </w:tc>
        <w:tc>
          <w:tcPr>
            <w:tcW w:w="8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88"/>
              </w:rPr>
              <w:t>[*CTR]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8900" w:space="300"/>
            <w:col w:w="2220"/>
          </w:cols>
          <w:pgMar w:left="240" w:top="253"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type w:val="continuous"/>
        </w:sectPr>
      </w:pPr>
    </w:p>
    <w:bookmarkStart w:id="173" w:name="page174"/>
    <w:bookmarkEnd w:id="17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[*CTR] Where</w:t>
            </w:r>
          </w:p>
        </w:tc>
        <w:tc>
          <w:tcPr>
            <w:tcW w:w="2440" w:type="dxa"/>
            <w:vAlign w:val="bottom"/>
          </w:tcPr>
          <w:p>
            <w:pPr>
              <w:spacing w:after="0"/>
              <w:rPr>
                <w:sz w:val="14"/>
                <w:szCs w:val="14"/>
                <w:color w:val="auto"/>
              </w:rPr>
            </w:pPr>
          </w:p>
        </w:tc>
        <w:tc>
          <w:tcPr>
            <w:tcW w:w="43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Applicable</w:t>
            </w:r>
          </w:p>
        </w:tc>
        <w:tc>
          <w:tcPr>
            <w:tcW w:w="24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[*CTR]</w:t>
            </w:r>
          </w:p>
        </w:tc>
        <w:tc>
          <w:tcPr>
            <w:tcW w:w="3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[*CTR]</w:t>
            </w:r>
          </w:p>
        </w:tc>
        <w:tc>
          <w:tcPr>
            <w:tcW w:w="300" w:type="dxa"/>
            <w:vAlign w:val="bottom"/>
          </w:tcPr>
          <w:p>
            <w:pPr>
              <w:spacing w:after="0"/>
              <w:rPr>
                <w:sz w:val="16"/>
                <w:szCs w:val="16"/>
                <w:color w:val="auto"/>
              </w:rPr>
            </w:pPr>
          </w:p>
        </w:tc>
        <w:tc>
          <w:tcPr>
            <w:tcW w:w="2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[*CTR]</w:t>
            </w: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00" w:type="dxa"/>
            <w:vAlign w:val="bottom"/>
            <w:gridSpan w:val="5"/>
          </w:tcPr>
          <w:p>
            <w:pPr>
              <w:spacing w:after="0"/>
              <w:rPr>
                <w:sz w:val="20"/>
                <w:szCs w:val="20"/>
                <w:color w:val="auto"/>
              </w:rPr>
            </w:pPr>
            <w:r>
              <w:rPr>
                <w:rFonts w:ascii="Arial" w:cs="Arial" w:eastAsia="Arial" w:hAnsi="Arial"/>
                <w:sz w:val="18"/>
                <w:szCs w:val="18"/>
                <w:color w:val="auto"/>
              </w:rPr>
              <w:t>P.A. No. 3219</w:t>
            </w:r>
          </w:p>
        </w:tc>
        <w:tc>
          <w:tcPr>
            <w:tcW w:w="2440" w:type="dxa"/>
            <w:vAlign w:val="bottom"/>
          </w:tcPr>
          <w:p>
            <w:pPr>
              <w:ind w:left="1920"/>
              <w:spacing w:after="0"/>
              <w:rPr>
                <w:sz w:val="20"/>
                <w:szCs w:val="20"/>
                <w:color w:val="auto"/>
              </w:rPr>
            </w:pPr>
            <w:r>
              <w:rPr>
                <w:rFonts w:ascii="Arial" w:cs="Arial" w:eastAsia="Arial" w:hAnsi="Arial"/>
                <w:sz w:val="18"/>
                <w:szCs w:val="18"/>
                <w:color w:val="auto"/>
              </w:rPr>
              <w:t>SA-5</w:t>
            </w:r>
          </w:p>
        </w:tc>
        <w:tc>
          <w:tcPr>
            <w:tcW w:w="4360" w:type="dxa"/>
            <w:vAlign w:val="bottom"/>
          </w:tcPr>
          <w:p>
            <w:pPr>
              <w:ind w:left="1880"/>
              <w:spacing w:after="0"/>
              <w:rPr>
                <w:sz w:val="20"/>
                <w:szCs w:val="20"/>
                <w:color w:val="auto"/>
              </w:rPr>
            </w:pPr>
            <w:r>
              <w:rPr>
                <w:rFonts w:ascii="Arial" w:cs="Arial" w:eastAsia="Arial" w:hAnsi="Arial"/>
                <w:sz w:val="18"/>
                <w:szCs w:val="18"/>
                <w:color w:val="auto"/>
              </w:rPr>
              <w:t>Exhibit A2(R2), Page 6</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BOEING PROPRIETARY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-2846705</wp:posOffset>
            </wp:positionV>
            <wp:extent cx="7246620" cy="146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72466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2466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2466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24662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24662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[*CTR]</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 Price</w:t>
            </w:r>
          </w:p>
        </w:tc>
        <w:tc>
          <w:tcPr>
            <w:tcW w:w="0" w:type="dxa"/>
            <w:vAlign w:val="bottom"/>
          </w:tcPr>
          <w:p>
            <w:pPr>
              <w:spacing w:after="0"/>
              <w:rPr>
                <w:sz w:val="1"/>
                <w:szCs w:val="1"/>
                <w:color w:val="auto"/>
              </w:rPr>
            </w:pPr>
          </w:p>
        </w:tc>
      </w:tr>
      <w:tr>
        <w:trPr>
          <w:trHeight w:val="149"/>
        </w:trPr>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[*CTR] AP</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 A/C</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A/C</w:t>
            </w:r>
          </w:p>
        </w:tc>
        <w:tc>
          <w:tcPr>
            <w:tcW w:w="0" w:type="dxa"/>
            <w:vAlign w:val="bottom"/>
          </w:tcPr>
          <w:p>
            <w:pPr>
              <w:spacing w:after="0"/>
              <w:rPr>
                <w:sz w:val="1"/>
                <w:szCs w:val="1"/>
                <w:color w:val="auto"/>
              </w:rPr>
            </w:pPr>
          </w:p>
        </w:tc>
      </w:tr>
      <w:tr>
        <w:trPr>
          <w:trHeight w:val="195"/>
        </w:trPr>
        <w:tc>
          <w:tcPr>
            <w:tcW w:w="8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8"/>
              </w:rPr>
              <w:t>[*CTR]</w:t>
            </w:r>
          </w:p>
        </w:tc>
        <w:tc>
          <w:tcPr>
            <w:tcW w:w="420" w:type="dxa"/>
            <w:vAlign w:val="bottom"/>
          </w:tcPr>
          <w:p>
            <w:pPr>
              <w:spacing w:after="0"/>
              <w:rPr>
                <w:sz w:val="16"/>
                <w:szCs w:val="16"/>
                <w:color w:val="auto"/>
              </w:rPr>
            </w:pPr>
          </w:p>
        </w:tc>
        <w:tc>
          <w:tcPr>
            <w:tcW w:w="8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88"/>
              </w:rPr>
              <w:t>[*CTR]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8900" w:space="300"/>
            <w:col w:w="2220"/>
          </w:cols>
          <w:pgMar w:left="240" w:top="253"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type w:val="continuous"/>
        </w:sectPr>
      </w:pPr>
    </w:p>
    <w:bookmarkStart w:id="174" w:name="page175"/>
    <w:bookmarkEnd w:id="17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[*CTR] Where</w:t>
            </w:r>
          </w:p>
        </w:tc>
        <w:tc>
          <w:tcPr>
            <w:tcW w:w="2440" w:type="dxa"/>
            <w:vAlign w:val="bottom"/>
          </w:tcPr>
          <w:p>
            <w:pPr>
              <w:spacing w:after="0"/>
              <w:rPr>
                <w:sz w:val="14"/>
                <w:szCs w:val="14"/>
                <w:color w:val="auto"/>
              </w:rPr>
            </w:pPr>
          </w:p>
        </w:tc>
        <w:tc>
          <w:tcPr>
            <w:tcW w:w="43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Applicable</w:t>
            </w:r>
          </w:p>
        </w:tc>
        <w:tc>
          <w:tcPr>
            <w:tcW w:w="2440" w:type="dxa"/>
            <w:vAlign w:val="bottom"/>
          </w:tcPr>
          <w:p>
            <w:pPr>
              <w:spacing w:after="0"/>
              <w:rPr>
                <w:sz w:val="15"/>
                <w:szCs w:val="15"/>
                <w:color w:val="auto"/>
              </w:rPr>
            </w:pP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[*CTR]</w:t>
            </w:r>
          </w:p>
        </w:tc>
        <w:tc>
          <w:tcPr>
            <w:tcW w:w="3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[*CTR]</w:t>
            </w:r>
          </w:p>
        </w:tc>
        <w:tc>
          <w:tcPr>
            <w:tcW w:w="300" w:type="dxa"/>
            <w:vAlign w:val="bottom"/>
          </w:tcPr>
          <w:p>
            <w:pPr>
              <w:spacing w:after="0"/>
              <w:rPr>
                <w:sz w:val="16"/>
                <w:szCs w:val="16"/>
                <w:color w:val="auto"/>
              </w:rPr>
            </w:pPr>
          </w:p>
        </w:tc>
        <w:tc>
          <w:tcPr>
            <w:tcW w:w="2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[*CTR]</w:t>
            </w:r>
          </w:p>
        </w:tc>
        <w:tc>
          <w:tcPr>
            <w:tcW w:w="4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rPr>
              <w:t>[*CTR]</w:t>
            </w: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[*CTR]</w:t>
            </w:r>
          </w:p>
        </w:tc>
        <w:tc>
          <w:tcPr>
            <w:tcW w:w="4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00" w:type="dxa"/>
            <w:vAlign w:val="bottom"/>
            <w:gridSpan w:val="5"/>
          </w:tcPr>
          <w:p>
            <w:pPr>
              <w:spacing w:after="0"/>
              <w:rPr>
                <w:sz w:val="20"/>
                <w:szCs w:val="20"/>
                <w:color w:val="auto"/>
              </w:rPr>
            </w:pPr>
            <w:r>
              <w:rPr>
                <w:rFonts w:ascii="Arial" w:cs="Arial" w:eastAsia="Arial" w:hAnsi="Arial"/>
                <w:sz w:val="18"/>
                <w:szCs w:val="18"/>
                <w:color w:val="auto"/>
              </w:rPr>
              <w:t>P.A. No. 3219</w:t>
            </w:r>
          </w:p>
        </w:tc>
        <w:tc>
          <w:tcPr>
            <w:tcW w:w="2440" w:type="dxa"/>
            <w:vAlign w:val="bottom"/>
          </w:tcPr>
          <w:p>
            <w:pPr>
              <w:ind w:left="1920"/>
              <w:spacing w:after="0"/>
              <w:rPr>
                <w:sz w:val="20"/>
                <w:szCs w:val="20"/>
                <w:color w:val="auto"/>
              </w:rPr>
            </w:pPr>
            <w:r>
              <w:rPr>
                <w:rFonts w:ascii="Arial" w:cs="Arial" w:eastAsia="Arial" w:hAnsi="Arial"/>
                <w:sz w:val="18"/>
                <w:szCs w:val="18"/>
                <w:color w:val="auto"/>
              </w:rPr>
              <w:t>SA-5</w:t>
            </w:r>
          </w:p>
        </w:tc>
        <w:tc>
          <w:tcPr>
            <w:tcW w:w="4360" w:type="dxa"/>
            <w:vAlign w:val="bottom"/>
          </w:tcPr>
          <w:p>
            <w:pPr>
              <w:ind w:left="1880"/>
              <w:spacing w:after="0"/>
              <w:rPr>
                <w:sz w:val="20"/>
                <w:szCs w:val="20"/>
                <w:color w:val="auto"/>
              </w:rPr>
            </w:pPr>
            <w:r>
              <w:rPr>
                <w:rFonts w:ascii="Arial" w:cs="Arial" w:eastAsia="Arial" w:hAnsi="Arial"/>
                <w:sz w:val="18"/>
                <w:szCs w:val="18"/>
                <w:color w:val="auto"/>
              </w:rPr>
              <w:t>Exhibit A2(R2), Page 7</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BOEING PROPRIETARY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-2983865</wp:posOffset>
            </wp:positionV>
            <wp:extent cx="724662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-2700655</wp:posOffset>
            </wp:positionV>
            <wp:extent cx="72466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72466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72466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2466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[*CTR]</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 Price</w:t>
            </w:r>
          </w:p>
        </w:tc>
        <w:tc>
          <w:tcPr>
            <w:tcW w:w="0" w:type="dxa"/>
            <w:vAlign w:val="bottom"/>
          </w:tcPr>
          <w:p>
            <w:pPr>
              <w:spacing w:after="0"/>
              <w:rPr>
                <w:sz w:val="1"/>
                <w:szCs w:val="1"/>
                <w:color w:val="auto"/>
              </w:rPr>
            </w:pPr>
          </w:p>
        </w:tc>
      </w:tr>
      <w:tr>
        <w:trPr>
          <w:trHeight w:val="149"/>
        </w:trPr>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[*CTR] AP</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 A/C</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A/C</w:t>
            </w:r>
          </w:p>
        </w:tc>
        <w:tc>
          <w:tcPr>
            <w:tcW w:w="0" w:type="dxa"/>
            <w:vAlign w:val="bottom"/>
          </w:tcPr>
          <w:p>
            <w:pPr>
              <w:spacing w:after="0"/>
              <w:rPr>
                <w:sz w:val="1"/>
                <w:szCs w:val="1"/>
                <w:color w:val="auto"/>
              </w:rPr>
            </w:pPr>
          </w:p>
        </w:tc>
      </w:tr>
      <w:tr>
        <w:trPr>
          <w:trHeight w:val="195"/>
        </w:trPr>
        <w:tc>
          <w:tcPr>
            <w:tcW w:w="8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8"/>
              </w:rPr>
              <w:t>[*CTR]</w:t>
            </w:r>
          </w:p>
        </w:tc>
        <w:tc>
          <w:tcPr>
            <w:tcW w:w="420" w:type="dxa"/>
            <w:vAlign w:val="bottom"/>
          </w:tcPr>
          <w:p>
            <w:pPr>
              <w:spacing w:after="0"/>
              <w:rPr>
                <w:sz w:val="16"/>
                <w:szCs w:val="16"/>
                <w:color w:val="auto"/>
              </w:rPr>
            </w:pPr>
          </w:p>
        </w:tc>
        <w:tc>
          <w:tcPr>
            <w:tcW w:w="8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88"/>
              </w:rPr>
              <w:t>[*CTR]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16"/>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r>
        <w:trPr>
          <w:trHeight w:val="230"/>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w w:val="99"/>
              </w:rPr>
              <w:t>[*CTR]</w:t>
            </w:r>
          </w:p>
        </w:tc>
        <w:tc>
          <w:tcPr>
            <w:tcW w:w="0" w:type="dxa"/>
            <w:vAlign w:val="bottom"/>
          </w:tcPr>
          <w:p>
            <w:pPr>
              <w:spacing w:after="0"/>
              <w:rPr>
                <w:sz w:val="1"/>
                <w:szCs w:val="1"/>
                <w:color w:val="auto"/>
              </w:rPr>
            </w:pPr>
          </w:p>
        </w:tc>
      </w:tr>
    </w:tbl>
    <w:p>
      <w:pPr>
        <w:spacing w:after="0" w:line="780" w:lineRule="exact"/>
        <w:rPr>
          <w:sz w:val="20"/>
          <w:szCs w:val="20"/>
          <w:color w:val="auto"/>
        </w:rPr>
      </w:pPr>
    </w:p>
    <w:p>
      <w:pPr>
        <w:sectPr>
          <w:pgSz w:w="11900" w:h="16838" w:orient="portrait"/>
          <w:cols w:equalWidth="0" w:num="2">
            <w:col w:w="8900" w:space="300"/>
            <w:col w:w="2220"/>
          </w:cols>
          <w:pgMar w:left="240" w:top="253"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[*CTR] Where</w:t>
            </w:r>
          </w:p>
        </w:tc>
        <w:tc>
          <w:tcPr>
            <w:tcW w:w="2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[*CTR]</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[*CTR] Price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100" w:type="dxa"/>
            <w:vAlign w:val="bottom"/>
            <w:vMerge w:val="restart"/>
          </w:tcPr>
          <w:p>
            <w:pPr>
              <w:jc w:val="center"/>
              <w:ind w:left="2634"/>
              <w:spacing w:after="0"/>
              <w:rPr>
                <w:sz w:val="20"/>
                <w:szCs w:val="20"/>
                <w:color w:val="auto"/>
              </w:rPr>
            </w:pPr>
            <w:r>
              <w:rPr>
                <w:rFonts w:ascii="Arial" w:cs="Arial" w:eastAsia="Arial" w:hAnsi="Arial"/>
                <w:sz w:val="14"/>
                <w:szCs w:val="14"/>
                <w:b w:val="1"/>
                <w:bCs w:val="1"/>
                <w:color w:val="auto"/>
                <w:w w:val="90"/>
              </w:rPr>
              <w:t>Description</w:t>
            </w: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rPr>
              <w:t>[*CTR] AP</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28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Price Per A/C</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A/C</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[*CTR]</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w w:val="88"/>
              </w:rPr>
              <w:t>[*CTR]</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88"/>
              </w:rPr>
              <w:t>[*CTR]</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[*CTR]</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[*CTR]</w:t>
            </w:r>
          </w:p>
        </w:tc>
        <w:tc>
          <w:tcPr>
            <w:tcW w:w="9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88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[*CTR]</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[*CTR]</w:t>
            </w:r>
          </w:p>
        </w:tc>
        <w:tc>
          <w:tcPr>
            <w:tcW w:w="9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88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[*CTR]</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[*CTR]</w:t>
            </w:r>
          </w:p>
        </w:tc>
        <w:tc>
          <w:tcPr>
            <w:tcW w:w="9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880" w:type="dxa"/>
            <w:vAlign w:val="bottom"/>
            <w:gridSpan w:val="3"/>
          </w:tcPr>
          <w:p>
            <w:pPr>
              <w:ind w:left="20"/>
              <w:spacing w:after="0"/>
              <w:rPr>
                <w:sz w:val="20"/>
                <w:szCs w:val="20"/>
                <w:color w:val="auto"/>
              </w:rPr>
            </w:pPr>
            <w:r>
              <w:rPr>
                <w:rFonts w:ascii="Arial" w:cs="Arial" w:eastAsia="Arial" w:hAnsi="Arial"/>
                <w:sz w:val="18"/>
                <w:szCs w:val="18"/>
                <w:color w:val="auto"/>
              </w:rPr>
              <w:t>[*CTR]</w:t>
            </w:r>
          </w:p>
        </w:tc>
        <w:tc>
          <w:tcPr>
            <w:tcW w:w="920" w:type="dxa"/>
            <w:vAlign w:val="bottom"/>
          </w:tcPr>
          <w:p>
            <w:pPr>
              <w:spacing w:after="0"/>
              <w:rPr>
                <w:sz w:val="18"/>
                <w:szCs w:val="18"/>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color w:val="auto"/>
              </w:rPr>
              <w:t>[*CTR]</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8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left="2654"/>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[*CTR]</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3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OPTIONS SUBJECT TO ESCALATION</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[*CTR]</w:t>
            </w: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8"/>
              </w:rPr>
              <w:t>[*CTR]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800" w:type="dxa"/>
            <w:vAlign w:val="bottom"/>
            <w:gridSpan w:val="4"/>
          </w:tcPr>
          <w:p>
            <w:pPr>
              <w:spacing w:after="0"/>
              <w:rPr>
                <w:sz w:val="20"/>
                <w:szCs w:val="20"/>
                <w:color w:val="auto"/>
              </w:rPr>
            </w:pPr>
            <w:r>
              <w:rPr>
                <w:rFonts w:ascii="Arial" w:cs="Arial" w:eastAsia="Arial" w:hAnsi="Arial"/>
                <w:sz w:val="18"/>
                <w:szCs w:val="18"/>
                <w:color w:val="auto"/>
              </w:rPr>
              <w:t>P.A. No. 3219</w:t>
            </w:r>
          </w:p>
        </w:tc>
        <w:tc>
          <w:tcPr>
            <w:tcW w:w="280" w:type="dxa"/>
            <w:vAlign w:val="bottom"/>
          </w:tcPr>
          <w:p>
            <w:pPr>
              <w:spacing w:after="0"/>
              <w:rPr>
                <w:sz w:val="24"/>
                <w:szCs w:val="24"/>
                <w:color w:val="auto"/>
              </w:rPr>
            </w:pPr>
          </w:p>
        </w:tc>
        <w:tc>
          <w:tcPr>
            <w:tcW w:w="4100" w:type="dxa"/>
            <w:vAlign w:val="bottom"/>
          </w:tcPr>
          <w:p>
            <w:pPr>
              <w:ind w:left="1940"/>
              <w:spacing w:after="0"/>
              <w:rPr>
                <w:sz w:val="20"/>
                <w:szCs w:val="20"/>
                <w:color w:val="auto"/>
              </w:rPr>
            </w:pPr>
            <w:r>
              <w:rPr>
                <w:rFonts w:ascii="Arial" w:cs="Arial" w:eastAsia="Arial" w:hAnsi="Arial"/>
                <w:sz w:val="18"/>
                <w:szCs w:val="18"/>
                <w:color w:val="auto"/>
              </w:rPr>
              <w:t>SA-5</w:t>
            </w:r>
          </w:p>
        </w:tc>
        <w:tc>
          <w:tcPr>
            <w:tcW w:w="4300" w:type="dxa"/>
            <w:vAlign w:val="bottom"/>
            <w:gridSpan w:val="4"/>
          </w:tcPr>
          <w:p>
            <w:pPr>
              <w:ind w:left="240"/>
              <w:spacing w:after="0"/>
              <w:rPr>
                <w:sz w:val="20"/>
                <w:szCs w:val="20"/>
                <w:color w:val="auto"/>
              </w:rPr>
            </w:pPr>
            <w:r>
              <w:rPr>
                <w:rFonts w:ascii="Arial" w:cs="Arial" w:eastAsia="Arial" w:hAnsi="Arial"/>
                <w:sz w:val="18"/>
                <w:szCs w:val="18"/>
                <w:color w:val="auto"/>
              </w:rPr>
              <w:t>Exhibit A2(R2), Page 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0" w:type="dxa"/>
            <w:vAlign w:val="bottom"/>
            <w:gridSpan w:val="5"/>
          </w:tcPr>
          <w:p>
            <w:pPr>
              <w:ind w:left="2600"/>
              <w:spacing w:after="0"/>
              <w:rPr>
                <w:sz w:val="20"/>
                <w:szCs w:val="20"/>
                <w:color w:val="auto"/>
              </w:rPr>
            </w:pPr>
            <w:r>
              <w:rPr>
                <w:rFonts w:ascii="Arial" w:cs="Arial" w:eastAsia="Arial" w:hAnsi="Arial"/>
                <w:sz w:val="18"/>
                <w:szCs w:val="18"/>
                <w:b w:val="1"/>
                <w:bCs w:val="1"/>
                <w:color w:val="auto"/>
              </w:rPr>
              <w:t>BOEING PROPRIETARY</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3" w:right="239" w:bottom="1440" w:gutter="0" w:footer="0" w:header="0"/>
        </w:sectPr>
      </w:pPr>
    </w:p>
    <w:bookmarkStart w:id="176" w:name="page177"/>
    <w:bookmarkEnd w:id="176"/>
    <w:p>
      <w:pP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43685" cy="3689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43685" cy="368935"/>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3219-08R2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Open Configuration Matters</w:t>
      </w:r>
    </w:p>
    <w:p>
      <w:pPr>
        <w:spacing w:after="0" w:line="140"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Purchase Agreement 3219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 between The Boeing Company (</w:t>
      </w:r>
      <w:r>
        <w:rPr>
          <w:rFonts w:ascii="Arial" w:cs="Arial" w:eastAsia="Arial" w:hAnsi="Arial"/>
          <w:sz w:val="17"/>
          <w:szCs w:val="17"/>
          <w:b w:val="1"/>
          <w:bCs w:val="1"/>
          <w:i w:val="1"/>
          <w:iCs w:val="1"/>
          <w:color w:val="auto"/>
        </w:rPr>
        <w:t>Boeing</w:t>
      </w:r>
      <w:r>
        <w:rPr>
          <w:rFonts w:ascii="Arial" w:cs="Arial" w:eastAsia="Arial" w:hAnsi="Arial"/>
          <w:sz w:val="17"/>
          <w:szCs w:val="17"/>
          <w:color w:val="auto"/>
        </w:rPr>
        <w:t>) and American Airlines, Inc. (</w:t>
      </w:r>
      <w:r>
        <w:rPr>
          <w:rFonts w:ascii="Arial" w:cs="Arial" w:eastAsia="Arial" w:hAnsi="Arial"/>
          <w:sz w:val="17"/>
          <w:szCs w:val="17"/>
          <w:b w:val="1"/>
          <w:bCs w:val="1"/>
          <w:i w:val="1"/>
          <w:iCs w:val="1"/>
          <w:color w:val="auto"/>
        </w:rPr>
        <w:t>Customer</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787 aircraft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600"/>
            <w:col w:w="10040"/>
          </w:cols>
          <w:pgMar w:left="240" w:top="274" w:right="2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Letter Agreement amends the Purchase Agreement. All terms used but not defined in this Letter Agreement have the same meaning as in the Purchase Agreement.</w:t>
      </w:r>
    </w:p>
    <w:p>
      <w:pPr>
        <w:spacing w:after="0" w:line="319"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[*CTR]</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[*CTR]</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Aircraft Configuration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Initial Configuration 787-923</w:t>
      </w:r>
      <w:r>
        <w:rPr>
          <w:rFonts w:ascii="Arial" w:cs="Arial" w:eastAsia="Arial" w:hAnsi="Arial"/>
          <w:sz w:val="18"/>
          <w:szCs w:val="18"/>
          <w:color w:val="auto"/>
        </w:rPr>
        <w:t>.</w:t>
      </w:r>
    </w:p>
    <w:p>
      <w:pPr>
        <w:spacing w:after="0" w:line="117" w:lineRule="exact"/>
        <w:rPr>
          <w:sz w:val="20"/>
          <w:szCs w:val="20"/>
          <w:color w:val="auto"/>
        </w:rPr>
      </w:pPr>
    </w:p>
    <w:p>
      <w:pPr>
        <w:ind w:left="460" w:firstLine="438"/>
        <w:spacing w:after="0" w:line="308" w:lineRule="auto"/>
        <w:rPr>
          <w:sz w:val="20"/>
          <w:szCs w:val="20"/>
          <w:color w:val="auto"/>
        </w:rPr>
      </w:pPr>
      <w:r>
        <w:rPr>
          <w:rFonts w:ascii="Arial" w:cs="Arial" w:eastAsia="Arial" w:hAnsi="Arial"/>
          <w:sz w:val="17"/>
          <w:szCs w:val="17"/>
          <w:color w:val="auto"/>
        </w:rPr>
        <w:t>2.1.1 The initial configuration of Customer’s Model 787-923 Aircraft has been defined by Aircraft Configuration Specification 787B1-4102-Rev B, July 9, 2007 as described in Article 1 and Exhibit A(R1) of the Purchase Agreement (</w:t>
      </w:r>
      <w:r>
        <w:rPr>
          <w:rFonts w:ascii="Arial" w:cs="Arial" w:eastAsia="Arial" w:hAnsi="Arial"/>
          <w:sz w:val="17"/>
          <w:szCs w:val="17"/>
          <w:b w:val="1"/>
          <w:bCs w:val="1"/>
          <w:i w:val="1"/>
          <w:iCs w:val="1"/>
          <w:color w:val="auto"/>
        </w:rPr>
        <w:t>787-923 Aircraft Configuration</w:t>
      </w:r>
      <w:r>
        <w:rPr>
          <w:rFonts w:ascii="Arial" w:cs="Arial" w:eastAsia="Arial" w:hAnsi="Arial"/>
          <w:sz w:val="17"/>
          <w:szCs w:val="17"/>
          <w:color w:val="auto"/>
        </w:rPr>
        <w:t>). [*CTR]</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2.1.2</w:t>
            </w:r>
          </w:p>
        </w:tc>
        <w:tc>
          <w:tcPr>
            <w:tcW w:w="6600" w:type="dxa"/>
            <w:vAlign w:val="bottom"/>
          </w:tcPr>
          <w:p>
            <w:pPr>
              <w:ind w:left="20"/>
              <w:spacing w:after="0"/>
              <w:rPr>
                <w:sz w:val="20"/>
                <w:szCs w:val="20"/>
                <w:color w:val="auto"/>
              </w:rPr>
            </w:pPr>
            <w:r>
              <w:rPr>
                <w:rFonts w:ascii="Arial" w:cs="Arial" w:eastAsia="Arial" w:hAnsi="Arial"/>
                <w:sz w:val="18"/>
                <w:szCs w:val="18"/>
                <w:color w:val="auto"/>
              </w:rPr>
              <w:t>[*CTR]</w:t>
            </w:r>
          </w:p>
        </w:tc>
        <w:tc>
          <w:tcPr>
            <w:tcW w:w="2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6600" w:type="dxa"/>
            <w:vAlign w:val="bottom"/>
          </w:tcPr>
          <w:p>
            <w:pPr>
              <w:ind w:left="20"/>
              <w:spacing w:after="0"/>
              <w:rPr>
                <w:sz w:val="20"/>
                <w:szCs w:val="20"/>
                <w:color w:val="auto"/>
              </w:rPr>
            </w:pPr>
            <w:r>
              <w:rPr>
                <w:rFonts w:ascii="Arial" w:cs="Arial" w:eastAsia="Arial" w:hAnsi="Arial"/>
                <w:sz w:val="18"/>
                <w:szCs w:val="18"/>
                <w:color w:val="auto"/>
              </w:rPr>
              <w:t>[*CTR].</w:t>
            </w: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1280" w:type="dxa"/>
            <w:vAlign w:val="bottom"/>
          </w:tcPr>
          <w:p>
            <w:pPr>
              <w:jc w:val="right"/>
              <w:spacing w:after="0"/>
              <w:rPr>
                <w:sz w:val="20"/>
                <w:szCs w:val="20"/>
                <w:color w:val="auto"/>
              </w:rPr>
            </w:pPr>
            <w:r>
              <w:rPr>
                <w:rFonts w:ascii="Arial" w:cs="Arial" w:eastAsia="Arial" w:hAnsi="Arial"/>
                <w:sz w:val="18"/>
                <w:szCs w:val="18"/>
                <w:color w:val="auto"/>
              </w:rPr>
              <w:t>2.1.4</w:t>
            </w:r>
          </w:p>
        </w:tc>
        <w:tc>
          <w:tcPr>
            <w:tcW w:w="6600" w:type="dxa"/>
            <w:vAlign w:val="bottom"/>
          </w:tcPr>
          <w:p>
            <w:pPr>
              <w:ind w:left="20"/>
              <w:spacing w:after="0"/>
              <w:rPr>
                <w:sz w:val="20"/>
                <w:szCs w:val="20"/>
                <w:color w:val="auto"/>
              </w:rPr>
            </w:pPr>
            <w:r>
              <w:rPr>
                <w:rFonts w:ascii="Arial" w:cs="Arial" w:eastAsia="Arial" w:hAnsi="Arial"/>
                <w:sz w:val="18"/>
                <w:szCs w:val="18"/>
                <w:color w:val="auto"/>
              </w:rPr>
              <w:t>[*CTR]</w:t>
            </w: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0"/>
        </w:trPr>
        <w:tc>
          <w:tcPr>
            <w:tcW w:w="1280" w:type="dxa"/>
            <w:vAlign w:val="bottom"/>
          </w:tcPr>
          <w:p>
            <w:pPr>
              <w:spacing w:after="0"/>
              <w:rPr>
                <w:sz w:val="20"/>
                <w:szCs w:val="20"/>
                <w:color w:val="auto"/>
              </w:rPr>
            </w:pPr>
            <w:r>
              <w:rPr>
                <w:rFonts w:ascii="Arial" w:cs="Arial" w:eastAsia="Arial" w:hAnsi="Arial"/>
                <w:sz w:val="18"/>
                <w:szCs w:val="18"/>
                <w:color w:val="auto"/>
              </w:rPr>
              <w:t>P.A. No. 3219</w:t>
            </w:r>
          </w:p>
        </w:tc>
        <w:tc>
          <w:tcPr>
            <w:tcW w:w="6600" w:type="dxa"/>
            <w:vAlign w:val="bottom"/>
          </w:tcPr>
          <w:p>
            <w:pPr>
              <w:ind w:left="4380"/>
              <w:spacing w:after="0"/>
              <w:rPr>
                <w:sz w:val="20"/>
                <w:szCs w:val="20"/>
                <w:color w:val="auto"/>
              </w:rPr>
            </w:pPr>
            <w:r>
              <w:rPr>
                <w:rFonts w:ascii="Arial" w:cs="Arial" w:eastAsia="Arial" w:hAnsi="Arial"/>
                <w:sz w:val="18"/>
                <w:szCs w:val="18"/>
                <w:color w:val="auto"/>
              </w:rPr>
              <w:t>SA-5</w:t>
            </w:r>
          </w:p>
        </w:tc>
        <w:tc>
          <w:tcPr>
            <w:tcW w:w="2360" w:type="dxa"/>
            <w:vAlign w:val="bottom"/>
          </w:tcPr>
          <w:p>
            <w:pPr>
              <w:ind w:left="1860"/>
              <w:spacing w:after="0"/>
              <w:rPr>
                <w:sz w:val="20"/>
                <w:szCs w:val="20"/>
                <w:color w:val="auto"/>
              </w:rPr>
            </w:pPr>
            <w:r>
              <w:rPr>
                <w:rFonts w:ascii="Arial" w:cs="Arial" w:eastAsia="Arial" w:hAnsi="Arial"/>
                <w:sz w:val="18"/>
                <w:szCs w:val="18"/>
                <w:color w:val="auto"/>
              </w:rPr>
              <w:t>L.A.</w:t>
            </w:r>
          </w:p>
        </w:tc>
        <w:tc>
          <w:tcPr>
            <w:tcW w:w="1180" w:type="dxa"/>
            <w:vAlign w:val="bottom"/>
          </w:tcPr>
          <w:p>
            <w:pPr>
              <w:ind w:left="380"/>
              <w:spacing w:after="0"/>
              <w:rPr>
                <w:sz w:val="20"/>
                <w:szCs w:val="20"/>
                <w:color w:val="auto"/>
              </w:rPr>
            </w:pPr>
            <w:r>
              <w:rPr>
                <w:rFonts w:ascii="Arial" w:cs="Arial" w:eastAsia="Arial" w:hAnsi="Arial"/>
                <w:sz w:val="18"/>
                <w:szCs w:val="18"/>
                <w:color w:val="auto"/>
                <w:w w:val="87"/>
              </w:rPr>
              <w:t>3219-08R2</w:t>
            </w: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Open Configuration Matters</w:t>
            </w:r>
          </w:p>
        </w:tc>
        <w:tc>
          <w:tcPr>
            <w:tcW w:w="236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Page 1</w:t>
            </w:r>
          </w:p>
        </w:tc>
      </w:tr>
    </w:tbl>
    <w:p>
      <w:pPr>
        <w:jc w:val="center"/>
        <w:ind w:left="260"/>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77" w:name="page178"/>
    <w:bookmarkEnd w:id="177"/>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43685" cy="3689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1543685" cy="368935"/>
                    </a:xfrm>
                    <a:prstGeom prst="rect">
                      <a:avLst/>
                    </a:prstGeom>
                    <a:noFill/>
                  </pic:spPr>
                </pic:pic>
              </a:graphicData>
            </a:graphic>
          </wp:anchor>
        </w:drawing>
        <w:t xml:space="preserve">2.2 </w:t>
      </w:r>
      <w:r>
        <w:rPr>
          <w:rFonts w:ascii="Arial" w:cs="Arial" w:eastAsia="Arial" w:hAnsi="Arial"/>
          <w:sz w:val="18"/>
          <w:szCs w:val="18"/>
          <w:u w:val="single" w:color="auto"/>
          <w:color w:val="auto"/>
        </w:rPr>
        <w:t>Final Configuration Schedule 787-923</w:t>
      </w:r>
      <w:r>
        <w:rPr>
          <w:rFonts w:ascii="Arial" w:cs="Arial" w:eastAsia="Arial" w:hAnsi="Arial"/>
          <w:sz w:val="18"/>
          <w:szCs w:val="18"/>
          <w:color w:val="auto"/>
        </w:rPr>
        <w:t>. [*CTR] of (i) [*CTR] and (ii) [*CTR] on which [*CTR] with the Responses to [*CTR] the Responses. The preceding elements can be modified by mutual agreement.</w:t>
      </w:r>
    </w:p>
    <w:p>
      <w:pPr>
        <w:spacing w:after="0" w:line="31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Effect on Purchase Agreement</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Basic Specification</w:t>
      </w:r>
      <w:r>
        <w:rPr>
          <w:rFonts w:ascii="Arial" w:cs="Arial" w:eastAsia="Arial" w:hAnsi="Arial"/>
          <w:sz w:val="18"/>
          <w:szCs w:val="18"/>
          <w:color w:val="auto"/>
        </w:rPr>
        <w:t>. Changes applicable to the basic Model 787-9 aircraft which are developed by Boeing between the date of signing of the Purchase Agreement and completion of the final configuration review described in paragraph 2.2 above will be incorporated into the 787-923 Aircraft Configuration by written amendment.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Performance Guarantees</w:t>
      </w:r>
      <w:r>
        <w:rPr>
          <w:rFonts w:ascii="Arial" w:cs="Arial" w:eastAsia="Arial" w:hAnsi="Arial"/>
          <w:sz w:val="18"/>
          <w:szCs w:val="18"/>
          <w:color w:val="auto"/>
        </w:rPr>
        <w:t>. [*CTR]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Price Adjustments</w:t>
      </w:r>
      <w:r>
        <w:rPr>
          <w:rFonts w:ascii="Arial" w:cs="Arial" w:eastAsia="Arial" w:hAnsi="Arial"/>
          <w:sz w:val="18"/>
          <w:szCs w:val="18"/>
          <w:color w:val="auto"/>
        </w:rPr>
        <w:t>.</w:t>
      </w:r>
    </w:p>
    <w:p>
      <w:pPr>
        <w:spacing w:after="0" w:line="117"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3.4.1</w:t>
            </w:r>
          </w:p>
        </w:tc>
        <w:tc>
          <w:tcPr>
            <w:tcW w:w="860" w:type="dxa"/>
            <w:vAlign w:val="bottom"/>
          </w:tcPr>
          <w:p>
            <w:pPr>
              <w:ind w:left="20"/>
              <w:spacing w:after="0"/>
              <w:rPr>
                <w:sz w:val="20"/>
                <w:szCs w:val="20"/>
                <w:color w:val="auto"/>
              </w:rPr>
            </w:pPr>
            <w:r>
              <w:rPr>
                <w:rFonts w:ascii="Arial" w:cs="Arial" w:eastAsia="Arial" w:hAnsi="Arial"/>
                <w:sz w:val="18"/>
                <w:szCs w:val="18"/>
                <w:color w:val="auto"/>
              </w:rPr>
              <w:t>[*CTR]</w:t>
            </w:r>
          </w:p>
        </w:tc>
        <w:tc>
          <w:tcPr>
            <w:tcW w:w="2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w w:val="84"/>
              </w:rPr>
              <w:t>3.4.2</w:t>
            </w:r>
          </w:p>
        </w:tc>
        <w:tc>
          <w:tcPr>
            <w:tcW w:w="860" w:type="dxa"/>
            <w:vAlign w:val="bottom"/>
          </w:tcPr>
          <w:p>
            <w:pPr>
              <w:ind w:left="20"/>
              <w:spacing w:after="0"/>
              <w:rPr>
                <w:sz w:val="20"/>
                <w:szCs w:val="20"/>
                <w:color w:val="auto"/>
              </w:rPr>
            </w:pPr>
            <w:r>
              <w:rPr>
                <w:rFonts w:ascii="Arial" w:cs="Arial" w:eastAsia="Arial" w:hAnsi="Arial"/>
                <w:sz w:val="18"/>
                <w:szCs w:val="18"/>
                <w:color w:val="auto"/>
                <w:w w:val="99"/>
              </w:rPr>
              <w:t>Reserved.</w:t>
            </w: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w w:val="84"/>
              </w:rPr>
              <w:t>3.4.3</w:t>
            </w:r>
          </w:p>
        </w:tc>
        <w:tc>
          <w:tcPr>
            <w:tcW w:w="860" w:type="dxa"/>
            <w:vAlign w:val="bottom"/>
          </w:tcPr>
          <w:p>
            <w:pPr>
              <w:ind w:left="20"/>
              <w:spacing w:after="0"/>
              <w:rPr>
                <w:sz w:val="20"/>
                <w:szCs w:val="20"/>
                <w:color w:val="auto"/>
              </w:rPr>
            </w:pPr>
            <w:r>
              <w:rPr>
                <w:rFonts w:ascii="Arial" w:cs="Arial" w:eastAsia="Arial" w:hAnsi="Arial"/>
                <w:sz w:val="18"/>
                <w:szCs w:val="18"/>
                <w:color w:val="auto"/>
              </w:rPr>
              <w:t>[*CTR]</w:t>
            </w:r>
          </w:p>
        </w:tc>
        <w:tc>
          <w:tcPr>
            <w:tcW w:w="2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3.4.3.1</w:t>
            </w:r>
          </w:p>
        </w:tc>
        <w:tc>
          <w:tcPr>
            <w:tcW w:w="516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3.4.3.2</w:t>
            </w:r>
          </w:p>
        </w:tc>
        <w:tc>
          <w:tcPr>
            <w:tcW w:w="516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b w:val="1"/>
                <w:bCs w:val="1"/>
                <w:color w:val="auto"/>
              </w:rPr>
              <w:t>Figure 1</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860" w:type="dxa"/>
            <w:vAlign w:val="bottom"/>
            <w:vMerge w:val="restart"/>
          </w:tcPr>
          <w:p>
            <w:pPr>
              <w:ind w:left="100"/>
              <w:spacing w:after="0"/>
              <w:rPr>
                <w:sz w:val="20"/>
                <w:szCs w:val="20"/>
                <w:color w:val="auto"/>
              </w:rPr>
            </w:pPr>
            <w:r>
              <w:rPr>
                <w:rFonts w:ascii="Arial" w:cs="Arial" w:eastAsia="Arial" w:hAnsi="Arial"/>
                <w:sz w:val="18"/>
                <w:szCs w:val="18"/>
                <w:color w:val="auto"/>
              </w:rPr>
              <w:t>[*CTR]</w:t>
            </w:r>
          </w:p>
        </w:tc>
        <w:tc>
          <w:tcPr>
            <w:tcW w:w="2100" w:type="dxa"/>
            <w:vAlign w:val="bottom"/>
          </w:tcPr>
          <w:p>
            <w:pPr>
              <w:spacing w:after="0"/>
              <w:rPr>
                <w:sz w:val="24"/>
                <w:szCs w:val="24"/>
                <w:color w:val="auto"/>
              </w:rPr>
            </w:pPr>
          </w:p>
        </w:tc>
        <w:tc>
          <w:tcPr>
            <w:tcW w:w="3060" w:type="dxa"/>
            <w:vAlign w:val="bottom"/>
            <w:gridSpan w:val="2"/>
          </w:tcPr>
          <w:p>
            <w:pPr>
              <w:ind w:left="20"/>
              <w:spacing w:after="0"/>
              <w:rPr>
                <w:sz w:val="20"/>
                <w:szCs w:val="20"/>
                <w:color w:val="auto"/>
              </w:rPr>
            </w:pPr>
            <w:r>
              <w:rPr>
                <w:rFonts w:ascii="Arial" w:cs="Arial" w:eastAsia="Arial" w:hAnsi="Arial"/>
                <w:sz w:val="14"/>
                <w:szCs w:val="14"/>
                <w:color w:val="auto"/>
              </w:rPr>
              <w:t>Article 3.4.3.2 Table</w:t>
            </w:r>
          </w:p>
        </w:tc>
        <w:tc>
          <w:tcPr>
            <w:tcW w:w="1820" w:type="dxa"/>
            <w:vAlign w:val="bottom"/>
            <w:gridSpan w:val="2"/>
          </w:tcPr>
          <w:p>
            <w:pPr>
              <w:ind w:left="1320"/>
              <w:spacing w:after="0"/>
              <w:rPr>
                <w:sz w:val="20"/>
                <w:szCs w:val="20"/>
                <w:color w:val="auto"/>
              </w:rPr>
            </w:pPr>
            <w:r>
              <w:rPr>
                <w:rFonts w:ascii="Arial" w:cs="Arial" w:eastAsia="Arial" w:hAnsi="Arial"/>
                <w:sz w:val="14"/>
                <w:szCs w:val="14"/>
                <w:b w:val="1"/>
                <w:bCs w:val="1"/>
                <w:color w:val="auto"/>
                <w:w w:val="93"/>
              </w:rPr>
              <w:t>787-923</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787-8*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[*CTR]</w:t>
            </w:r>
          </w:p>
        </w:tc>
        <w:tc>
          <w:tcPr>
            <w:tcW w:w="4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3"/>
              </w:rPr>
              <w:t>[*CTR]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1480" w:right="5080" w:hanging="1472"/>
        <w:spacing w:after="0" w:line="418" w:lineRule="auto"/>
        <w:tabs>
          <w:tab w:leader="none" w:pos="2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 Provided for informational purposes, as the parties [*CTR] included in the [*CTR]. 3.4.3.3 [*CTR]</w:t>
      </w:r>
    </w:p>
    <w:p>
      <w:pPr>
        <w:spacing w:after="0" w:line="197"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Purchase Agreement Amendment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4.1 Within [*CTR] following final 787-923 Aircraft Configuration of the Boeing Model 787-923 Aircraft, Boeing and Customer will execute a separate written amendment to the Purchase Agreement for the Boeing Model 787-923 aircraft to reflect the following:</w:t>
      </w:r>
    </w:p>
    <w:p>
      <w:pPr>
        <w:spacing w:after="0" w:line="62"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4.1.1 Incorporation of those Optional Features which have been agreed to by Customer and Boeing (</w:t>
      </w:r>
      <w:r>
        <w:rPr>
          <w:rFonts w:ascii="Arial" w:cs="Arial" w:eastAsia="Arial" w:hAnsi="Arial"/>
          <w:sz w:val="18"/>
          <w:szCs w:val="18"/>
          <w:b w:val="1"/>
          <w:bCs w:val="1"/>
          <w:i w:val="1"/>
          <w:iCs w:val="1"/>
          <w:color w:val="auto"/>
        </w:rPr>
        <w:t>Customer Configuration Changes</w:t>
      </w:r>
      <w:r>
        <w:rPr>
          <w:rFonts w:ascii="Arial" w:cs="Arial" w:eastAsia="Arial" w:hAnsi="Arial"/>
          <w:sz w:val="18"/>
          <w:szCs w:val="18"/>
          <w:color w:val="auto"/>
        </w:rPr>
        <w:t xml:space="preserve">) into </w:t>
      </w:r>
      <w:r>
        <w:rPr>
          <w:rFonts w:ascii="Arial" w:cs="Arial" w:eastAsia="Arial" w:hAnsi="Arial"/>
          <w:sz w:val="18"/>
          <w:szCs w:val="18"/>
          <w:u w:val="single" w:color="auto"/>
          <w:color w:val="auto"/>
        </w:rPr>
        <w:t>Exhibit A(R1) (Boeing Model 787-923 Aircraft</w:t>
      </w:r>
      <w:r>
        <w:rPr>
          <w:rFonts w:ascii="Arial" w:cs="Arial" w:eastAsia="Arial" w:hAnsi="Arial"/>
          <w:sz w:val="18"/>
          <w:szCs w:val="18"/>
          <w:color w:val="auto"/>
        </w:rPr>
        <w:t>) of the Purchase Agreement; 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4.1.2 [*CTR]</w:t>
      </w:r>
    </w:p>
    <w:p>
      <w:pPr>
        <w:sectPr>
          <w:pgSz w:w="11900" w:h="16838" w:orient="portrait"/>
          <w:cols w:equalWidth="0" w:num="1">
            <w:col w:w="11420"/>
          </w:cols>
          <w:pgMar w:left="240" w:top="1003"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No. 3219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Open Configuration Matters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980"/>
        <w:spacing w:after="0"/>
        <w:rPr>
          <w:sz w:val="20"/>
          <w:szCs w:val="20"/>
          <w:color w:val="auto"/>
        </w:rPr>
      </w:pPr>
      <w:r>
        <w:rPr>
          <w:rFonts w:ascii="Arial" w:cs="Arial" w:eastAsia="Arial" w:hAnsi="Arial"/>
          <w:sz w:val="17"/>
          <w:szCs w:val="17"/>
          <w:color w:val="auto"/>
        </w:rPr>
        <w:t>SA-5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L.A.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firstLine="215"/>
        <w:spacing w:after="0" w:line="274" w:lineRule="auto"/>
        <w:rPr>
          <w:sz w:val="20"/>
          <w:szCs w:val="20"/>
          <w:color w:val="auto"/>
        </w:rPr>
      </w:pPr>
      <w:r>
        <w:rPr>
          <w:rFonts w:ascii="Arial" w:cs="Arial" w:eastAsia="Arial" w:hAnsi="Arial"/>
          <w:sz w:val="17"/>
          <w:szCs w:val="17"/>
          <w:color w:val="auto"/>
        </w:rPr>
        <w:t>3219-08R2 Page 2</w:t>
      </w:r>
    </w:p>
    <w:p>
      <w:pPr>
        <w:spacing w:after="0" w:line="1" w:lineRule="exact"/>
        <w:rPr>
          <w:sz w:val="20"/>
          <w:szCs w:val="20"/>
          <w:color w:val="auto"/>
        </w:rPr>
      </w:pPr>
    </w:p>
    <w:p>
      <w:pPr>
        <w:sectPr>
          <w:pgSz w:w="11900" w:h="16838" w:orient="portrait"/>
          <w:cols w:equalWidth="0" w:num="4">
            <w:col w:w="4940" w:space="720"/>
            <w:col w:w="3360" w:space="720"/>
            <w:col w:w="340" w:space="320"/>
            <w:col w:w="1020"/>
          </w:cols>
          <w:pgMar w:left="240" w:top="1003" w:right="239" w:bottom="1440" w:gutter="0" w:footer="0" w:header="0"/>
          <w:type w:val="continuous"/>
        </w:sectPr>
      </w:pPr>
    </w:p>
    <w:p>
      <w:pPr>
        <w:jc w:val="center"/>
        <w:ind w:left="280"/>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03" w:right="239" w:bottom="1440" w:gutter="0" w:footer="0" w:header="0"/>
          <w:type w:val="continuous"/>
        </w:sectPr>
      </w:pPr>
    </w:p>
    <w:bookmarkStart w:id="178" w:name="page179"/>
    <w:bookmarkEnd w:id="178"/>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43685" cy="3689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1543685" cy="368935"/>
                    </a:xfrm>
                    <a:prstGeom prst="rect">
                      <a:avLst/>
                    </a:prstGeom>
                    <a:noFill/>
                  </pic:spPr>
                </pic:pic>
              </a:graphicData>
            </a:graphic>
          </wp:anchor>
        </w:drawing>
        <w:t>Confidential Treatment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confidentiality of this Letter Agreement is governed by Letter Agreement 6-1162-TRW-0673R1 entitled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9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color w:val="auto"/>
                <w:w w:val="90"/>
              </w:rPr>
              <w:t>/s/ The Boeing Company</w:t>
            </w:r>
          </w:p>
        </w:tc>
        <w:tc>
          <w:tcPr>
            <w:tcW w:w="3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1"/>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9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w w:val="94"/>
              </w:rPr>
              <w:t>Attorney-In-Fact</w:t>
            </w:r>
          </w:p>
        </w:tc>
        <w:tc>
          <w:tcPr>
            <w:tcW w:w="3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7"/>
        </w:trPr>
        <w:tc>
          <w:tcPr>
            <w:tcW w:w="1300" w:type="dxa"/>
            <w:vAlign w:val="bottom"/>
            <w:gridSpan w:val="2"/>
          </w:tcPr>
          <w:p>
            <w:pPr>
              <w:spacing w:after="0"/>
              <w:rPr>
                <w:sz w:val="20"/>
                <w:szCs w:val="20"/>
                <w:color w:val="auto"/>
              </w:rPr>
            </w:pPr>
            <w:r>
              <w:rPr>
                <w:rFonts w:ascii="Arial" w:cs="Arial" w:eastAsia="Arial" w:hAnsi="Arial"/>
                <w:sz w:val="18"/>
                <w:szCs w:val="18"/>
                <w:color w:val="auto"/>
              </w:rPr>
              <w:t>P.A. No. 3219</w:t>
            </w:r>
          </w:p>
        </w:tc>
        <w:tc>
          <w:tcPr>
            <w:tcW w:w="3280" w:type="dxa"/>
            <w:vAlign w:val="bottom"/>
          </w:tcPr>
          <w:p>
            <w:pPr>
              <w:spacing w:after="0"/>
              <w:rPr>
                <w:sz w:val="24"/>
                <w:szCs w:val="24"/>
                <w:color w:val="auto"/>
              </w:rPr>
            </w:pPr>
          </w:p>
        </w:tc>
        <w:tc>
          <w:tcPr>
            <w:tcW w:w="3300" w:type="dxa"/>
            <w:vAlign w:val="bottom"/>
          </w:tcPr>
          <w:p>
            <w:pPr>
              <w:ind w:left="1080"/>
              <w:spacing w:after="0"/>
              <w:rPr>
                <w:sz w:val="20"/>
                <w:szCs w:val="20"/>
                <w:color w:val="auto"/>
              </w:rPr>
            </w:pPr>
            <w:r>
              <w:rPr>
                <w:rFonts w:ascii="Arial" w:cs="Arial" w:eastAsia="Arial" w:hAnsi="Arial"/>
                <w:sz w:val="18"/>
                <w:szCs w:val="18"/>
                <w:color w:val="auto"/>
              </w:rPr>
              <w:t>SA-5</w:t>
            </w:r>
          </w:p>
        </w:tc>
        <w:tc>
          <w:tcPr>
            <w:tcW w:w="2360" w:type="dxa"/>
            <w:vAlign w:val="bottom"/>
          </w:tcPr>
          <w:p>
            <w:pPr>
              <w:ind w:left="1860"/>
              <w:spacing w:after="0"/>
              <w:rPr>
                <w:sz w:val="20"/>
                <w:szCs w:val="20"/>
                <w:color w:val="auto"/>
              </w:rPr>
            </w:pPr>
            <w:r>
              <w:rPr>
                <w:rFonts w:ascii="Arial" w:cs="Arial" w:eastAsia="Arial" w:hAnsi="Arial"/>
                <w:sz w:val="18"/>
                <w:szCs w:val="18"/>
                <w:color w:val="auto"/>
              </w:rPr>
              <w:t>L.A.</w:t>
            </w:r>
          </w:p>
        </w:tc>
        <w:tc>
          <w:tcPr>
            <w:tcW w:w="1180" w:type="dxa"/>
            <w:vAlign w:val="bottom"/>
          </w:tcPr>
          <w:p>
            <w:pPr>
              <w:ind w:left="380"/>
              <w:spacing w:after="0"/>
              <w:rPr>
                <w:sz w:val="20"/>
                <w:szCs w:val="20"/>
                <w:color w:val="auto"/>
              </w:rPr>
            </w:pPr>
            <w:r>
              <w:rPr>
                <w:rFonts w:ascii="Arial" w:cs="Arial" w:eastAsia="Arial" w:hAnsi="Arial"/>
                <w:sz w:val="18"/>
                <w:szCs w:val="18"/>
                <w:color w:val="auto"/>
                <w:w w:val="87"/>
              </w:rPr>
              <w:t>3219-08R2</w:t>
            </w:r>
          </w:p>
        </w:tc>
      </w:tr>
      <w:tr>
        <w:trPr>
          <w:trHeight w:val="230"/>
        </w:trPr>
        <w:tc>
          <w:tcPr>
            <w:tcW w:w="7880" w:type="dxa"/>
            <w:vAlign w:val="bottom"/>
            <w:gridSpan w:val="4"/>
          </w:tcPr>
          <w:p>
            <w:pPr>
              <w:spacing w:after="0"/>
              <w:rPr>
                <w:sz w:val="20"/>
                <w:szCs w:val="20"/>
                <w:color w:val="auto"/>
              </w:rPr>
            </w:pPr>
            <w:r>
              <w:rPr>
                <w:rFonts w:ascii="Arial" w:cs="Arial" w:eastAsia="Arial" w:hAnsi="Arial"/>
                <w:sz w:val="18"/>
                <w:szCs w:val="18"/>
                <w:color w:val="auto"/>
              </w:rPr>
              <w:t>Open Configuration Matters</w:t>
            </w:r>
          </w:p>
        </w:tc>
        <w:tc>
          <w:tcPr>
            <w:tcW w:w="236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Page 3</w:t>
            </w:r>
          </w:p>
        </w:tc>
      </w:tr>
    </w:tbl>
    <w:p>
      <w:pPr>
        <w:jc w:val="center"/>
        <w:ind w:left="260"/>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03"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43685" cy="3689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543685" cy="368935"/>
                    </a:xfrm>
                    <a:prstGeom prst="rect">
                      <a:avLst/>
                    </a:prstGeom>
                    <a:noFill/>
                  </pic:spPr>
                </pic:pic>
              </a:graphicData>
            </a:graphic>
          </wp:anchor>
        </w:drawing>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January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American Airlines, Inc.</w:t>
            </w:r>
          </w:p>
        </w:tc>
        <w:tc>
          <w:tcPr>
            <w:tcW w:w="3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7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Vice President, Fleet Planning</w:t>
            </w:r>
          </w:p>
        </w:tc>
        <w:tc>
          <w:tcPr>
            <w:tcW w:w="3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7"/>
        </w:trPr>
        <w:tc>
          <w:tcPr>
            <w:tcW w:w="1260" w:type="dxa"/>
            <w:vAlign w:val="bottom"/>
            <w:gridSpan w:val="2"/>
          </w:tcPr>
          <w:p>
            <w:pPr>
              <w:spacing w:after="0"/>
              <w:rPr>
                <w:sz w:val="20"/>
                <w:szCs w:val="20"/>
                <w:color w:val="auto"/>
              </w:rPr>
            </w:pPr>
            <w:r>
              <w:rPr>
                <w:rFonts w:ascii="Arial" w:cs="Arial" w:eastAsia="Arial" w:hAnsi="Arial"/>
                <w:sz w:val="18"/>
                <w:szCs w:val="18"/>
                <w:color w:val="auto"/>
              </w:rPr>
              <w:t>P.A. No. 3219</w:t>
            </w:r>
          </w:p>
        </w:tc>
        <w:tc>
          <w:tcPr>
            <w:tcW w:w="3320" w:type="dxa"/>
            <w:vAlign w:val="bottom"/>
          </w:tcPr>
          <w:p>
            <w:pPr>
              <w:spacing w:after="0"/>
              <w:rPr>
                <w:sz w:val="24"/>
                <w:szCs w:val="24"/>
                <w:color w:val="auto"/>
              </w:rPr>
            </w:pPr>
          </w:p>
        </w:tc>
        <w:tc>
          <w:tcPr>
            <w:tcW w:w="3300" w:type="dxa"/>
            <w:vAlign w:val="bottom"/>
          </w:tcPr>
          <w:p>
            <w:pPr>
              <w:ind w:left="1080"/>
              <w:spacing w:after="0"/>
              <w:rPr>
                <w:sz w:val="20"/>
                <w:szCs w:val="20"/>
                <w:color w:val="auto"/>
              </w:rPr>
            </w:pPr>
            <w:r>
              <w:rPr>
                <w:rFonts w:ascii="Arial" w:cs="Arial" w:eastAsia="Arial" w:hAnsi="Arial"/>
                <w:sz w:val="18"/>
                <w:szCs w:val="18"/>
                <w:color w:val="auto"/>
              </w:rPr>
              <w:t>SA-5</w:t>
            </w:r>
          </w:p>
        </w:tc>
        <w:tc>
          <w:tcPr>
            <w:tcW w:w="2360" w:type="dxa"/>
            <w:vAlign w:val="bottom"/>
          </w:tcPr>
          <w:p>
            <w:pPr>
              <w:ind w:left="1860"/>
              <w:spacing w:after="0"/>
              <w:rPr>
                <w:sz w:val="20"/>
                <w:szCs w:val="20"/>
                <w:color w:val="auto"/>
              </w:rPr>
            </w:pPr>
            <w:r>
              <w:rPr>
                <w:rFonts w:ascii="Arial" w:cs="Arial" w:eastAsia="Arial" w:hAnsi="Arial"/>
                <w:sz w:val="18"/>
                <w:szCs w:val="18"/>
                <w:color w:val="auto"/>
              </w:rPr>
              <w:t>L.A.</w:t>
            </w:r>
          </w:p>
        </w:tc>
        <w:tc>
          <w:tcPr>
            <w:tcW w:w="1180" w:type="dxa"/>
            <w:vAlign w:val="bottom"/>
          </w:tcPr>
          <w:p>
            <w:pPr>
              <w:ind w:left="380"/>
              <w:spacing w:after="0"/>
              <w:rPr>
                <w:sz w:val="20"/>
                <w:szCs w:val="20"/>
                <w:color w:val="auto"/>
              </w:rPr>
            </w:pPr>
            <w:r>
              <w:rPr>
                <w:rFonts w:ascii="Arial" w:cs="Arial" w:eastAsia="Arial" w:hAnsi="Arial"/>
                <w:sz w:val="18"/>
                <w:szCs w:val="18"/>
                <w:color w:val="auto"/>
                <w:w w:val="87"/>
              </w:rPr>
              <w:t>3219-08R2</w:t>
            </w:r>
          </w:p>
        </w:tc>
      </w:tr>
      <w:tr>
        <w:trPr>
          <w:trHeight w:val="230"/>
        </w:trPr>
        <w:tc>
          <w:tcPr>
            <w:tcW w:w="7880" w:type="dxa"/>
            <w:vAlign w:val="bottom"/>
            <w:gridSpan w:val="4"/>
          </w:tcPr>
          <w:p>
            <w:pPr>
              <w:spacing w:after="0"/>
              <w:rPr>
                <w:sz w:val="20"/>
                <w:szCs w:val="20"/>
                <w:color w:val="auto"/>
              </w:rPr>
            </w:pPr>
            <w:r>
              <w:rPr>
                <w:rFonts w:ascii="Arial" w:cs="Arial" w:eastAsia="Arial" w:hAnsi="Arial"/>
                <w:sz w:val="18"/>
                <w:szCs w:val="18"/>
                <w:color w:val="auto"/>
              </w:rPr>
              <w:t>Open Configuration Matters</w:t>
            </w:r>
          </w:p>
        </w:tc>
        <w:tc>
          <w:tcPr>
            <w:tcW w:w="236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Page 4</w:t>
            </w:r>
          </w:p>
        </w:tc>
      </w:tr>
    </w:tbl>
    <w:p>
      <w:pPr>
        <w:jc w:val="center"/>
        <w:ind w:left="260"/>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03" w:right="239" w:bottom="1440" w:gutter="0" w:footer="0" w:header="0"/>
        </w:sectPr>
      </w:pPr>
    </w:p>
    <w:bookmarkStart w:id="180" w:name="page181"/>
    <w:bookmarkEnd w:id="180"/>
    <w:p>
      <w:pP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43685" cy="3689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3685" cy="368935"/>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6-1162-CLO-1047R2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Purchase Agreement No. 3219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787 aircraft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600"/>
            <w:col w:w="10040"/>
          </w:cols>
          <w:pgMar w:left="240" w:top="274" w:right="2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amends and supplements the Purchase Agreement. All terms used but not defined in this Letter Agreement have the same meaning as in the Purchase Agreement.</w:t>
      </w:r>
    </w:p>
    <w:p>
      <w:pPr>
        <w:spacing w:after="0" w:line="319"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u w:val="single" w:color="auto"/>
          <w:color w:val="auto"/>
        </w:rPr>
        <w:t>[*CTR]</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[*CTR].</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1.2   [*CTR].</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1.3   [*CTR].</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1.4   [*CTR]. The [*CTR] shall be applied to the [*CTR].</w:t>
      </w:r>
    </w:p>
    <w:p>
      <w:pPr>
        <w:spacing w:after="0" w:line="12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1.5   [*CTR]</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1.6   [*CTR] to the [*CTR] of Customer.</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1.7   [*CTR].</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-1834515</wp:posOffset>
            </wp:positionV>
            <wp:extent cx="3517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0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Notwithstanding any other provisions of the Purchase Agreement, the rights and obligations described in this Letter Agreement are provided to Customer in consideration of Customer becoming the operator of the Aircraft and cannot be assigned, in whole or in part, without the prior written consent of Boeing.</w:t>
      </w:r>
    </w:p>
    <w:p>
      <w:pPr>
        <w:sectPr>
          <w:pgSz w:w="11900" w:h="16838" w:orient="portrait"/>
          <w:cols w:equalWidth="0" w:num="1">
            <w:col w:w="11420"/>
          </w:cols>
          <w:pgMar w:left="240" w:top="274"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SA-5</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L.A. 6-1162-CLO-1047</w:t>
      </w:r>
      <w:r>
        <w:rPr>
          <w:rFonts w:ascii="Arial" w:cs="Arial" w:eastAsia="Arial" w:hAnsi="Arial"/>
          <w:sz w:val="17"/>
          <w:szCs w:val="17"/>
          <w:b w:val="1"/>
          <w:bCs w:val="1"/>
          <w:color w:val="auto"/>
        </w:rPr>
        <w:t>R2</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9" w:lineRule="exact"/>
        <w:rPr>
          <w:sz w:val="20"/>
          <w:szCs w:val="20"/>
          <w:color w:val="auto"/>
        </w:rPr>
      </w:pPr>
    </w:p>
    <w:p>
      <w:pPr>
        <w:sectPr>
          <w:pgSz w:w="11900" w:h="16838" w:orient="portrait"/>
          <w:cols w:equalWidth="0" w:num="3">
            <w:col w:w="4940" w:space="720"/>
            <w:col w:w="3100" w:space="720"/>
            <w:col w:w="1940"/>
          </w:cols>
          <w:pgMar w:left="240" w:top="274" w:right="239" w:bottom="1440" w:gutter="0" w:footer="0" w:header="0"/>
          <w:type w:val="continuous"/>
        </w:sectPr>
      </w:pPr>
    </w:p>
    <w:p>
      <w:pPr>
        <w:jc w:val="center"/>
        <w:ind w:left="280"/>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81" w:name="page182"/>
    <w:bookmarkEnd w:id="181"/>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543685" cy="3689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1543685" cy="368935"/>
                    </a:xfrm>
                    <a:prstGeom prst="rect">
                      <a:avLst/>
                    </a:prstGeom>
                    <a:noFill/>
                  </pic:spPr>
                </pic:pic>
              </a:graphicData>
            </a:graphic>
          </wp:anchor>
        </w:drawing>
        <w:t>Confidential Treatment</w:t>
      </w:r>
      <w:r>
        <w:rPr>
          <w:rFonts w:ascii="Arial" w:cs="Arial" w:eastAsia="Arial" w:hAnsi="Arial"/>
          <w:sz w:val="18"/>
          <w:szCs w:val="18"/>
          <w:b w:val="1"/>
          <w:bCs w:val="1"/>
          <w:color w:val="auto"/>
        </w:rPr>
        <w: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BOEING COMPANY</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January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31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Fleet Planning</w:t>
            </w:r>
          </w:p>
        </w:tc>
        <w:tc>
          <w:tcPr>
            <w:tcW w:w="3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357"/>
        </w:trPr>
        <w:tc>
          <w:tcPr>
            <w:tcW w:w="4580" w:type="dxa"/>
            <w:vAlign w:val="bottom"/>
            <w:gridSpan w:val="2"/>
          </w:tcPr>
          <w:p>
            <w:pPr>
              <w:spacing w:after="0"/>
              <w:rPr>
                <w:sz w:val="20"/>
                <w:szCs w:val="20"/>
                <w:color w:val="auto"/>
              </w:rPr>
            </w:pPr>
            <w:r>
              <w:rPr>
                <w:rFonts w:ascii="Arial" w:cs="Arial" w:eastAsia="Arial" w:hAnsi="Arial"/>
                <w:sz w:val="18"/>
                <w:szCs w:val="18"/>
                <w:color w:val="auto"/>
              </w:rPr>
              <w:t>P.A. No. 3219</w:t>
            </w:r>
          </w:p>
        </w:tc>
        <w:tc>
          <w:tcPr>
            <w:tcW w:w="3180" w:type="dxa"/>
            <w:vAlign w:val="bottom"/>
          </w:tcPr>
          <w:p>
            <w:pPr>
              <w:ind w:left="1080"/>
              <w:spacing w:after="0"/>
              <w:rPr>
                <w:sz w:val="20"/>
                <w:szCs w:val="20"/>
                <w:color w:val="auto"/>
              </w:rPr>
            </w:pPr>
            <w:r>
              <w:rPr>
                <w:rFonts w:ascii="Arial" w:cs="Arial" w:eastAsia="Arial" w:hAnsi="Arial"/>
                <w:sz w:val="18"/>
                <w:szCs w:val="18"/>
                <w:b w:val="1"/>
                <w:bCs w:val="1"/>
                <w:color w:val="auto"/>
              </w:rPr>
              <w:t>SA-5</w:t>
            </w:r>
          </w:p>
        </w:tc>
        <w:tc>
          <w:tcPr>
            <w:tcW w:w="3660" w:type="dxa"/>
            <w:vAlign w:val="bottom"/>
          </w:tcPr>
          <w:p>
            <w:pPr>
              <w:jc w:val="right"/>
              <w:spacing w:after="0"/>
              <w:rPr>
                <w:sz w:val="20"/>
                <w:szCs w:val="20"/>
                <w:color w:val="auto"/>
              </w:rPr>
            </w:pPr>
            <w:r>
              <w:rPr>
                <w:rFonts w:ascii="Arial" w:cs="Arial" w:eastAsia="Arial" w:hAnsi="Arial"/>
                <w:sz w:val="18"/>
                <w:szCs w:val="18"/>
                <w:color w:val="auto"/>
              </w:rPr>
              <w:t>L.A. 6-1162-CLO-1047</w:t>
            </w:r>
            <w:r>
              <w:rPr>
                <w:rFonts w:ascii="Arial" w:cs="Arial" w:eastAsia="Arial" w:hAnsi="Arial"/>
                <w:sz w:val="18"/>
                <w:szCs w:val="18"/>
                <w:b w:val="1"/>
                <w:bCs w:val="1"/>
                <w:color w:val="auto"/>
              </w:rPr>
              <w:t>R2</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[*CTR]</w:t>
            </w:r>
          </w:p>
        </w:tc>
        <w:tc>
          <w:tcPr>
            <w:tcW w:w="3180" w:type="dxa"/>
            <w:vAlign w:val="bottom"/>
          </w:tcPr>
          <w:p>
            <w:pPr>
              <w:spacing w:after="0"/>
              <w:rPr>
                <w:sz w:val="20"/>
                <w:szCs w:val="20"/>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Page 2</w:t>
            </w:r>
          </w:p>
        </w:tc>
      </w:tr>
    </w:tbl>
    <w:p>
      <w:pPr>
        <w:jc w:val="center"/>
        <w:ind w:left="260"/>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99" w:right="239" w:bottom="1440" w:gutter="0" w:footer="0" w:header="0"/>
        </w:sectPr>
      </w:pPr>
    </w:p>
    <w:bookmarkStart w:id="182" w:name="page183"/>
    <w:bookmarkEnd w:id="182"/>
    <w:p>
      <w:pPr>
        <w:ind w:left="8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43685" cy="3689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43685" cy="368935"/>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AAL-PA-3219-LA-1302236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4"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3"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color w:val="auto"/>
        </w:rPr>
        <w:t>Purchase Agreement No. PA-3219 (</w:t>
      </w:r>
      <w:r>
        <w:rPr>
          <w:rFonts w:ascii="Arial" w:cs="Arial" w:eastAsia="Arial" w:hAnsi="Arial"/>
          <w:sz w:val="18"/>
          <w:szCs w:val="18"/>
          <w:b w:val="1"/>
          <w:bCs w:val="1"/>
          <w:color w:val="auto"/>
        </w:rPr>
        <w:t>Purchase Agreement</w:t>
      </w:r>
      <w:r>
        <w:rPr>
          <w:rFonts w:ascii="Arial" w:cs="Arial" w:eastAsia="Arial" w:hAnsi="Arial"/>
          <w:sz w:val="18"/>
          <w:szCs w:val="18"/>
          <w:color w:val="auto"/>
        </w:rPr>
        <w:t>) between The Boeing Company (</w:t>
      </w:r>
      <w:r>
        <w:rPr>
          <w:rFonts w:ascii="Arial" w:cs="Arial" w:eastAsia="Arial" w:hAnsi="Arial"/>
          <w:sz w:val="18"/>
          <w:szCs w:val="18"/>
          <w:b w:val="1"/>
          <w:bCs w:val="1"/>
          <w:color w:val="auto"/>
        </w:rPr>
        <w:t>Boeing</w:t>
      </w:r>
      <w:r>
        <w:rPr>
          <w:rFonts w:ascii="Arial" w:cs="Arial" w:eastAsia="Arial" w:hAnsi="Arial"/>
          <w:sz w:val="18"/>
          <w:szCs w:val="18"/>
          <w:color w:val="auto"/>
        </w:rPr>
        <w:t>) and American Airlines, Inc. (</w:t>
      </w:r>
      <w:r>
        <w:rPr>
          <w:rFonts w:ascii="Arial" w:cs="Arial" w:eastAsia="Arial" w:hAnsi="Arial"/>
          <w:sz w:val="18"/>
          <w:szCs w:val="18"/>
          <w:b w:val="1"/>
          <w:bCs w:val="1"/>
          <w:color w:val="auto"/>
        </w:rPr>
        <w:t>Customer</w:t>
      </w:r>
      <w:r>
        <w:rPr>
          <w:rFonts w:ascii="Arial" w:cs="Arial" w:eastAsia="Arial" w:hAnsi="Arial"/>
          <w:sz w:val="18"/>
          <w:szCs w:val="18"/>
          <w:color w:val="auto"/>
        </w:rPr>
        <w:t>) relating to Model 787 aircraft (</w:t>
      </w:r>
      <w:r>
        <w:rPr>
          <w:rFonts w:ascii="Arial" w:cs="Arial" w:eastAsia="Arial" w:hAnsi="Arial"/>
          <w:sz w:val="18"/>
          <w:szCs w:val="18"/>
          <w:b w:val="1"/>
          <w:bCs w:val="1"/>
          <w:color w:val="auto"/>
        </w:rPr>
        <w:t>Aircraft</w:t>
      </w:r>
      <w:r>
        <w:rPr>
          <w:rFonts w:ascii="Arial" w:cs="Arial" w:eastAsia="Arial" w:hAnsi="Arial"/>
          <w:sz w:val="18"/>
          <w:szCs w:val="18"/>
          <w:color w:val="auto"/>
        </w:rPr>
        <w:t>)</w:t>
      </w:r>
    </w:p>
    <w:p>
      <w:pPr>
        <w:spacing w:after="0" w:line="162" w:lineRule="exact"/>
        <w:rPr>
          <w:sz w:val="20"/>
          <w:szCs w:val="20"/>
          <w:color w:val="auto"/>
        </w:rPr>
      </w:pPr>
    </w:p>
    <w:p>
      <w:pPr>
        <w:sectPr>
          <w:pgSz w:w="11900" w:h="16838" w:orient="portrait"/>
          <w:cols w:equalWidth="0" w:num="2">
            <w:col w:w="780" w:space="600"/>
            <w:col w:w="1004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This letter agreement (</w:t>
      </w:r>
      <w:r>
        <w:rPr>
          <w:rFonts w:ascii="Arial" w:cs="Arial" w:eastAsia="Arial" w:hAnsi="Arial"/>
          <w:sz w:val="16"/>
          <w:szCs w:val="16"/>
          <w:b w:val="1"/>
          <w:bCs w:val="1"/>
          <w:color w:val="auto"/>
        </w:rPr>
        <w:t>Letter Agreement</w:t>
      </w:r>
      <w:r>
        <w:rPr>
          <w:rFonts w:ascii="Arial" w:cs="Arial" w:eastAsia="Arial" w:hAnsi="Arial"/>
          <w:sz w:val="16"/>
          <w:szCs w:val="16"/>
          <w:color w:val="auto"/>
        </w:rPr>
        <w:t>) is entered into on the date below and amends and supplements the Purchase Agreement referenced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in but not otherwise defined in this Letter Agreement shall have the same meaning as in the Purchase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Customer has [*CTR] that Boeing [*CTR] in the Aircraft [*CTR] described in Attachment A to this Letter Agreement (collectively referred to as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 that Boeing [*CTR] for Customer and that is identified in the Detail Specification for the Aircraft.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Because of the [*CTR] will be required during the [*CTR] of the [*CTR] and manufacture of the Aircraft to [*CTR] at the time of delivery of the Aircraft. To assist Customer, Boeing will [*CTR] as set forth in Attachment B.</w:t>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Responsibilities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Customer will: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provide [*CTR] to Boeing;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 select the [*CTR] from among those identified in the [*CTR] listed in Attachment A to this Letter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1.1.3 promptly after selecting the [*CTR] with Boeing in [*CTR] to ensure that [*CTR] meet Customer’s and Boeing’s [*CTR];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1.1.4 select [*CTR];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1.1.5 [*CTR] on [*CTR] (including [*CTR]), and any other [*CTR] to Customer in its own discretion [*CTR];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1.1.6 provide [*CTR] part numbers [*CTR] above to Boeing by a [*CTR] date;</w:t>
      </w:r>
    </w:p>
    <w:p>
      <w:pPr>
        <w:sectPr>
          <w:pgSz w:w="11900" w:h="16838" w:orient="portrait"/>
          <w:cols w:equalWidth="0" w:num="1">
            <w:col w:w="11420"/>
          </w:cols>
          <w:pgMar w:left="240" w:top="274" w:right="2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AAL-PA-3219-LA-1302236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1</w:t>
      </w:r>
    </w:p>
    <w:p>
      <w:pPr>
        <w:spacing w:after="0" w:line="248" w:lineRule="exact"/>
        <w:rPr>
          <w:sz w:val="20"/>
          <w:szCs w:val="20"/>
          <w:color w:val="auto"/>
        </w:rPr>
      </w:pPr>
    </w:p>
    <w:p>
      <w:pPr>
        <w:sectPr>
          <w:pgSz w:w="11900" w:h="16838" w:orient="portrait"/>
          <w:cols w:equalWidth="0" w:num="2">
            <w:col w:w="9940" w:space="720"/>
            <w:col w:w="760"/>
          </w:cols>
          <w:pgMar w:left="240" w:top="274" w:right="23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83" w:name="page184"/>
    <w:bookmarkEnd w:id="18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3346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1372235" cy="334645"/>
                    </a:xfrm>
                    <a:prstGeom prst="rect">
                      <a:avLst/>
                    </a:prstGeom>
                    <a:noFill/>
                  </pic:spPr>
                </pic:pic>
              </a:graphicData>
            </a:graphic>
          </wp:anchor>
        </w:drawing>
        <w:t>1.1.7 [*CTR] and [*CTR] with any required [*CTR];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1.1.8 use commercially [*CTR] to include in Customer’s [*CTR] a condition [*CTR] and [*CTR] with a Boeing approved [*CTR] agreement.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[*CTR] agreement will set forth the procedures [*CTR], and [*CTR] during the time such [*CTR].</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1.1.8.1 </w:t>
      </w:r>
      <w:r>
        <w:rPr>
          <w:rFonts w:ascii="Arial" w:cs="Arial" w:eastAsia="Arial" w:hAnsi="Arial"/>
          <w:sz w:val="18"/>
          <w:szCs w:val="18"/>
          <w:i w:val="1"/>
          <w:iCs w:val="1"/>
          <w:color w:val="auto"/>
        </w:rPr>
        <w:t>Intentionally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Boeing will, in a timely manner: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1.2.1 perform the [*CTR] functions stated in Attachment 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 provide [*CTR];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1.2.3 assist [*CTR] and approve such [*CTR];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1.2.4 release [*CTR] on behalf of Customer, and manage such [*CTR];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1.2.5 coordinate the [*CTR];</w:t>
      </w:r>
    </w:p>
    <w:p>
      <w:pPr>
        <w:spacing w:after="0" w:line="225"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1.2.6 ensure that at the time of Aircraft delivery, the [*CTR] contained in Attachment A to this Letter Agreement as such Attachment A may be amended from time to time; and</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1.2.7 prior to or at delivery of the applicable Aircraft, obtain [*CTR] of the Aircraft with the conforming [*CTR] therein including the [*CTR] identified in Section 2.1 of this Letter Agreement.</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1.2.8 If necessary, and upon request of Customer, use commercially [*CTR] to assist Customer in causing [*CTR] under the agreements between the Customer and [*CTR] with the objective of delivery of the Aircraft [*CTR] in the Aircraft and certified by the FAA. Any assistance which Boeing provides to Customer under this Section 1.2.8 shall [*CTR] for the purpose of Section 6 below.</w:t>
      </w:r>
    </w:p>
    <w:p>
      <w:pPr>
        <w:spacing w:after="0" w:line="330"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Software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[*CTR] may contain [*CTR] of the following two types:</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[*CTR]</w:t>
      </w:r>
      <w:r>
        <w:rPr>
          <w:rFonts w:ascii="Arial" w:cs="Arial" w:eastAsia="Arial" w:hAnsi="Arial"/>
          <w:sz w:val="18"/>
          <w:szCs w:val="18"/>
          <w:color w:val="auto"/>
        </w:rPr>
        <w:t>. The [*CTR] required to [*CTR] on the Aircraft is the [*CTR] and is part of the [*CTR].</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[*CTR]</w:t>
      </w:r>
      <w:r>
        <w:rPr>
          <w:rFonts w:ascii="Arial" w:cs="Arial" w:eastAsia="Arial" w:hAnsi="Arial"/>
          <w:sz w:val="18"/>
          <w:szCs w:val="18"/>
          <w:color w:val="auto"/>
        </w:rPr>
        <w:t>. The [*CTR] which is [*CTR] by the Customer to [*CTR] and is not part of the [*CTR].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-250190</wp:posOffset>
            </wp:positionV>
            <wp:extent cx="3517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23495</wp:posOffset>
            </wp:positionV>
            <wp:extent cx="3517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2.2.1 Customer is solely responsible for specifying Customer’s [*CTR] and [*CTR] and ensuring that Customer’s [*CTR] meets such [*CTR]. Customer and Customer’s [*CTR] will have total responsibility for the [*CTR] of any of Customer’s [*CTR]. Boeing will not perform the functions and obligations described in Section 1.2 above or the [*CTR] functions described in Attachment B for Customer’s [*CTR].</w:t>
      </w:r>
    </w:p>
    <w:p>
      <w:pPr>
        <w:sectPr>
          <w:pgSz w:w="11900" w:h="16838" w:orient="portrait"/>
          <w:cols w:equalWidth="0" w:num="1">
            <w:col w:w="11420"/>
          </w:cols>
          <w:pgMar w:left="240" w:top="949" w:right="2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AAL-PA-3219-LA-1302236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2</w:t>
      </w:r>
    </w:p>
    <w:p>
      <w:pPr>
        <w:spacing w:after="0" w:line="248" w:lineRule="exact"/>
        <w:rPr>
          <w:sz w:val="20"/>
          <w:szCs w:val="20"/>
          <w:color w:val="auto"/>
        </w:rPr>
      </w:pPr>
    </w:p>
    <w:p>
      <w:pPr>
        <w:sectPr>
          <w:pgSz w:w="11900" w:h="16838" w:orient="portrait"/>
          <w:cols w:equalWidth="0" w:num="2">
            <w:col w:w="9940" w:space="720"/>
            <w:col w:w="760"/>
          </w:cols>
          <w:pgMar w:left="240" w:top="949" w:right="23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49" w:right="239" w:bottom="1440" w:gutter="0" w:footer="0" w:header="0"/>
          <w:type w:val="continuous"/>
        </w:sectPr>
      </w:pPr>
    </w:p>
    <w:bookmarkStart w:id="184" w:name="page185"/>
    <w:bookmarkEnd w:id="184"/>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3346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1372235" cy="334645"/>
                    </a:xfrm>
                    <a:prstGeom prst="rect">
                      <a:avLst/>
                    </a:prstGeom>
                    <a:noFill/>
                  </pic:spPr>
                </pic:pic>
              </a:graphicData>
            </a:graphic>
          </wp:anchor>
        </w:drawing>
        <w:t>2.2.2 The [*CTR] of any Customer’s [*CTR] or the lack of any [*CTR] will not be a valid condition for Customer’s [*CTR] at the time of Aircraft delivery.</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2.2.3 Boeing has no [*CTR] to support Customer’s [*CTR]. Boeing will only [*CTR] if, in Boeing’s reasonable opinion, such [*CTR] is necessary to [*CTR] on the Aircraft.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2.2.4 Boeing will not be responsible for obtaining FAA certification for [*CTR]</w:t>
      </w:r>
    </w:p>
    <w:p>
      <w:pPr>
        <w:spacing w:after="0" w:line="37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3.1 After Customer’s acceptance of this Letter Agreement, any [*CTR] between Customer and the [*CTR]; provided, however, that such [*CTR] of Boeing. Any Customer [*CTR] to the [*CTR] after execution of this Letter Agreement shall be made in writing directly to Boeing [*CTR]. Any such [*CTR] of the Purchase Agreement. Any [*CTR] resulting from such [*CTR] between Customer and [*CTR] Notwithstanding the foregoing, Customer may [*CTR] at any time. Boeing shall [*CTR] by Customer in a [*CTR]</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3.2 Boeing and Customer recognize that the [*CTR] nature of the [*CTR] or the Aircraft in order to ensure (i) [*CTR] with the Aircraft and all [*CTR], and (ii) [*CTR] of the Aircraft with the [*CTR] therein. In such event, Boeing will notify Customer and [*CTR]. If, within [*CTR] as may be mutually agreed in writing) after such notification, Customer and Boeing [*CTR] or an alternate course of action, then the [*CTR] to Boeing in Section 6 shall apply.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 The [*CTR] contained in Attachment A to this Letter Agreement.</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3.4 If Boeing [*CTR] pursuant to Section 3.1, Customer may [*CTR] of the Aircraft. Customer will [*CTR] and Boeing will in [*CTR], in accordance with Section 3.1, taking into consideration the [*CTR] to Customer. Boeing and Customer will [*CTR] in the Aircraft, if such [*CTR].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3.5 Boeing’s [*CTR] of the Aircraft as it relates to [*CTR] as described in Attachment A, as Attachment A may be amended from time to time.</w:t>
      </w:r>
    </w:p>
    <w:p>
      <w:pPr>
        <w:spacing w:after="0" w:line="385"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Supplier Defaults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4.1 Boeing and Customer agree to follow the sequential steps identified in this Section 4 to [*CTR]: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4.1.1 Boeing shall [*CTR] with Boeing.</w:t>
      </w:r>
    </w:p>
    <w:p>
      <w:pPr>
        <w:sectPr>
          <w:pgSz w:w="11900" w:h="16838" w:orient="portrait"/>
          <w:cols w:equalWidth="0" w:num="1">
            <w:col w:w="11420"/>
          </w:cols>
          <w:pgMar w:left="240" w:top="949"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AAL-PA-3219-LA-1302236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3</w:t>
      </w:r>
    </w:p>
    <w:p>
      <w:pPr>
        <w:spacing w:after="0" w:line="31" w:lineRule="exact"/>
        <w:rPr>
          <w:sz w:val="20"/>
          <w:szCs w:val="20"/>
          <w:color w:val="auto"/>
        </w:rPr>
      </w:pPr>
    </w:p>
    <w:p>
      <w:pPr>
        <w:sectPr>
          <w:pgSz w:w="11900" w:h="16838" w:orient="portrait"/>
          <w:cols w:equalWidth="0" w:num="2">
            <w:col w:w="9940" w:space="720"/>
            <w:col w:w="760"/>
          </w:cols>
          <w:pgMar w:left="240" w:top="949" w:right="239" w:bottom="1440" w:gutter="0" w:footer="0" w:header="0"/>
          <w:type w:val="continuous"/>
        </w:sectPr>
      </w:pPr>
    </w:p>
    <w:p>
      <w:pPr>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49" w:right="239" w:bottom="1440" w:gutter="0" w:footer="0" w:header="0"/>
          <w:type w:val="continuous"/>
        </w:sectPr>
      </w:pPr>
    </w:p>
    <w:bookmarkStart w:id="185" w:name="page186"/>
    <w:bookmarkEnd w:id="18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3346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1372235" cy="334645"/>
                    </a:xfrm>
                    <a:prstGeom prst="rect">
                      <a:avLst/>
                    </a:prstGeom>
                    <a:noFill/>
                  </pic:spPr>
                </pic:pic>
              </a:graphicData>
            </a:graphic>
          </wp:anchor>
        </w:drawing>
        <w:t>4.1.2 Within [*CTR], Boeing and Customer shall [*CTR] or other course of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4.2 If Boeing and Customer are [*CTR] on an alternate [*CTR] or course of action within such time, the [*CTR] to Boeing in Section 6 shall apply.</w:t>
      </w:r>
    </w:p>
    <w:p>
      <w:pPr>
        <w:spacing w:after="0" w:line="38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Exhibits B and C to the AGTA</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[*CTR] is deemed to be BFE for the purposes of Exhibit B, Customer Support Document, and Exhibit C, the Product Assurance Document, of the AGTA.</w:t>
      </w:r>
    </w:p>
    <w:p>
      <w:pPr>
        <w:spacing w:after="0" w:line="319"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Boeing [*CTR]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23495</wp:posOffset>
            </wp:positionV>
            <wp:extent cx="3517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8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6.1 If Customer [*CTR] as provided in this Letter Agreement or if [*CTR] (for any reason [*CTR] under the purchase order terms) to [*CTR], then, in addition to [*CTR], Boeing will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 [*CTR] and</w:t>
      </w:r>
    </w:p>
    <w:p>
      <w:pPr>
        <w:spacing w:after="0" w:line="221"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color w:val="auto"/>
        </w:rPr>
        <w:t>6.2.1 if the [*CTR] to Section 5.1 of the Exhibit A to the AGTA entitled “Buyer Furnished Equipment Provisions Document” (</w:t>
      </w:r>
      <w:r>
        <w:rPr>
          <w:rFonts w:ascii="Arial" w:cs="Arial" w:eastAsia="Arial" w:hAnsi="Arial"/>
          <w:sz w:val="18"/>
          <w:szCs w:val="18"/>
          <w:b w:val="1"/>
          <w:bCs w:val="1"/>
          <w:color w:val="auto"/>
        </w:rPr>
        <w:t>AGTA 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BFE Provisions Document</w:t>
      </w:r>
      <w:r>
        <w:rPr>
          <w:rFonts w:ascii="Arial" w:cs="Arial" w:eastAsia="Arial" w:hAnsi="Arial"/>
          <w:sz w:val="18"/>
          <w:szCs w:val="18"/>
          <w:color w:val="auto"/>
        </w:rPr>
        <w:t>), then the provisions of Article 7, “Excusable Delay”, of the AGTA [*CTR];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6.2.2 if the [*CTR] to Section 5.2 of the AGTA Exhibit A BFE Provisions Document, then Boeing will [*CTR];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 [*CTR]; and/or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6.4 [*CTR] of Boeing’s [*CTR], including but not limited to, (i) [*CTR] by Boeing, (ii) any [*CTR] in accordance with [*CTR] as established by Boeing and agreed to by the [*CTR] and (iii) [*CTR]; and [*CTR] from any applicable [*CTR].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Boeing will use [*CTR] described in Section 6.5. Notwithstanding the last clause of 6.4, Boeing has no [*CTR].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 If Boeing [*CTR] set forth herein, then any [*CTR] of the Aircraft, to the [*CTR], will be the [*CTR] of Boeing.</w:t>
      </w:r>
    </w:p>
    <w:p>
      <w:pPr>
        <w:spacing w:after="0" w:line="374"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Customer’s Right to [*CTR]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7.1 The [*CTR] identified in Sections 1.1, 1.2 and 3 and Attachment B are defined as the “</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1</w:t>
      </w:r>
      <w:r>
        <w:rPr>
          <w:rFonts w:ascii="Arial" w:cs="Arial" w:eastAsia="Arial" w:hAnsi="Arial"/>
          <w:sz w:val="14"/>
          <w:szCs w:val="14"/>
          <w:u w:val="single" w:color="auto"/>
          <w:color w:val="auto"/>
        </w:rPr>
        <w:t>st</w:t>
      </w:r>
      <w:r>
        <w:rPr>
          <w:rFonts w:ascii="Arial" w:cs="Arial" w:eastAsia="Arial" w:hAnsi="Arial"/>
          <w:sz w:val="17"/>
          <w:szCs w:val="17"/>
          <w:color w:val="auto"/>
        </w:rPr>
        <w:t xml:space="preserve"> </w:t>
      </w:r>
      <w:r>
        <w:rPr>
          <w:rFonts w:ascii="Arial" w:cs="Arial" w:eastAsia="Arial" w:hAnsi="Arial"/>
          <w:sz w:val="17"/>
          <w:szCs w:val="17"/>
          <w:u w:val="single" w:color="auto"/>
          <w:color w:val="auto"/>
        </w:rPr>
        <w:t>Round [*CTR]</w:t>
      </w:r>
      <w:r>
        <w:rPr>
          <w:rFonts w:ascii="Arial" w:cs="Arial" w:eastAsia="Arial" w:hAnsi="Arial"/>
          <w:sz w:val="17"/>
          <w:szCs w:val="17"/>
          <w:color w:val="auto"/>
        </w:rPr>
        <w:t>. Boeing and Customer will each [*CTR] requirements with a [*CTR] the Aircraft to achieve proper [*CTR] at the time of delivery of the Aircraft. Such goal is defined as the “</w:t>
      </w:r>
      <w:r>
        <w:rPr>
          <w:rFonts w:ascii="Arial" w:cs="Arial" w:eastAsia="Arial" w:hAnsi="Arial"/>
          <w:sz w:val="17"/>
          <w:szCs w:val="17"/>
          <w:b w:val="1"/>
          <w:bCs w:val="1"/>
          <w:color w:val="auto"/>
        </w:rPr>
        <w:t>[*CTR]</w:t>
      </w:r>
      <w:r>
        <w:rPr>
          <w:rFonts w:ascii="Arial" w:cs="Arial" w:eastAsia="Arial" w:hAnsi="Arial"/>
          <w:sz w:val="17"/>
          <w:szCs w:val="17"/>
          <w:color w:val="auto"/>
        </w:rPr>
        <w:t>”. If after a [*CTR], then Boeing and Customer will [*CTR] in order to achieve the [*CTR].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-163195</wp:posOffset>
            </wp:positionV>
            <wp:extent cx="36004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AAL-PA-3219-LA-1302236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4</w:t>
      </w:r>
    </w:p>
    <w:p>
      <w:pPr>
        <w:spacing w:after="0" w:line="248" w:lineRule="exact"/>
        <w:rPr>
          <w:sz w:val="20"/>
          <w:szCs w:val="20"/>
          <w:color w:val="auto"/>
        </w:rPr>
      </w:pPr>
    </w:p>
    <w:p>
      <w:pPr>
        <w:sectPr>
          <w:pgSz w:w="11900" w:h="16838" w:orient="portrait"/>
          <w:cols w:equalWidth="0" w:num="2">
            <w:col w:w="9940" w:space="720"/>
            <w:col w:w="760"/>
          </w:cols>
          <w:pgMar w:left="240" w:top="949" w:right="23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49" w:right="239" w:bottom="1440" w:gutter="0" w:footer="0" w:header="0"/>
          <w:type w:val="continuous"/>
        </w:sectPr>
      </w:pPr>
    </w:p>
    <w:bookmarkStart w:id="186" w:name="page187"/>
    <w:bookmarkEnd w:id="18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3346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1372235" cy="334645"/>
                    </a:xfrm>
                    <a:prstGeom prst="rect">
                      <a:avLst/>
                    </a:prstGeom>
                    <a:noFill/>
                  </pic:spPr>
                </pic:pic>
              </a:graphicData>
            </a:graphic>
          </wp:anchor>
        </w:drawing>
        <w:t xml:space="preserve">7.3 </w:t>
      </w:r>
      <w:r>
        <w:rPr>
          <w:rFonts w:ascii="Arial" w:cs="Arial" w:eastAsia="Arial" w:hAnsi="Arial"/>
          <w:sz w:val="18"/>
          <w:szCs w:val="18"/>
          <w:u w:val="single" w:color="auto"/>
          <w:color w:val="auto"/>
        </w:rPr>
        <w:t>2</w:t>
      </w:r>
      <w:r>
        <w:rPr>
          <w:rFonts w:ascii="Arial" w:cs="Arial" w:eastAsia="Arial" w:hAnsi="Arial"/>
          <w:sz w:val="15"/>
          <w:szCs w:val="15"/>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Round [*CTR]</w:t>
      </w:r>
      <w:r>
        <w:rPr>
          <w:rFonts w:ascii="Arial" w:cs="Arial" w:eastAsia="Arial" w:hAnsi="Arial"/>
          <w:sz w:val="18"/>
          <w:szCs w:val="18"/>
          <w:color w:val="auto"/>
        </w:rPr>
        <w:t>. Boeing and Customer will [*CTR] identified pursuant to Section 7.2. If after a [*CTR], commencing with the [*CTR], then Boeing and Customer will [*CTR]. Boeing will [*CTR] in order to achieve the [*CTR].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-147955</wp:posOffset>
            </wp:positionV>
            <wp:extent cx="3517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15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Applicability of [*CTR]</w:t>
      </w:r>
      <w:r>
        <w:rPr>
          <w:rFonts w:ascii="Arial" w:cs="Arial" w:eastAsia="Arial" w:hAnsi="Arial"/>
          <w:sz w:val="18"/>
          <w:szCs w:val="18"/>
          <w:color w:val="auto"/>
        </w:rPr>
        <w:t>. If the [*CTR] after completing the steps described in Sections 7.2 and 7.3 above, then Boeing and Customer will [*CTR] provided in Section 5 of Letter Agreement 6-1162-TRW-0670R1 entitled “Miscellaneous Commitments for Model 787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-147955</wp:posOffset>
            </wp:positionV>
            <wp:extent cx="3517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9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*CTR</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Estimated [*CTR]</w:t>
      </w:r>
      <w:r>
        <w:rPr>
          <w:rFonts w:ascii="Arial" w:cs="Arial" w:eastAsia="Arial" w:hAnsi="Arial"/>
          <w:sz w:val="18"/>
          <w:szCs w:val="18"/>
          <w:color w:val="auto"/>
        </w:rPr>
        <w:t>. An estimated [*CTR] by Boeing will be included in the Aircraft [*CTR] to establish the [*CTR] for each Aircraft. The estimated [*CTR] on each Aircraft will be reflected on Table 1(R3),Table 2(R1), Table 3(R1) and Table 4, as amended, supplemented or otherwise modified, including pursuant to SA-5 and subject to [*CTR] of the applicable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-278130</wp:posOffset>
            </wp:positionV>
            <wp:extent cx="3600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Aircraft [</w:t>
      </w:r>
      <w:r>
        <w:rPr>
          <w:rFonts w:ascii="Arial" w:cs="Arial" w:eastAsia="Arial" w:hAnsi="Arial"/>
          <w:sz w:val="17"/>
          <w:szCs w:val="17"/>
          <w:color w:val="auto"/>
        </w:rPr>
        <w:t>*CTR</w:t>
      </w:r>
      <w:r>
        <w:rPr>
          <w:rFonts w:ascii="Arial" w:cs="Arial" w:eastAsia="Arial" w:hAnsi="Arial"/>
          <w:sz w:val="17"/>
          <w:szCs w:val="17"/>
          <w:u w:val="single" w:color="auto"/>
          <w:color w:val="auto"/>
        </w:rPr>
        <w:t>]</w:t>
      </w:r>
      <w:r>
        <w:rPr>
          <w:rFonts w:ascii="Arial" w:cs="Arial" w:eastAsia="Arial" w:hAnsi="Arial"/>
          <w:sz w:val="17"/>
          <w:szCs w:val="17"/>
          <w:color w:val="auto"/>
        </w:rPr>
        <w:t>. The Aircraft [*CTR] will include the [*CTR] and any associated [*CTR] Boeing by [*CTR] or otherwise [*CTR] by Boeing.</w:t>
      </w:r>
    </w:p>
    <w:p>
      <w:pPr>
        <w:spacing w:after="0" w:line="385"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Customer’s [*CTR] of Boeing</w:t>
      </w: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9.1 Customer will [*CTR] to include in the [*CTR] that Customer [*CTR] into [*CTR] following the date of this Supplemental Agreement No. 5 (</w:t>
      </w:r>
      <w:r>
        <w:rPr>
          <w:rFonts w:ascii="Arial" w:cs="Arial" w:eastAsia="Arial" w:hAnsi="Arial"/>
          <w:sz w:val="17"/>
          <w:szCs w:val="17"/>
          <w:b w:val="1"/>
          <w:bCs w:val="1"/>
          <w:color w:val="auto"/>
        </w:rPr>
        <w:t>SA-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an [*CTR] in substantially the following form: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9.2 With respect to [*CTR] that Customer has [*CTR] prior to execution of SA-5, Customer will [*CTR] or applicable law) any [*CTR] that Customer has obtained from such [*CTR].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9.3 With respect to [*CTR] that Customer [*CTR] following the date of this SA-5 that [*CTR] contemplated by Section 9.1 above, Customer will [*CTR] or applicable law) any [*CTR] that Customer has [*CTR].</w:t>
      </w:r>
    </w:p>
    <w:p>
      <w:pPr>
        <w:spacing w:after="0" w:line="319"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Title and Risk of Loss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[*CTR] will remain with Boeing until the Aircraft [*CTR] to Customer. [*CTR] will remain with the entity that is in [*CTR] prior to Aircraft delivery.</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the foregoing correctly sets forth your understanding of our agreement with respect to the matters treated above, please indicate your acceptance and approval below.</w:t>
      </w:r>
    </w:p>
    <w:p>
      <w:pPr>
        <w:sectPr>
          <w:pgSz w:w="11900" w:h="16838" w:orient="portrait"/>
          <w:cols w:equalWidth="0" w:num="1">
            <w:col w:w="11420"/>
          </w:cols>
          <w:pgMar w:left="240" w:top="949"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AAL-PA-3219-LA-1302236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5</w:t>
      </w:r>
    </w:p>
    <w:p>
      <w:pPr>
        <w:spacing w:after="0" w:line="31" w:lineRule="exact"/>
        <w:rPr>
          <w:sz w:val="20"/>
          <w:szCs w:val="20"/>
          <w:color w:val="auto"/>
        </w:rPr>
      </w:pPr>
    </w:p>
    <w:p>
      <w:pPr>
        <w:sectPr>
          <w:pgSz w:w="11900" w:h="16838" w:orient="portrait"/>
          <w:cols w:equalWidth="0" w:num="2">
            <w:col w:w="9940" w:space="720"/>
            <w:col w:w="760"/>
          </w:cols>
          <w:pgMar w:left="240" w:top="949" w:right="239" w:bottom="1440" w:gutter="0" w:footer="0" w:header="0"/>
          <w:type w:val="continuous"/>
        </w:sectPr>
      </w:pPr>
    </w:p>
    <w:p>
      <w:pPr>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49" w:right="239" w:bottom="1440" w:gutter="0" w:footer="0" w:header="0"/>
          <w:type w:val="continuous"/>
        </w:sectPr>
      </w:pPr>
    </w:p>
    <w:bookmarkStart w:id="187" w:name="page188"/>
    <w:bookmarkEnd w:id="187"/>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3346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1372235" cy="334645"/>
                    </a:xfrm>
                    <a:prstGeom prst="rect">
                      <a:avLst/>
                    </a:prstGeom>
                    <a:noFill/>
                  </pic:spPr>
                </pic:pic>
              </a:graphicData>
            </a:graphic>
          </wp:anchor>
        </w:drawing>
        <w:t>Confidential Treatment</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or in the Purchase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24" w:lineRule="exact"/>
        <w:rPr>
          <w:sz w:val="20"/>
          <w:szCs w:val="20"/>
          <w:color w:val="auto"/>
        </w:rPr>
      </w:pPr>
    </w:p>
    <w:p>
      <w:pPr>
        <w:ind w:left="260"/>
        <w:spacing w:after="0"/>
        <w:tabs>
          <w:tab w:leader="none" w:pos="7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January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24269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ind w:left="26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6840" w:type="dxa"/>
            <w:vAlign w:val="bottom"/>
          </w:tcPr>
          <w:p>
            <w:pPr>
              <w:spacing w:after="0"/>
              <w:rPr>
                <w:sz w:val="20"/>
                <w:szCs w:val="20"/>
                <w:color w:val="auto"/>
              </w:rPr>
            </w:pPr>
          </w:p>
        </w:tc>
      </w:tr>
      <w:tr>
        <w:trPr>
          <w:trHeight w:val="331"/>
        </w:trPr>
        <w:tc>
          <w:tcPr>
            <w:tcW w:w="760" w:type="dxa"/>
            <w:vAlign w:val="bottom"/>
          </w:tcPr>
          <w:p>
            <w:pPr>
              <w:ind w:left="260"/>
              <w:spacing w:after="0"/>
              <w:rPr>
                <w:sz w:val="20"/>
                <w:szCs w:val="20"/>
                <w:color w:val="auto"/>
              </w:rPr>
            </w:pPr>
            <w:r>
              <w:rPr>
                <w:rFonts w:ascii="Arial" w:cs="Arial" w:eastAsia="Arial" w:hAnsi="Arial"/>
                <w:sz w:val="18"/>
                <w:szCs w:val="18"/>
                <w:color w:val="auto"/>
              </w:rPr>
              <w:t>Its</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Fleet Planning</w:t>
            </w:r>
          </w:p>
        </w:tc>
        <w:tc>
          <w:tcPr>
            <w:tcW w:w="6840" w:type="dxa"/>
            <w:vAlign w:val="bottom"/>
          </w:tcPr>
          <w:p>
            <w:pPr>
              <w:spacing w:after="0"/>
              <w:rPr>
                <w:sz w:val="24"/>
                <w:szCs w:val="24"/>
                <w:color w:val="auto"/>
              </w:rPr>
            </w:pPr>
          </w:p>
        </w:tc>
      </w:tr>
      <w:tr>
        <w:trPr>
          <w:trHeight w:val="439"/>
        </w:trPr>
        <w:tc>
          <w:tcPr>
            <w:tcW w:w="4580" w:type="dxa"/>
            <w:vAlign w:val="bottom"/>
            <w:gridSpan w:val="2"/>
          </w:tcPr>
          <w:p>
            <w:pPr>
              <w:spacing w:after="0"/>
              <w:rPr>
                <w:sz w:val="20"/>
                <w:szCs w:val="20"/>
                <w:color w:val="auto"/>
              </w:rPr>
            </w:pPr>
            <w:r>
              <w:rPr>
                <w:rFonts w:ascii="Arial" w:cs="Arial" w:eastAsia="Arial" w:hAnsi="Arial"/>
                <w:sz w:val="18"/>
                <w:szCs w:val="18"/>
                <w:color w:val="auto"/>
              </w:rPr>
              <w:t>Attachments</w:t>
            </w:r>
          </w:p>
        </w:tc>
        <w:tc>
          <w:tcPr>
            <w:tcW w:w="6840" w:type="dxa"/>
            <w:vAlign w:val="bottom"/>
          </w:tcPr>
          <w:p>
            <w:pPr>
              <w:spacing w:after="0"/>
              <w:rPr>
                <w:sz w:val="24"/>
                <w:szCs w:val="24"/>
                <w:color w:val="auto"/>
              </w:rPr>
            </w:pPr>
          </w:p>
        </w:tc>
      </w:tr>
      <w:tr>
        <w:trPr>
          <w:trHeight w:val="350"/>
        </w:trPr>
        <w:tc>
          <w:tcPr>
            <w:tcW w:w="4580" w:type="dxa"/>
            <w:vAlign w:val="bottom"/>
            <w:gridSpan w:val="2"/>
          </w:tcPr>
          <w:p>
            <w:pPr>
              <w:spacing w:after="0"/>
              <w:rPr>
                <w:sz w:val="20"/>
                <w:szCs w:val="20"/>
                <w:color w:val="auto"/>
              </w:rPr>
            </w:pPr>
            <w:r>
              <w:rPr>
                <w:rFonts w:ascii="Arial" w:cs="Arial" w:eastAsia="Arial" w:hAnsi="Arial"/>
                <w:sz w:val="18"/>
                <w:szCs w:val="18"/>
                <w:color w:val="auto"/>
              </w:rPr>
              <w:t>AAL-PA-3219-LA-1302236</w:t>
            </w:r>
          </w:p>
        </w:tc>
        <w:tc>
          <w:tcPr>
            <w:tcW w:w="6840" w:type="dxa"/>
            <w:vAlign w:val="bottom"/>
          </w:tcPr>
          <w:p>
            <w:pPr>
              <w:jc w:val="right"/>
              <w:spacing w:after="0"/>
              <w:rPr>
                <w:sz w:val="20"/>
                <w:szCs w:val="20"/>
                <w:color w:val="auto"/>
              </w:rPr>
            </w:pPr>
            <w:r>
              <w:rPr>
                <w:rFonts w:ascii="Arial" w:cs="Arial" w:eastAsia="Arial" w:hAnsi="Arial"/>
                <w:sz w:val="18"/>
                <w:szCs w:val="18"/>
                <w:color w:val="auto"/>
              </w:rPr>
              <w:t>SA-5</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[*CTR]</w:t>
            </w:r>
          </w:p>
        </w:tc>
        <w:tc>
          <w:tcPr>
            <w:tcW w:w="3820" w:type="dxa"/>
            <w:vAlign w:val="bottom"/>
          </w:tcPr>
          <w:p>
            <w:pPr>
              <w:spacing w:after="0"/>
              <w:rPr>
                <w:sz w:val="18"/>
                <w:szCs w:val="18"/>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LA Page 6</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BOEING PROPRIETARY</w:t>
            </w:r>
          </w:p>
        </w:tc>
        <w:tc>
          <w:tcPr>
            <w:tcW w:w="6840" w:type="dxa"/>
            <w:vAlign w:val="bottom"/>
          </w:tcPr>
          <w:p>
            <w:pPr>
              <w:spacing w:after="0"/>
              <w:rPr>
                <w:sz w:val="20"/>
                <w:szCs w:val="20"/>
                <w:color w:val="auto"/>
              </w:rPr>
            </w:pPr>
          </w:p>
        </w:tc>
      </w:tr>
    </w:tbl>
    <w:p>
      <w:pPr>
        <w:jc w:val="both"/>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49"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3346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1372235" cy="334645"/>
                    </a:xfrm>
                    <a:prstGeom prst="rect">
                      <a:avLst/>
                    </a:prstGeom>
                    <a:noFill/>
                  </pic:spPr>
                </pic:pic>
              </a:graphicData>
            </a:graphic>
          </wp:anchor>
        </w:drawing>
        <w:t>Attachment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1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following [*CTR] describe(s) the items of equipment that under the terms and conditions of this Letter Agreement are considered to be [*CTR]. Each such [*CTR] is fully described in [*CTR] as described in Exhibit A to the Purchase Agreement. Final configuration will be based on Customer acceptance of any or all [*CTR] listed below or any post SA-5 [*CTR] by Boeing that are [*CTR] by the Customer.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 Request Number and Title</w:t>
      </w:r>
    </w:p>
    <w:p>
      <w:pPr>
        <w:sectPr>
          <w:pgSz w:w="11900" w:h="16838" w:orient="portrait"/>
          <w:cols w:equalWidth="0" w:num="1">
            <w:col w:w="11420"/>
          </w:cols>
          <w:pgMar w:left="240" w:top="945" w:right="2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43" w:lineRule="exact"/>
        <w:rPr>
          <w:sz w:val="20"/>
          <w:szCs w:val="20"/>
          <w:color w:val="auto"/>
        </w:rPr>
      </w:pPr>
    </w:p>
    <w:p>
      <w:pPr>
        <w:sectPr>
          <w:pgSz w:w="11900" w:h="16838" w:orient="portrait"/>
          <w:cols w:equalWidth="0" w:num="2">
            <w:col w:w="1020" w:space="500"/>
            <w:col w:w="9900"/>
          </w:cols>
          <w:pgMar w:left="240" w:top="945" w:right="239" w:bottom="1440" w:gutter="0" w:footer="0" w:header="0"/>
          <w:type w:val="continuous"/>
        </w:sectPr>
      </w:pPr>
    </w:p>
    <w:p>
      <w:pPr>
        <w:spacing w:after="0"/>
        <w:rPr>
          <w:sz w:val="20"/>
          <w:szCs w:val="20"/>
          <w:color w:val="auto"/>
        </w:rPr>
      </w:pPr>
      <w:r>
        <w:rPr>
          <w:rFonts w:ascii="Arial" w:cs="Arial" w:eastAsia="Arial" w:hAnsi="Arial"/>
          <w:sz w:val="17"/>
          <w:szCs w:val="17"/>
          <w:color w:val="auto"/>
        </w:rPr>
        <w:t>Attachment A to AAL-PA-3219-LA-1302236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1</w:t>
      </w:r>
    </w:p>
    <w:p>
      <w:pPr>
        <w:spacing w:after="0" w:line="248" w:lineRule="exact"/>
        <w:rPr>
          <w:sz w:val="20"/>
          <w:szCs w:val="20"/>
          <w:color w:val="auto"/>
        </w:rPr>
      </w:pPr>
    </w:p>
    <w:p>
      <w:pPr>
        <w:sectPr>
          <w:pgSz w:w="11900" w:h="16838" w:orient="portrait"/>
          <w:cols w:equalWidth="0" w:num="2">
            <w:col w:w="9940" w:space="720"/>
            <w:col w:w="760"/>
          </w:cols>
          <w:pgMar w:left="240" w:top="945" w:right="23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45" w:right="239" w:bottom="1440" w:gutter="0" w:footer="0" w:header="0"/>
          <w:type w:val="continuous"/>
        </w:sectPr>
      </w:pPr>
    </w:p>
    <w:bookmarkStart w:id="189" w:name="page190"/>
    <w:bookmarkEnd w:id="1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72235" cy="3346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1372235" cy="334645"/>
                    </a:xfrm>
                    <a:prstGeom prst="rect">
                      <a:avLst/>
                    </a:prstGeom>
                    <a:noFill/>
                  </pic:spPr>
                </pic:pic>
              </a:graphicData>
            </a:graphic>
          </wp:anchor>
        </w:drawing>
        <w:t>Attachment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Attachment B describes the functions that Boeing will [*CTR] to support (i) the [*CTR] and (ii) the [*CTR] the Aircraft.</w:t>
      </w:r>
    </w:p>
    <w:p>
      <w:pPr>
        <w:spacing w:after="0" w:line="374"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Boeing will [*CTR] the following functions [*CTR]. Boeing will have [*CTR] which, in Boeing’s reasonable opinion, [*CTR]. Boeing will be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16" w:lineRule="exact"/>
        <w:rPr>
          <w:sz w:val="20"/>
          <w:szCs w:val="20"/>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 and</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[*CTR]</w:t>
      </w:r>
    </w:p>
    <w:p>
      <w:pPr>
        <w:spacing w:after="0" w:line="10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Boeing’s [*CTR] will include the functions of [*CTR]. As [*CTR], Boeing will perform the following functions:</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required, [*CTR];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[*CTR] Boeing, Customer and [*CTR]; and</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[*CTR]</w:t>
      </w:r>
    </w:p>
    <w:p>
      <w:pPr>
        <w:spacing w:after="0" w:line="103" w:lineRule="exact"/>
        <w:rPr>
          <w:rFonts w:ascii="Arial" w:cs="Arial" w:eastAsia="Arial" w:hAnsi="Arial"/>
          <w:sz w:val="18"/>
          <w:szCs w:val="18"/>
          <w:color w:val="auto"/>
        </w:rPr>
      </w:pPr>
    </w:p>
    <w:p>
      <w:pPr>
        <w:ind w:left="1580" w:hanging="667"/>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Boeing will [*CTR].</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[*CTR] and Boeing, as determined by Boeing.</w:t>
      </w:r>
    </w:p>
    <w:p>
      <w:pPr>
        <w:spacing w:after="0" w:line="130" w:lineRule="exact"/>
        <w:rPr>
          <w:rFonts w:ascii="Arial" w:cs="Arial" w:eastAsia="Arial" w:hAnsi="Arial"/>
          <w:sz w:val="18"/>
          <w:szCs w:val="18"/>
          <w:color w:val="auto"/>
        </w:rPr>
      </w:pPr>
    </w:p>
    <w:p>
      <w:pPr>
        <w:ind w:left="1580" w:hanging="667"/>
        <w:spacing w:after="0"/>
        <w:tabs>
          <w:tab w:leader="none" w:pos="1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-1811020</wp:posOffset>
            </wp:positionV>
            <wp:extent cx="3517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Attachment B to AAL-PA-3219-LA-1302236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1</w:t>
      </w:r>
    </w:p>
    <w:p>
      <w:pPr>
        <w:spacing w:after="0" w:line="248" w:lineRule="exact"/>
        <w:rPr>
          <w:sz w:val="20"/>
          <w:szCs w:val="20"/>
          <w:color w:val="auto"/>
        </w:rPr>
      </w:pPr>
    </w:p>
    <w:p>
      <w:pPr>
        <w:sectPr>
          <w:pgSz w:w="11900" w:h="16838" w:orient="portrait"/>
          <w:cols w:equalWidth="0" w:num="2">
            <w:col w:w="9940" w:space="720"/>
            <w:col w:w="760"/>
          </w:cols>
          <w:pgMar w:left="240" w:top="945" w:right="23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945" w:right="239" w:bottom="1440" w:gutter="0" w:footer="0" w:header="0"/>
          <w:type w:val="continuous"/>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4"/>
                <w:szCs w:val="14"/>
                <w:color w:val="auto"/>
                <w:w w:val="96"/>
              </w:rPr>
              <w:t>Three Months Ended March 31,</w:t>
            </w:r>
          </w:p>
        </w:tc>
      </w:tr>
      <w:tr>
        <w:trPr>
          <w:trHeight w:val="142"/>
        </w:trPr>
        <w:tc>
          <w:tcPr>
            <w:tcW w:w="90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Add: Total fixed charges (per below)</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capitalized</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Total earnings before income taxes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Portion of rental expense representative of the interest factor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The three months ended March 31, 2014 includes non-cash interest accretion related to Bankruptcy Settlement Obligations.</w:t>
      </w:r>
    </w:p>
    <w:p>
      <w:pPr>
        <w:sectPr>
          <w:pgSz w:w="11900" w:h="16838" w:orient="portrait"/>
          <w:cols w:equalWidth="0" w:num="1">
            <w:col w:w="11420"/>
          </w:cols>
          <w:pgMar w:left="240" w:top="12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360"/>
              <w:spacing w:after="0"/>
              <w:rPr>
                <w:sz w:val="20"/>
                <w:szCs w:val="20"/>
                <w:color w:val="auto"/>
              </w:rPr>
            </w:pPr>
            <w:r>
              <w:rPr>
                <w:rFonts w:ascii="Arial" w:cs="Arial" w:eastAsia="Arial" w:hAnsi="Arial"/>
                <w:sz w:val="14"/>
                <w:szCs w:val="14"/>
                <w:color w:val="auto"/>
                <w:w w:val="98"/>
              </w:rPr>
              <w:t>Three Months Ended March 31,</w:t>
            </w:r>
          </w:p>
        </w:tc>
      </w:tr>
      <w:tr>
        <w:trPr>
          <w:trHeight w:val="142"/>
        </w:trPr>
        <w:tc>
          <w:tcPr>
            <w:tcW w:w="89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Add: Total fixed charges (per below)</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capitalized</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8940" w:type="dxa"/>
            <w:vAlign w:val="bottom"/>
          </w:tcPr>
          <w:p>
            <w:pPr>
              <w:ind w:left="720"/>
              <w:spacing w:after="0"/>
              <w:rPr>
                <w:sz w:val="20"/>
                <w:szCs w:val="20"/>
                <w:color w:val="auto"/>
              </w:rPr>
            </w:pPr>
            <w:r>
              <w:rPr>
                <w:rFonts w:ascii="Arial" w:cs="Arial" w:eastAsia="Arial" w:hAnsi="Arial"/>
                <w:sz w:val="18"/>
                <w:szCs w:val="18"/>
                <w:color w:val="auto"/>
              </w:rPr>
              <w:t>Total earnings before income taxes</w:t>
            </w: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8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Portion of rental expense representative of the interest factor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23"/>
        </w:trPr>
        <w:tc>
          <w:tcPr>
            <w:tcW w:w="894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40" w:hanging="17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464"/>
        <w:spacing w:after="0" w:line="342" w:lineRule="auto"/>
        <w:tabs>
          <w:tab w:leader="none" w:pos="6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65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464"/>
        <w:spacing w:after="0" w:line="342" w:lineRule="auto"/>
        <w:tabs>
          <w:tab w:leader="none" w:pos="6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6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7"/>
          <w:szCs w:val="17"/>
          <w:color w:val="auto"/>
        </w:rPr>
        <w:t>Title:</w:t>
        <w:tab/>
        <w:t>Executive Vice President and Chief Financial Officer</w:t>
      </w:r>
    </w:p>
    <w:p>
      <w:pPr>
        <w:sectPr>
          <w:pgSz w:w="11900" w:h="16838" w:orient="portrait"/>
          <w:cols w:equalWidth="0" w:num="1">
            <w:col w:w="11420"/>
          </w:cols>
          <w:pgMar w:left="240" w:top="12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40" w:hanging="17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464"/>
        <w:spacing w:after="0" w:line="342" w:lineRule="auto"/>
        <w:tabs>
          <w:tab w:leader="none" w:pos="6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65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464"/>
        <w:spacing w:after="0" w:line="342" w:lineRule="auto"/>
        <w:tabs>
          <w:tab w:leader="none" w:pos="64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464"/>
        <w:spacing w:after="0" w:line="277"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64"/>
        <w:spacing w:after="0" w:line="264" w:lineRule="auto"/>
        <w:tabs>
          <w:tab w:leader="none" w:pos="65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firstLine="443"/>
        <w:spacing w:after="0" w:line="264" w:lineRule="auto"/>
        <w:tabs>
          <w:tab w:leader="none" w:pos="117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43"/>
        <w:spacing w:after="0" w:line="308" w:lineRule="auto"/>
        <w:tabs>
          <w:tab w:leader="none" w:pos="117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firstLine="443"/>
        <w:spacing w:after="0" w:line="264" w:lineRule="auto"/>
        <w:tabs>
          <w:tab w:leader="none" w:pos="115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43"/>
        <w:spacing w:after="0" w:line="277" w:lineRule="auto"/>
        <w:tabs>
          <w:tab w:leader="none" w:pos="118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7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7"/>
          <w:szCs w:val="17"/>
          <w:color w:val="auto"/>
        </w:rPr>
        <w:t>Title:</w:t>
        <w:tab/>
        <w:t>Executive Vice President and Chief Financial Officer</w:t>
      </w:r>
    </w:p>
    <w:p>
      <w:pPr>
        <w:sectPr>
          <w:pgSz w:w="11900" w:h="16838" w:orient="portrait"/>
          <w:cols w:equalWidth="0" w:num="1">
            <w:col w:w="11420"/>
          </w:cols>
          <w:pgMar w:left="240" w:top="121"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2015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23, 2015</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Derek J. Kerr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100"/>
              <w:spacing w:after="0"/>
              <w:rPr>
                <w:sz w:val="20"/>
                <w:szCs w:val="20"/>
                <w:color w:val="auto"/>
              </w:rPr>
            </w:pPr>
            <w:r>
              <w:rPr>
                <w:rFonts w:ascii="Arial" w:cs="Arial" w:eastAsia="Arial" w:hAnsi="Arial"/>
                <w:sz w:val="18"/>
                <w:szCs w:val="18"/>
                <w:color w:val="auto"/>
              </w:rPr>
              <w:t>Derek J. Kerr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23, 2015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2015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 Douglas Parker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23, 2015</w:t>
            </w: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Derek J. Kerr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100"/>
              <w:spacing w:after="0"/>
              <w:rPr>
                <w:sz w:val="20"/>
                <w:szCs w:val="20"/>
                <w:color w:val="auto"/>
              </w:rPr>
            </w:pPr>
            <w:r>
              <w:rPr>
                <w:rFonts w:ascii="Arial" w:cs="Arial" w:eastAsia="Arial" w:hAnsi="Arial"/>
                <w:sz w:val="18"/>
                <w:szCs w:val="18"/>
                <w:color w:val="auto"/>
              </w:rPr>
              <w:t>Derek J. Kerr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April 23, 2015</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2"/>
    </w:lvl>
  </w:abstractNum>
  <w:abstractNum w:abstractNumId="3">
    <w:nsid w:val="10233C99"/>
    <w:multiLevelType w:val="hybridMultilevel"/>
    <w:lvl w:ilvl="0">
      <w:lvlJc w:val="left"/>
      <w:lvlText w:val="(%1)"/>
      <w:numFmt w:val="lowerLetter"/>
      <w:start w:val="1"/>
    </w:lvl>
  </w:abstractNum>
  <w:abstractNum w:abstractNumId="4">
    <w:nsid w:val="3F6AB60F"/>
    <w:multiLevelType w:val="hybridMultilevel"/>
    <w:lvl w:ilvl="0">
      <w:lvlJc w:val="left"/>
      <w:lvlText w:val="(%1)"/>
      <w:numFmt w:val="lowerLetter"/>
      <w:start w:val="1"/>
    </w:lvl>
  </w:abstractNum>
  <w:abstractNum w:abstractNumId="5">
    <w:nsid w:val="61574095"/>
    <w:multiLevelType w:val="hybridMultilevel"/>
    <w:lvl w:ilvl="0">
      <w:lvlJc w:val="left"/>
      <w:lvlText w:val="(%1)"/>
      <w:numFmt w:val="lowerLetter"/>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decimal"/>
      <w:start w:val="1"/>
    </w:lvl>
  </w:abstractNum>
  <w:abstractNum w:abstractNumId="8">
    <w:nsid w:val="579BE4F1"/>
    <w:multiLevelType w:val="hybridMultilevel"/>
    <w:lvl w:ilvl="0">
      <w:lvlJc w:val="left"/>
      <w:lvlText w:val="%1."/>
      <w:numFmt w:val="decimal"/>
      <w:start w:val="15"/>
    </w:lvl>
  </w:abstractNum>
  <w:abstractNum w:abstractNumId="9">
    <w:nsid w:val="310C50B3"/>
    <w:multiLevelType w:val="hybridMultilevel"/>
    <w:lvl w:ilvl="0">
      <w:lvlJc w:val="left"/>
      <w:lvlText w:val="%1."/>
      <w:numFmt w:val="decimal"/>
      <w:start w:val="2"/>
    </w:lvl>
  </w:abstractNum>
  <w:abstractNum w:abstractNumId="10">
    <w:nsid w:val="5FF87E05"/>
    <w:multiLevelType w:val="hybridMultilevel"/>
    <w:lvl w:ilvl="0">
      <w:lvlJc w:val="left"/>
      <w:lvlText w:val="(%1)"/>
      <w:numFmt w:val="lowerLetter"/>
      <w:start w:val="1"/>
    </w:lvl>
  </w:abstractNum>
  <w:abstractNum w:abstractNumId="11">
    <w:nsid w:val="2F305DEF"/>
    <w:multiLevelType w:val="hybridMultilevel"/>
    <w:lvl w:ilvl="0">
      <w:lvlJc w:val="left"/>
      <w:lvlText w:val="(%1)"/>
      <w:numFmt w:val="lowerLetter"/>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1)"/>
      <w:numFmt w:val="decimal"/>
      <w:start w:val="1"/>
    </w:lvl>
  </w:abstractNum>
  <w:abstractNum w:abstractNumId="15">
    <w:nsid w:val="1F48EAA1"/>
    <w:multiLevelType w:val="hybridMultilevel"/>
    <w:lvl w:ilvl="0">
      <w:lvlJc w:val="left"/>
      <w:lvlText w:val="(%1)"/>
      <w:numFmt w:val="decimal"/>
      <w:start w:val="1"/>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1)"/>
      <w:numFmt w:val="lowerLetter"/>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1"/>
    </w:lvl>
  </w:abstractNum>
  <w:abstractNum w:abstractNumId="20">
    <w:nsid w:val="15014ACB"/>
    <w:multiLevelType w:val="hybridMultilevel"/>
    <w:lvl w:ilvl="0">
      <w:lvlJc w:val="left"/>
      <w:lvlText w:val="(%1)"/>
      <w:numFmt w:val="decimal"/>
      <w:start w:val="2"/>
    </w:lvl>
  </w:abstractNum>
  <w:abstractNum w:abstractNumId="21">
    <w:nsid w:val="5F5E7FD0"/>
    <w:multiLevelType w:val="hybridMultilevel"/>
    <w:lvl w:ilvl="0">
      <w:lvlJc w:val="left"/>
      <w:lvlText w:val="(%1)"/>
      <w:numFmt w:val="lowerLetter"/>
      <w:start w:val="1"/>
    </w:lvl>
  </w:abstractNum>
  <w:abstractNum w:abstractNumId="22">
    <w:nsid w:val="98A3148"/>
    <w:multiLevelType w:val="hybridMultilevel"/>
    <w:lvl w:ilvl="0">
      <w:lvlJc w:val="left"/>
      <w:lvlText w:val="(%1)"/>
      <w:numFmt w:val="lowerLetter"/>
      <w:start w:val="8"/>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1)"/>
      <w:numFmt w:val="decimal"/>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3"/>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lvl w:ilvl="1">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Roman"/>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1)"/>
      <w:numFmt w:val="lowerLetter"/>
      <w:start w:val="9"/>
    </w:lvl>
    <w:lvl w:ilvl="1">
      <w:lvlJc w:val="left"/>
      <w:lvlText w:val="(%2)"/>
      <w:numFmt w:val="lowerLetter"/>
      <w:start w:val="25"/>
    </w:lvl>
  </w:abstractNum>
  <w:abstractNum w:abstractNumId="45">
    <w:nsid w:val="14330624"/>
    <w:multiLevelType w:val="hybridMultilevel"/>
    <w:lvl w:ilvl="0">
      <w:lvlJc w:val="left"/>
      <w:lvlText w:val="(%1)"/>
      <w:numFmt w:val="lowerRoman"/>
      <w:start w:val="2"/>
    </w:lvl>
  </w:abstractNum>
  <w:abstractNum w:abstractNumId="46">
    <w:nsid w:val="7FFFCA11"/>
    <w:multiLevelType w:val="hybridMultilevel"/>
    <w:lvl w:ilvl="0">
      <w:lvlJc w:val="left"/>
      <w:lvlText w:val="1"/>
      <w:numFmt w:val="bullet"/>
      <w:start w:val="1"/>
    </w:lvl>
  </w:abstractNum>
  <w:abstractNum w:abstractNumId="47">
    <w:nsid w:val="1A27709E"/>
    <w:multiLevelType w:val="hybridMultilevel"/>
    <w:lvl w:ilvl="0">
      <w:lvlJc w:val="left"/>
      <w:lvlText w:val="2"/>
      <w:numFmt w:val="bullet"/>
      <w:start w:val="1"/>
    </w:lvl>
  </w:abstractNum>
  <w:abstractNum w:abstractNumId="48">
    <w:nsid w:val="71EA1109"/>
    <w:multiLevelType w:val="hybridMultilevel"/>
    <w:lvl w:ilvl="0">
      <w:lvlJc w:val="left"/>
      <w:lvlText w:val="3"/>
      <w:numFmt w:val="bullet"/>
      <w:start w:val="1"/>
    </w:lvl>
  </w:abstractNum>
  <w:abstractNum w:abstractNumId="49">
    <w:nsid w:val="100F59DC"/>
    <w:multiLevelType w:val="hybridMultilevel"/>
    <w:lvl w:ilvl="0">
      <w:lvlJc w:val="left"/>
      <w:lvlText w:val="%1."/>
      <w:numFmt w:val="decimal"/>
      <w:start w:val="1"/>
    </w:lvl>
  </w:abstractNum>
  <w:abstractNum w:abstractNumId="50">
    <w:nsid w:val="7FB7E0AA"/>
    <w:multiLevelType w:val="hybridMultilevel"/>
    <w:lvl w:ilvl="0">
      <w:lvlJc w:val="left"/>
      <w:lvlText w:val="%1."/>
      <w:numFmt w:val="decimal"/>
      <w:start w:val="2"/>
    </w:lvl>
  </w:abstractNum>
  <w:abstractNum w:abstractNumId="51">
    <w:nsid w:val="6EB5BD4"/>
    <w:multiLevelType w:val="hybridMultilevel"/>
    <w:lvl w:ilvl="0">
      <w:lvlJc w:val="left"/>
      <w:lvlText w:val="1"/>
      <w:numFmt w:val="bullet"/>
      <w:start w:val="1"/>
    </w:lvl>
  </w:abstractNum>
  <w:abstractNum w:abstractNumId="52">
    <w:nsid w:val="6F6DD9AC"/>
    <w:multiLevelType w:val="hybridMultilevel"/>
    <w:lvl w:ilvl="0">
      <w:lvlJc w:val="left"/>
      <w:lvlText w:val="2"/>
      <w:numFmt w:val="bullet"/>
      <w:start w:val="1"/>
    </w:lvl>
  </w:abstractNum>
  <w:abstractNum w:abstractNumId="53">
    <w:nsid w:val="94211F2"/>
    <w:multiLevelType w:val="hybridMultilevel"/>
    <w:lvl w:ilvl="0">
      <w:lvlJc w:val="left"/>
      <w:lvlText w:val="3"/>
      <w:numFmt w:val="bullet"/>
      <w:start w:val="1"/>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4"/>
      <w:numFmt w:val="bullet"/>
      <w:start w:val="1"/>
    </w:lvl>
  </w:abstractNum>
  <w:abstractNum w:abstractNumId="56">
    <w:nsid w:val="4C04A8AF"/>
    <w:multiLevelType w:val="hybridMultilevel"/>
    <w:lvl w:ilvl="0">
      <w:lvlJc w:val="left"/>
      <w:lvlText w:val="5"/>
      <w:numFmt w:val="bullet"/>
      <w:start w:val="1"/>
    </w:lvl>
  </w:abstractNum>
  <w:abstractNum w:abstractNumId="57">
    <w:nsid w:val="1716703B"/>
    <w:multiLevelType w:val="hybridMultilevel"/>
    <w:lvl w:ilvl="0">
      <w:lvlJc w:val="left"/>
      <w:lvlText w:val="6"/>
      <w:numFmt w:val="bullet"/>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decimal"/>
      <w:start w:val="2"/>
    </w:lvl>
  </w:abstractNum>
  <w:abstractNum w:abstractNumId="60">
    <w:nsid w:val="74DE0EE3"/>
    <w:multiLevelType w:val="hybridMultilevel"/>
    <w:lvl w:ilvl="0">
      <w:lvlJc w:val="left"/>
      <w:lvlText w:val="1"/>
      <w:numFmt w:val="bullet"/>
      <w:start w:val="1"/>
    </w:lvl>
  </w:abstractNum>
  <w:abstractNum w:abstractNumId="61">
    <w:nsid w:val="68EBC550"/>
    <w:multiLevelType w:val="hybridMultilevel"/>
    <w:lvl w:ilvl="0">
      <w:lvlJc w:val="left"/>
      <w:lvlText w:val="2"/>
      <w:numFmt w:val="bullet"/>
      <w:start w:val="1"/>
    </w:lvl>
  </w:abstractNum>
  <w:abstractNum w:abstractNumId="62">
    <w:nsid w:val="2DF6D648"/>
    <w:multiLevelType w:val="hybridMultilevel"/>
    <w:lvl w:ilvl="0">
      <w:lvlJc w:val="left"/>
      <w:lvlText w:val="3"/>
      <w:numFmt w:val="bullet"/>
      <w:start w:val="1"/>
    </w:lvl>
  </w:abstractNum>
  <w:abstractNum w:abstractNumId="63">
    <w:nsid w:val="46B7D447"/>
    <w:multiLevelType w:val="hybridMultilevel"/>
    <w:lvl w:ilvl="0">
      <w:lvlJc w:val="left"/>
      <w:lvlText w:val="(%1)"/>
      <w:numFmt w:val="decimal"/>
      <w:start w:val="1"/>
    </w:lvl>
  </w:abstractNum>
  <w:abstractNum w:abstractNumId="64">
    <w:nsid w:val="4A2AC315"/>
    <w:multiLevelType w:val="hybridMultilevel"/>
    <w:lvl w:ilvl="0">
      <w:lvlJc w:val="left"/>
      <w:lvlText w:val="4"/>
      <w:numFmt w:val="bullet"/>
      <w:start w:val="1"/>
    </w:lvl>
  </w:abstractNum>
  <w:abstractNum w:abstractNumId="65">
    <w:nsid w:val="39EE015C"/>
    <w:multiLevelType w:val="hybridMultilevel"/>
    <w:lvl w:ilvl="0">
      <w:lvlJc w:val="left"/>
      <w:lvlText w:val="5"/>
      <w:numFmt w:val="bullet"/>
      <w:start w:val="1"/>
    </w:lvl>
  </w:abstractNum>
  <w:abstractNum w:abstractNumId="66">
    <w:nsid w:val="57FC4FBB"/>
    <w:multiLevelType w:val="hybridMultilevel"/>
    <w:lvl w:ilvl="0">
      <w:lvlJc w:val="left"/>
      <w:lvlText w:val="6"/>
      <w:numFmt w:val="bullet"/>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2"/>
    </w:lvl>
  </w:abstractNum>
  <w:abstractNum w:abstractNumId="69">
    <w:nsid w:val="60EF0119"/>
    <w:multiLevelType w:val="hybridMultilevel"/>
    <w:lvl w:ilvl="0">
      <w:lvlJc w:val="left"/>
      <w:lvlText w:val="1"/>
      <w:numFmt w:val="bullet"/>
      <w:start w:val="1"/>
    </w:lvl>
  </w:abstractNum>
  <w:abstractNum w:abstractNumId="70">
    <w:nsid w:val="26F324BA"/>
    <w:multiLevelType w:val="hybridMultilevel"/>
    <w:lvl w:ilvl="0">
      <w:lvlJc w:val="left"/>
      <w:lvlText w:val="2"/>
      <w:numFmt w:val="bullet"/>
      <w:start w:val="1"/>
    </w:lvl>
  </w:abstractNum>
  <w:abstractNum w:abstractNumId="71">
    <w:nsid w:val="7F01579B"/>
    <w:multiLevelType w:val="hybridMultilevel"/>
    <w:lvl w:ilvl="0">
      <w:lvlJc w:val="left"/>
      <w:lvlText w:val="3"/>
      <w:numFmt w:val="bullet"/>
      <w:start w:val="1"/>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4"/>
      <w:numFmt w:val="bullet"/>
      <w:start w:val="1"/>
    </w:lvl>
  </w:abstractNum>
  <w:abstractNum w:abstractNumId="74">
    <w:nsid w:val="5FB8370B"/>
    <w:multiLevelType w:val="hybridMultilevel"/>
    <w:lvl w:ilvl="0">
      <w:lvlJc w:val="left"/>
      <w:lvlText w:val="5"/>
      <w:numFmt w:val="bullet"/>
      <w:start w:val="1"/>
    </w:lvl>
  </w:abstractNum>
  <w:abstractNum w:abstractNumId="75">
    <w:nsid w:val="50801EE1"/>
    <w:multiLevelType w:val="hybridMultilevel"/>
    <w:lvl w:ilvl="0">
      <w:lvlJc w:val="left"/>
      <w:lvlText w:val="6"/>
      <w:numFmt w:val="bullet"/>
      <w:start w:val="1"/>
    </w:lvl>
  </w:abstractNum>
  <w:abstractNum w:abstractNumId="76">
    <w:nsid w:val="488AC1A"/>
    <w:multiLevelType w:val="hybridMultilevel"/>
    <w:lvl w:ilvl="0">
      <w:lvlJc w:val="left"/>
      <w:lvlText w:val="%1)"/>
      <w:numFmt w:val="lowerLetter"/>
      <w:start w:val="2"/>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1."/>
      <w:numFmt w:val="decimal"/>
      <w:start w:val="3"/>
    </w:lvl>
    <w:lvl w:ilvl="1">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1."/>
      <w:numFmt w:val="decimal"/>
      <w:start w:val="4"/>
    </w:lvl>
  </w:abstractNum>
  <w:abstractNum w:abstractNumId="81">
    <w:nsid w:val="6A5F7029"/>
    <w:multiLevelType w:val="hybridMultilevel"/>
    <w:lvl w:ilvl="0">
      <w:lvlJc w:val="left"/>
      <w:lvlText w:val="%1."/>
      <w:numFmt w:val="decimal"/>
      <w:start w:val="7"/>
    </w:lvl>
  </w:abstractNum>
  <w:abstractNum w:abstractNumId="82">
    <w:nsid w:val="7D5E18F8"/>
    <w:multiLevelType w:val="hybridMultilevel"/>
    <w:lvl w:ilvl="0">
      <w:lvlJc w:val="left"/>
      <w:lvlText w:val="%1."/>
      <w:numFmt w:val="decimal"/>
      <w:start w:val="1"/>
    </w:lvl>
  </w:abstractNum>
  <w:abstractNum w:abstractNumId="83">
    <w:nsid w:val="5F3534A4"/>
    <w:multiLevelType w:val="hybridMultilevel"/>
    <w:lvl w:ilvl="0">
      <w:lvlJc w:val="left"/>
      <w:lvlText w:val="%1."/>
      <w:numFmt w:val="decimal"/>
      <w:start w:val="2"/>
    </w:lvl>
  </w:abstractNum>
  <w:abstractNum w:abstractNumId="84">
    <w:nsid w:val="73A1821B"/>
    <w:multiLevelType w:val="hybridMultilevel"/>
    <w:lvl w:ilvl="0">
      <w:lvlJc w:val="left"/>
      <w:lvlText w:val="%1."/>
      <w:numFmt w:val="decimal"/>
      <w:start w:val="3"/>
    </w:lvl>
  </w:abstractNum>
  <w:abstractNum w:abstractNumId="85">
    <w:nsid w:val="7DE67713"/>
    <w:multiLevelType w:val="hybridMultilevel"/>
    <w:lvl w:ilvl="0">
      <w:lvlJc w:val="left"/>
      <w:lvlText w:val="%1."/>
      <w:numFmt w:val="decimal"/>
      <w:start w:val="4"/>
    </w:lvl>
  </w:abstractNum>
  <w:abstractNum w:abstractNumId="86">
    <w:nsid w:val="555C55B5"/>
    <w:multiLevelType w:val="hybridMultilevel"/>
    <w:lvl w:ilvl="0">
      <w:lvlJc w:val="left"/>
      <w:lvlText w:val="%1."/>
      <w:numFmt w:val="decimal"/>
      <w:start w:val="5"/>
    </w:lvl>
  </w:abstractNum>
  <w:abstractNum w:abstractNumId="87">
    <w:nsid w:val="3FA62ACA"/>
    <w:multiLevelType w:val="hybridMultilevel"/>
    <w:lvl w:ilvl="0">
      <w:lvlJc w:val="left"/>
      <w:lvlText w:val="%1."/>
      <w:numFmt w:val="decimal"/>
      <w:start w:val="6"/>
    </w:lvl>
  </w:abstractNum>
  <w:abstractNum w:abstractNumId="88">
    <w:nsid w:val="14FCE74E"/>
    <w:multiLevelType w:val="hybridMultilevel"/>
    <w:lvl w:ilvl="0">
      <w:lvlJc w:val="left"/>
      <w:lvlText w:val="%1."/>
      <w:numFmt w:val="decimal"/>
      <w:start w:val="7"/>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3"/>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1."/>
      <w:numFmt w:val="decimal"/>
      <w:start w:val="4"/>
    </w:lvl>
  </w:abstractNum>
  <w:abstractNum w:abstractNumId="95">
    <w:nsid w:val="1D545C4D"/>
    <w:multiLevelType w:val="hybridMultilevel"/>
    <w:lvl w:ilvl="0">
      <w:lvlJc w:val="left"/>
      <w:lvlText w:val="%1."/>
      <w:numFmt w:val="decimal"/>
      <w:start w:val="5"/>
    </w:lvl>
  </w:abstractNum>
  <w:abstractNum w:abstractNumId="96">
    <w:nsid w:val="59ADEA3D"/>
    <w:multiLevelType w:val="hybridMultilevel"/>
    <w:lvl w:ilvl="0">
      <w:lvlJc w:val="left"/>
      <w:lvlText w:val="%1."/>
      <w:numFmt w:val="decimal"/>
      <w:start w:val="1"/>
    </w:lvl>
  </w:abstractNum>
  <w:abstractNum w:abstractNumId="97">
    <w:nsid w:val="288F1A34"/>
    <w:multiLevelType w:val="hybridMultilevel"/>
    <w:lvl w:ilvl="0">
      <w:lvlJc w:val="left"/>
      <w:lvlText w:val="%1."/>
      <w:numFmt w:val="decimal"/>
      <w:start w:val="3"/>
    </w:lvl>
  </w:abstractNum>
  <w:abstractNum w:abstractNumId="98">
    <w:nsid w:val="2A155DBC"/>
    <w:multiLevelType w:val="hybridMultilevel"/>
    <w:lvl w:ilvl="0">
      <w:lvlJc w:val="left"/>
      <w:lvlText w:val="%1."/>
      <w:numFmt w:val="decimal"/>
      <w:start w:val="2"/>
    </w:lvl>
  </w:abstractNum>
  <w:abstractNum w:abstractNumId="99">
    <w:nsid w:val="1D9F6E5F"/>
    <w:multiLevelType w:val="hybridMultilevel"/>
    <w:lvl w:ilvl="0">
      <w:lvlJc w:val="left"/>
      <w:lvlText w:val="%1."/>
      <w:numFmt w:val="decimal"/>
      <w:start w:val="3"/>
    </w:lvl>
  </w:abstractNum>
  <w:abstractNum w:abstractNumId="100">
    <w:nsid w:val="97E1B4E"/>
    <w:multiLevelType w:val="hybridMultilevel"/>
    <w:lvl w:ilvl="0">
      <w:lvlJc w:val="left"/>
      <w:lvlText w:val="%1."/>
      <w:numFmt w:val="decimal"/>
      <w:start w:val="4"/>
    </w:lvl>
  </w:abstractNum>
  <w:abstractNum w:abstractNumId="101">
    <w:nsid w:val="51088277"/>
    <w:multiLevelType w:val="hybridMultilevel"/>
    <w:lvl w:ilvl="0">
      <w:lvlJc w:val="left"/>
      <w:lvlText w:val="%1."/>
      <w:numFmt w:val="decimal"/>
      <w:start w:val="5"/>
    </w:lvl>
  </w:abstractNum>
  <w:abstractNum w:abstractNumId="102">
    <w:nsid w:val="1CA0C5FA"/>
    <w:multiLevelType w:val="hybridMultilevel"/>
    <w:lvl w:ilvl="0">
      <w:lvlJc w:val="left"/>
      <w:lvlText w:val="%1."/>
      <w:numFmt w:val="decimal"/>
      <w:start w:val="6"/>
    </w:lvl>
  </w:abstractNum>
  <w:abstractNum w:abstractNumId="103">
    <w:nsid w:val="53584BCB"/>
    <w:multiLevelType w:val="hybridMultilevel"/>
    <w:lvl w:ilvl="0">
      <w:lvlJc w:val="left"/>
      <w:lvlText w:val="%1."/>
      <w:numFmt w:val="decimal"/>
      <w:start w:val="7"/>
    </w:lvl>
  </w:abstractNum>
  <w:abstractNum w:abstractNumId="104">
    <w:nsid w:val="415E286C"/>
    <w:multiLevelType w:val="hybridMultilevel"/>
    <w:lvl w:ilvl="0">
      <w:lvlJc w:val="left"/>
      <w:lvlText w:val="%1."/>
      <w:numFmt w:val="decimal"/>
      <w:start w:val="8"/>
    </w:lvl>
  </w:abstractNum>
  <w:abstractNum w:abstractNumId="105">
    <w:nsid w:val="7C58FD05"/>
    <w:multiLevelType w:val="hybridMultilevel"/>
    <w:lvl w:ilvl="0">
      <w:lvlJc w:val="left"/>
      <w:lvlText w:val="%1."/>
      <w:numFmt w:val="decimal"/>
      <w:start w:val="9"/>
    </w:lvl>
  </w:abstractNum>
  <w:abstractNum w:abstractNumId="106">
    <w:nsid w:val="23D86AAC"/>
    <w:multiLevelType w:val="hybridMultilevel"/>
    <w:lvl w:ilvl="0">
      <w:lvlJc w:val="left"/>
      <w:lvlText w:val="%1."/>
      <w:numFmt w:val="decimal"/>
      <w:start w:val="10"/>
    </w:lvl>
  </w:abstractNum>
  <w:abstractNum w:abstractNumId="107">
    <w:nsid w:val="45E6D486"/>
    <w:multiLevelType w:val="hybridMultilevel"/>
    <w:lvl w:ilvl="0">
      <w:lvlJc w:val="left"/>
      <w:lvlText w:val="%1."/>
      <w:numFmt w:val="decimal"/>
      <w:start w:val="10"/>
    </w:lvl>
  </w:abstractNum>
  <w:abstractNum w:abstractNumId="108">
    <w:nsid w:val="5C10FE21"/>
    <w:multiLevelType w:val="hybridMultilevel"/>
    <w:lvl w:ilvl="0">
      <w:lvlJc w:val="left"/>
      <w:lvlText w:val="%1."/>
      <w:numFmt w:val="decimal"/>
      <w:start w:val="1"/>
    </w:lvl>
  </w:abstractNum>
  <w:abstractNum w:abstractNumId="109">
    <w:nsid w:val="E7FFA2B"/>
    <w:multiLevelType w:val="hybridMultilevel"/>
    <w:lvl w:ilvl="0">
      <w:lvlJc w:val="left"/>
      <w:lvlText w:val="%1"/>
      <w:numFmt w:val="decimal"/>
      <w:start w:val="1"/>
    </w:lvl>
    <w:lvl w:ilvl="1">
      <w:lvlJc w:val="left"/>
      <w:lvlText w:val="(%2)"/>
      <w:numFmt w:val="lowerRoman"/>
      <w:start w:val="1"/>
    </w:lvl>
  </w:abstractNum>
  <w:abstractNum w:abstractNumId="110">
    <w:nsid w:val="3C5991AA"/>
    <w:multiLevelType w:val="hybridMultilevel"/>
    <w:lvl w:ilvl="0">
      <w:lvlJc w:val="left"/>
      <w:lvlText w:val="%1."/>
      <w:numFmt w:val="decimal"/>
      <w:start w:val="2"/>
    </w:lvl>
    <w:lvl w:ilvl="1">
      <w:lvlJc w:val="left"/>
      <w:lvlText w:val="(%2)"/>
      <w:numFmt w:val="lowerRoman"/>
      <w:start w:val="1"/>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1"/>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2019-12-29T18:26:13Z</dcterms:created>
  <dcterms:modified xsi:type="dcterms:W3CDTF">2019-12-29T18:26:13Z</dcterms:modified>
</cp:coreProperties>
</file>